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1D14" w14:textId="77777777" w:rsidR="0047015C" w:rsidRPr="00D32018" w:rsidRDefault="00D32018" w:rsidP="00067EC5">
      <w:pPr>
        <w:pStyle w:val="CoverOutcomeHeadline"/>
        <w:rPr>
          <w:sz w:val="72"/>
        </w:rPr>
      </w:pPr>
      <w:bookmarkStart w:id="0" w:name="_GoBack"/>
      <w:bookmarkEnd w:id="0"/>
      <w:r w:rsidRPr="00D32018">
        <w:rPr>
          <w:sz w:val="72"/>
        </w:rPr>
        <w:t>Aboriginal Heritage Regulatory Impact Statement</w:t>
      </w:r>
    </w:p>
    <w:p w14:paraId="611A3598" w14:textId="77777777" w:rsidR="00476CCE" w:rsidRPr="00514109" w:rsidRDefault="00476CCE" w:rsidP="00067EC5">
      <w:pPr>
        <w:pStyle w:val="CoverOutcomeHeadline"/>
      </w:pPr>
    </w:p>
    <w:p w14:paraId="4587044D" w14:textId="77777777" w:rsidR="00E27E5B" w:rsidRPr="000619A2" w:rsidRDefault="00C54A4F" w:rsidP="00F323DC">
      <w:pPr>
        <w:pStyle w:val="Covertitle"/>
        <w:framePr w:wrap="notBeside"/>
      </w:pPr>
      <w:r>
        <w:t>Aboriginal Victoria</w:t>
      </w:r>
    </w:p>
    <w:p w14:paraId="67BCD004" w14:textId="77777777" w:rsidR="00E27E5B" w:rsidRPr="000619A2" w:rsidRDefault="00C54A4F" w:rsidP="00C54A4F">
      <w:pPr>
        <w:pStyle w:val="Coversubtitle"/>
        <w:framePr w:wrap="notBeside"/>
      </w:pPr>
      <w:r>
        <w:t>Aboriginal Heritage R</w:t>
      </w:r>
      <w:r w:rsidR="00D32018">
        <w:t>egulatory Impact Statement</w:t>
      </w:r>
    </w:p>
    <w:p w14:paraId="518525AF" w14:textId="211E0332" w:rsidR="00E27E5B" w:rsidRPr="000619A2" w:rsidRDefault="000921C1" w:rsidP="007625E6">
      <w:pPr>
        <w:pStyle w:val="CoverDate"/>
        <w:framePr w:wrap="notBeside"/>
      </w:pPr>
      <w:r>
        <w:t xml:space="preserve">March </w:t>
      </w:r>
      <w:r w:rsidR="00C54A4F">
        <w:t>201</w:t>
      </w:r>
      <w:r>
        <w:t>8</w:t>
      </w:r>
    </w:p>
    <w:p w14:paraId="7C038A8E" w14:textId="77777777" w:rsidR="00E27E5B" w:rsidRPr="007625E6" w:rsidRDefault="00E27E5B" w:rsidP="007625E6">
      <w:pPr>
        <w:pStyle w:val="Coverpulloutframe"/>
        <w:framePr w:wrap="notBeside"/>
      </w:pPr>
    </w:p>
    <w:p w14:paraId="2EE75D94" w14:textId="77777777" w:rsidR="00CD17C4" w:rsidRDefault="00476CCE" w:rsidP="009E5218">
      <w:pPr>
        <w:pStyle w:val="CoverOutcomeSubtitle"/>
      </w:pPr>
      <w:r>
        <w:t>Aboriginal Victoria</w:t>
      </w:r>
    </w:p>
    <w:p w14:paraId="7CFDB122" w14:textId="77777777" w:rsidR="00476CCE" w:rsidRDefault="00476CCE" w:rsidP="00476CCE">
      <w:pPr>
        <w:pStyle w:val="CoverOutcomeSubtitle"/>
        <w:rPr>
          <w:sz w:val="56"/>
          <w:szCs w:val="56"/>
        </w:rPr>
      </w:pPr>
    </w:p>
    <w:p w14:paraId="2B81524D" w14:textId="77777777" w:rsidR="00476CCE" w:rsidRDefault="00476CCE" w:rsidP="00476CCE">
      <w:pPr>
        <w:pStyle w:val="CoverOutcomeSubtitle"/>
        <w:rPr>
          <w:sz w:val="56"/>
          <w:szCs w:val="56"/>
        </w:rPr>
      </w:pPr>
    </w:p>
    <w:p w14:paraId="5CAE9135" w14:textId="77777777" w:rsidR="009B3E02" w:rsidRPr="00514109" w:rsidRDefault="009B3E02" w:rsidP="00275248">
      <w:pPr>
        <w:pStyle w:val="PwCNormal"/>
        <w:numPr>
          <w:ilvl w:val="0"/>
          <w:numId w:val="0"/>
        </w:numPr>
      </w:pPr>
    </w:p>
    <w:p w14:paraId="3005770C" w14:textId="77777777" w:rsidR="00695B02" w:rsidRPr="00514109" w:rsidRDefault="00695B02" w:rsidP="00695B02">
      <w:pPr>
        <w:pStyle w:val="PwCNormal"/>
        <w:numPr>
          <w:ilvl w:val="0"/>
          <w:numId w:val="0"/>
        </w:numPr>
        <w:sectPr w:rsidR="00695B02" w:rsidRPr="00514109" w:rsidSect="00C54A4F">
          <w:headerReference w:type="even" r:id="rId8"/>
          <w:headerReference w:type="default" r:id="rId9"/>
          <w:footerReference w:type="even" r:id="rId10"/>
          <w:footerReference w:type="default" r:id="rId11"/>
          <w:headerReference w:type="first" r:id="rId12"/>
          <w:footerReference w:type="first" r:id="rId13"/>
          <w:pgSz w:w="11907" w:h="16840" w:code="9"/>
          <w:pgMar w:top="2552" w:right="1021" w:bottom="1134" w:left="3317" w:header="397" w:footer="567" w:gutter="227"/>
          <w:pgNumType w:start="1"/>
          <w:cols w:space="708"/>
          <w:titlePg/>
          <w:docGrid w:linePitch="360"/>
        </w:sectPr>
      </w:pPr>
    </w:p>
    <w:p w14:paraId="5CB4C433" w14:textId="77777777" w:rsidR="00476CCE" w:rsidRDefault="00476CCE" w:rsidP="00476CCE">
      <w:pPr>
        <w:pStyle w:val="PrefaceTitle"/>
      </w:pPr>
      <w:bookmarkStart w:id="1" w:name="_Toc496168228"/>
      <w:bookmarkStart w:id="2" w:name="_Toc507761444"/>
      <w:bookmarkStart w:id="3" w:name="_Toc290460141"/>
      <w:bookmarkStart w:id="4" w:name="_Toc292795890"/>
      <w:bookmarkStart w:id="5" w:name="_Toc292795900"/>
      <w:bookmarkStart w:id="6" w:name="_Toc292795947"/>
      <w:bookmarkStart w:id="7" w:name="_Toc292795954"/>
      <w:bookmarkStart w:id="8" w:name="_Toc294534323"/>
      <w:bookmarkStart w:id="9" w:name="_Toc326144379"/>
      <w:bookmarkStart w:id="10" w:name="_Toc326144425"/>
      <w:bookmarkStart w:id="11" w:name="_Toc326144496"/>
      <w:bookmarkStart w:id="12" w:name="_Toc326144518"/>
      <w:bookmarkStart w:id="13" w:name="_Toc326144577"/>
      <w:bookmarkStart w:id="14" w:name="_Toc326144612"/>
      <w:bookmarkStart w:id="15" w:name="_Toc326144706"/>
      <w:bookmarkStart w:id="16" w:name="ExecSum"/>
      <w:r>
        <w:lastRenderedPageBreak/>
        <w:t>Disclaimer</w:t>
      </w:r>
      <w:bookmarkEnd w:id="1"/>
      <w:bookmarkEnd w:id="2"/>
    </w:p>
    <w:p w14:paraId="1DD7C540" w14:textId="04EDAF2D" w:rsidR="00476CCE" w:rsidRDefault="00476CCE" w:rsidP="00476CCE">
      <w:pPr>
        <w:pStyle w:val="PwCNormal"/>
        <w:spacing w:before="120" w:after="120"/>
      </w:pPr>
      <w:r>
        <w:t xml:space="preserve">This Regulatory Impact Statement (RIS) was prepared for Aboriginal Victoria (AV) </w:t>
      </w:r>
      <w:r w:rsidR="009719FC">
        <w:t xml:space="preserve">by PricewaterhouseCoopers Australia (PwC) </w:t>
      </w:r>
      <w:r>
        <w:t>pursuant to a contract with AV.</w:t>
      </w:r>
    </w:p>
    <w:p w14:paraId="79B6F13A" w14:textId="307AF9ED" w:rsidR="00476CCE" w:rsidRDefault="00476CCE" w:rsidP="00476CCE">
      <w:pPr>
        <w:pStyle w:val="PwCNormal"/>
        <w:spacing w:before="120" w:after="120"/>
      </w:pPr>
      <w:r>
        <w:t xml:space="preserve">In preparing this RIS we have only considered the circumstances of AV. Our RIS is not appropriate for use by persons other than AV, and we do not accept or assume responsibility to anyone other than AV in respect of </w:t>
      </w:r>
      <w:r w:rsidR="009719FC">
        <w:t xml:space="preserve">this </w:t>
      </w:r>
      <w:r>
        <w:t>RIS.</w:t>
      </w:r>
    </w:p>
    <w:p w14:paraId="7A513B1F" w14:textId="162F00A5" w:rsidR="00476CCE" w:rsidRDefault="00476CCE" w:rsidP="00476CCE">
      <w:pPr>
        <w:pStyle w:val="PwCNormal"/>
        <w:spacing w:before="120" w:after="120"/>
      </w:pPr>
      <w:r>
        <w:t xml:space="preserve">The information, statements, statistics and commentary (together the 'Information') contained in this report have been prepared from </w:t>
      </w:r>
      <w:r w:rsidR="00311651">
        <w:t xml:space="preserve">publicly available information, stakeholder consultation and </w:t>
      </w:r>
      <w:r>
        <w:t>material provided by AV. PwC may at its absolute discretion, but without being under any obligation to do so, update, amend or supplement this document.</w:t>
      </w:r>
    </w:p>
    <w:p w14:paraId="4534ECC7" w14:textId="77777777" w:rsidR="00017B6C" w:rsidRDefault="00476CCE" w:rsidP="00476CCE">
      <w:pPr>
        <w:pStyle w:val="PwCNormal"/>
        <w:spacing w:before="120" w:after="120"/>
      </w:pPr>
      <w:r>
        <w:t xml:space="preserve">The Information contained in this RIS has not been subjected to an Audit or any form of independent verification. PwC does not express an opinion as to the accuracy or completeness of the information provided. </w:t>
      </w:r>
    </w:p>
    <w:p w14:paraId="0F819DC1" w14:textId="4D6D5EAF" w:rsidR="00017B6C" w:rsidRDefault="00017B6C" w:rsidP="00017B6C">
      <w:pPr>
        <w:pStyle w:val="PwCNormal"/>
      </w:pPr>
      <w:r>
        <w:t>PwC has provided this advice solely for the benefit of AV and disclaims all liability and responsibility (including arising from its negligence) to any other parties for any loss, damage, cost or expense incurred or arising out of any person using or relying upon the Information.</w:t>
      </w:r>
    </w:p>
    <w:p w14:paraId="19561A9C" w14:textId="64427CC2" w:rsidR="00476CCE" w:rsidRDefault="00017B6C" w:rsidP="00017B6C">
      <w:pPr>
        <w:pStyle w:val="PwCNormal"/>
      </w:pPr>
      <w:r>
        <w:t>Liability limited by a scheme approved under Professional Standards legislation.</w:t>
      </w:r>
    </w:p>
    <w:p w14:paraId="1747A060" w14:textId="77777777" w:rsidR="00476CCE" w:rsidRDefault="00476CCE">
      <w:pPr>
        <w:kinsoku/>
        <w:overflowPunct/>
        <w:autoSpaceDE/>
        <w:autoSpaceDN/>
        <w:adjustRightInd/>
        <w:snapToGrid/>
        <w:rPr>
          <w:rFonts w:asciiTheme="majorHAnsi" w:hAnsiTheme="majorHAnsi"/>
          <w:b/>
          <w:bCs/>
          <w:i/>
          <w:iCs/>
          <w:color w:val="000000" w:themeColor="text1"/>
          <w:sz w:val="56"/>
          <w:szCs w:val="36"/>
        </w:rPr>
      </w:pPr>
      <w:r>
        <w:br w:type="page"/>
      </w:r>
    </w:p>
    <w:p w14:paraId="57ABC4BC" w14:textId="7614C911" w:rsidR="00A60160" w:rsidRDefault="00A60160" w:rsidP="00C270FB">
      <w:pPr>
        <w:pStyle w:val="PrefaceTitle"/>
      </w:pPr>
      <w:bookmarkStart w:id="17" w:name="_Toc507761445"/>
      <w:r>
        <w:lastRenderedPageBreak/>
        <w:t>Abbreviation</w:t>
      </w:r>
      <w:r w:rsidR="002539FA">
        <w:t>s and terms</w:t>
      </w:r>
      <w:bookmarkEnd w:id="17"/>
    </w:p>
    <w:tbl>
      <w:tblPr>
        <w:tblStyle w:val="LightList-Accent13"/>
        <w:tblW w:w="5000" w:type="pct"/>
        <w:tblLook w:val="04A0" w:firstRow="1" w:lastRow="0" w:firstColumn="1" w:lastColumn="0" w:noHBand="0" w:noVBand="1"/>
      </w:tblPr>
      <w:tblGrid>
        <w:gridCol w:w="1834"/>
        <w:gridCol w:w="6603"/>
      </w:tblGrid>
      <w:tr w:rsidR="00A60160" w:rsidRPr="00A60160" w14:paraId="5ED1BB94" w14:textId="77777777" w:rsidTr="00A6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26F7077" w14:textId="77777777" w:rsidR="00A60160" w:rsidRPr="00A60160" w:rsidRDefault="00A60160" w:rsidP="00A60160">
            <w:pPr>
              <w:pStyle w:val="PwCNormal"/>
              <w:spacing w:after="0"/>
              <w:rPr>
                <w:rFonts w:asciiTheme="majorHAnsi" w:hAnsiTheme="majorHAnsi"/>
              </w:rPr>
            </w:pPr>
            <w:r w:rsidRPr="00A60160">
              <w:rPr>
                <w:rFonts w:asciiTheme="majorHAnsi" w:hAnsiTheme="majorHAnsi"/>
              </w:rPr>
              <w:t>Abbreviation</w:t>
            </w:r>
          </w:p>
        </w:tc>
        <w:tc>
          <w:tcPr>
            <w:tcW w:w="3913" w:type="pct"/>
            <w:vAlign w:val="center"/>
          </w:tcPr>
          <w:p w14:paraId="283A4765" w14:textId="77777777" w:rsidR="00A60160" w:rsidRPr="00A60160" w:rsidRDefault="00A60160" w:rsidP="00A60160">
            <w:pPr>
              <w:pStyle w:val="TableColumnHeadingSmall"/>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b/>
                <w:sz w:val="20"/>
              </w:rPr>
            </w:pPr>
            <w:r w:rsidRPr="00A60160">
              <w:rPr>
                <w:rFonts w:asciiTheme="majorHAnsi" w:hAnsiTheme="majorHAnsi"/>
                <w:b/>
                <w:sz w:val="20"/>
              </w:rPr>
              <w:t>Description</w:t>
            </w:r>
          </w:p>
        </w:tc>
      </w:tr>
      <w:tr w:rsidR="00AC3FD6" w:rsidRPr="00A60160" w14:paraId="41B17A65"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37D59F21" w14:textId="50B15CEA" w:rsidR="00AC3FD6" w:rsidRPr="00AC3FD6" w:rsidRDefault="00AC3FD6" w:rsidP="00A60160">
            <w:pPr>
              <w:pStyle w:val="TableTextSmall"/>
              <w:spacing w:after="0"/>
              <w:rPr>
                <w:rFonts w:asciiTheme="majorHAnsi" w:hAnsiTheme="majorHAnsi"/>
                <w:b w:val="0"/>
                <w:sz w:val="20"/>
              </w:rPr>
            </w:pPr>
            <w:r w:rsidRPr="00AC3FD6">
              <w:rPr>
                <w:rFonts w:asciiTheme="majorHAnsi" w:hAnsiTheme="majorHAnsi"/>
                <w:b w:val="0"/>
                <w:sz w:val="20"/>
              </w:rPr>
              <w:t>ACHLMA</w:t>
            </w:r>
          </w:p>
        </w:tc>
        <w:tc>
          <w:tcPr>
            <w:tcW w:w="3913" w:type="pct"/>
            <w:vAlign w:val="center"/>
          </w:tcPr>
          <w:p w14:paraId="194686E3" w14:textId="1E6FD08C" w:rsidR="00AC3FD6" w:rsidRPr="00A60160" w:rsidRDefault="00AC3FD6"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Aboriginal Cultural Heritage Land Management Agreement</w:t>
            </w:r>
          </w:p>
        </w:tc>
      </w:tr>
      <w:tr w:rsidR="002539FA" w:rsidRPr="00A60160" w14:paraId="40AC8A32"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24E31306" w14:textId="09F82FCD" w:rsidR="002539FA" w:rsidRPr="00D63DFB" w:rsidRDefault="002539FA" w:rsidP="00A60160">
            <w:pPr>
              <w:pStyle w:val="TableTextSmall"/>
              <w:spacing w:after="0"/>
              <w:rPr>
                <w:rFonts w:asciiTheme="majorHAnsi" w:hAnsiTheme="majorHAnsi"/>
                <w:b w:val="0"/>
                <w:sz w:val="20"/>
              </w:rPr>
            </w:pPr>
            <w:r w:rsidRPr="00D63DFB">
              <w:rPr>
                <w:rFonts w:asciiTheme="majorHAnsi" w:hAnsiTheme="majorHAnsi"/>
                <w:b w:val="0"/>
                <w:sz w:val="20"/>
              </w:rPr>
              <w:t>Assessment</w:t>
            </w:r>
          </w:p>
        </w:tc>
        <w:tc>
          <w:tcPr>
            <w:tcW w:w="3913" w:type="pct"/>
            <w:vAlign w:val="center"/>
          </w:tcPr>
          <w:p w14:paraId="365D9F14" w14:textId="114E901C" w:rsidR="002539FA" w:rsidRDefault="002539FA"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A desktop, standard or complex assessment for a CHMP</w:t>
            </w:r>
          </w:p>
        </w:tc>
      </w:tr>
      <w:tr w:rsidR="00A60160" w:rsidRPr="00A60160" w14:paraId="1B35D8DA"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F1602B5" w14:textId="7B96AFC8" w:rsidR="00A60160" w:rsidRPr="00A60160" w:rsidRDefault="00A60160" w:rsidP="00A60160">
            <w:pPr>
              <w:pStyle w:val="TableTextSmall"/>
              <w:spacing w:after="0"/>
              <w:rPr>
                <w:rFonts w:asciiTheme="majorHAnsi" w:hAnsiTheme="majorHAnsi"/>
                <w:b w:val="0"/>
                <w:sz w:val="20"/>
              </w:rPr>
            </w:pPr>
            <w:r w:rsidRPr="00A60160">
              <w:rPr>
                <w:rFonts w:asciiTheme="majorHAnsi" w:hAnsiTheme="majorHAnsi"/>
                <w:b w:val="0"/>
                <w:sz w:val="20"/>
              </w:rPr>
              <w:t>AV</w:t>
            </w:r>
          </w:p>
        </w:tc>
        <w:tc>
          <w:tcPr>
            <w:tcW w:w="3913" w:type="pct"/>
            <w:vAlign w:val="center"/>
          </w:tcPr>
          <w:p w14:paraId="7A72A521" w14:textId="601C8953" w:rsidR="00A60160" w:rsidRPr="00A60160" w:rsidRDefault="00A60160"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A60160">
              <w:rPr>
                <w:rFonts w:asciiTheme="majorHAnsi" w:hAnsiTheme="majorHAnsi"/>
                <w:sz w:val="20"/>
              </w:rPr>
              <w:t>Aboriginal Victoria / Aboriginal Affairs Victoria (former name for Aboriginal Victoria)</w:t>
            </w:r>
          </w:p>
        </w:tc>
      </w:tr>
      <w:tr w:rsidR="00A60160" w:rsidRPr="00A60160" w14:paraId="348CF67E"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45A214CD" w14:textId="41CD2BEA" w:rsidR="00A60160" w:rsidRPr="00A60160" w:rsidRDefault="00A60160" w:rsidP="00A60160">
            <w:pPr>
              <w:pStyle w:val="TableTextSmall"/>
              <w:spacing w:after="0"/>
              <w:rPr>
                <w:rFonts w:asciiTheme="majorHAnsi" w:hAnsiTheme="majorHAnsi"/>
                <w:b w:val="0"/>
                <w:sz w:val="20"/>
              </w:rPr>
            </w:pPr>
            <w:r w:rsidRPr="00A60160">
              <w:rPr>
                <w:rFonts w:asciiTheme="majorHAnsi" w:hAnsiTheme="majorHAnsi"/>
                <w:b w:val="0"/>
                <w:sz w:val="20"/>
              </w:rPr>
              <w:t>CHMP</w:t>
            </w:r>
          </w:p>
        </w:tc>
        <w:tc>
          <w:tcPr>
            <w:tcW w:w="3913" w:type="pct"/>
            <w:vAlign w:val="center"/>
          </w:tcPr>
          <w:p w14:paraId="7604E332" w14:textId="771A8606" w:rsidR="00A60160" w:rsidRPr="00A60160" w:rsidRDefault="00A60160"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A60160">
              <w:rPr>
                <w:rFonts w:asciiTheme="majorHAnsi" w:hAnsiTheme="majorHAnsi"/>
                <w:sz w:val="20"/>
              </w:rPr>
              <w:t>Cultural Heritage Management Plan</w:t>
            </w:r>
          </w:p>
        </w:tc>
      </w:tr>
      <w:tr w:rsidR="00AC3FD6" w:rsidRPr="00A60160" w14:paraId="107FD9DE"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377A514" w14:textId="13D5C961" w:rsidR="00AC3FD6" w:rsidRPr="00AC3FD6" w:rsidRDefault="00AC3FD6" w:rsidP="00A60160">
            <w:pPr>
              <w:pStyle w:val="TableTextSmall"/>
              <w:spacing w:after="0"/>
              <w:rPr>
                <w:rFonts w:asciiTheme="majorHAnsi" w:hAnsiTheme="majorHAnsi"/>
                <w:b w:val="0"/>
                <w:sz w:val="20"/>
              </w:rPr>
            </w:pPr>
            <w:r w:rsidRPr="00AC3FD6">
              <w:rPr>
                <w:rFonts w:asciiTheme="majorHAnsi" w:hAnsiTheme="majorHAnsi"/>
                <w:b w:val="0"/>
                <w:sz w:val="20"/>
              </w:rPr>
              <w:t>CHA</w:t>
            </w:r>
          </w:p>
        </w:tc>
        <w:tc>
          <w:tcPr>
            <w:tcW w:w="3913" w:type="pct"/>
            <w:vAlign w:val="center"/>
          </w:tcPr>
          <w:p w14:paraId="4004BAD2" w14:textId="2F6FDA1F" w:rsidR="00AC3FD6" w:rsidRPr="00A60160" w:rsidRDefault="00AC3FD6"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Cultural Heritage Agreement</w:t>
            </w:r>
          </w:p>
        </w:tc>
      </w:tr>
      <w:tr w:rsidR="00A60160" w:rsidRPr="00A60160" w14:paraId="2F1EFD43"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1ED90708" w14:textId="4F948219" w:rsidR="00A60160" w:rsidRPr="00A60160" w:rsidRDefault="00A60160" w:rsidP="00A60160">
            <w:pPr>
              <w:pStyle w:val="TableTextSmall"/>
              <w:spacing w:after="0"/>
              <w:rPr>
                <w:rFonts w:asciiTheme="majorHAnsi" w:hAnsiTheme="majorHAnsi"/>
                <w:b w:val="0"/>
                <w:sz w:val="20"/>
              </w:rPr>
            </w:pPr>
            <w:r w:rsidRPr="00A60160">
              <w:rPr>
                <w:rFonts w:asciiTheme="majorHAnsi" w:hAnsiTheme="majorHAnsi"/>
                <w:b w:val="0"/>
                <w:sz w:val="20"/>
              </w:rPr>
              <w:t>CHP</w:t>
            </w:r>
          </w:p>
        </w:tc>
        <w:tc>
          <w:tcPr>
            <w:tcW w:w="3913" w:type="pct"/>
            <w:vAlign w:val="center"/>
          </w:tcPr>
          <w:p w14:paraId="06EF8DC9" w14:textId="322C8EC2" w:rsidR="00A60160" w:rsidRPr="00A60160" w:rsidRDefault="00A60160" w:rsidP="00BA0781">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A60160">
              <w:rPr>
                <w:rFonts w:asciiTheme="majorHAnsi" w:hAnsiTheme="majorHAnsi"/>
                <w:sz w:val="20"/>
              </w:rPr>
              <w:t xml:space="preserve">Cultural Heritage </w:t>
            </w:r>
            <w:r w:rsidR="00BA0781">
              <w:rPr>
                <w:rFonts w:asciiTheme="majorHAnsi" w:hAnsiTheme="majorHAnsi"/>
                <w:sz w:val="20"/>
              </w:rPr>
              <w:t>Permit</w:t>
            </w:r>
          </w:p>
        </w:tc>
      </w:tr>
      <w:tr w:rsidR="00AC3FD6" w:rsidRPr="00A60160" w14:paraId="7D48CBE0"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FF2BC02" w14:textId="14EE0B44" w:rsidR="00AC3FD6" w:rsidRPr="00AC3FD6" w:rsidRDefault="00AC3FD6" w:rsidP="00A60160">
            <w:pPr>
              <w:pStyle w:val="TableTextSmall"/>
              <w:spacing w:after="0"/>
              <w:rPr>
                <w:rFonts w:asciiTheme="majorHAnsi" w:hAnsiTheme="majorHAnsi"/>
                <w:b w:val="0"/>
                <w:sz w:val="20"/>
              </w:rPr>
            </w:pPr>
            <w:r>
              <w:rPr>
                <w:rFonts w:asciiTheme="majorHAnsi" w:hAnsiTheme="majorHAnsi"/>
                <w:b w:val="0"/>
                <w:sz w:val="20"/>
              </w:rPr>
              <w:t>the Department</w:t>
            </w:r>
          </w:p>
        </w:tc>
        <w:tc>
          <w:tcPr>
            <w:tcW w:w="3913" w:type="pct"/>
            <w:vAlign w:val="center"/>
          </w:tcPr>
          <w:p w14:paraId="0E235A38" w14:textId="573BC561" w:rsidR="00AC3FD6" w:rsidRPr="00A60160" w:rsidRDefault="00AC3FD6"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Department of Premier and Cabinet</w:t>
            </w:r>
          </w:p>
        </w:tc>
      </w:tr>
      <w:tr w:rsidR="009719FC" w:rsidRPr="00A60160" w14:paraId="6AEC1BA6"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47BF5D1A" w14:textId="7EED9BF2" w:rsidR="009719FC" w:rsidRPr="00C35804" w:rsidRDefault="009719FC" w:rsidP="00A60160">
            <w:pPr>
              <w:pStyle w:val="TableTextSmall"/>
              <w:spacing w:after="0"/>
              <w:rPr>
                <w:rFonts w:asciiTheme="majorHAnsi" w:hAnsiTheme="majorHAnsi"/>
                <w:b w:val="0"/>
                <w:sz w:val="20"/>
              </w:rPr>
            </w:pPr>
            <w:r w:rsidRPr="009719FC">
              <w:rPr>
                <w:rFonts w:asciiTheme="majorHAnsi" w:hAnsiTheme="majorHAnsi"/>
                <w:sz w:val="20"/>
              </w:rPr>
              <w:t>LGA</w:t>
            </w:r>
          </w:p>
        </w:tc>
        <w:tc>
          <w:tcPr>
            <w:tcW w:w="3913" w:type="pct"/>
            <w:vAlign w:val="center"/>
          </w:tcPr>
          <w:p w14:paraId="13637E2C" w14:textId="7C84A1A6" w:rsidR="009719FC" w:rsidRPr="009719FC" w:rsidRDefault="009719FC"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9719FC">
              <w:rPr>
                <w:rFonts w:asciiTheme="majorHAnsi" w:hAnsiTheme="majorHAnsi"/>
                <w:sz w:val="20"/>
              </w:rPr>
              <w:t>Local government area</w:t>
            </w:r>
          </w:p>
        </w:tc>
      </w:tr>
      <w:tr w:rsidR="00AC3FD6" w:rsidRPr="00A60160" w14:paraId="439CA649"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710F4A49" w14:textId="571D6365" w:rsidR="00AC3FD6" w:rsidRPr="00AC3FD6" w:rsidRDefault="00AC3FD6" w:rsidP="00A60160">
            <w:pPr>
              <w:pStyle w:val="TableTextSmall"/>
              <w:spacing w:after="0"/>
              <w:rPr>
                <w:rFonts w:asciiTheme="majorHAnsi" w:hAnsiTheme="majorHAnsi"/>
                <w:b w:val="0"/>
                <w:sz w:val="20"/>
              </w:rPr>
            </w:pPr>
            <w:r>
              <w:rPr>
                <w:rFonts w:asciiTheme="majorHAnsi" w:hAnsiTheme="majorHAnsi"/>
                <w:b w:val="0"/>
                <w:sz w:val="20"/>
              </w:rPr>
              <w:t xml:space="preserve">the </w:t>
            </w:r>
            <w:r w:rsidRPr="00AC3FD6">
              <w:rPr>
                <w:rFonts w:asciiTheme="majorHAnsi" w:hAnsiTheme="majorHAnsi"/>
                <w:b w:val="0"/>
                <w:sz w:val="20"/>
              </w:rPr>
              <w:t>Minister</w:t>
            </w:r>
          </w:p>
        </w:tc>
        <w:tc>
          <w:tcPr>
            <w:tcW w:w="3913" w:type="pct"/>
            <w:vAlign w:val="center"/>
          </w:tcPr>
          <w:p w14:paraId="72A1C8AE" w14:textId="726D6A69" w:rsidR="00AC3FD6" w:rsidRPr="00A60160" w:rsidRDefault="00AC3FD6" w:rsidP="00BA0781">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Minister </w:t>
            </w:r>
            <w:r w:rsidR="00BA0781">
              <w:rPr>
                <w:rFonts w:asciiTheme="majorHAnsi" w:hAnsiTheme="majorHAnsi"/>
                <w:sz w:val="20"/>
              </w:rPr>
              <w:t xml:space="preserve">for </w:t>
            </w:r>
            <w:r>
              <w:rPr>
                <w:rFonts w:asciiTheme="majorHAnsi" w:hAnsiTheme="majorHAnsi"/>
                <w:sz w:val="20"/>
              </w:rPr>
              <w:t>Aboriginal Affairs</w:t>
            </w:r>
          </w:p>
        </w:tc>
      </w:tr>
      <w:tr w:rsidR="00A60160" w:rsidRPr="00A60160" w14:paraId="13EFA4A1"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6B2442F9" w14:textId="070D5A5F" w:rsidR="00A60160" w:rsidRPr="00A60160" w:rsidRDefault="00A60160" w:rsidP="00A60160">
            <w:pPr>
              <w:pStyle w:val="TableTextSmall"/>
              <w:spacing w:after="0"/>
              <w:rPr>
                <w:rFonts w:asciiTheme="majorHAnsi" w:hAnsiTheme="majorHAnsi"/>
                <w:b w:val="0"/>
                <w:sz w:val="20"/>
              </w:rPr>
            </w:pPr>
            <w:r w:rsidRPr="00A60160">
              <w:rPr>
                <w:rFonts w:asciiTheme="majorHAnsi" w:hAnsiTheme="majorHAnsi"/>
                <w:b w:val="0"/>
                <w:sz w:val="20"/>
              </w:rPr>
              <w:t>PAHT</w:t>
            </w:r>
          </w:p>
        </w:tc>
        <w:tc>
          <w:tcPr>
            <w:tcW w:w="3913" w:type="pct"/>
            <w:vAlign w:val="center"/>
          </w:tcPr>
          <w:p w14:paraId="692A3993" w14:textId="003BFAF2" w:rsidR="00A60160" w:rsidRPr="00A60160" w:rsidRDefault="00A60160" w:rsidP="00AC3FD6">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A60160">
              <w:rPr>
                <w:rFonts w:asciiTheme="majorHAnsi" w:hAnsiTheme="majorHAnsi"/>
                <w:sz w:val="20"/>
              </w:rPr>
              <w:t xml:space="preserve">Preliminary Aboriginal Heritage </w:t>
            </w:r>
            <w:r w:rsidR="00AC3FD6">
              <w:rPr>
                <w:rFonts w:asciiTheme="majorHAnsi" w:hAnsiTheme="majorHAnsi"/>
                <w:sz w:val="20"/>
              </w:rPr>
              <w:t>Test</w:t>
            </w:r>
          </w:p>
        </w:tc>
      </w:tr>
      <w:tr w:rsidR="00A60160" w:rsidRPr="00A60160" w14:paraId="1D91C1D2"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6B8B815D" w14:textId="7F93EADF" w:rsidR="00A60160" w:rsidRPr="00A60160" w:rsidRDefault="00A60160" w:rsidP="00A60160">
            <w:pPr>
              <w:pStyle w:val="TableTextSmall"/>
              <w:spacing w:after="0"/>
              <w:rPr>
                <w:rFonts w:asciiTheme="majorHAnsi" w:hAnsiTheme="majorHAnsi"/>
                <w:b w:val="0"/>
                <w:sz w:val="20"/>
              </w:rPr>
            </w:pPr>
            <w:r w:rsidRPr="00A60160">
              <w:rPr>
                <w:rFonts w:asciiTheme="majorHAnsi" w:hAnsiTheme="majorHAnsi"/>
                <w:b w:val="0"/>
                <w:sz w:val="20"/>
              </w:rPr>
              <w:t>RAP</w:t>
            </w:r>
          </w:p>
        </w:tc>
        <w:tc>
          <w:tcPr>
            <w:tcW w:w="3913" w:type="pct"/>
            <w:vAlign w:val="center"/>
          </w:tcPr>
          <w:p w14:paraId="61EEB48F" w14:textId="68A65DED" w:rsidR="00A60160" w:rsidRPr="00A60160" w:rsidRDefault="00A60160"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A60160">
              <w:rPr>
                <w:rFonts w:asciiTheme="majorHAnsi" w:hAnsiTheme="majorHAnsi"/>
                <w:sz w:val="20"/>
              </w:rPr>
              <w:t>Registered Aboriginal Party</w:t>
            </w:r>
          </w:p>
        </w:tc>
      </w:tr>
      <w:tr w:rsidR="00A60160" w:rsidRPr="00A60160" w14:paraId="115D823D"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7BC55008" w14:textId="18F9F34C" w:rsidR="00A60160" w:rsidRPr="00A60160" w:rsidRDefault="00A60160" w:rsidP="00A60160">
            <w:pPr>
              <w:pStyle w:val="TableTextSmall"/>
              <w:spacing w:after="0"/>
              <w:rPr>
                <w:rFonts w:asciiTheme="majorHAnsi" w:hAnsiTheme="majorHAnsi"/>
                <w:b w:val="0"/>
                <w:sz w:val="20"/>
              </w:rPr>
            </w:pPr>
            <w:r>
              <w:rPr>
                <w:rFonts w:asciiTheme="majorHAnsi" w:hAnsiTheme="majorHAnsi"/>
                <w:b w:val="0"/>
                <w:sz w:val="20"/>
              </w:rPr>
              <w:t>RIS</w:t>
            </w:r>
          </w:p>
        </w:tc>
        <w:tc>
          <w:tcPr>
            <w:tcW w:w="3913" w:type="pct"/>
            <w:vAlign w:val="center"/>
          </w:tcPr>
          <w:p w14:paraId="5B9C2C54" w14:textId="47F76C06" w:rsidR="00A60160" w:rsidRPr="00A60160" w:rsidRDefault="00A60160"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Regulatory Impact Statement</w:t>
            </w:r>
          </w:p>
        </w:tc>
      </w:tr>
      <w:tr w:rsidR="00BA0781" w:rsidRPr="00A60160" w14:paraId="7A7A3B41"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3CCDF3F" w14:textId="3E40215A" w:rsidR="00BA0781" w:rsidRPr="00D63DFB" w:rsidRDefault="00BA0781" w:rsidP="00A60160">
            <w:pPr>
              <w:pStyle w:val="TableTextSmall"/>
              <w:spacing w:after="0"/>
              <w:rPr>
                <w:rFonts w:asciiTheme="majorHAnsi" w:hAnsiTheme="majorHAnsi"/>
                <w:b w:val="0"/>
                <w:sz w:val="20"/>
              </w:rPr>
            </w:pPr>
            <w:r w:rsidRPr="00D63DFB">
              <w:rPr>
                <w:rFonts w:asciiTheme="majorHAnsi" w:hAnsiTheme="majorHAnsi"/>
                <w:b w:val="0"/>
                <w:sz w:val="20"/>
              </w:rPr>
              <w:t>Sponsor</w:t>
            </w:r>
          </w:p>
        </w:tc>
        <w:tc>
          <w:tcPr>
            <w:tcW w:w="3913" w:type="pct"/>
            <w:vAlign w:val="center"/>
          </w:tcPr>
          <w:p w14:paraId="059D3155" w14:textId="70652EC1" w:rsidR="00BA0781" w:rsidRDefault="00277417"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In relation to a CHMP, the person seeking the preparation of the CHMP</w:t>
            </w:r>
          </w:p>
        </w:tc>
      </w:tr>
      <w:tr w:rsidR="00AC3FD6" w:rsidRPr="00A60160" w14:paraId="1F8B7325"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439185CB" w14:textId="2EBEB0A5" w:rsidR="00AC3FD6" w:rsidRPr="00AC3FD6" w:rsidRDefault="00AC3FD6" w:rsidP="00A60160">
            <w:pPr>
              <w:pStyle w:val="TableTextSmall"/>
              <w:spacing w:after="0"/>
              <w:rPr>
                <w:rFonts w:asciiTheme="majorHAnsi" w:hAnsiTheme="majorHAnsi"/>
                <w:b w:val="0"/>
                <w:sz w:val="20"/>
              </w:rPr>
            </w:pPr>
            <w:r>
              <w:rPr>
                <w:rFonts w:asciiTheme="majorHAnsi" w:hAnsiTheme="majorHAnsi"/>
                <w:b w:val="0"/>
                <w:sz w:val="20"/>
              </w:rPr>
              <w:t xml:space="preserve">the </w:t>
            </w:r>
            <w:r w:rsidRPr="00AC3FD6">
              <w:rPr>
                <w:rFonts w:asciiTheme="majorHAnsi" w:hAnsiTheme="majorHAnsi"/>
                <w:b w:val="0"/>
                <w:sz w:val="20"/>
              </w:rPr>
              <w:t>Secretary</w:t>
            </w:r>
          </w:p>
        </w:tc>
        <w:tc>
          <w:tcPr>
            <w:tcW w:w="3913" w:type="pct"/>
            <w:vAlign w:val="center"/>
          </w:tcPr>
          <w:p w14:paraId="40C6A3EC" w14:textId="306520A0" w:rsidR="00AC3FD6" w:rsidRDefault="00AC3FD6"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Secretary to the Department of Premier and Cabinet</w:t>
            </w:r>
          </w:p>
        </w:tc>
      </w:tr>
      <w:tr w:rsidR="00A60160" w:rsidRPr="00A60160" w14:paraId="7FB3EC95"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4B5A0AF8" w14:textId="0A57FB4D" w:rsidR="00A60160" w:rsidRPr="00A60160" w:rsidRDefault="00A60160" w:rsidP="00A60160">
            <w:pPr>
              <w:pStyle w:val="TableTextSmall"/>
              <w:spacing w:after="0"/>
              <w:rPr>
                <w:rFonts w:asciiTheme="majorHAnsi" w:hAnsiTheme="majorHAnsi"/>
                <w:b w:val="0"/>
                <w:sz w:val="20"/>
              </w:rPr>
            </w:pPr>
            <w:r>
              <w:rPr>
                <w:rFonts w:asciiTheme="majorHAnsi" w:hAnsiTheme="majorHAnsi"/>
                <w:b w:val="0"/>
                <w:sz w:val="20"/>
              </w:rPr>
              <w:t>the Act</w:t>
            </w:r>
          </w:p>
        </w:tc>
        <w:tc>
          <w:tcPr>
            <w:tcW w:w="3913" w:type="pct"/>
            <w:vAlign w:val="center"/>
          </w:tcPr>
          <w:p w14:paraId="58639765" w14:textId="37FD3E03" w:rsidR="00A60160" w:rsidRPr="00A60160" w:rsidRDefault="00A60160"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i/>
                <w:sz w:val="20"/>
              </w:rPr>
            </w:pPr>
            <w:r w:rsidRPr="00A60160">
              <w:rPr>
                <w:rFonts w:asciiTheme="majorHAnsi" w:hAnsiTheme="majorHAnsi"/>
                <w:i/>
                <w:sz w:val="20"/>
              </w:rPr>
              <w:t>Aboriginal Heritage Act 2006</w:t>
            </w:r>
          </w:p>
        </w:tc>
      </w:tr>
      <w:tr w:rsidR="00A60160" w:rsidRPr="00A60160" w14:paraId="78F19A1A"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348809BD" w14:textId="7404F628" w:rsidR="00A60160" w:rsidRPr="00A60160" w:rsidRDefault="00A60160" w:rsidP="00A60160">
            <w:pPr>
              <w:pStyle w:val="TableTextSmall"/>
              <w:spacing w:after="0"/>
              <w:rPr>
                <w:rFonts w:asciiTheme="majorHAnsi" w:hAnsiTheme="majorHAnsi"/>
                <w:b w:val="0"/>
                <w:sz w:val="20"/>
              </w:rPr>
            </w:pPr>
            <w:r>
              <w:rPr>
                <w:rFonts w:asciiTheme="majorHAnsi" w:hAnsiTheme="majorHAnsi"/>
                <w:b w:val="0"/>
                <w:sz w:val="20"/>
              </w:rPr>
              <w:t>the Regulations</w:t>
            </w:r>
          </w:p>
        </w:tc>
        <w:tc>
          <w:tcPr>
            <w:tcW w:w="3913" w:type="pct"/>
            <w:vAlign w:val="center"/>
          </w:tcPr>
          <w:p w14:paraId="61EA6A01" w14:textId="14D4FE10" w:rsidR="00A60160" w:rsidRPr="00C80FAD" w:rsidRDefault="00A60160"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C80FAD">
              <w:rPr>
                <w:rFonts w:asciiTheme="majorHAnsi" w:hAnsiTheme="majorHAnsi"/>
                <w:sz w:val="20"/>
              </w:rPr>
              <w:t>Aboriginal Heritage Regulations 2007</w:t>
            </w:r>
          </w:p>
        </w:tc>
      </w:tr>
      <w:tr w:rsidR="00A60160" w:rsidRPr="00A60160" w14:paraId="7521E10C" w14:textId="77777777" w:rsidTr="00A6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0BE264CB" w14:textId="4A2359F8" w:rsidR="00A60160" w:rsidRPr="00A60160" w:rsidRDefault="00A60160" w:rsidP="00A60160">
            <w:pPr>
              <w:pStyle w:val="TableTextSmall"/>
              <w:spacing w:after="0"/>
              <w:rPr>
                <w:rFonts w:asciiTheme="majorHAnsi" w:hAnsiTheme="majorHAnsi"/>
                <w:b w:val="0"/>
                <w:sz w:val="20"/>
              </w:rPr>
            </w:pPr>
            <w:r>
              <w:rPr>
                <w:rFonts w:asciiTheme="majorHAnsi" w:hAnsiTheme="majorHAnsi"/>
                <w:b w:val="0"/>
                <w:sz w:val="20"/>
              </w:rPr>
              <w:t>VAHC</w:t>
            </w:r>
          </w:p>
        </w:tc>
        <w:tc>
          <w:tcPr>
            <w:tcW w:w="3913" w:type="pct"/>
            <w:vAlign w:val="center"/>
          </w:tcPr>
          <w:p w14:paraId="07417493" w14:textId="0323A9A7" w:rsidR="00A60160" w:rsidRPr="00A60160" w:rsidRDefault="00A60160" w:rsidP="00A60160">
            <w:pPr>
              <w:pStyle w:val="TableTextSmall"/>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Victorian Aboriginal Heritage Council </w:t>
            </w:r>
          </w:p>
        </w:tc>
      </w:tr>
      <w:tr w:rsidR="00AC3FD6" w:rsidRPr="00A60160" w14:paraId="63B30870" w14:textId="77777777" w:rsidTr="00A60160">
        <w:tc>
          <w:tcPr>
            <w:cnfStyle w:val="001000000000" w:firstRow="0" w:lastRow="0" w:firstColumn="1" w:lastColumn="0" w:oddVBand="0" w:evenVBand="0" w:oddHBand="0" w:evenHBand="0" w:firstRowFirstColumn="0" w:firstRowLastColumn="0" w:lastRowFirstColumn="0" w:lastRowLastColumn="0"/>
            <w:tcW w:w="1087" w:type="pct"/>
            <w:vAlign w:val="center"/>
          </w:tcPr>
          <w:p w14:paraId="7E21644D" w14:textId="6657A5B9" w:rsidR="00AC3FD6" w:rsidRPr="00C80FAD" w:rsidRDefault="00AC3FD6" w:rsidP="00A60160">
            <w:pPr>
              <w:pStyle w:val="TableTextSmall"/>
              <w:spacing w:after="0"/>
              <w:rPr>
                <w:rFonts w:asciiTheme="majorHAnsi" w:hAnsiTheme="majorHAnsi"/>
                <w:b w:val="0"/>
                <w:sz w:val="20"/>
              </w:rPr>
            </w:pPr>
            <w:r>
              <w:rPr>
                <w:rFonts w:asciiTheme="majorHAnsi" w:hAnsiTheme="majorHAnsi"/>
                <w:b w:val="0"/>
                <w:sz w:val="20"/>
              </w:rPr>
              <w:t>VAHR</w:t>
            </w:r>
          </w:p>
        </w:tc>
        <w:tc>
          <w:tcPr>
            <w:tcW w:w="3913" w:type="pct"/>
            <w:vAlign w:val="center"/>
          </w:tcPr>
          <w:p w14:paraId="6211E60A" w14:textId="4B7D9FC5" w:rsidR="00AC3FD6" w:rsidRDefault="00AC3FD6" w:rsidP="00A60160">
            <w:pPr>
              <w:pStyle w:val="TableTextSmall"/>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Victorian Aboriginal Heritage Register</w:t>
            </w:r>
          </w:p>
        </w:tc>
      </w:tr>
    </w:tbl>
    <w:p w14:paraId="7EF15986" w14:textId="77777777" w:rsidR="00A60160" w:rsidRPr="00A60160" w:rsidRDefault="00A60160" w:rsidP="00A60160">
      <w:pPr>
        <w:pStyle w:val="PwCNormal"/>
      </w:pPr>
    </w:p>
    <w:p w14:paraId="31E04437" w14:textId="77777777" w:rsidR="00C270FB" w:rsidRDefault="00C270FB" w:rsidP="00C270FB">
      <w:pPr>
        <w:pStyle w:val="PrefaceTitle"/>
      </w:pPr>
      <w:bookmarkStart w:id="18" w:name="_Toc507761446"/>
      <w:r>
        <w:lastRenderedPageBreak/>
        <w:t>Executive summary</w:t>
      </w:r>
      <w:bookmarkEnd w:id="3"/>
      <w:bookmarkEnd w:id="4"/>
      <w:bookmarkEnd w:id="5"/>
      <w:bookmarkEnd w:id="6"/>
      <w:bookmarkEnd w:id="7"/>
      <w:bookmarkEnd w:id="8"/>
      <w:bookmarkEnd w:id="9"/>
      <w:bookmarkEnd w:id="10"/>
      <w:bookmarkEnd w:id="11"/>
      <w:bookmarkEnd w:id="12"/>
      <w:bookmarkEnd w:id="13"/>
      <w:bookmarkEnd w:id="14"/>
      <w:bookmarkEnd w:id="15"/>
      <w:bookmarkEnd w:id="18"/>
    </w:p>
    <w:p w14:paraId="6DF70D8E" w14:textId="79508327" w:rsidR="009E2793" w:rsidRDefault="00A35429" w:rsidP="00A35429">
      <w:pPr>
        <w:pStyle w:val="PwCNormal"/>
      </w:pPr>
      <w:r w:rsidRPr="00A35429">
        <w:t xml:space="preserve">The current </w:t>
      </w:r>
      <w:r w:rsidR="009719FC" w:rsidRPr="00C80FAD">
        <w:rPr>
          <w:rFonts w:asciiTheme="majorHAnsi" w:hAnsiTheme="majorHAnsi"/>
        </w:rPr>
        <w:t>Aboriginal Heritage Regulations 2007</w:t>
      </w:r>
      <w:r w:rsidR="009719FC">
        <w:rPr>
          <w:rFonts w:asciiTheme="majorHAnsi" w:hAnsiTheme="majorHAnsi"/>
        </w:rPr>
        <w:t xml:space="preserve"> </w:t>
      </w:r>
      <w:r w:rsidR="009719FC" w:rsidRPr="009E2793">
        <w:t>(“the Regulations”)</w:t>
      </w:r>
      <w:r w:rsidRPr="00A35429">
        <w:t xml:space="preserve"> </w:t>
      </w:r>
      <w:r w:rsidR="009719FC">
        <w:t>were due to</w:t>
      </w:r>
      <w:r w:rsidR="009719FC" w:rsidRPr="00A35429">
        <w:t xml:space="preserve"> </w:t>
      </w:r>
      <w:r w:rsidRPr="00A35429">
        <w:t>sunset on 25 May 2017</w:t>
      </w:r>
      <w:r w:rsidR="009719FC">
        <w:t>.</w:t>
      </w:r>
      <w:r w:rsidRPr="00A35429">
        <w:t xml:space="preserve"> </w:t>
      </w:r>
      <w:r w:rsidR="009719FC">
        <w:t>T</w:t>
      </w:r>
      <w:r w:rsidRPr="00A35429">
        <w:t>heir operation was extended for 12</w:t>
      </w:r>
      <w:r w:rsidR="00074964">
        <w:t> </w:t>
      </w:r>
      <w:r w:rsidRPr="00A35429">
        <w:t>months</w:t>
      </w:r>
      <w:r w:rsidR="00074964">
        <w:t>, with the Regulations now due to</w:t>
      </w:r>
      <w:r w:rsidRPr="00A35429">
        <w:t xml:space="preserve"> </w:t>
      </w:r>
      <w:r>
        <w:t xml:space="preserve">expire in May 2018. </w:t>
      </w:r>
      <w:r w:rsidR="00074964">
        <w:t xml:space="preserve">Under the </w:t>
      </w:r>
      <w:r w:rsidR="00074964" w:rsidRPr="00281081">
        <w:rPr>
          <w:i/>
        </w:rPr>
        <w:t>Subordinate Legislation Act 1994</w:t>
      </w:r>
      <w:r w:rsidR="00074964">
        <w:rPr>
          <w:i/>
        </w:rPr>
        <w:t xml:space="preserve">, </w:t>
      </w:r>
      <w:r w:rsidR="00074964">
        <w:t>a</w:t>
      </w:r>
      <w:r>
        <w:t xml:space="preserve"> </w:t>
      </w:r>
      <w:r w:rsidR="009E2793" w:rsidRPr="009E2793">
        <w:t>Regulatory Impact Statement (RIS)</w:t>
      </w:r>
      <w:r>
        <w:t xml:space="preserve"> is required to assess the costs and benefits of the Regulations and options to replace them. This RIS</w:t>
      </w:r>
      <w:r w:rsidR="009E2793" w:rsidRPr="009E2793">
        <w:t xml:space="preserve"> proposes the re-making of the Regulations  with some amendments</w:t>
      </w:r>
      <w:r w:rsidR="009E2793">
        <w:t xml:space="preserve"> to the triggers and guidelines for C</w:t>
      </w:r>
      <w:r w:rsidR="00D45215">
        <w:t xml:space="preserve">ultural </w:t>
      </w:r>
      <w:r w:rsidR="009E2793">
        <w:t>H</w:t>
      </w:r>
      <w:r w:rsidR="00D45215">
        <w:t xml:space="preserve">eritage </w:t>
      </w:r>
      <w:r w:rsidR="009E2793">
        <w:t>M</w:t>
      </w:r>
      <w:r w:rsidR="00D45215">
        <w:t xml:space="preserve">anagement </w:t>
      </w:r>
      <w:r w:rsidR="009E2793">
        <w:t>P</w:t>
      </w:r>
      <w:r w:rsidR="00D45215">
        <w:t>lan</w:t>
      </w:r>
      <w:r w:rsidR="009E2793">
        <w:t>s</w:t>
      </w:r>
      <w:r w:rsidR="00D45215">
        <w:t xml:space="preserve"> (CHMPs)</w:t>
      </w:r>
      <w:r w:rsidR="009E2793" w:rsidRPr="009E2793">
        <w:t>.</w:t>
      </w:r>
      <w:r w:rsidR="009E2793" w:rsidRPr="009E2793" w:rsidDel="009E2793">
        <w:t xml:space="preserve"> </w:t>
      </w:r>
    </w:p>
    <w:p w14:paraId="68089A7A" w14:textId="58BCB3F2" w:rsidR="009E2793" w:rsidRDefault="009E2793" w:rsidP="00705BA8">
      <w:pPr>
        <w:pStyle w:val="Heading8"/>
      </w:pPr>
      <w:r>
        <w:t>Background</w:t>
      </w:r>
    </w:p>
    <w:p w14:paraId="7672CEDF" w14:textId="234E941F" w:rsidR="00810E62" w:rsidRPr="008426A6" w:rsidRDefault="00810E62" w:rsidP="00705BA8">
      <w:pPr>
        <w:pStyle w:val="Caption"/>
      </w:pPr>
      <w:r>
        <w:t xml:space="preserve">The </w:t>
      </w:r>
      <w:r w:rsidRPr="006B2FDC">
        <w:rPr>
          <w:i/>
        </w:rPr>
        <w:t>Aboriginal Heritage Act 2006</w:t>
      </w:r>
    </w:p>
    <w:p w14:paraId="08BC243E" w14:textId="038A58E2" w:rsidR="009B3C44" w:rsidRDefault="009E2793" w:rsidP="008D6E42">
      <w:pPr>
        <w:pStyle w:val="PwCNormal"/>
      </w:pPr>
      <w:r>
        <w:t xml:space="preserve">The Regulations </w:t>
      </w:r>
      <w:r w:rsidR="00A35429">
        <w:t>are enabled by</w:t>
      </w:r>
      <w:r>
        <w:t xml:space="preserve"> the </w:t>
      </w:r>
      <w:r w:rsidRPr="00705BA8">
        <w:rPr>
          <w:i/>
        </w:rPr>
        <w:t>Aboriginal Heritage Act 2006</w:t>
      </w:r>
      <w:r>
        <w:t xml:space="preserve"> (</w:t>
      </w:r>
      <w:r w:rsidR="00810E62">
        <w:t>“</w:t>
      </w:r>
      <w:r>
        <w:t>the Act</w:t>
      </w:r>
      <w:r w:rsidR="00810E62">
        <w:t>”</w:t>
      </w:r>
      <w:r>
        <w:t xml:space="preserve">), which is Victoria’s principal legislation for the protection of Aboriginal cultural heritage, and the management of Aboriginal cultural heritage during </w:t>
      </w:r>
      <w:r w:rsidR="00BA0781">
        <w:t xml:space="preserve">land use and </w:t>
      </w:r>
      <w:r>
        <w:t xml:space="preserve">development activities. </w:t>
      </w:r>
      <w:r w:rsidRPr="009E2793">
        <w:t xml:space="preserve">The Act legislates a central role for </w:t>
      </w:r>
      <w:r w:rsidR="00BA0781">
        <w:t>Traditional Owners</w:t>
      </w:r>
      <w:r w:rsidRPr="009E2793">
        <w:t xml:space="preserve"> in identifying, managing and protecting their cultural heritage. It does this by establishing registered Aboriginal parties (RAPs) – organisations with statutory decision-making responsibilities for protecting </w:t>
      </w:r>
      <w:r w:rsidR="00BA0781">
        <w:t xml:space="preserve">and managing </w:t>
      </w:r>
      <w:r w:rsidRPr="009E2793">
        <w:t xml:space="preserve">Aboriginal cultural heritage in their </w:t>
      </w:r>
      <w:r w:rsidR="00D45215">
        <w:t>appointed</w:t>
      </w:r>
      <w:r w:rsidR="00D45215" w:rsidRPr="009E2793">
        <w:t xml:space="preserve"> </w:t>
      </w:r>
      <w:r w:rsidRPr="009E2793">
        <w:t>geographical area.</w:t>
      </w:r>
      <w:r w:rsidRPr="009E2793" w:rsidDel="009E2793">
        <w:t xml:space="preserve"> </w:t>
      </w:r>
    </w:p>
    <w:p w14:paraId="53F45FDD" w14:textId="753A6477" w:rsidR="009E2793" w:rsidRDefault="009E2793" w:rsidP="008D6E42">
      <w:pPr>
        <w:pStyle w:val="PwCNormal"/>
      </w:pPr>
      <w:r>
        <w:t>The Act</w:t>
      </w:r>
      <w:r w:rsidR="00BA0781">
        <w:t xml:space="preserve"> establishes</w:t>
      </w:r>
      <w:r>
        <w:t xml:space="preserve"> </w:t>
      </w:r>
      <w:r w:rsidR="00496CE0">
        <w:t xml:space="preserve">a number of </w:t>
      </w:r>
      <w:r w:rsidR="007A6BD1">
        <w:t>key featu</w:t>
      </w:r>
      <w:r w:rsidR="00496CE0">
        <w:t xml:space="preserve">res relevant to the Regulations, as shown in </w:t>
      </w:r>
      <w:r w:rsidR="00496CE0">
        <w:fldChar w:fldCharType="begin"/>
      </w:r>
      <w:r w:rsidR="00496CE0">
        <w:instrText xml:space="preserve"> REF _Ref505334403 \h </w:instrText>
      </w:r>
      <w:r w:rsidR="00496CE0">
        <w:fldChar w:fldCharType="separate"/>
      </w:r>
      <w:r w:rsidR="000369A1">
        <w:t xml:space="preserve">Table </w:t>
      </w:r>
      <w:r w:rsidR="000369A1">
        <w:rPr>
          <w:noProof/>
        </w:rPr>
        <w:t>1</w:t>
      </w:r>
      <w:r w:rsidR="00496CE0">
        <w:fldChar w:fldCharType="end"/>
      </w:r>
      <w:r w:rsidR="00496CE0">
        <w:t>.</w:t>
      </w:r>
    </w:p>
    <w:p w14:paraId="423DF1B5" w14:textId="02A49AA5" w:rsidR="00496CE0" w:rsidRDefault="00496CE0" w:rsidP="00705BA8">
      <w:pPr>
        <w:pStyle w:val="Caption"/>
      </w:pPr>
      <w:bookmarkStart w:id="19" w:name="_Ref505334403"/>
      <w:r>
        <w:t xml:space="preserve">Table </w:t>
      </w:r>
      <w:r w:rsidR="00B47FE6">
        <w:fldChar w:fldCharType="begin"/>
      </w:r>
      <w:r w:rsidR="00B47FE6">
        <w:instrText xml:space="preserve"> SEQ Table \* ARABIC </w:instrText>
      </w:r>
      <w:r w:rsidR="00B47FE6">
        <w:fldChar w:fldCharType="separate"/>
      </w:r>
      <w:r w:rsidR="000369A1">
        <w:rPr>
          <w:noProof/>
        </w:rPr>
        <w:t>1</w:t>
      </w:r>
      <w:r w:rsidR="00B47FE6">
        <w:rPr>
          <w:noProof/>
        </w:rPr>
        <w:fldChar w:fldCharType="end"/>
      </w:r>
      <w:bookmarkEnd w:id="19"/>
      <w:r>
        <w:t>: Key regulatory mechanisms established in the Act</w:t>
      </w:r>
    </w:p>
    <w:tbl>
      <w:tblPr>
        <w:tblW w:w="8486" w:type="dxa"/>
        <w:tblInd w:w="108"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ayout w:type="fixed"/>
        <w:tblCellMar>
          <w:top w:w="57" w:type="dxa"/>
          <w:bottom w:w="57" w:type="dxa"/>
        </w:tblCellMar>
        <w:tblLook w:val="04A0" w:firstRow="1" w:lastRow="0" w:firstColumn="1" w:lastColumn="0" w:noHBand="0" w:noVBand="1"/>
      </w:tblPr>
      <w:tblGrid>
        <w:gridCol w:w="2694"/>
        <w:gridCol w:w="5792"/>
      </w:tblGrid>
      <w:tr w:rsidR="009B3C44" w:rsidRPr="009B3C44" w14:paraId="0BD4BDC3" w14:textId="77777777" w:rsidTr="00C35804">
        <w:trPr>
          <w:cantSplit/>
          <w:trHeight w:val="179"/>
          <w:tblHeader/>
        </w:trPr>
        <w:tc>
          <w:tcPr>
            <w:tcW w:w="2694" w:type="dxa"/>
            <w:shd w:val="clear" w:color="auto" w:fill="A32020" w:themeFill="text2"/>
            <w:noWrap/>
            <w:vAlign w:val="center"/>
            <w:hideMark/>
          </w:tcPr>
          <w:p w14:paraId="2C0BBDBF" w14:textId="0E498B49" w:rsidR="009B3C44" w:rsidRPr="00705BA8" w:rsidRDefault="009B3C44" w:rsidP="000E65C2">
            <w:pPr>
              <w:kinsoku/>
              <w:overflowPunct/>
              <w:autoSpaceDE/>
              <w:autoSpaceDN/>
              <w:adjustRightInd/>
              <w:snapToGrid/>
              <w:rPr>
                <w:rFonts w:asciiTheme="majorHAnsi" w:hAnsiTheme="majorHAnsi"/>
                <w:b/>
                <w:bCs/>
                <w:snapToGrid/>
                <w:color w:val="FFFFFF"/>
                <w:sz w:val="18"/>
                <w:szCs w:val="18"/>
                <w:lang w:eastAsia="en-AU"/>
              </w:rPr>
            </w:pPr>
            <w:r w:rsidRPr="008426A6">
              <w:rPr>
                <w:rFonts w:asciiTheme="majorHAnsi" w:hAnsiTheme="majorHAnsi"/>
                <w:b/>
                <w:bCs/>
                <w:snapToGrid/>
                <w:color w:val="FFFFFF"/>
                <w:sz w:val="18"/>
                <w:szCs w:val="18"/>
                <w:lang w:eastAsia="en-AU"/>
              </w:rPr>
              <w:t>K</w:t>
            </w:r>
            <w:r w:rsidRPr="00705BA8">
              <w:rPr>
                <w:rFonts w:asciiTheme="majorHAnsi" w:hAnsiTheme="majorHAnsi"/>
                <w:b/>
                <w:bCs/>
                <w:snapToGrid/>
                <w:color w:val="FFFFFF"/>
                <w:sz w:val="18"/>
                <w:szCs w:val="18"/>
                <w:lang w:eastAsia="en-AU"/>
              </w:rPr>
              <w:t>ey regulatory mechanisms</w:t>
            </w:r>
          </w:p>
        </w:tc>
        <w:tc>
          <w:tcPr>
            <w:tcW w:w="5792" w:type="dxa"/>
            <w:shd w:val="clear" w:color="auto" w:fill="A32020" w:themeFill="text2"/>
            <w:vAlign w:val="center"/>
            <w:hideMark/>
          </w:tcPr>
          <w:p w14:paraId="597B1796" w14:textId="5D90CC59" w:rsidR="009B3C44" w:rsidRPr="00705BA8" w:rsidRDefault="009B3C44" w:rsidP="00705BA8">
            <w:pPr>
              <w:kinsoku/>
              <w:overflowPunct/>
              <w:autoSpaceDE/>
              <w:autoSpaceDN/>
              <w:adjustRightInd/>
              <w:snapToGrid/>
              <w:rPr>
                <w:rFonts w:asciiTheme="majorHAnsi" w:hAnsiTheme="majorHAnsi"/>
                <w:b/>
                <w:bCs/>
                <w:snapToGrid/>
                <w:color w:val="FFFFFF"/>
                <w:sz w:val="18"/>
                <w:szCs w:val="18"/>
                <w:lang w:eastAsia="en-AU"/>
              </w:rPr>
            </w:pPr>
            <w:r w:rsidRPr="00705BA8">
              <w:rPr>
                <w:rFonts w:asciiTheme="majorHAnsi" w:hAnsiTheme="majorHAnsi"/>
                <w:b/>
                <w:bCs/>
                <w:snapToGrid/>
                <w:color w:val="FFFFFF"/>
                <w:sz w:val="18"/>
                <w:szCs w:val="18"/>
                <w:lang w:eastAsia="en-AU"/>
              </w:rPr>
              <w:t>Description</w:t>
            </w:r>
          </w:p>
        </w:tc>
      </w:tr>
      <w:tr w:rsidR="009B3C44" w:rsidRPr="009B3C44" w14:paraId="052D19A3" w14:textId="77777777" w:rsidTr="00C35804">
        <w:trPr>
          <w:cantSplit/>
          <w:trHeight w:val="179"/>
        </w:trPr>
        <w:tc>
          <w:tcPr>
            <w:tcW w:w="2694" w:type="dxa"/>
            <w:shd w:val="clear" w:color="auto" w:fill="7F7F7F" w:themeFill="text1" w:themeFillTint="80"/>
            <w:vAlign w:val="center"/>
          </w:tcPr>
          <w:p w14:paraId="7B80978F" w14:textId="1A9C6CDF" w:rsidR="009B3C44" w:rsidRPr="008426A6" w:rsidRDefault="009B3C44" w:rsidP="000E65C2">
            <w:pPr>
              <w:kinsoku/>
              <w:overflowPunct/>
              <w:autoSpaceDE/>
              <w:autoSpaceDN/>
              <w:adjustRightInd/>
              <w:snapToGrid/>
              <w:rPr>
                <w:rFonts w:asciiTheme="majorHAnsi" w:hAnsiTheme="majorHAnsi"/>
                <w:b/>
                <w:bCs/>
                <w:snapToGrid/>
                <w:color w:val="FFFFFF" w:themeColor="background1"/>
                <w:sz w:val="18"/>
                <w:szCs w:val="18"/>
                <w:lang w:eastAsia="en-AU"/>
              </w:rPr>
            </w:pPr>
            <w:r w:rsidRPr="00705BA8">
              <w:rPr>
                <w:b/>
                <w:color w:val="FFFFFF" w:themeColor="background1"/>
                <w:sz w:val="18"/>
                <w:szCs w:val="18"/>
              </w:rPr>
              <w:t>Victorian Aboriginal Heritage Council (VAHC)</w:t>
            </w:r>
          </w:p>
        </w:tc>
        <w:tc>
          <w:tcPr>
            <w:tcW w:w="5792" w:type="dxa"/>
            <w:shd w:val="clear" w:color="auto" w:fill="auto"/>
            <w:vAlign w:val="center"/>
          </w:tcPr>
          <w:p w14:paraId="0F435239" w14:textId="0F88BA54" w:rsidR="009B3C44" w:rsidRPr="008426A6" w:rsidRDefault="009B3C44" w:rsidP="00A804AA">
            <w:pPr>
              <w:kinsoku/>
              <w:overflowPunct/>
              <w:autoSpaceDE/>
              <w:autoSpaceDN/>
              <w:adjustRightInd/>
              <w:snapToGrid/>
              <w:rPr>
                <w:rFonts w:asciiTheme="majorHAnsi" w:hAnsiTheme="majorHAnsi"/>
                <w:snapToGrid/>
                <w:color w:val="000000"/>
                <w:sz w:val="18"/>
                <w:szCs w:val="18"/>
                <w:lang w:eastAsia="en-AU"/>
              </w:rPr>
            </w:pPr>
            <w:r>
              <w:rPr>
                <w:sz w:val="18"/>
                <w:szCs w:val="18"/>
              </w:rPr>
              <w:t>A</w:t>
            </w:r>
            <w:r w:rsidRPr="00705BA8">
              <w:rPr>
                <w:sz w:val="18"/>
                <w:szCs w:val="18"/>
              </w:rPr>
              <w:t xml:space="preserve"> council of </w:t>
            </w:r>
            <w:r w:rsidR="00BA0781">
              <w:rPr>
                <w:sz w:val="18"/>
                <w:szCs w:val="18"/>
              </w:rPr>
              <w:t xml:space="preserve">up to </w:t>
            </w:r>
            <w:r w:rsidRPr="00705BA8">
              <w:rPr>
                <w:sz w:val="18"/>
                <w:szCs w:val="18"/>
              </w:rPr>
              <w:t>11 Traditional Owners that appoints RAPs, advise</w:t>
            </w:r>
            <w:r w:rsidR="00A804AA">
              <w:rPr>
                <w:sz w:val="18"/>
                <w:szCs w:val="18"/>
              </w:rPr>
              <w:t>s</w:t>
            </w:r>
            <w:r w:rsidRPr="00705BA8">
              <w:rPr>
                <w:sz w:val="18"/>
                <w:szCs w:val="18"/>
              </w:rPr>
              <w:t xml:space="preserve"> the Minister for Aboriginal Affairs </w:t>
            </w:r>
            <w:r w:rsidR="00BA0781">
              <w:rPr>
                <w:sz w:val="18"/>
                <w:szCs w:val="18"/>
              </w:rPr>
              <w:t>in relation to the protection of Aboriginal cultural heritage</w:t>
            </w:r>
            <w:r w:rsidR="00A804AA">
              <w:rPr>
                <w:sz w:val="18"/>
                <w:szCs w:val="18"/>
              </w:rPr>
              <w:t>,</w:t>
            </w:r>
            <w:r w:rsidR="00BA0781">
              <w:rPr>
                <w:sz w:val="18"/>
                <w:szCs w:val="18"/>
              </w:rPr>
              <w:t xml:space="preserve"> and </w:t>
            </w:r>
            <w:r w:rsidR="00A804AA">
              <w:rPr>
                <w:sz w:val="18"/>
                <w:szCs w:val="18"/>
              </w:rPr>
              <w:t>is</w:t>
            </w:r>
            <w:r w:rsidR="00BA0781">
              <w:rPr>
                <w:sz w:val="18"/>
                <w:szCs w:val="18"/>
              </w:rPr>
              <w:t xml:space="preserve"> a central coordinating body responsible for overseeing and managing the Aboriginal Ancestral Remains system in Victoria.</w:t>
            </w:r>
          </w:p>
        </w:tc>
      </w:tr>
      <w:tr w:rsidR="009B3C44" w:rsidRPr="009B3C44" w14:paraId="4594FF1F" w14:textId="77777777" w:rsidTr="00C35804">
        <w:trPr>
          <w:cantSplit/>
          <w:trHeight w:val="268"/>
        </w:trPr>
        <w:tc>
          <w:tcPr>
            <w:tcW w:w="2694" w:type="dxa"/>
            <w:shd w:val="clear" w:color="auto" w:fill="7F7F7F" w:themeFill="text1" w:themeFillTint="80"/>
            <w:vAlign w:val="center"/>
          </w:tcPr>
          <w:p w14:paraId="2E3D4281" w14:textId="53A4C1CA" w:rsidR="009B3C44" w:rsidRPr="008426A6" w:rsidRDefault="009B3C44" w:rsidP="000E65C2">
            <w:pPr>
              <w:kinsoku/>
              <w:overflowPunct/>
              <w:autoSpaceDE/>
              <w:autoSpaceDN/>
              <w:adjustRightInd/>
              <w:snapToGrid/>
              <w:rPr>
                <w:rFonts w:asciiTheme="majorHAnsi" w:hAnsiTheme="majorHAnsi"/>
                <w:b/>
                <w:bCs/>
                <w:snapToGrid/>
                <w:color w:val="FFFFFF" w:themeColor="background1"/>
                <w:sz w:val="18"/>
                <w:szCs w:val="18"/>
                <w:lang w:eastAsia="en-AU"/>
              </w:rPr>
            </w:pPr>
            <w:r w:rsidRPr="00705BA8">
              <w:rPr>
                <w:b/>
                <w:color w:val="FFFFFF" w:themeColor="background1"/>
                <w:sz w:val="18"/>
                <w:szCs w:val="18"/>
              </w:rPr>
              <w:t>Registered Aboriginal Parties (RAPs)</w:t>
            </w:r>
          </w:p>
        </w:tc>
        <w:tc>
          <w:tcPr>
            <w:tcW w:w="5792" w:type="dxa"/>
            <w:shd w:val="clear" w:color="auto" w:fill="auto"/>
            <w:vAlign w:val="center"/>
          </w:tcPr>
          <w:p w14:paraId="7F2D22DB" w14:textId="164D74BF" w:rsidR="009B3C44" w:rsidRPr="008426A6" w:rsidRDefault="009B3C44" w:rsidP="00BA0781">
            <w:pPr>
              <w:kinsoku/>
              <w:overflowPunct/>
              <w:autoSpaceDE/>
              <w:autoSpaceDN/>
              <w:adjustRightInd/>
              <w:snapToGrid/>
              <w:rPr>
                <w:rFonts w:asciiTheme="majorHAnsi" w:hAnsiTheme="majorHAnsi"/>
                <w:snapToGrid/>
                <w:color w:val="000000"/>
                <w:sz w:val="18"/>
                <w:szCs w:val="18"/>
                <w:lang w:eastAsia="en-AU"/>
              </w:rPr>
            </w:pPr>
            <w:r>
              <w:rPr>
                <w:sz w:val="18"/>
                <w:szCs w:val="18"/>
              </w:rPr>
              <w:t>A</w:t>
            </w:r>
            <w:r w:rsidRPr="00705BA8">
              <w:rPr>
                <w:sz w:val="18"/>
                <w:szCs w:val="18"/>
              </w:rPr>
              <w:t xml:space="preserve">ppointed by the VAHC as cultural heritage decision makers for areas in Victoria, in particular to evaluate CHMPs </w:t>
            </w:r>
            <w:r w:rsidR="00BA0781">
              <w:rPr>
                <w:sz w:val="18"/>
                <w:szCs w:val="18"/>
              </w:rPr>
              <w:t xml:space="preserve">and determine </w:t>
            </w:r>
            <w:r w:rsidR="009719FC">
              <w:rPr>
                <w:sz w:val="18"/>
                <w:szCs w:val="18"/>
              </w:rPr>
              <w:t>Cultural Heritage Permits (</w:t>
            </w:r>
            <w:r w:rsidR="00BA0781">
              <w:rPr>
                <w:sz w:val="18"/>
                <w:szCs w:val="18"/>
              </w:rPr>
              <w:t>CHPs</w:t>
            </w:r>
            <w:r w:rsidR="009719FC">
              <w:rPr>
                <w:sz w:val="18"/>
                <w:szCs w:val="18"/>
              </w:rPr>
              <w:t>)</w:t>
            </w:r>
            <w:r w:rsidR="00BA0781">
              <w:rPr>
                <w:sz w:val="18"/>
                <w:szCs w:val="18"/>
              </w:rPr>
              <w:t xml:space="preserve"> </w:t>
            </w:r>
            <w:r w:rsidRPr="00705BA8">
              <w:rPr>
                <w:sz w:val="18"/>
                <w:szCs w:val="18"/>
              </w:rPr>
              <w:t xml:space="preserve">for their </w:t>
            </w:r>
            <w:r w:rsidR="00BA0781">
              <w:rPr>
                <w:sz w:val="18"/>
                <w:szCs w:val="18"/>
              </w:rPr>
              <w:t>appointed</w:t>
            </w:r>
            <w:r w:rsidR="00BA0781" w:rsidRPr="00705BA8">
              <w:rPr>
                <w:sz w:val="18"/>
                <w:szCs w:val="18"/>
              </w:rPr>
              <w:t xml:space="preserve"> </w:t>
            </w:r>
            <w:r w:rsidRPr="00705BA8">
              <w:rPr>
                <w:sz w:val="18"/>
                <w:szCs w:val="18"/>
              </w:rPr>
              <w:t>area.</w:t>
            </w:r>
          </w:p>
        </w:tc>
      </w:tr>
      <w:tr w:rsidR="009B3C44" w:rsidRPr="009B3C44" w14:paraId="4DA7A721" w14:textId="77777777" w:rsidTr="00C35804">
        <w:trPr>
          <w:cantSplit/>
          <w:trHeight w:val="268"/>
        </w:trPr>
        <w:tc>
          <w:tcPr>
            <w:tcW w:w="2694" w:type="dxa"/>
            <w:shd w:val="clear" w:color="auto" w:fill="7F7F7F" w:themeFill="text1" w:themeFillTint="80"/>
            <w:vAlign w:val="center"/>
          </w:tcPr>
          <w:p w14:paraId="000C2F11" w14:textId="6BD0CF64" w:rsidR="009B3C44" w:rsidRPr="008426A6" w:rsidRDefault="009B3C44" w:rsidP="000E65C2">
            <w:pPr>
              <w:kinsoku/>
              <w:overflowPunct/>
              <w:autoSpaceDE/>
              <w:autoSpaceDN/>
              <w:adjustRightInd/>
              <w:snapToGrid/>
              <w:rPr>
                <w:rFonts w:asciiTheme="majorHAnsi" w:hAnsiTheme="majorHAnsi"/>
                <w:b/>
                <w:bCs/>
                <w:snapToGrid/>
                <w:color w:val="FFFFFF" w:themeColor="background1"/>
                <w:sz w:val="18"/>
                <w:szCs w:val="18"/>
                <w:lang w:eastAsia="en-AU"/>
              </w:rPr>
            </w:pPr>
            <w:r w:rsidRPr="00705BA8">
              <w:rPr>
                <w:b/>
                <w:color w:val="FFFFFF" w:themeColor="background1"/>
                <w:sz w:val="18"/>
                <w:szCs w:val="18"/>
              </w:rPr>
              <w:t>Cultural Heritage Management Plans (CHMPs)</w:t>
            </w:r>
          </w:p>
        </w:tc>
        <w:tc>
          <w:tcPr>
            <w:tcW w:w="5792" w:type="dxa"/>
            <w:shd w:val="clear" w:color="auto" w:fill="auto"/>
            <w:vAlign w:val="center"/>
          </w:tcPr>
          <w:p w14:paraId="6E765ABE" w14:textId="6EF1E5F9" w:rsidR="009B3C44" w:rsidRPr="008426A6" w:rsidRDefault="009B3C44" w:rsidP="00A111E8">
            <w:pPr>
              <w:kinsoku/>
              <w:overflowPunct/>
              <w:autoSpaceDE/>
              <w:autoSpaceDN/>
              <w:adjustRightInd/>
              <w:snapToGrid/>
              <w:rPr>
                <w:rFonts w:asciiTheme="majorHAnsi" w:hAnsiTheme="majorHAnsi"/>
                <w:snapToGrid/>
                <w:color w:val="000000"/>
                <w:sz w:val="18"/>
                <w:szCs w:val="18"/>
                <w:lang w:eastAsia="en-AU"/>
              </w:rPr>
            </w:pPr>
            <w:r>
              <w:rPr>
                <w:sz w:val="18"/>
                <w:szCs w:val="18"/>
              </w:rPr>
              <w:t>A</w:t>
            </w:r>
            <w:r w:rsidRPr="00705BA8">
              <w:rPr>
                <w:sz w:val="18"/>
                <w:szCs w:val="18"/>
              </w:rPr>
              <w:t xml:space="preserve"> regulated process for managing cultural heritage, prepared by a </w:t>
            </w:r>
            <w:r w:rsidR="00A111E8">
              <w:rPr>
                <w:sz w:val="18"/>
                <w:szCs w:val="18"/>
              </w:rPr>
              <w:t xml:space="preserve"> sponsor</w:t>
            </w:r>
            <w:r w:rsidR="00A111E8" w:rsidRPr="00705BA8">
              <w:rPr>
                <w:sz w:val="18"/>
                <w:szCs w:val="18"/>
              </w:rPr>
              <w:t xml:space="preserve"> where</w:t>
            </w:r>
            <w:r w:rsidRPr="00705BA8">
              <w:rPr>
                <w:sz w:val="18"/>
                <w:szCs w:val="18"/>
              </w:rPr>
              <w:t xml:space="preserve"> a</w:t>
            </w:r>
            <w:r w:rsidR="00BA0781">
              <w:rPr>
                <w:sz w:val="18"/>
                <w:szCs w:val="18"/>
              </w:rPr>
              <w:t xml:space="preserve"> listed</w:t>
            </w:r>
            <w:r w:rsidRPr="00705BA8">
              <w:rPr>
                <w:sz w:val="18"/>
                <w:szCs w:val="18"/>
              </w:rPr>
              <w:t xml:space="preserve"> high impact activity is proposed in an area of cultural heritage sensitivity</w:t>
            </w:r>
          </w:p>
        </w:tc>
      </w:tr>
      <w:tr w:rsidR="009B3C44" w:rsidRPr="009B3C44" w14:paraId="0B154D53" w14:textId="77777777" w:rsidTr="00C35804">
        <w:trPr>
          <w:cantSplit/>
          <w:trHeight w:val="268"/>
        </w:trPr>
        <w:tc>
          <w:tcPr>
            <w:tcW w:w="2694" w:type="dxa"/>
            <w:shd w:val="clear" w:color="auto" w:fill="7F7F7F" w:themeFill="text1" w:themeFillTint="80"/>
            <w:vAlign w:val="center"/>
          </w:tcPr>
          <w:p w14:paraId="406C4614" w14:textId="3D421153"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Preliminary Aboriginal Heritage Tests (PAHTs)</w:t>
            </w:r>
          </w:p>
        </w:tc>
        <w:tc>
          <w:tcPr>
            <w:tcW w:w="5792" w:type="dxa"/>
            <w:shd w:val="clear" w:color="auto" w:fill="auto"/>
            <w:vAlign w:val="center"/>
          </w:tcPr>
          <w:p w14:paraId="14C956D8" w14:textId="143464EB" w:rsidR="009B3C44" w:rsidRPr="00705BA8" w:rsidRDefault="009B3C44" w:rsidP="001A021F">
            <w:pPr>
              <w:kinsoku/>
              <w:overflowPunct/>
              <w:autoSpaceDE/>
              <w:autoSpaceDN/>
              <w:adjustRightInd/>
              <w:snapToGrid/>
              <w:rPr>
                <w:sz w:val="18"/>
                <w:szCs w:val="18"/>
              </w:rPr>
            </w:pPr>
            <w:r w:rsidRPr="008426A6">
              <w:rPr>
                <w:sz w:val="18"/>
                <w:szCs w:val="18"/>
              </w:rPr>
              <w:t>A</w:t>
            </w:r>
            <w:r w:rsidRPr="00705BA8">
              <w:rPr>
                <w:sz w:val="18"/>
                <w:szCs w:val="18"/>
              </w:rPr>
              <w:t xml:space="preserve"> voluntary process for </w:t>
            </w:r>
            <w:r w:rsidR="006C7025">
              <w:rPr>
                <w:sz w:val="18"/>
                <w:szCs w:val="18"/>
              </w:rPr>
              <w:t xml:space="preserve">the </w:t>
            </w:r>
            <w:r w:rsidR="001A021F">
              <w:rPr>
                <w:sz w:val="18"/>
                <w:szCs w:val="18"/>
              </w:rPr>
              <w:t xml:space="preserve">proponent of an activity </w:t>
            </w:r>
            <w:r w:rsidRPr="00705BA8">
              <w:rPr>
                <w:sz w:val="18"/>
                <w:szCs w:val="18"/>
              </w:rPr>
              <w:t>to confirm whether a CHMP is required</w:t>
            </w:r>
          </w:p>
        </w:tc>
      </w:tr>
      <w:tr w:rsidR="009B3C44" w:rsidRPr="009B3C44" w14:paraId="294D8A52" w14:textId="77777777" w:rsidTr="00C35804">
        <w:trPr>
          <w:cantSplit/>
          <w:trHeight w:val="268"/>
        </w:trPr>
        <w:tc>
          <w:tcPr>
            <w:tcW w:w="2694" w:type="dxa"/>
            <w:shd w:val="clear" w:color="auto" w:fill="7F7F7F" w:themeFill="text1" w:themeFillTint="80"/>
            <w:vAlign w:val="center"/>
          </w:tcPr>
          <w:p w14:paraId="7D13E43A" w14:textId="4555298D"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Cultural Heritage Permits (CHPs)</w:t>
            </w:r>
          </w:p>
        </w:tc>
        <w:tc>
          <w:tcPr>
            <w:tcW w:w="5792" w:type="dxa"/>
            <w:shd w:val="clear" w:color="auto" w:fill="auto"/>
            <w:vAlign w:val="center"/>
          </w:tcPr>
          <w:p w14:paraId="7F277F5A" w14:textId="5144AB7B" w:rsidR="009B3C44" w:rsidRPr="00705BA8" w:rsidRDefault="001A021F" w:rsidP="001A021F">
            <w:pPr>
              <w:kinsoku/>
              <w:overflowPunct/>
              <w:autoSpaceDE/>
              <w:autoSpaceDN/>
              <w:adjustRightInd/>
              <w:snapToGrid/>
              <w:rPr>
                <w:sz w:val="18"/>
                <w:szCs w:val="18"/>
              </w:rPr>
            </w:pPr>
            <w:r>
              <w:rPr>
                <w:sz w:val="18"/>
                <w:szCs w:val="18"/>
              </w:rPr>
              <w:t>An authorisation to</w:t>
            </w:r>
            <w:r w:rsidR="009B3C44" w:rsidRPr="00705BA8">
              <w:rPr>
                <w:sz w:val="18"/>
                <w:szCs w:val="18"/>
              </w:rPr>
              <w:t xml:space="preserve"> excavat</w:t>
            </w:r>
            <w:r>
              <w:rPr>
                <w:sz w:val="18"/>
                <w:szCs w:val="18"/>
              </w:rPr>
              <w:t>e</w:t>
            </w:r>
            <w:r w:rsidR="009B3C44" w:rsidRPr="00705BA8">
              <w:rPr>
                <w:sz w:val="18"/>
                <w:szCs w:val="18"/>
              </w:rPr>
              <w:t xml:space="preserve">, research, harm, sell or </w:t>
            </w:r>
            <w:r w:rsidRPr="00705BA8">
              <w:rPr>
                <w:sz w:val="18"/>
                <w:szCs w:val="18"/>
              </w:rPr>
              <w:t>remov</w:t>
            </w:r>
            <w:r>
              <w:rPr>
                <w:sz w:val="18"/>
                <w:szCs w:val="18"/>
              </w:rPr>
              <w:t>e</w:t>
            </w:r>
            <w:r w:rsidRPr="00705BA8">
              <w:rPr>
                <w:sz w:val="18"/>
                <w:szCs w:val="18"/>
              </w:rPr>
              <w:t xml:space="preserve"> </w:t>
            </w:r>
            <w:r>
              <w:rPr>
                <w:sz w:val="18"/>
                <w:szCs w:val="18"/>
              </w:rPr>
              <w:t>Aboriginal cultural heritage</w:t>
            </w:r>
            <w:r w:rsidRPr="00705BA8">
              <w:rPr>
                <w:sz w:val="18"/>
                <w:szCs w:val="18"/>
              </w:rPr>
              <w:t xml:space="preserve"> </w:t>
            </w:r>
            <w:r w:rsidR="009B3C44" w:rsidRPr="00705BA8">
              <w:rPr>
                <w:sz w:val="18"/>
                <w:szCs w:val="18"/>
              </w:rPr>
              <w:t>from Victoria</w:t>
            </w:r>
            <w:r w:rsidR="004C3F0E">
              <w:rPr>
                <w:sz w:val="18"/>
                <w:szCs w:val="18"/>
              </w:rPr>
              <w:t>; to rehabilitate land in an Aboriginal place or to inter Aboriginal Ancestral Remains in an Aboriginal place</w:t>
            </w:r>
          </w:p>
        </w:tc>
      </w:tr>
      <w:tr w:rsidR="009B3C44" w:rsidRPr="009B3C44" w14:paraId="438F7740" w14:textId="77777777" w:rsidTr="00C35804">
        <w:trPr>
          <w:cantSplit/>
          <w:trHeight w:val="268"/>
        </w:trPr>
        <w:tc>
          <w:tcPr>
            <w:tcW w:w="2694" w:type="dxa"/>
            <w:shd w:val="clear" w:color="auto" w:fill="7F7F7F" w:themeFill="text1" w:themeFillTint="80"/>
            <w:vAlign w:val="center"/>
          </w:tcPr>
          <w:p w14:paraId="149B3A97" w14:textId="6616F7CA"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Cultural Heritage Agreements (CHAs)</w:t>
            </w:r>
          </w:p>
        </w:tc>
        <w:tc>
          <w:tcPr>
            <w:tcW w:w="5792" w:type="dxa"/>
            <w:shd w:val="clear" w:color="auto" w:fill="auto"/>
            <w:vAlign w:val="center"/>
          </w:tcPr>
          <w:p w14:paraId="22236968" w14:textId="20C4657B" w:rsidR="009B3C44" w:rsidRPr="00705BA8" w:rsidRDefault="009719FC" w:rsidP="009B3C44">
            <w:pPr>
              <w:kinsoku/>
              <w:overflowPunct/>
              <w:autoSpaceDE/>
              <w:autoSpaceDN/>
              <w:adjustRightInd/>
              <w:snapToGrid/>
              <w:rPr>
                <w:sz w:val="18"/>
                <w:szCs w:val="18"/>
              </w:rPr>
            </w:pPr>
            <w:r>
              <w:rPr>
                <w:sz w:val="18"/>
                <w:szCs w:val="18"/>
              </w:rPr>
              <w:t xml:space="preserve">These agreements are </w:t>
            </w:r>
            <w:r w:rsidR="009B3C44" w:rsidRPr="00705BA8">
              <w:rPr>
                <w:sz w:val="18"/>
                <w:szCs w:val="18"/>
              </w:rPr>
              <w:t>negotiated between landowners and the relevant RAP to manage and protect Aboriginal cultural heritage</w:t>
            </w:r>
            <w:r w:rsidR="009B3C44">
              <w:rPr>
                <w:sz w:val="18"/>
                <w:szCs w:val="18"/>
              </w:rPr>
              <w:t>.</w:t>
            </w:r>
          </w:p>
        </w:tc>
      </w:tr>
      <w:tr w:rsidR="009B3C44" w:rsidRPr="009B3C44" w14:paraId="4F2F46C5" w14:textId="77777777" w:rsidTr="00C35804">
        <w:trPr>
          <w:cantSplit/>
          <w:trHeight w:val="268"/>
        </w:trPr>
        <w:tc>
          <w:tcPr>
            <w:tcW w:w="2694" w:type="dxa"/>
            <w:shd w:val="clear" w:color="auto" w:fill="7F7F7F" w:themeFill="text1" w:themeFillTint="80"/>
            <w:vAlign w:val="center"/>
          </w:tcPr>
          <w:p w14:paraId="3A498B4C" w14:textId="57B14AEE"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Aboriginal Cultural Heritage Land Management Agreements (ACHLMAs)</w:t>
            </w:r>
          </w:p>
        </w:tc>
        <w:tc>
          <w:tcPr>
            <w:tcW w:w="5792" w:type="dxa"/>
            <w:shd w:val="clear" w:color="auto" w:fill="auto"/>
            <w:vAlign w:val="center"/>
          </w:tcPr>
          <w:p w14:paraId="3271B4BB" w14:textId="527373F6" w:rsidR="009B3C44" w:rsidRPr="00705BA8" w:rsidRDefault="009B3C44" w:rsidP="004C3F0E">
            <w:pPr>
              <w:kinsoku/>
              <w:overflowPunct/>
              <w:autoSpaceDE/>
              <w:autoSpaceDN/>
              <w:adjustRightInd/>
              <w:snapToGrid/>
              <w:rPr>
                <w:sz w:val="18"/>
                <w:szCs w:val="18"/>
              </w:rPr>
            </w:pPr>
            <w:r w:rsidRPr="00705BA8">
              <w:rPr>
                <w:sz w:val="18"/>
                <w:szCs w:val="18"/>
              </w:rPr>
              <w:t xml:space="preserve">A </w:t>
            </w:r>
            <w:r w:rsidR="004C3F0E">
              <w:rPr>
                <w:sz w:val="18"/>
                <w:szCs w:val="18"/>
              </w:rPr>
              <w:t>voluntary</w:t>
            </w:r>
            <w:r w:rsidR="004C3F0E" w:rsidRPr="00705BA8">
              <w:rPr>
                <w:sz w:val="18"/>
                <w:szCs w:val="18"/>
              </w:rPr>
              <w:t xml:space="preserve"> </w:t>
            </w:r>
            <w:r w:rsidRPr="00705BA8">
              <w:rPr>
                <w:sz w:val="18"/>
                <w:szCs w:val="18"/>
              </w:rPr>
              <w:t>agreement between a public land manager and a RAP for the purpose of managing and protecting Aboriginal cultural heritage</w:t>
            </w:r>
            <w:r w:rsidR="004C3F0E">
              <w:rPr>
                <w:sz w:val="18"/>
                <w:szCs w:val="18"/>
              </w:rPr>
              <w:t xml:space="preserve"> during routine land management activities</w:t>
            </w:r>
            <w:r w:rsidRPr="00705BA8">
              <w:rPr>
                <w:sz w:val="18"/>
                <w:szCs w:val="18"/>
              </w:rPr>
              <w:t>.</w:t>
            </w:r>
          </w:p>
        </w:tc>
      </w:tr>
      <w:tr w:rsidR="009B3C44" w:rsidRPr="009B3C44" w14:paraId="08718FA5" w14:textId="77777777" w:rsidTr="00C35804">
        <w:trPr>
          <w:cantSplit/>
          <w:trHeight w:val="268"/>
        </w:trPr>
        <w:tc>
          <w:tcPr>
            <w:tcW w:w="2694" w:type="dxa"/>
            <w:shd w:val="clear" w:color="auto" w:fill="7F7F7F" w:themeFill="text1" w:themeFillTint="80"/>
            <w:vAlign w:val="center"/>
          </w:tcPr>
          <w:p w14:paraId="772AC693" w14:textId="76261073"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Aboriginal Intangible Heritage and Aboriginal Intangible Heritage Agreements</w:t>
            </w:r>
          </w:p>
        </w:tc>
        <w:tc>
          <w:tcPr>
            <w:tcW w:w="5792" w:type="dxa"/>
            <w:shd w:val="clear" w:color="auto" w:fill="auto"/>
            <w:vAlign w:val="center"/>
          </w:tcPr>
          <w:p w14:paraId="3F10F41B" w14:textId="479C9687" w:rsidR="009B3C44" w:rsidRPr="00705BA8" w:rsidRDefault="009B3C44" w:rsidP="009A58CC">
            <w:pPr>
              <w:kinsoku/>
              <w:overflowPunct/>
              <w:autoSpaceDE/>
              <w:autoSpaceDN/>
              <w:adjustRightInd/>
              <w:snapToGrid/>
              <w:rPr>
                <w:sz w:val="18"/>
                <w:szCs w:val="18"/>
              </w:rPr>
            </w:pPr>
            <w:r w:rsidRPr="00705BA8">
              <w:rPr>
                <w:sz w:val="18"/>
                <w:szCs w:val="18"/>
              </w:rPr>
              <w:t>A</w:t>
            </w:r>
            <w:r w:rsidR="004C3F0E">
              <w:rPr>
                <w:sz w:val="18"/>
                <w:szCs w:val="18"/>
              </w:rPr>
              <w:t xml:space="preserve"> mechanism</w:t>
            </w:r>
            <w:r w:rsidR="009A58CC">
              <w:rPr>
                <w:sz w:val="18"/>
                <w:szCs w:val="18"/>
              </w:rPr>
              <w:t xml:space="preserve"> for</w:t>
            </w:r>
            <w:r w:rsidR="009A58CC" w:rsidRPr="00705BA8">
              <w:rPr>
                <w:sz w:val="18"/>
                <w:szCs w:val="18"/>
              </w:rPr>
              <w:t xml:space="preserve"> </w:t>
            </w:r>
            <w:r w:rsidRPr="00705BA8">
              <w:rPr>
                <w:sz w:val="18"/>
                <w:szCs w:val="18"/>
              </w:rPr>
              <w:t>recognis</w:t>
            </w:r>
            <w:r w:rsidR="009A58CC">
              <w:rPr>
                <w:sz w:val="18"/>
                <w:szCs w:val="18"/>
              </w:rPr>
              <w:t>ing</w:t>
            </w:r>
            <w:r w:rsidRPr="00705BA8">
              <w:rPr>
                <w:sz w:val="18"/>
                <w:szCs w:val="18"/>
              </w:rPr>
              <w:t xml:space="preserve"> and protect</w:t>
            </w:r>
            <w:r w:rsidR="009A58CC">
              <w:rPr>
                <w:sz w:val="18"/>
                <w:szCs w:val="18"/>
              </w:rPr>
              <w:t>ing</w:t>
            </w:r>
            <w:r w:rsidR="004C3F0E">
              <w:rPr>
                <w:sz w:val="18"/>
                <w:szCs w:val="18"/>
              </w:rPr>
              <w:t xml:space="preserve"> Aboriginal</w:t>
            </w:r>
            <w:r w:rsidRPr="00705BA8">
              <w:rPr>
                <w:sz w:val="18"/>
                <w:szCs w:val="18"/>
              </w:rPr>
              <w:t xml:space="preserve"> intangible heritage from commercial exploitation.</w:t>
            </w:r>
          </w:p>
        </w:tc>
      </w:tr>
      <w:tr w:rsidR="009B3C44" w:rsidRPr="009B3C44" w14:paraId="777AD3F8" w14:textId="77777777" w:rsidTr="00C35804">
        <w:trPr>
          <w:cantSplit/>
          <w:trHeight w:val="268"/>
        </w:trPr>
        <w:tc>
          <w:tcPr>
            <w:tcW w:w="2694" w:type="dxa"/>
            <w:shd w:val="clear" w:color="auto" w:fill="7F7F7F" w:themeFill="text1" w:themeFillTint="80"/>
            <w:vAlign w:val="center"/>
          </w:tcPr>
          <w:p w14:paraId="6CD7DD97" w14:textId="1FA83E3A"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lastRenderedPageBreak/>
              <w:t>Victorian Aboriginal Heritage Register (VAHR)</w:t>
            </w:r>
          </w:p>
        </w:tc>
        <w:tc>
          <w:tcPr>
            <w:tcW w:w="5792" w:type="dxa"/>
            <w:shd w:val="clear" w:color="auto" w:fill="auto"/>
            <w:vAlign w:val="center"/>
          </w:tcPr>
          <w:p w14:paraId="305CE99C" w14:textId="176D5741" w:rsidR="009B3C44" w:rsidRPr="00705BA8" w:rsidRDefault="006C7025" w:rsidP="00281081">
            <w:pPr>
              <w:kinsoku/>
              <w:overflowPunct/>
              <w:autoSpaceDE/>
              <w:autoSpaceDN/>
              <w:adjustRightInd/>
              <w:snapToGrid/>
              <w:rPr>
                <w:sz w:val="18"/>
                <w:szCs w:val="18"/>
              </w:rPr>
            </w:pPr>
            <w:r>
              <w:rPr>
                <w:sz w:val="18"/>
                <w:szCs w:val="18"/>
              </w:rPr>
              <w:t>The VAHR is a repository for details of known Aboriginal cult</w:t>
            </w:r>
            <w:r w:rsidR="00281081">
              <w:rPr>
                <w:sz w:val="18"/>
                <w:szCs w:val="18"/>
              </w:rPr>
              <w:t>u</w:t>
            </w:r>
            <w:r>
              <w:rPr>
                <w:sz w:val="18"/>
                <w:szCs w:val="18"/>
              </w:rPr>
              <w:t xml:space="preserve">ral heritage across Victoria. </w:t>
            </w:r>
            <w:r w:rsidR="009B3C44" w:rsidRPr="00705BA8">
              <w:rPr>
                <w:sz w:val="18"/>
                <w:szCs w:val="18"/>
              </w:rPr>
              <w:t>The Act creates an ongoing requirement for the VAHR</w:t>
            </w:r>
            <w:r>
              <w:rPr>
                <w:sz w:val="18"/>
                <w:szCs w:val="18"/>
              </w:rPr>
              <w:t>.</w:t>
            </w:r>
          </w:p>
        </w:tc>
      </w:tr>
      <w:tr w:rsidR="009B3C44" w:rsidRPr="009B3C44" w14:paraId="56C6D5B0" w14:textId="77777777" w:rsidTr="00C35804">
        <w:trPr>
          <w:cantSplit/>
          <w:trHeight w:val="268"/>
        </w:trPr>
        <w:tc>
          <w:tcPr>
            <w:tcW w:w="2694" w:type="dxa"/>
            <w:shd w:val="clear" w:color="auto" w:fill="7F7F7F" w:themeFill="text1" w:themeFillTint="80"/>
            <w:vAlign w:val="center"/>
          </w:tcPr>
          <w:p w14:paraId="0B42B1F0" w14:textId="27A2C37C" w:rsidR="009B3C44" w:rsidRPr="00705BA8" w:rsidRDefault="009B3C44" w:rsidP="000E65C2">
            <w:pPr>
              <w:kinsoku/>
              <w:overflowPunct/>
              <w:autoSpaceDE/>
              <w:autoSpaceDN/>
              <w:adjustRightInd/>
              <w:snapToGrid/>
              <w:rPr>
                <w:b/>
                <w:color w:val="FFFFFF" w:themeColor="background1"/>
                <w:sz w:val="18"/>
                <w:szCs w:val="18"/>
              </w:rPr>
            </w:pPr>
            <w:r w:rsidRPr="00705BA8">
              <w:rPr>
                <w:b/>
                <w:color w:val="FFFFFF" w:themeColor="background1"/>
                <w:sz w:val="18"/>
                <w:szCs w:val="18"/>
              </w:rPr>
              <w:t>Fees</w:t>
            </w:r>
          </w:p>
        </w:tc>
        <w:tc>
          <w:tcPr>
            <w:tcW w:w="5792" w:type="dxa"/>
            <w:shd w:val="clear" w:color="auto" w:fill="auto"/>
            <w:vAlign w:val="center"/>
          </w:tcPr>
          <w:p w14:paraId="18B0EED3" w14:textId="5090EA17" w:rsidR="009B3C44" w:rsidRPr="00705BA8" w:rsidRDefault="009B3C44" w:rsidP="009A58CC">
            <w:pPr>
              <w:kinsoku/>
              <w:overflowPunct/>
              <w:autoSpaceDE/>
              <w:autoSpaceDN/>
              <w:adjustRightInd/>
              <w:snapToGrid/>
              <w:rPr>
                <w:sz w:val="18"/>
                <w:szCs w:val="18"/>
              </w:rPr>
            </w:pPr>
            <w:r w:rsidRPr="00705BA8">
              <w:rPr>
                <w:sz w:val="18"/>
                <w:szCs w:val="18"/>
              </w:rPr>
              <w:t xml:space="preserve">The Act gives the power for </w:t>
            </w:r>
            <w:r w:rsidR="009A58CC">
              <w:rPr>
                <w:sz w:val="18"/>
                <w:szCs w:val="18"/>
              </w:rPr>
              <w:t>Approval Bodies</w:t>
            </w:r>
            <w:r w:rsidRPr="00705BA8">
              <w:rPr>
                <w:sz w:val="18"/>
                <w:szCs w:val="18"/>
              </w:rPr>
              <w:t xml:space="preserve"> to charge fees for </w:t>
            </w:r>
            <w:r w:rsidR="009A58CC">
              <w:rPr>
                <w:sz w:val="18"/>
                <w:szCs w:val="18"/>
              </w:rPr>
              <w:t>evaluations</w:t>
            </w:r>
            <w:r w:rsidR="009A58CC" w:rsidRPr="00705BA8">
              <w:rPr>
                <w:sz w:val="18"/>
                <w:szCs w:val="18"/>
              </w:rPr>
              <w:t xml:space="preserve"> </w:t>
            </w:r>
            <w:r w:rsidRPr="00705BA8">
              <w:rPr>
                <w:sz w:val="18"/>
                <w:szCs w:val="18"/>
              </w:rPr>
              <w:t>with fee levels prescribed in</w:t>
            </w:r>
            <w:r w:rsidR="009719FC">
              <w:rPr>
                <w:sz w:val="18"/>
                <w:szCs w:val="18"/>
              </w:rPr>
              <w:t xml:space="preserve"> the</w:t>
            </w:r>
            <w:r w:rsidRPr="00705BA8">
              <w:rPr>
                <w:sz w:val="18"/>
                <w:szCs w:val="18"/>
              </w:rPr>
              <w:t xml:space="preserve"> Regulations.</w:t>
            </w:r>
          </w:p>
        </w:tc>
      </w:tr>
    </w:tbl>
    <w:p w14:paraId="1A32AFA1" w14:textId="694E5EF8" w:rsidR="0094025F" w:rsidRDefault="0094025F" w:rsidP="00705BA8">
      <w:pPr>
        <w:pStyle w:val="PwCNormal"/>
        <w:spacing w:before="240"/>
      </w:pPr>
      <w:r>
        <w:t xml:space="preserve">The Act was amended in 2016 to introduce </w:t>
      </w:r>
      <w:r w:rsidR="00635335">
        <w:t xml:space="preserve">new </w:t>
      </w:r>
      <w:r>
        <w:t>provisions relating</w:t>
      </w:r>
      <w:r w:rsidR="00FC6CA8">
        <w:t>, but not limited,</w:t>
      </w:r>
      <w:r>
        <w:t xml:space="preserve"> to </w:t>
      </w:r>
      <w:r w:rsidRPr="0094025F">
        <w:t xml:space="preserve">Aboriginal </w:t>
      </w:r>
      <w:r w:rsidR="006B2FDC">
        <w:t>i</w:t>
      </w:r>
      <w:r w:rsidRPr="0094025F">
        <w:t xml:space="preserve">ntangible </w:t>
      </w:r>
      <w:r w:rsidR="006B2FDC">
        <w:t>h</w:t>
      </w:r>
      <w:r w:rsidRPr="0094025F">
        <w:t>eritage, PAHTs, ACHLMAs, and the Aboriginal Cultural Heritage Fund</w:t>
      </w:r>
      <w:r>
        <w:t>.</w:t>
      </w:r>
    </w:p>
    <w:p w14:paraId="0092EA18" w14:textId="1F2B5B16" w:rsidR="00810E62" w:rsidRDefault="00810E62" w:rsidP="00705BA8">
      <w:pPr>
        <w:pStyle w:val="Caption"/>
      </w:pPr>
      <w:r>
        <w:t>The current Regulations</w:t>
      </w:r>
    </w:p>
    <w:p w14:paraId="4D191F36" w14:textId="453DA7F8" w:rsidR="00810E62" w:rsidRDefault="0094025F">
      <w:pPr>
        <w:pStyle w:val="PwCNormal"/>
      </w:pPr>
      <w:r>
        <w:t>The Regulations</w:t>
      </w:r>
      <w:r w:rsidR="007A6BD1">
        <w:t xml:space="preserve"> support the implementation of the Act and</w:t>
      </w:r>
      <w:r>
        <w:t xml:space="preserve"> include the following elements:</w:t>
      </w:r>
    </w:p>
    <w:p w14:paraId="5ECBEFC5" w14:textId="7E9E31B9" w:rsidR="0094025F" w:rsidRDefault="0094025F" w:rsidP="00705BA8">
      <w:pPr>
        <w:pStyle w:val="ListBullet"/>
      </w:pPr>
      <w:r>
        <w:t xml:space="preserve">The triggers </w:t>
      </w:r>
      <w:r w:rsidR="007A6BD1">
        <w:t>for when</w:t>
      </w:r>
      <w:r>
        <w:t xml:space="preserve"> a CHMP is required</w:t>
      </w:r>
      <w:r w:rsidR="004E0B57">
        <w:t>:</w:t>
      </w:r>
      <w:r>
        <w:t xml:space="preserve"> If a</w:t>
      </w:r>
      <w:r w:rsidR="00635335">
        <w:t>n</w:t>
      </w:r>
      <w:r>
        <w:t xml:space="preserve"> activity </w:t>
      </w:r>
      <w:r w:rsidR="00635335">
        <w:t xml:space="preserve">or class of activity </w:t>
      </w:r>
      <w:r>
        <w:t>is a high impact activity and is to be conducted in an area of cultural heritage sensitivity, then a CHMP is required.</w:t>
      </w:r>
    </w:p>
    <w:p w14:paraId="0DE7E2CF" w14:textId="710B3231" w:rsidR="004E0B57" w:rsidRDefault="004E0B57" w:rsidP="00705BA8">
      <w:pPr>
        <w:pStyle w:val="ListBullet"/>
      </w:pPr>
      <w:r>
        <w:t>The standards for preparing a CHMP</w:t>
      </w:r>
      <w:r w:rsidR="00635335">
        <w:t>:</w:t>
      </w:r>
      <w:r>
        <w:t xml:space="preserve"> </w:t>
      </w:r>
      <w:r w:rsidR="00635335">
        <w:t>Including</w:t>
      </w:r>
      <w:r>
        <w:t xml:space="preserve"> the type of assessment (desktop, standard or complex assessment) that </w:t>
      </w:r>
      <w:r w:rsidR="00635335">
        <w:t xml:space="preserve">are to </w:t>
      </w:r>
      <w:r>
        <w:t xml:space="preserve">be conducted and what the CHMP </w:t>
      </w:r>
      <w:r w:rsidR="00635335">
        <w:t xml:space="preserve">must </w:t>
      </w:r>
      <w:r>
        <w:t>include.</w:t>
      </w:r>
    </w:p>
    <w:p w14:paraId="6C954DEF" w14:textId="5591799C" w:rsidR="004E0B57" w:rsidRDefault="004E0B57" w:rsidP="00705BA8">
      <w:pPr>
        <w:pStyle w:val="ListBullet"/>
      </w:pPr>
      <w:r>
        <w:t>The standards for preparing</w:t>
      </w:r>
      <w:r w:rsidR="00635335">
        <w:t xml:space="preserve"> an</w:t>
      </w:r>
      <w:r>
        <w:t xml:space="preserve"> ACHLMA.</w:t>
      </w:r>
    </w:p>
    <w:p w14:paraId="26C018DD" w14:textId="48F34098" w:rsidR="004E0B57" w:rsidRDefault="00635335" w:rsidP="00705BA8">
      <w:pPr>
        <w:pStyle w:val="ListBullet"/>
      </w:pPr>
      <w:r>
        <w:t>The standards for preparing m</w:t>
      </w:r>
      <w:r w:rsidR="004E0B57">
        <w:t>aps for CHAs.</w:t>
      </w:r>
    </w:p>
    <w:p w14:paraId="71B58919" w14:textId="1EFAC83C" w:rsidR="004E0B57" w:rsidRDefault="004E0B57" w:rsidP="00705BA8">
      <w:pPr>
        <w:pStyle w:val="ListBullet"/>
      </w:pPr>
      <w:r>
        <w:t>A number of prescribed forms.</w:t>
      </w:r>
    </w:p>
    <w:p w14:paraId="32E53A4F" w14:textId="3701E8C7" w:rsidR="004E0B57" w:rsidRDefault="004E0B57" w:rsidP="00705BA8">
      <w:pPr>
        <w:pStyle w:val="ListBullet"/>
      </w:pPr>
      <w:r>
        <w:t xml:space="preserve">Fee levels </w:t>
      </w:r>
      <w:r w:rsidR="0015070B">
        <w:t>payable for particular applications</w:t>
      </w:r>
      <w:r>
        <w:t>.</w:t>
      </w:r>
    </w:p>
    <w:p w14:paraId="043B3377" w14:textId="425C8AC7" w:rsidR="004E0B57" w:rsidRDefault="004E0B57" w:rsidP="00705BA8">
      <w:pPr>
        <w:pStyle w:val="Caption"/>
      </w:pPr>
      <w:r>
        <w:t>Activity under the Act and Regulations</w:t>
      </w:r>
    </w:p>
    <w:p w14:paraId="2EFE6320" w14:textId="7CFBEF63" w:rsidR="004E0B57" w:rsidRPr="00C411EA" w:rsidRDefault="004E0B57" w:rsidP="004E0B57">
      <w:pPr>
        <w:pStyle w:val="PwCNormal"/>
      </w:pPr>
      <w:r>
        <w:t xml:space="preserve">The number of CHMPs prepared </w:t>
      </w:r>
      <w:r w:rsidR="0015070B">
        <w:t xml:space="preserve">from 2009 to 2014 </w:t>
      </w:r>
      <w:r>
        <w:t>was relatively constant at around 400 to 500</w:t>
      </w:r>
      <w:r w:rsidR="0015070B">
        <w:t xml:space="preserve"> per year</w:t>
      </w:r>
      <w:r>
        <w:t xml:space="preserve">, </w:t>
      </w:r>
      <w:r w:rsidR="0015070B">
        <w:t>with an increase</w:t>
      </w:r>
      <w:r>
        <w:t xml:space="preserve"> in 2015 and 2016 due to increased development activity. CHMPs are mostly prepared for subdivisions, </w:t>
      </w:r>
      <w:r w:rsidRPr="00913778">
        <w:t>utilities, roads and rail activities, pipelines</w:t>
      </w:r>
      <w:r>
        <w:t xml:space="preserve"> and 3+ dwelling subdivisions</w:t>
      </w:r>
      <w:r w:rsidRPr="00913778">
        <w:t xml:space="preserve"> as shown in</w:t>
      </w:r>
      <w:r>
        <w:t xml:space="preserve"> </w:t>
      </w:r>
      <w:r>
        <w:fldChar w:fldCharType="begin"/>
      </w:r>
      <w:r>
        <w:instrText xml:space="preserve"> REF _Ref505014886 \h </w:instrText>
      </w:r>
      <w:r>
        <w:fldChar w:fldCharType="separate"/>
      </w:r>
      <w:r w:rsidR="000369A1">
        <w:t xml:space="preserve">Figure </w:t>
      </w:r>
      <w:r w:rsidR="000369A1">
        <w:rPr>
          <w:noProof/>
        </w:rPr>
        <w:t>1</w:t>
      </w:r>
      <w:r>
        <w:fldChar w:fldCharType="end"/>
      </w:r>
      <w:r w:rsidRPr="00913778">
        <w:t xml:space="preserve">. </w:t>
      </w:r>
    </w:p>
    <w:p w14:paraId="06E279B7" w14:textId="09E34974" w:rsidR="004E0B57" w:rsidRDefault="004E0B57">
      <w:pPr>
        <w:pStyle w:val="Caption"/>
      </w:pPr>
      <w:bookmarkStart w:id="20" w:name="_Ref505014886"/>
      <w:r>
        <w:lastRenderedPageBreak/>
        <w:t xml:space="preserve">Figure </w:t>
      </w:r>
      <w:r w:rsidR="00B47FE6">
        <w:fldChar w:fldCharType="begin"/>
      </w:r>
      <w:r w:rsidR="00B47FE6">
        <w:instrText xml:space="preserve"> S</w:instrText>
      </w:r>
      <w:r w:rsidR="00B47FE6">
        <w:instrText xml:space="preserve">EQ Figure \* ARABIC </w:instrText>
      </w:r>
      <w:r w:rsidR="00B47FE6">
        <w:fldChar w:fldCharType="separate"/>
      </w:r>
      <w:r w:rsidR="000369A1">
        <w:rPr>
          <w:noProof/>
        </w:rPr>
        <w:t>1</w:t>
      </w:r>
      <w:r w:rsidR="00B47FE6">
        <w:rPr>
          <w:noProof/>
        </w:rPr>
        <w:fldChar w:fldCharType="end"/>
      </w:r>
      <w:bookmarkEnd w:id="20"/>
      <w:r>
        <w:t xml:space="preserve">: </w:t>
      </w:r>
      <w:r w:rsidRPr="004E5844">
        <w:t>Type of approved CHMP by activity type (2007-2016)</w:t>
      </w:r>
    </w:p>
    <w:p w14:paraId="1EC1AAF6" w14:textId="77777777" w:rsidR="004E0B57" w:rsidRPr="00C411EA" w:rsidRDefault="004E0B57" w:rsidP="004E0B57">
      <w:pPr>
        <w:pStyle w:val="PwCNormal"/>
      </w:pPr>
      <w:r>
        <w:rPr>
          <w:noProof/>
          <w:lang w:eastAsia="en-AU"/>
        </w:rPr>
        <w:drawing>
          <wp:inline distT="0" distB="0" distL="0" distR="0" wp14:anchorId="4DF0FC36" wp14:editId="31087238">
            <wp:extent cx="3604260" cy="294429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080" t="4591" r="20411" b="6666"/>
                    <a:stretch/>
                  </pic:blipFill>
                  <pic:spPr bwMode="auto">
                    <a:xfrm>
                      <a:off x="0" y="0"/>
                      <a:ext cx="3620497" cy="2957559"/>
                    </a:xfrm>
                    <a:prstGeom prst="rect">
                      <a:avLst/>
                    </a:prstGeom>
                    <a:noFill/>
                    <a:ln>
                      <a:noFill/>
                    </a:ln>
                    <a:extLst>
                      <a:ext uri="{53640926-AAD7-44D8-BBD7-CCE9431645EC}">
                        <a14:shadowObscured xmlns:a14="http://schemas.microsoft.com/office/drawing/2010/main"/>
                      </a:ext>
                    </a:extLst>
                  </pic:spPr>
                </pic:pic>
              </a:graphicData>
            </a:graphic>
          </wp:inline>
        </w:drawing>
      </w:r>
    </w:p>
    <w:p w14:paraId="06C851A6" w14:textId="093FB7B7" w:rsidR="004E0B57" w:rsidRPr="00C30DF5" w:rsidRDefault="004E0B57" w:rsidP="004E0B57">
      <w:pPr>
        <w:pStyle w:val="PwCNormal"/>
      </w:pPr>
      <w:r>
        <w:t xml:space="preserve"> </w:t>
      </w:r>
      <w:r w:rsidRPr="00705BA8">
        <w:rPr>
          <w:color w:val="A32020" w:themeColor="text2"/>
          <w:sz w:val="18"/>
        </w:rPr>
        <w:t xml:space="preserve">Source: Data provided by AV, November 2017. </w:t>
      </w:r>
    </w:p>
    <w:p w14:paraId="66A0D01B" w14:textId="681B9DC7" w:rsidR="004E0B57" w:rsidRDefault="004E0B57">
      <w:pPr>
        <w:pStyle w:val="PwCNormal"/>
      </w:pPr>
      <w:r>
        <w:t xml:space="preserve">Nearly three-quarters of </w:t>
      </w:r>
      <w:r w:rsidR="00362B78">
        <w:t xml:space="preserve">the total number of </w:t>
      </w:r>
      <w:r>
        <w:t>CHMPs are sponsored by industry, with the remainder sponsored by government</w:t>
      </w:r>
      <w:r w:rsidR="00362B78">
        <w:t xml:space="preserve"> bodies</w:t>
      </w:r>
      <w:r>
        <w:t>, particular</w:t>
      </w:r>
      <w:r w:rsidR="00362B78">
        <w:t>ly</w:t>
      </w:r>
      <w:r>
        <w:t xml:space="preserve"> local government and water authorities.</w:t>
      </w:r>
    </w:p>
    <w:p w14:paraId="48F92E7C" w14:textId="575A362A" w:rsidR="004E0B57" w:rsidRDefault="004E0B57" w:rsidP="00705BA8">
      <w:pPr>
        <w:pStyle w:val="Heading8"/>
      </w:pPr>
      <w:r>
        <w:t xml:space="preserve">The </w:t>
      </w:r>
      <w:r w:rsidR="00D5437A">
        <w:t>nature and extent of the problem</w:t>
      </w:r>
    </w:p>
    <w:p w14:paraId="6B241BE2" w14:textId="16A627EC" w:rsidR="004E0B57" w:rsidRDefault="004E0B57">
      <w:pPr>
        <w:pStyle w:val="PwCNormal"/>
      </w:pPr>
      <w:r w:rsidRPr="004E0B57">
        <w:t xml:space="preserve">The Act specifies the requirement to </w:t>
      </w:r>
      <w:r w:rsidR="006C7025">
        <w:t>prepare</w:t>
      </w:r>
      <w:r w:rsidR="006C7025" w:rsidRPr="004E0B57">
        <w:t xml:space="preserve"> </w:t>
      </w:r>
      <w:r w:rsidRPr="004E0B57">
        <w:t xml:space="preserve">a CHMP in prescribed circumstances, however, does not specify the triggers or standards for a CHMP, which are prescribed by the Regulations. In the absence </w:t>
      </w:r>
      <w:r w:rsidR="007A6BD1">
        <w:t xml:space="preserve">of the Regulations, and in particular, </w:t>
      </w:r>
      <w:r w:rsidRPr="004E0B57">
        <w:t>the triggers and standards for a CHMP,</w:t>
      </w:r>
      <w:r w:rsidR="00C83044" w:rsidRPr="00281081">
        <w:rPr>
          <w:lang w:val="en-US"/>
        </w:rPr>
        <w:t xml:space="preserve"> </w:t>
      </w:r>
      <w:r w:rsidR="00C83044">
        <w:rPr>
          <w:lang w:val="en-US"/>
        </w:rPr>
        <w:t xml:space="preserve">development activities in areas of cultural heritage sensitivity may occur without sufficient regard for Aboriginal cultural heritage. </w:t>
      </w:r>
      <w:r w:rsidR="007A6BD1">
        <w:t>This would result in damage or destruction of Aboriginal cultural heritage.</w:t>
      </w:r>
    </w:p>
    <w:p w14:paraId="17F77786" w14:textId="2B64A8E0" w:rsidR="004E0B57" w:rsidRDefault="004E0B57" w:rsidP="00D5437A">
      <w:pPr>
        <w:pStyle w:val="PwCNormal"/>
      </w:pPr>
      <w:r>
        <w:t xml:space="preserve">Heritage is assigned significant sociocultural and economic value and is generally </w:t>
      </w:r>
      <w:r w:rsidR="006C7025">
        <w:t xml:space="preserve">considered to be </w:t>
      </w:r>
      <w:r>
        <w:t xml:space="preserve">irreplaceable, particularly in the case of Aboriginal cultural heritage. Without government intervention, </w:t>
      </w:r>
      <w:r w:rsidR="00D5437A" w:rsidRPr="00D5437A">
        <w:t>an unacceptably low level of Aboriginal cultural heritage would be protected.</w:t>
      </w:r>
      <w:r w:rsidR="00D5437A">
        <w:t xml:space="preserve"> </w:t>
      </w:r>
      <w:r w:rsidR="00D5437A" w:rsidRPr="00D5437A">
        <w:t xml:space="preserve">The value of Aboriginal cultural heritage is very much linked to the particular region and community. Other groups or individuals in the broader community may not always be aware of the </w:t>
      </w:r>
      <w:r w:rsidR="00950551">
        <w:t>presence or significance</w:t>
      </w:r>
      <w:r w:rsidR="00950551" w:rsidRPr="00D5437A">
        <w:t xml:space="preserve"> </w:t>
      </w:r>
      <w:r w:rsidR="00D5437A" w:rsidRPr="00D5437A">
        <w:t xml:space="preserve">of Aboriginal cultural heritage in a </w:t>
      </w:r>
      <w:r w:rsidR="009B2498">
        <w:t>location</w:t>
      </w:r>
      <w:r w:rsidR="00D5437A" w:rsidRPr="00D5437A">
        <w:t>, or in relation to an object.</w:t>
      </w:r>
    </w:p>
    <w:p w14:paraId="32204467" w14:textId="16A3E85C" w:rsidR="007B7CDD" w:rsidRPr="004E0B57" w:rsidRDefault="007B7CDD" w:rsidP="00705BA8">
      <w:pPr>
        <w:pStyle w:val="Caption"/>
      </w:pPr>
      <w:r>
        <w:t>The problem addressed by the Regulations</w:t>
      </w:r>
    </w:p>
    <w:p w14:paraId="28EFA591" w14:textId="60A3DB2D" w:rsidR="00D5437A" w:rsidRPr="00D5437A" w:rsidRDefault="00D5437A" w:rsidP="00D5437A">
      <w:pPr>
        <w:pStyle w:val="PwCNormal"/>
      </w:pPr>
      <w:r>
        <w:t>There are four key problems that the Regulations address</w:t>
      </w:r>
      <w:r w:rsidRPr="00D5437A">
        <w:t>:</w:t>
      </w:r>
    </w:p>
    <w:p w14:paraId="0CAF84B2" w14:textId="1706AC20" w:rsidR="00D5437A" w:rsidRPr="00D5437A" w:rsidRDefault="00D5437A" w:rsidP="00705BA8">
      <w:pPr>
        <w:pStyle w:val="ListBullet"/>
      </w:pPr>
      <w:r w:rsidRPr="00D5437A">
        <w:t xml:space="preserve">Damage or destruction </w:t>
      </w:r>
      <w:r>
        <w:t xml:space="preserve">of Aboriginal cultural heritage: </w:t>
      </w:r>
      <w:r w:rsidRPr="00D5437A">
        <w:t>The Regulations put in place two ‘triggers’ unde</w:t>
      </w:r>
      <w:r>
        <w:t xml:space="preserve">r which a CHMP must be prepared, which ensures that Aboriginal cultural heritage in the area </w:t>
      </w:r>
      <w:r w:rsidR="005F5E9F">
        <w:t xml:space="preserve">proposed for an activity </w:t>
      </w:r>
      <w:r>
        <w:t>is identified and managed appropriately. CHMPs are</w:t>
      </w:r>
      <w:r w:rsidRPr="00D5437A">
        <w:t xml:space="preserve"> needed because the </w:t>
      </w:r>
      <w:r w:rsidR="005F5E9F">
        <w:t>nature and extent</w:t>
      </w:r>
      <w:r w:rsidR="005F5E9F" w:rsidRPr="00D5437A">
        <w:t xml:space="preserve"> </w:t>
      </w:r>
      <w:r w:rsidRPr="00D5437A">
        <w:t>of Aboriginal cultural heritage in Victoria is unknown</w:t>
      </w:r>
      <w:r>
        <w:t xml:space="preserve"> and each new development activity may uncover more heritage</w:t>
      </w:r>
      <w:r w:rsidRPr="00D5437A">
        <w:t>.</w:t>
      </w:r>
    </w:p>
    <w:p w14:paraId="44824C0C" w14:textId="2975F255" w:rsidR="00D5437A" w:rsidRPr="00D5437A" w:rsidRDefault="00D5437A" w:rsidP="00705BA8">
      <w:pPr>
        <w:pStyle w:val="ListBullet"/>
      </w:pPr>
      <w:r w:rsidRPr="00D5437A">
        <w:t>CHMPs not being prep</w:t>
      </w:r>
      <w:r>
        <w:t xml:space="preserve">ared to an appropriate standard: </w:t>
      </w:r>
      <w:r w:rsidRPr="00D5437A">
        <w:t>The standards for a CHMP required under the Regulations are in place to ensure that if a CHMP is prepared, Aboriginal cultural heritage is</w:t>
      </w:r>
      <w:r w:rsidR="005F5E9F">
        <w:t xml:space="preserve"> properly</w:t>
      </w:r>
      <w:r w:rsidRPr="00D5437A">
        <w:t xml:space="preserve"> identified and appropriately managed.</w:t>
      </w:r>
      <w:r>
        <w:t xml:space="preserve"> </w:t>
      </w:r>
      <w:r w:rsidRPr="00D5437A">
        <w:t>The standards in the Regulations provide for tiered levels of assessment based on the probability and significance of Aboriginal cultural heritage</w:t>
      </w:r>
      <w:r w:rsidR="005F5E9F">
        <w:t xml:space="preserve"> occurring</w:t>
      </w:r>
      <w:r w:rsidRPr="00D5437A">
        <w:t>.</w:t>
      </w:r>
      <w:r>
        <w:t xml:space="preserve"> This helps ensure that when </w:t>
      </w:r>
      <w:r w:rsidR="009719FC">
        <w:t xml:space="preserve">there is a </w:t>
      </w:r>
      <w:r w:rsidR="00566805">
        <w:t xml:space="preserve">cost </w:t>
      </w:r>
      <w:r>
        <w:t>burden on land-users, it is justified.</w:t>
      </w:r>
    </w:p>
    <w:p w14:paraId="55AC48B7" w14:textId="7F7A9F92" w:rsidR="00D5437A" w:rsidRPr="00D5437A" w:rsidRDefault="00D5437A" w:rsidP="00705BA8">
      <w:pPr>
        <w:pStyle w:val="ListBullet"/>
      </w:pPr>
      <w:r w:rsidRPr="00D5437A">
        <w:t xml:space="preserve">Services provided by </w:t>
      </w:r>
      <w:r>
        <w:t xml:space="preserve">RAPs </w:t>
      </w:r>
      <w:r w:rsidR="007A6BD1">
        <w:t>would be unfunded</w:t>
      </w:r>
      <w:r>
        <w:t xml:space="preserve">: </w:t>
      </w:r>
      <w:r w:rsidRPr="00D5437A">
        <w:t xml:space="preserve">The Regulations specify fee </w:t>
      </w:r>
      <w:r>
        <w:t xml:space="preserve">levels </w:t>
      </w:r>
      <w:r w:rsidRPr="00D5437A">
        <w:t xml:space="preserve">to be charged for </w:t>
      </w:r>
      <w:r w:rsidR="005F5E9F">
        <w:t xml:space="preserve">evaluations </w:t>
      </w:r>
      <w:r>
        <w:t>of CHP</w:t>
      </w:r>
      <w:r w:rsidR="005F5E9F">
        <w:t xml:space="preserve"> applications</w:t>
      </w:r>
      <w:r>
        <w:t xml:space="preserve">, </w:t>
      </w:r>
      <w:r w:rsidR="006F643D">
        <w:t>,</w:t>
      </w:r>
      <w:r>
        <w:t>CHMP</w:t>
      </w:r>
      <w:r w:rsidR="005F5E9F">
        <w:t>s</w:t>
      </w:r>
      <w:r>
        <w:t xml:space="preserve"> </w:t>
      </w:r>
      <w:r w:rsidRPr="00D5437A">
        <w:t xml:space="preserve">and advice. This enables RAPs to </w:t>
      </w:r>
      <w:r>
        <w:t>re</w:t>
      </w:r>
      <w:r w:rsidRPr="00D5437A">
        <w:t>cover the cost of</w:t>
      </w:r>
      <w:r>
        <w:t xml:space="preserve"> undertaking these activities.</w:t>
      </w:r>
    </w:p>
    <w:p w14:paraId="7DF7AC38" w14:textId="2CDE67C5" w:rsidR="007B7CDD" w:rsidRDefault="00D5437A" w:rsidP="00705BA8">
      <w:pPr>
        <w:pStyle w:val="ListBullet"/>
      </w:pPr>
      <w:r w:rsidRPr="00D5437A">
        <w:t>A lack of clear proce</w:t>
      </w:r>
      <w:r>
        <w:t xml:space="preserve">sses for </w:t>
      </w:r>
      <w:r w:rsidR="00083852">
        <w:t xml:space="preserve">local </w:t>
      </w:r>
      <w:r>
        <w:t xml:space="preserve">government authorities: </w:t>
      </w:r>
      <w:r w:rsidRPr="00D5437A">
        <w:t>The Regulations provide a regulatory framework for local governments to manage and monitor the protection of Aboriginal cultural heritage</w:t>
      </w:r>
      <w:r>
        <w:t xml:space="preserve"> in their Local Government Area</w:t>
      </w:r>
      <w:r w:rsidR="009719FC">
        <w:t xml:space="preserve"> (LGA)</w:t>
      </w:r>
      <w:r>
        <w:t xml:space="preserve">. Without this, there would be uncertainty as to what </w:t>
      </w:r>
      <w:r w:rsidR="00083852">
        <w:t xml:space="preserve">their role is in the protection and management of </w:t>
      </w:r>
      <w:r>
        <w:t xml:space="preserve">Aboriginal cultural heritage. In addition, the Regulations address the potential for a lack of clarity for developers and land-users, who may or may not continue to consult with Aboriginal stakeholders </w:t>
      </w:r>
      <w:r w:rsidR="00083852">
        <w:t xml:space="preserve">outside of </w:t>
      </w:r>
      <w:r>
        <w:t>the requirements in the Act.</w:t>
      </w:r>
    </w:p>
    <w:p w14:paraId="42AB432D" w14:textId="77777777" w:rsidR="007B7CDD" w:rsidRDefault="007B7CDD" w:rsidP="00705BA8">
      <w:pPr>
        <w:pStyle w:val="Caption"/>
      </w:pPr>
      <w:r>
        <w:t>The base case</w:t>
      </w:r>
    </w:p>
    <w:p w14:paraId="12543EF1" w14:textId="60C1E4A2" w:rsidR="007B7CDD" w:rsidRDefault="007A6BD1">
      <w:pPr>
        <w:pStyle w:val="PwCNormal"/>
      </w:pPr>
      <w:r>
        <w:t>If</w:t>
      </w:r>
      <w:r w:rsidR="007B7CDD">
        <w:t xml:space="preserve"> the R</w:t>
      </w:r>
      <w:r>
        <w:t>egulations are allowed to lapse and no longer exist (the base case)</w:t>
      </w:r>
      <w:r w:rsidR="007B7CDD">
        <w:t>, the Act would still be in place. This would mean that:</w:t>
      </w:r>
    </w:p>
    <w:p w14:paraId="03ACCF50" w14:textId="2830C452" w:rsidR="007B7CDD" w:rsidRDefault="00083852" w:rsidP="00705BA8">
      <w:pPr>
        <w:pStyle w:val="ListBullet"/>
      </w:pPr>
      <w:r>
        <w:t>proponents</w:t>
      </w:r>
      <w:r w:rsidRPr="007B7CDD">
        <w:t xml:space="preserve"> </w:t>
      </w:r>
      <w:r w:rsidR="007B7CDD" w:rsidRPr="007B7CDD">
        <w:t xml:space="preserve">wishing to undertake </w:t>
      </w:r>
      <w:r>
        <w:t xml:space="preserve">a </w:t>
      </w:r>
      <w:r w:rsidR="007B7CDD" w:rsidRPr="007B7CDD">
        <w:t>high impact activit</w:t>
      </w:r>
      <w:r>
        <w:t>y</w:t>
      </w:r>
      <w:r w:rsidR="007B7CDD" w:rsidRPr="007B7CDD">
        <w:t xml:space="preserve"> in </w:t>
      </w:r>
      <w:r>
        <w:t xml:space="preserve">an </w:t>
      </w:r>
      <w:r w:rsidR="007B7CDD" w:rsidRPr="007B7CDD">
        <w:t xml:space="preserve">area of cultural heritage sensitivity </w:t>
      </w:r>
      <w:r w:rsidR="00DA5172">
        <w:t xml:space="preserve">(as presently prescribed) </w:t>
      </w:r>
      <w:r w:rsidR="007B7CDD" w:rsidRPr="007B7CDD">
        <w:t xml:space="preserve">would not need to complete </w:t>
      </w:r>
      <w:r w:rsidR="007B7CDD">
        <w:t>a CHMP unless one was required under the Act. It is estimated that 11 CHMPs per year would be required by the Act in the absence of the current Regulations</w:t>
      </w:r>
      <w:r w:rsidR="00D462E3">
        <w:rPr>
          <w:rStyle w:val="FootnoteReference"/>
        </w:rPr>
        <w:footnoteReference w:id="2"/>
      </w:r>
      <w:r w:rsidR="00496CE0">
        <w:t>, meaning approximately 625</w:t>
      </w:r>
      <w:r w:rsidR="00BF47FC">
        <w:t xml:space="preserve"> CHMPs</w:t>
      </w:r>
      <w:r>
        <w:t xml:space="preserve"> per year</w:t>
      </w:r>
      <w:r w:rsidR="00496CE0">
        <w:t xml:space="preserve"> would no longer be required (excluding 47 CHMPs that are undertaken voluntarily)</w:t>
      </w:r>
    </w:p>
    <w:p w14:paraId="0598785C" w14:textId="3E3FF5B4" w:rsidR="007B7CDD" w:rsidRDefault="008D6E42" w:rsidP="00705BA8">
      <w:pPr>
        <w:pStyle w:val="ListBullet"/>
      </w:pPr>
      <w:r>
        <w:t xml:space="preserve">the 11 CHMPs </w:t>
      </w:r>
      <w:r w:rsidR="009719FC">
        <w:t xml:space="preserve">per year </w:t>
      </w:r>
      <w:r>
        <w:t>required under the Act would not be required to adhere to any standards (as these are prescribed in the Regulations)</w:t>
      </w:r>
      <w:r w:rsidR="00545A31">
        <w:t>, however may need to satisfy some non-regulatory requirements from AV or RAPs in order to be approved</w:t>
      </w:r>
      <w:r>
        <w:t>.</w:t>
      </w:r>
      <w:r w:rsidR="00545A31">
        <w:t xml:space="preserve"> Nonetheless, m</w:t>
      </w:r>
      <w:r w:rsidR="007B7CDD">
        <w:t>ost of the cost of preparing the 11 CHMPs is</w:t>
      </w:r>
      <w:r>
        <w:t xml:space="preserve"> attribut</w:t>
      </w:r>
      <w:r w:rsidR="00D13185">
        <w:t>able</w:t>
      </w:r>
      <w:r>
        <w:t xml:space="preserve"> to the Regulations</w:t>
      </w:r>
      <w:r w:rsidR="00545A31">
        <w:t xml:space="preserve"> as they prescribe the standards required for a CHMP</w:t>
      </w:r>
      <w:r w:rsidR="007B7CDD">
        <w:t xml:space="preserve">, but the cost of </w:t>
      </w:r>
      <w:r w:rsidR="00D13185">
        <w:t xml:space="preserve">undertaking </w:t>
      </w:r>
      <w:r w:rsidR="007B7CDD">
        <w:t xml:space="preserve">the management conditions are not </w:t>
      </w:r>
      <w:r w:rsidR="009719FC">
        <w:t xml:space="preserve">attributable to the Regulations </w:t>
      </w:r>
      <w:r w:rsidR="007B7CDD">
        <w:t>(as they are triggered by the action of preparing the CHMP itself)</w:t>
      </w:r>
    </w:p>
    <w:p w14:paraId="611CBADC" w14:textId="67E09831" w:rsidR="007B7CDD" w:rsidRDefault="007B7CDD" w:rsidP="00705BA8">
      <w:pPr>
        <w:pStyle w:val="ListBullet"/>
      </w:pPr>
      <w:r>
        <w:t>there would be no prescribed forms for a number of mechanisms</w:t>
      </w:r>
      <w:r w:rsidR="008D6E42">
        <w:t xml:space="preserve"> specified in the Act (such as ACHLMAs, maps for CHAs, PAHT applications, etc.), </w:t>
      </w:r>
      <w:r>
        <w:t xml:space="preserve">however, it is likely that the Minister would specify approved forms that would be needed, or require similar </w:t>
      </w:r>
      <w:r w:rsidR="000A2F8E">
        <w:t>content in</w:t>
      </w:r>
      <w:r>
        <w:t xml:space="preserve"> applicat</w:t>
      </w:r>
      <w:r w:rsidR="008D6E42">
        <w:t>ions as is currently prescribed</w:t>
      </w:r>
    </w:p>
    <w:p w14:paraId="3A776344" w14:textId="727F6AFE" w:rsidR="00D5437A" w:rsidRDefault="007B7CDD" w:rsidP="00705BA8">
      <w:pPr>
        <w:pStyle w:val="ListBullet"/>
      </w:pPr>
      <w:r>
        <w:t>no fee levels would be prescribed</w:t>
      </w:r>
      <w:r w:rsidR="008D6E42">
        <w:t xml:space="preserve">, meaning that </w:t>
      </w:r>
      <w:r w:rsidR="009A43FF">
        <w:t xml:space="preserve">funding for </w:t>
      </w:r>
      <w:r w:rsidR="006B2FDC">
        <w:t>evaluation</w:t>
      </w:r>
      <w:r w:rsidR="006B2FDC" w:rsidDel="00D13185">
        <w:t xml:space="preserve"> </w:t>
      </w:r>
      <w:r w:rsidR="009A43FF">
        <w:t xml:space="preserve">(and other </w:t>
      </w:r>
      <w:r w:rsidR="003C3024">
        <w:t xml:space="preserve">compliance and </w:t>
      </w:r>
      <w:r w:rsidR="009A43FF">
        <w:t>enforcement)</w:t>
      </w:r>
      <w:r w:rsidR="00D13185">
        <w:t xml:space="preserve"> </w:t>
      </w:r>
      <w:r w:rsidR="008D6E42">
        <w:t xml:space="preserve">activities by RAPs would </w:t>
      </w:r>
      <w:r w:rsidR="009A43FF">
        <w:t>need to be found from other sources</w:t>
      </w:r>
      <w:r>
        <w:t>.</w:t>
      </w:r>
    </w:p>
    <w:p w14:paraId="6D54CBF1" w14:textId="26FAB692" w:rsidR="00D5437A" w:rsidRDefault="007B7CDD" w:rsidP="00705BA8">
      <w:pPr>
        <w:pStyle w:val="Heading8"/>
      </w:pPr>
      <w:r>
        <w:t>Objectives</w:t>
      </w:r>
    </w:p>
    <w:p w14:paraId="33159412" w14:textId="405CD4A2" w:rsidR="007B7CDD" w:rsidRDefault="008D6E42" w:rsidP="00705BA8">
      <w:pPr>
        <w:pStyle w:val="ListBullet"/>
        <w:numPr>
          <w:ilvl w:val="0"/>
          <w:numId w:val="0"/>
        </w:numPr>
      </w:pPr>
      <w:r>
        <w:t>T</w:t>
      </w:r>
      <w:r w:rsidR="007B7CDD" w:rsidRPr="007B7CDD">
        <w:t xml:space="preserve">he overarching objective of the </w:t>
      </w:r>
      <w:r w:rsidR="007B7CDD" w:rsidRPr="00705BA8">
        <w:rPr>
          <w:i/>
        </w:rPr>
        <w:t>Aboriginal Heritage Act 2006</w:t>
      </w:r>
      <w:r w:rsidR="007B7CDD" w:rsidRPr="007B7CDD">
        <w:t xml:space="preserve"> is to ensure the protection of Aboriginal cultural heritage in Victoria. </w:t>
      </w:r>
      <w:r>
        <w:t>The objectives of the</w:t>
      </w:r>
      <w:r w:rsidR="007B7CDD" w:rsidRPr="007B7CDD">
        <w:t xml:space="preserve"> Regulations are to</w:t>
      </w:r>
      <w:r w:rsidR="00BF47FC">
        <w:t xml:space="preserve"> provide process</w:t>
      </w:r>
      <w:r w:rsidR="00545A31">
        <w:t>es</w:t>
      </w:r>
      <w:r w:rsidR="00BF47FC">
        <w:t xml:space="preserve">, primarily through </w:t>
      </w:r>
      <w:r w:rsidR="00545A31">
        <w:t xml:space="preserve">targeting the requirements of the Act at activities that may have a high impact in an area of cultural sensitivity, and facilitating </w:t>
      </w:r>
      <w:r w:rsidR="00BF47FC">
        <w:t xml:space="preserve">the preparation of </w:t>
      </w:r>
      <w:r w:rsidR="00342AF6">
        <w:t xml:space="preserve">consistent and rigorous </w:t>
      </w:r>
      <w:r w:rsidR="00BF47FC">
        <w:t>CHMPs</w:t>
      </w:r>
      <w:r w:rsidR="00342AF6">
        <w:t xml:space="preserve"> and ACHLMAs to</w:t>
      </w:r>
      <w:r w:rsidR="00BF47FC">
        <w:t xml:space="preserve"> </w:t>
      </w:r>
      <w:r w:rsidR="00342AF6">
        <w:t xml:space="preserve">protect </w:t>
      </w:r>
      <w:r w:rsidR="00BF47FC">
        <w:t>Aboriginal cultural heritage. In addition, the Regulations prescribe fee levels, application forms and standards to give effect to the Act.</w:t>
      </w:r>
    </w:p>
    <w:p w14:paraId="1AB708CE" w14:textId="5821438A" w:rsidR="007B7CDD" w:rsidRDefault="0050493A" w:rsidP="00705BA8">
      <w:pPr>
        <w:pStyle w:val="Heading8"/>
      </w:pPr>
      <w:r>
        <w:t>Options</w:t>
      </w:r>
    </w:p>
    <w:p w14:paraId="168E6465" w14:textId="13A9E0E3" w:rsidR="00342AF6" w:rsidRDefault="001940C0" w:rsidP="00342AF6">
      <w:pPr>
        <w:pStyle w:val="PwCNormal"/>
        <w:numPr>
          <w:ilvl w:val="0"/>
          <w:numId w:val="0"/>
        </w:numPr>
        <w:rPr>
          <w:lang w:val="en-US"/>
        </w:rPr>
      </w:pPr>
      <w:r w:rsidRPr="001940C0">
        <w:t xml:space="preserve">The </w:t>
      </w:r>
      <w:r w:rsidR="00E84E44">
        <w:t>O</w:t>
      </w:r>
      <w:r w:rsidRPr="001940C0">
        <w:t>ptions</w:t>
      </w:r>
      <w:r w:rsidR="00E84E44">
        <w:t xml:space="preserve"> presented</w:t>
      </w:r>
      <w:r w:rsidRPr="001940C0">
        <w:t xml:space="preserve"> in this RIS have been developed </w:t>
      </w:r>
      <w:r w:rsidR="008D6E42">
        <w:t>by</w:t>
      </w:r>
      <w:r w:rsidRPr="001940C0">
        <w:t xml:space="preserve"> AV </w:t>
      </w:r>
      <w:r w:rsidR="008D6E42">
        <w:t>based on input from stakeholders and considerations on how the current Regulations are performing</w:t>
      </w:r>
      <w:r>
        <w:t>.</w:t>
      </w:r>
      <w:r w:rsidR="00342AF6" w:rsidRPr="00342AF6">
        <w:rPr>
          <w:lang w:val="en-US"/>
        </w:rPr>
        <w:t xml:space="preserve"> </w:t>
      </w:r>
      <w:r w:rsidR="00342AF6">
        <w:rPr>
          <w:lang w:val="en-US"/>
        </w:rPr>
        <w:t>The development of the Options was based on the following process:</w:t>
      </w:r>
    </w:p>
    <w:p w14:paraId="2CB3AA01" w14:textId="678F8DA4" w:rsidR="0098376E" w:rsidRDefault="0098376E" w:rsidP="00342AF6">
      <w:pPr>
        <w:pStyle w:val="ListBullet"/>
        <w:rPr>
          <w:lang w:val="en-US"/>
        </w:rPr>
      </w:pPr>
      <w:r>
        <w:rPr>
          <w:lang w:val="en-US"/>
        </w:rPr>
        <w:t xml:space="preserve">Consult with stakeholders and within AV to </w:t>
      </w:r>
      <w:r w:rsidR="006A136F">
        <w:rPr>
          <w:lang w:val="en-US"/>
        </w:rPr>
        <w:t>obtain feedback on</w:t>
      </w:r>
      <w:r>
        <w:rPr>
          <w:lang w:val="en-US"/>
        </w:rPr>
        <w:t xml:space="preserve"> the current Regulations.</w:t>
      </w:r>
    </w:p>
    <w:p w14:paraId="6FAE3328" w14:textId="052217FE" w:rsidR="00342AF6" w:rsidRPr="00072523" w:rsidRDefault="00342AF6" w:rsidP="00342AF6">
      <w:pPr>
        <w:pStyle w:val="ListBullet"/>
        <w:rPr>
          <w:lang w:val="en-US"/>
        </w:rPr>
      </w:pPr>
      <w:r w:rsidRPr="00072523">
        <w:rPr>
          <w:lang w:val="en-US"/>
        </w:rPr>
        <w:t xml:space="preserve">Identify potential improvements to the Regulations </w:t>
      </w:r>
      <w:r w:rsidR="006A136F">
        <w:rPr>
          <w:lang w:val="en-US"/>
        </w:rPr>
        <w:t>based on</w:t>
      </w:r>
      <w:r w:rsidRPr="00072523">
        <w:rPr>
          <w:lang w:val="en-US"/>
        </w:rPr>
        <w:t xml:space="preserve"> stakeholder</w:t>
      </w:r>
      <w:r w:rsidR="006A136F">
        <w:rPr>
          <w:lang w:val="en-US"/>
        </w:rPr>
        <w:t xml:space="preserve"> feedback</w:t>
      </w:r>
      <w:r w:rsidRPr="00072523">
        <w:rPr>
          <w:lang w:val="en-US"/>
        </w:rPr>
        <w:t xml:space="preserve"> or through AV internal processes.</w:t>
      </w:r>
    </w:p>
    <w:p w14:paraId="08ED75C7" w14:textId="07FF27E5" w:rsidR="00342AF6" w:rsidRPr="00072523" w:rsidRDefault="00342AF6" w:rsidP="00342AF6">
      <w:pPr>
        <w:pStyle w:val="ListBullet"/>
        <w:rPr>
          <w:lang w:val="en-US"/>
        </w:rPr>
      </w:pPr>
      <w:r w:rsidRPr="00072523">
        <w:rPr>
          <w:lang w:val="en-US"/>
        </w:rPr>
        <w:t xml:space="preserve">Determine whether </w:t>
      </w:r>
      <w:r w:rsidR="006A136F">
        <w:rPr>
          <w:lang w:val="en-US"/>
        </w:rPr>
        <w:t xml:space="preserve">the proposed </w:t>
      </w:r>
      <w:r w:rsidRPr="00072523">
        <w:rPr>
          <w:lang w:val="en-US"/>
        </w:rPr>
        <w:t xml:space="preserve">change is feasible and in line with principles and </w:t>
      </w:r>
      <w:r w:rsidR="006A136F">
        <w:rPr>
          <w:lang w:val="en-US"/>
        </w:rPr>
        <w:t>objectives</w:t>
      </w:r>
      <w:r w:rsidRPr="00072523">
        <w:rPr>
          <w:lang w:val="en-US"/>
        </w:rPr>
        <w:t xml:space="preserve"> of the Act.</w:t>
      </w:r>
    </w:p>
    <w:p w14:paraId="33528FFE" w14:textId="62AA2DA4" w:rsidR="00342AF6" w:rsidRPr="0098376E" w:rsidRDefault="006A136F" w:rsidP="009D20EA">
      <w:pPr>
        <w:pStyle w:val="ListBullet"/>
        <w:rPr>
          <w:lang w:val="en-US"/>
        </w:rPr>
      </w:pPr>
      <w:r>
        <w:rPr>
          <w:lang w:val="en-US"/>
        </w:rPr>
        <w:t>Consider</w:t>
      </w:r>
      <w:r w:rsidR="00342AF6" w:rsidRPr="0098376E">
        <w:rPr>
          <w:lang w:val="en-US"/>
        </w:rPr>
        <w:t xml:space="preserve"> the potential impact, including</w:t>
      </w:r>
      <w:r w:rsidR="0098376E" w:rsidRPr="0098376E">
        <w:rPr>
          <w:lang w:val="en-US"/>
        </w:rPr>
        <w:t xml:space="preserve"> </w:t>
      </w:r>
      <w:r w:rsidR="00EC48D9">
        <w:rPr>
          <w:lang w:val="en-US"/>
        </w:rPr>
        <w:t xml:space="preserve">using </w:t>
      </w:r>
      <w:r w:rsidR="00342AF6" w:rsidRPr="0098376E">
        <w:rPr>
          <w:lang w:val="en-US"/>
        </w:rPr>
        <w:t>CHMP data</w:t>
      </w:r>
      <w:r w:rsidR="0098376E" w:rsidRPr="0098376E">
        <w:rPr>
          <w:lang w:val="en-US"/>
        </w:rPr>
        <w:t xml:space="preserve">, </w:t>
      </w:r>
      <w:r w:rsidR="00342AF6" w:rsidRPr="0098376E">
        <w:rPr>
          <w:lang w:val="en-US"/>
        </w:rPr>
        <w:t>geospatial and geographic mapping</w:t>
      </w:r>
      <w:r w:rsidR="0098376E">
        <w:rPr>
          <w:lang w:val="en-US"/>
        </w:rPr>
        <w:t xml:space="preserve">, and </w:t>
      </w:r>
      <w:r w:rsidR="00342AF6" w:rsidRPr="0098376E">
        <w:rPr>
          <w:lang w:val="en-US"/>
        </w:rPr>
        <w:t xml:space="preserve">data and information from other Departments (in particular, the Department of </w:t>
      </w:r>
      <w:r w:rsidR="00D24CCF">
        <w:rPr>
          <w:lang w:val="en-US"/>
        </w:rPr>
        <w:t xml:space="preserve">Environment, </w:t>
      </w:r>
      <w:r w:rsidR="00342AF6" w:rsidRPr="0098376E">
        <w:rPr>
          <w:lang w:val="en-US"/>
        </w:rPr>
        <w:t>Land, Water and Planning).</w:t>
      </w:r>
    </w:p>
    <w:p w14:paraId="562A77C2" w14:textId="6D73748A" w:rsidR="00342AF6" w:rsidRPr="00AC7EE5" w:rsidRDefault="00342AF6" w:rsidP="009D20EA">
      <w:pPr>
        <w:pStyle w:val="ListBullet"/>
        <w:numPr>
          <w:ilvl w:val="0"/>
          <w:numId w:val="0"/>
        </w:numPr>
        <w:rPr>
          <w:lang w:val="en-US"/>
        </w:rPr>
      </w:pPr>
      <w:r w:rsidRPr="0098376E">
        <w:rPr>
          <w:lang w:val="en-US"/>
        </w:rPr>
        <w:t>The list of high impact activities is based on each development</w:t>
      </w:r>
      <w:r w:rsidR="003C3024">
        <w:rPr>
          <w:lang w:val="en-US"/>
        </w:rPr>
        <w:t xml:space="preserve"> or land use</w:t>
      </w:r>
      <w:r w:rsidRPr="0098376E">
        <w:rPr>
          <w:lang w:val="en-US"/>
        </w:rPr>
        <w:t xml:space="preserve"> activity’s impact on the land and possible Aboriginal cultural heritage in the area. In particular, it reflects the extent </w:t>
      </w:r>
      <w:r w:rsidR="0098376E" w:rsidRPr="009E25C9">
        <w:rPr>
          <w:lang w:val="en-US"/>
        </w:rPr>
        <w:t xml:space="preserve">of development </w:t>
      </w:r>
      <w:r w:rsidR="003C3024">
        <w:rPr>
          <w:lang w:val="en-US"/>
        </w:rPr>
        <w:t>or land use activity</w:t>
      </w:r>
      <w:r w:rsidR="0098376E" w:rsidRPr="009E25C9">
        <w:rPr>
          <w:lang w:val="en-US"/>
        </w:rPr>
        <w:t xml:space="preserve">, including </w:t>
      </w:r>
      <w:r w:rsidRPr="009E25C9">
        <w:rPr>
          <w:lang w:val="en-US"/>
        </w:rPr>
        <w:t>activity size</w:t>
      </w:r>
      <w:r w:rsidR="0098376E" w:rsidRPr="009E25C9">
        <w:rPr>
          <w:lang w:val="en-US"/>
        </w:rPr>
        <w:t xml:space="preserve">, </w:t>
      </w:r>
      <w:r w:rsidRPr="00BE58D1">
        <w:rPr>
          <w:lang w:val="en-US"/>
        </w:rPr>
        <w:t>l</w:t>
      </w:r>
      <w:r w:rsidRPr="00D64CA6">
        <w:rPr>
          <w:lang w:val="en-US"/>
        </w:rPr>
        <w:t>andforms usually associated with the activity type</w:t>
      </w:r>
      <w:r w:rsidR="0098376E" w:rsidRPr="00982F75">
        <w:rPr>
          <w:lang w:val="en-US"/>
        </w:rPr>
        <w:t xml:space="preserve">, </w:t>
      </w:r>
      <w:r w:rsidRPr="00982F75">
        <w:rPr>
          <w:lang w:val="en-US"/>
        </w:rPr>
        <w:t>the extent and depth of ground disturbance</w:t>
      </w:r>
      <w:r w:rsidR="0098376E" w:rsidRPr="00536D28">
        <w:rPr>
          <w:lang w:val="en-US"/>
        </w:rPr>
        <w:t xml:space="preserve">, and </w:t>
      </w:r>
      <w:r w:rsidRPr="00536D28">
        <w:rPr>
          <w:lang w:val="en-US"/>
        </w:rPr>
        <w:t xml:space="preserve">the </w:t>
      </w:r>
      <w:r w:rsidR="003C3024">
        <w:rPr>
          <w:lang w:val="en-US"/>
        </w:rPr>
        <w:t>number</w:t>
      </w:r>
      <w:r w:rsidRPr="00AC1905">
        <w:rPr>
          <w:lang w:val="en-US"/>
        </w:rPr>
        <w:t xml:space="preserve"> of each activity type per year.</w:t>
      </w:r>
    </w:p>
    <w:p w14:paraId="1C89453C" w14:textId="2A0771F2" w:rsidR="001940C0" w:rsidRDefault="001940C0" w:rsidP="001940C0">
      <w:pPr>
        <w:pStyle w:val="PwCNormal"/>
      </w:pPr>
      <w:r>
        <w:t>All Options retain the broad</w:t>
      </w:r>
      <w:r w:rsidR="003C3024">
        <w:t>, current</w:t>
      </w:r>
      <w:r>
        <w:t xml:space="preserve"> regulatory framework. In addition </w:t>
      </w:r>
      <w:r w:rsidR="00E84E44">
        <w:t xml:space="preserve">to </w:t>
      </w:r>
      <w:r>
        <w:t xml:space="preserve">maintaining the existing Regulations (Option 1), Options 2 and 3 </w:t>
      </w:r>
      <w:r w:rsidR="009F532C">
        <w:t xml:space="preserve">relate to </w:t>
      </w:r>
      <w:r>
        <w:t>two decision choices:</w:t>
      </w:r>
    </w:p>
    <w:p w14:paraId="612A3637" w14:textId="16A43267" w:rsidR="0098376E" w:rsidRDefault="001940C0" w:rsidP="009D20EA">
      <w:pPr>
        <w:pStyle w:val="ListBullet"/>
        <w:rPr>
          <w:lang w:val="en-US"/>
        </w:rPr>
      </w:pPr>
      <w:r>
        <w:t xml:space="preserve">Altering the triggers for </w:t>
      </w:r>
      <w:r w:rsidR="00B103BF">
        <w:t xml:space="preserve">when </w:t>
      </w:r>
      <w:r>
        <w:t>a CHMP</w:t>
      </w:r>
      <w:r w:rsidR="00B103BF">
        <w:t xml:space="preserve"> is required to be prepared</w:t>
      </w:r>
      <w:r>
        <w:t>.</w:t>
      </w:r>
    </w:p>
    <w:p w14:paraId="612ABD05" w14:textId="41AA23D5" w:rsidR="0098376E" w:rsidRDefault="001940C0" w:rsidP="009A62E1">
      <w:pPr>
        <w:pStyle w:val="ListBullet"/>
      </w:pPr>
      <w:r>
        <w:t xml:space="preserve">Updating the standards for a CHMP (which affect the prescribed content of a CHMP and whether it involves a desktop, standard </w:t>
      </w:r>
      <w:r w:rsidR="003C3024">
        <w:t>and/</w:t>
      </w:r>
      <w:r>
        <w:t>or complex assessment).</w:t>
      </w:r>
    </w:p>
    <w:p w14:paraId="72A71810" w14:textId="372D7074" w:rsidR="00B103BF" w:rsidRDefault="001940C0" w:rsidP="001940C0">
      <w:pPr>
        <w:pStyle w:val="PwCNormal"/>
      </w:pPr>
      <w:r>
        <w:t xml:space="preserve">These two elements of the Regulations are the primary determinants of </w:t>
      </w:r>
      <w:r w:rsidR="00395382">
        <w:t>the extent to which</w:t>
      </w:r>
      <w:r>
        <w:t xml:space="preserve"> Aboriginal cultural heritage is </w:t>
      </w:r>
      <w:r w:rsidR="003C3024">
        <w:t xml:space="preserve">managed or </w:t>
      </w:r>
      <w:r>
        <w:t xml:space="preserve">protected through the regulatory framework, and as such, are the focus of the Options. </w:t>
      </w:r>
      <w:r w:rsidR="00B103BF">
        <w:t>They are also a key determinant of the costs created by the Regulations.</w:t>
      </w:r>
    </w:p>
    <w:p w14:paraId="2626F61F" w14:textId="0700C323" w:rsidR="00BF47FC" w:rsidRDefault="00395382" w:rsidP="001940C0">
      <w:pPr>
        <w:pStyle w:val="PwCNormal"/>
      </w:pPr>
      <w:r>
        <w:t xml:space="preserve">Importantly, </w:t>
      </w:r>
      <w:r w:rsidR="00E84E44">
        <w:t>these two elements</w:t>
      </w:r>
      <w:r w:rsidR="00B103BF">
        <w:t xml:space="preserve"> are not mutually exclusive and</w:t>
      </w:r>
      <w:r>
        <w:t xml:space="preserve"> could be implemented together if they were both found to </w:t>
      </w:r>
      <w:r w:rsidR="00B103BF">
        <w:t xml:space="preserve">provide </w:t>
      </w:r>
      <w:r>
        <w:t xml:space="preserve">net benefits. </w:t>
      </w:r>
    </w:p>
    <w:p w14:paraId="3FBC0A1C" w14:textId="2A13DD0E" w:rsidR="001940C0" w:rsidRDefault="00BF47FC" w:rsidP="00705BA8">
      <w:pPr>
        <w:pStyle w:val="Caption"/>
      </w:pPr>
      <w:r>
        <w:t>Options summary</w:t>
      </w:r>
      <w:r w:rsidR="001940C0">
        <w:t xml:space="preserve">: </w:t>
      </w:r>
    </w:p>
    <w:p w14:paraId="3CDD74A8" w14:textId="49EE9E29" w:rsidR="001940C0" w:rsidRDefault="001940C0" w:rsidP="00705BA8">
      <w:pPr>
        <w:pStyle w:val="ListBullet"/>
      </w:pPr>
      <w:r>
        <w:t xml:space="preserve">Option 1: Re-make the </w:t>
      </w:r>
      <w:r w:rsidR="00C92050">
        <w:t xml:space="preserve">existing </w:t>
      </w:r>
      <w:r>
        <w:t>Regulations.</w:t>
      </w:r>
    </w:p>
    <w:p w14:paraId="16D121F5" w14:textId="36C1CA7D" w:rsidR="001940C0" w:rsidRDefault="001940C0" w:rsidP="00705BA8">
      <w:pPr>
        <w:pStyle w:val="ListBullet"/>
      </w:pPr>
      <w:r>
        <w:t xml:space="preserve">Option 2: Re-make the Regulations </w:t>
      </w:r>
      <w:r w:rsidR="009719FC">
        <w:t xml:space="preserve">as in Option 1, </w:t>
      </w:r>
      <w:r>
        <w:t>and provide for targeted changes to the triggers for a CHMP to</w:t>
      </w:r>
      <w:r w:rsidR="009A62E1">
        <w:t>:</w:t>
      </w:r>
    </w:p>
    <w:p w14:paraId="32DB7E3A" w14:textId="391A55E1" w:rsidR="009A62E1" w:rsidRDefault="009A62E1" w:rsidP="009A62E1">
      <w:pPr>
        <w:pStyle w:val="ListBullet"/>
      </w:pPr>
      <w:r>
        <w:t>amend, namely:</w:t>
      </w:r>
    </w:p>
    <w:p w14:paraId="298650FC" w14:textId="73C8AC91" w:rsidR="009A62E1" w:rsidRPr="00AA69A1" w:rsidRDefault="009A62E1" w:rsidP="009A62E1">
      <w:pPr>
        <w:pStyle w:val="ListBullet2"/>
        <w:rPr>
          <w:lang w:val="en-US"/>
        </w:rPr>
      </w:pPr>
      <w:r>
        <w:t>the definition of high impact activities</w:t>
      </w:r>
      <w:r w:rsidRPr="00AA69A1">
        <w:rPr>
          <w:lang w:val="en-US"/>
        </w:rPr>
        <w:t xml:space="preserve"> (see Division 2 of Part 2 of the current Regulations</w:t>
      </w:r>
      <w:r>
        <w:rPr>
          <w:lang w:val="en-US"/>
        </w:rPr>
        <w:t>)</w:t>
      </w:r>
      <w:r w:rsidR="0057395A">
        <w:rPr>
          <w:lang w:val="en-US"/>
        </w:rPr>
        <w:t xml:space="preserve"> to also include</w:t>
      </w:r>
      <w:r w:rsidRPr="00AA69A1">
        <w:rPr>
          <w:lang w:val="en-US"/>
        </w:rPr>
        <w:t>:</w:t>
      </w:r>
    </w:p>
    <w:p w14:paraId="20DDAC30" w14:textId="0B2EA27C" w:rsidR="009A62E1" w:rsidRDefault="009A62E1" w:rsidP="009A62E1">
      <w:pPr>
        <w:pStyle w:val="ListBullet3"/>
        <w:rPr>
          <w:lang w:val="en-US"/>
        </w:rPr>
      </w:pPr>
      <w:r>
        <w:rPr>
          <w:lang w:val="en-US"/>
        </w:rPr>
        <w:t xml:space="preserve">the </w:t>
      </w:r>
      <w:r w:rsidR="00764BCC">
        <w:rPr>
          <w:lang w:val="en-US"/>
        </w:rPr>
        <w:t>construction</w:t>
      </w:r>
      <w:r>
        <w:rPr>
          <w:lang w:val="en-US"/>
        </w:rPr>
        <w:t xml:space="preserve"> of residential villages</w:t>
      </w:r>
    </w:p>
    <w:p w14:paraId="732382B4" w14:textId="171C3748" w:rsidR="009A62E1" w:rsidRDefault="009A62E1" w:rsidP="009A62E1">
      <w:pPr>
        <w:pStyle w:val="ListBullet3"/>
        <w:rPr>
          <w:lang w:val="en-US"/>
        </w:rPr>
      </w:pPr>
      <w:r>
        <w:rPr>
          <w:lang w:val="en-US"/>
        </w:rPr>
        <w:t xml:space="preserve">the </w:t>
      </w:r>
      <w:r w:rsidR="00764BCC">
        <w:rPr>
          <w:lang w:val="en-US"/>
        </w:rPr>
        <w:t>construction</w:t>
      </w:r>
      <w:r>
        <w:rPr>
          <w:lang w:val="en-US"/>
        </w:rPr>
        <w:t xml:space="preserve"> of Residential Buildings</w:t>
      </w:r>
    </w:p>
    <w:p w14:paraId="345A285B" w14:textId="77777777" w:rsidR="009A62E1" w:rsidRDefault="009A62E1" w:rsidP="009A62E1">
      <w:pPr>
        <w:pStyle w:val="ListBullet3"/>
        <w:rPr>
          <w:lang w:val="en-US"/>
        </w:rPr>
      </w:pPr>
      <w:r w:rsidRPr="00AA69A1">
        <w:rPr>
          <w:lang w:val="en-US"/>
        </w:rPr>
        <w:t>the construction of fuel breaks that require a permit to remove native vegetation</w:t>
      </w:r>
    </w:p>
    <w:p w14:paraId="01CAF35E" w14:textId="77777777" w:rsidR="009A62E1" w:rsidRDefault="009A62E1" w:rsidP="009A62E1">
      <w:pPr>
        <w:pStyle w:val="ListBullet3"/>
        <w:rPr>
          <w:lang w:val="en-US"/>
        </w:rPr>
      </w:pPr>
      <w:r>
        <w:rPr>
          <w:lang w:val="en-US"/>
        </w:rPr>
        <w:t>walking and cycling tracks less than 500 metres long</w:t>
      </w:r>
    </w:p>
    <w:p w14:paraId="61E71B7D" w14:textId="310A503F" w:rsidR="009A62E1" w:rsidRDefault="009A62E1" w:rsidP="009A62E1">
      <w:pPr>
        <w:pStyle w:val="ListBullet2"/>
        <w:rPr>
          <w:lang w:val="en-US"/>
        </w:rPr>
      </w:pPr>
      <w:r>
        <w:rPr>
          <w:lang w:val="en-US"/>
        </w:rPr>
        <w:t>update the areas of cultural heritage sensitivity (see Division 3 of Part 2 of the current Regulations), including:</w:t>
      </w:r>
    </w:p>
    <w:p w14:paraId="7A16690B" w14:textId="77777777" w:rsidR="009A62E1" w:rsidRDefault="009A62E1" w:rsidP="009A62E1">
      <w:pPr>
        <w:pStyle w:val="ListBullet3"/>
        <w:rPr>
          <w:lang w:val="en-US"/>
        </w:rPr>
      </w:pPr>
      <w:r>
        <w:rPr>
          <w:lang w:val="en-US"/>
        </w:rPr>
        <w:t>expanding the definition to include parks and reserves managed for conservation purposes</w:t>
      </w:r>
    </w:p>
    <w:p w14:paraId="48C8CBA6" w14:textId="729329CC" w:rsidR="009A62E1" w:rsidRDefault="009A62E1" w:rsidP="009A62E1">
      <w:pPr>
        <w:pStyle w:val="ListBullet3"/>
        <w:rPr>
          <w:lang w:val="en-US"/>
        </w:rPr>
      </w:pPr>
      <w:r>
        <w:rPr>
          <w:lang w:val="en-US"/>
        </w:rPr>
        <w:t>the definition of waterways to ensure that channelised sections</w:t>
      </w:r>
      <w:r w:rsidR="0057395A">
        <w:rPr>
          <w:lang w:val="en-US"/>
        </w:rPr>
        <w:t xml:space="preserve"> are included</w:t>
      </w:r>
    </w:p>
    <w:p w14:paraId="5A39747F" w14:textId="1FF97163" w:rsidR="009A62E1" w:rsidRDefault="009A62E1" w:rsidP="009A62E1">
      <w:pPr>
        <w:pStyle w:val="ListBullet3"/>
        <w:rPr>
          <w:lang w:val="en-US"/>
        </w:rPr>
      </w:pPr>
      <w:r>
        <w:rPr>
          <w:lang w:val="en-US"/>
        </w:rPr>
        <w:t xml:space="preserve">relying on more </w:t>
      </w:r>
      <w:r w:rsidR="00764BCC">
        <w:rPr>
          <w:lang w:val="en-US"/>
        </w:rPr>
        <w:t>current</w:t>
      </w:r>
      <w:r>
        <w:rPr>
          <w:lang w:val="en-US"/>
        </w:rPr>
        <w:t xml:space="preserve"> </w:t>
      </w:r>
      <w:r w:rsidR="0057395A">
        <w:rPr>
          <w:lang w:val="en-US"/>
        </w:rPr>
        <w:t>geological</w:t>
      </w:r>
      <w:r>
        <w:rPr>
          <w:lang w:val="en-US"/>
        </w:rPr>
        <w:t xml:space="preserve"> data.</w:t>
      </w:r>
    </w:p>
    <w:p w14:paraId="73B55F12" w14:textId="3F7F9804" w:rsidR="009A62E1" w:rsidRDefault="001940C0" w:rsidP="00705BA8">
      <w:pPr>
        <w:pStyle w:val="ListBullet"/>
      </w:pPr>
      <w:r>
        <w:t xml:space="preserve">Option 3: Re-make the Regulations as in Option 1, but amend the CHMP </w:t>
      </w:r>
      <w:r w:rsidR="006E034E">
        <w:t xml:space="preserve">guidelines </w:t>
      </w:r>
      <w:r>
        <w:t>to provide greater clarity to CHMP sponsors and RAPs regarding the standards required for CHMPs</w:t>
      </w:r>
      <w:r w:rsidR="009A62E1">
        <w:t xml:space="preserve"> to:</w:t>
      </w:r>
    </w:p>
    <w:p w14:paraId="1CA3090C" w14:textId="77777777" w:rsidR="009A62E1" w:rsidRDefault="009A62E1" w:rsidP="009A62E1">
      <w:pPr>
        <w:pStyle w:val="ListBullet2"/>
      </w:pPr>
      <w:r>
        <w:t>improve the explanation in a desktop assessment around the likelihood of finding Aboriginal cultural heritage in the assessment area</w:t>
      </w:r>
    </w:p>
    <w:p w14:paraId="359EDF10" w14:textId="46AC3080" w:rsidR="009A62E1" w:rsidRDefault="009A62E1" w:rsidP="009A62E1">
      <w:pPr>
        <w:pStyle w:val="ListBullet2"/>
      </w:pPr>
      <w:r>
        <w:t>clarify when a CHMP should progress from a desktop assessment to</w:t>
      </w:r>
      <w:r w:rsidR="00187308">
        <w:t xml:space="preserve"> a</w:t>
      </w:r>
      <w:r>
        <w:t xml:space="preserve"> standard assessment, and onto a complex assessment</w:t>
      </w:r>
    </w:p>
    <w:p w14:paraId="2AE02A27" w14:textId="6228C84C" w:rsidR="009A62E1" w:rsidRDefault="009A62E1" w:rsidP="009A62E1">
      <w:pPr>
        <w:pStyle w:val="ListBullet2"/>
      </w:pPr>
      <w:r>
        <w:t xml:space="preserve">provide information </w:t>
      </w:r>
      <w:r w:rsidR="00187308">
        <w:t>on</w:t>
      </w:r>
      <w:r>
        <w:t xml:space="preserve"> what a cumulative impacts statement </w:t>
      </w:r>
      <w:r w:rsidR="00764BCC">
        <w:t>must consider</w:t>
      </w:r>
    </w:p>
    <w:p w14:paraId="74BDDCA0" w14:textId="77777777" w:rsidR="009A62E1" w:rsidRDefault="009A62E1" w:rsidP="009A62E1">
      <w:pPr>
        <w:pStyle w:val="ListBullet2"/>
      </w:pPr>
      <w:r>
        <w:t>ensure that the management conditions recommended are consistent with the conclusions of the assessment.</w:t>
      </w:r>
    </w:p>
    <w:p w14:paraId="1FF27CA6" w14:textId="76D742B3" w:rsidR="001940C0" w:rsidRDefault="001940C0" w:rsidP="009D20EA">
      <w:pPr>
        <w:pStyle w:val="ListBullet2"/>
        <w:numPr>
          <w:ilvl w:val="0"/>
          <w:numId w:val="0"/>
        </w:numPr>
        <w:ind w:left="568"/>
      </w:pPr>
    </w:p>
    <w:p w14:paraId="04AE3313" w14:textId="13790E51" w:rsidR="00BF47FC" w:rsidRDefault="00BF47FC" w:rsidP="00705BA8">
      <w:pPr>
        <w:pStyle w:val="Caption"/>
      </w:pPr>
      <w:r>
        <w:t>Impacts of the Options</w:t>
      </w:r>
    </w:p>
    <w:p w14:paraId="07BA0D35" w14:textId="12C4F4D6" w:rsidR="009A62E1" w:rsidRDefault="009A62E1" w:rsidP="00705BA8">
      <w:pPr>
        <w:pStyle w:val="ListBullet"/>
        <w:numPr>
          <w:ilvl w:val="0"/>
          <w:numId w:val="0"/>
        </w:numPr>
      </w:pPr>
      <w:r>
        <w:t xml:space="preserve">The </w:t>
      </w:r>
      <w:r w:rsidR="00187308">
        <w:t>practical implications</w:t>
      </w:r>
      <w:r>
        <w:t xml:space="preserve"> of </w:t>
      </w:r>
      <w:r w:rsidR="00187308">
        <w:t xml:space="preserve">the proposed requirements under </w:t>
      </w:r>
      <w:r>
        <w:t>Options 2 and 3</w:t>
      </w:r>
      <w:r w:rsidR="00187308">
        <w:t xml:space="preserve"> (compared with the current Regulations)</w:t>
      </w:r>
      <w:r>
        <w:t xml:space="preserve"> are:</w:t>
      </w:r>
    </w:p>
    <w:p w14:paraId="19FB2EFD" w14:textId="28F17F2C" w:rsidR="009A62E1" w:rsidRDefault="009A62E1" w:rsidP="009D20EA">
      <w:pPr>
        <w:pStyle w:val="ListBullet"/>
      </w:pPr>
      <w:r>
        <w:t xml:space="preserve">Option 2 will result in an increase in the number of CHMPs conducted each year due to the expansion of the triggers for </w:t>
      </w:r>
      <w:r w:rsidR="00764BCC">
        <w:t>preparing</w:t>
      </w:r>
      <w:r>
        <w:t xml:space="preserve"> a CHMP.</w:t>
      </w:r>
    </w:p>
    <w:p w14:paraId="2C0D6B34" w14:textId="53A8951F" w:rsidR="009A62E1" w:rsidRDefault="009A62E1" w:rsidP="009D20EA">
      <w:pPr>
        <w:pStyle w:val="ListBullet"/>
      </w:pPr>
      <w:r>
        <w:t>Option 3 will result in an improvement in the clarity of CHMP</w:t>
      </w:r>
      <w:r w:rsidR="006B2526">
        <w:t xml:space="preserve"> requirements</w:t>
      </w:r>
      <w:r>
        <w:t xml:space="preserve">, which is anticipated to reduce the proportion of CHMPs with complex assessments and </w:t>
      </w:r>
      <w:r w:rsidR="006A745B">
        <w:t>the cost of management conditions.</w:t>
      </w:r>
    </w:p>
    <w:p w14:paraId="3AA7382B" w14:textId="58B91408" w:rsidR="00BF47FC" w:rsidRDefault="009A43FF" w:rsidP="00705BA8">
      <w:pPr>
        <w:pStyle w:val="ListBullet"/>
        <w:numPr>
          <w:ilvl w:val="0"/>
          <w:numId w:val="0"/>
        </w:numPr>
      </w:pPr>
      <w:r>
        <w:t>AV anticipates that o</w:t>
      </w:r>
      <w:r w:rsidR="00BF47FC">
        <w:t xml:space="preserve">ption 2 </w:t>
      </w:r>
      <w:r w:rsidR="0056168E">
        <w:t xml:space="preserve">will </w:t>
      </w:r>
      <w:r w:rsidR="00BF47FC">
        <w:t xml:space="preserve">result in approximately </w:t>
      </w:r>
      <w:r w:rsidR="00BF47FC" w:rsidRPr="009D20EA">
        <w:t>2.</w:t>
      </w:r>
      <w:r w:rsidR="009A62E1" w:rsidRPr="009D20EA">
        <w:t>9</w:t>
      </w:r>
      <w:r w:rsidR="00BF47FC" w:rsidRPr="009D20EA">
        <w:t xml:space="preserve"> per cent</w:t>
      </w:r>
      <w:r w:rsidR="00BF47FC" w:rsidRPr="009A62E1">
        <w:t xml:space="preserve"> more </w:t>
      </w:r>
      <w:r w:rsidR="00F31B1F" w:rsidRPr="009E25C9">
        <w:t>Notices of Intention to prepare a CHMP (</w:t>
      </w:r>
      <w:r w:rsidR="00BF47FC" w:rsidRPr="009E25C9">
        <w:t>NOIs</w:t>
      </w:r>
      <w:r w:rsidR="00F31B1F" w:rsidRPr="009E25C9">
        <w:t>)</w:t>
      </w:r>
      <w:r w:rsidR="00BF47FC" w:rsidRPr="00BE58D1">
        <w:t xml:space="preserve">, amended CHMPs and incomplete CHMPs to be prepared by sponsors each year, and </w:t>
      </w:r>
      <w:r w:rsidR="00E804AA">
        <w:t>a modest</w:t>
      </w:r>
      <w:r w:rsidR="00BF47FC">
        <w:t xml:space="preserve"> reduction in the time taken to </w:t>
      </w:r>
      <w:r w:rsidR="009F532C">
        <w:t>decide if a</w:t>
      </w:r>
      <w:r w:rsidR="00BF47FC">
        <w:t xml:space="preserve"> CHMP </w:t>
      </w:r>
      <w:r w:rsidR="009F532C">
        <w:t>is required for areas of cultural heritage sensitivity associated with</w:t>
      </w:r>
      <w:r w:rsidR="00BF47FC">
        <w:t xml:space="preserve"> waterways.</w:t>
      </w:r>
      <w:r w:rsidR="00BF47FC">
        <w:rPr>
          <w:rStyle w:val="FootnoteReference"/>
        </w:rPr>
        <w:footnoteReference w:id="3"/>
      </w:r>
    </w:p>
    <w:p w14:paraId="477B100D" w14:textId="425D60BF" w:rsidR="00BF47FC" w:rsidRDefault="00BF47FC" w:rsidP="00705BA8">
      <w:pPr>
        <w:pStyle w:val="ListBullet"/>
        <w:numPr>
          <w:ilvl w:val="0"/>
          <w:numId w:val="0"/>
        </w:numPr>
      </w:pPr>
      <w:r>
        <w:t xml:space="preserve">Option 3 is </w:t>
      </w:r>
      <w:r w:rsidR="00AF3C1D">
        <w:t xml:space="preserve">expected </w:t>
      </w:r>
      <w:r>
        <w:t xml:space="preserve">to result </w:t>
      </w:r>
      <w:r w:rsidRPr="009A62E1">
        <w:t xml:space="preserve">in </w:t>
      </w:r>
      <w:r w:rsidR="00E804AA">
        <w:t xml:space="preserve">a modest </w:t>
      </w:r>
      <w:r w:rsidRPr="009A62E1">
        <w:t xml:space="preserve">reduction in the number of CHMPs requiring a complex assessment, with a corresponding increase in the number </w:t>
      </w:r>
      <w:r w:rsidR="008F4FAC">
        <w:t>which include</w:t>
      </w:r>
      <w:r w:rsidR="008F4FAC" w:rsidRPr="009A62E1">
        <w:t xml:space="preserve"> </w:t>
      </w:r>
      <w:r w:rsidRPr="009A62E1">
        <w:t xml:space="preserve">a standard assessment. In addition, it is </w:t>
      </w:r>
      <w:r w:rsidR="00AF3C1D">
        <w:t>expected</w:t>
      </w:r>
      <w:r w:rsidR="00AF3C1D" w:rsidRPr="009A62E1">
        <w:t xml:space="preserve"> </w:t>
      </w:r>
      <w:r w:rsidRPr="009A62E1">
        <w:t xml:space="preserve">that </w:t>
      </w:r>
      <w:r w:rsidR="009719FC">
        <w:t>this Option</w:t>
      </w:r>
      <w:r w:rsidR="009719FC" w:rsidRPr="009A62E1">
        <w:t xml:space="preserve"> </w:t>
      </w:r>
      <w:r w:rsidRPr="009A62E1">
        <w:t xml:space="preserve">will result in </w:t>
      </w:r>
      <w:r w:rsidR="00AF3C1D">
        <w:t xml:space="preserve">a modest </w:t>
      </w:r>
      <w:r w:rsidRPr="009A62E1">
        <w:t>reduction in the time required to undertake a desktop assessment and</w:t>
      </w:r>
      <w:r w:rsidR="009719FC">
        <w:t xml:space="preserve"> approximately </w:t>
      </w:r>
      <w:r w:rsidRPr="009A62E1">
        <w:t xml:space="preserve"> a </w:t>
      </w:r>
      <w:r w:rsidRPr="009D20EA">
        <w:t>five per cent</w:t>
      </w:r>
      <w:r w:rsidRPr="009A62E1">
        <w:t xml:space="preserve"> reduction in the cost of management conditions, due to greater clarity provided</w:t>
      </w:r>
      <w:r>
        <w:t xml:space="preserve"> in the </w:t>
      </w:r>
      <w:r w:rsidR="007E182C">
        <w:t>guidance material</w:t>
      </w:r>
      <w:r>
        <w:t>.</w:t>
      </w:r>
      <w:r>
        <w:rPr>
          <w:rStyle w:val="FootnoteReference"/>
        </w:rPr>
        <w:footnoteReference w:id="4"/>
      </w:r>
    </w:p>
    <w:p w14:paraId="5773A63E" w14:textId="03223F50" w:rsidR="00C92050" w:rsidRDefault="00C92050" w:rsidP="00705BA8">
      <w:pPr>
        <w:pStyle w:val="Heading8"/>
      </w:pPr>
      <w:r>
        <w:t>Analysis</w:t>
      </w:r>
    </w:p>
    <w:p w14:paraId="505CB78F" w14:textId="2A3494F5" w:rsidR="00ED3EE9" w:rsidRDefault="00ED3EE9" w:rsidP="00705BA8">
      <w:pPr>
        <w:pStyle w:val="Caption"/>
      </w:pPr>
      <w:r w:rsidRPr="00ED3EE9">
        <w:t>Benefits of the options</w:t>
      </w:r>
    </w:p>
    <w:p w14:paraId="3E434F26" w14:textId="51800781" w:rsidR="00ED3EE9" w:rsidRDefault="00ED3EE9" w:rsidP="00705BA8">
      <w:r w:rsidRPr="00ED3EE9">
        <w:t>The Regulations primarily protect Aboriginal cultural heritage by setting out the circumstances in which a CHMP must be prepared and the standards for the preparation of CHMPs.</w:t>
      </w:r>
    </w:p>
    <w:p w14:paraId="37ACB7E8" w14:textId="09A02664" w:rsidR="00ED3EE9" w:rsidRPr="008426A6" w:rsidRDefault="00ED3EE9" w:rsidP="00705BA8">
      <w:pPr>
        <w:pStyle w:val="Caption"/>
      </w:pPr>
      <w:r w:rsidRPr="00705BA8">
        <w:rPr>
          <w:b w:val="0"/>
        </w:rPr>
        <w:t>Quantified benefits of the Regulations</w:t>
      </w:r>
    </w:p>
    <w:p w14:paraId="32ACA504" w14:textId="13554838" w:rsidR="00ED3EE9" w:rsidRDefault="00670320" w:rsidP="00ED3EE9">
      <w:pPr>
        <w:pStyle w:val="PwCNormal"/>
      </w:pPr>
      <w:r>
        <w:t>Heritage is generally considered to be irreplaceable and therefore it could be argued that it is priceless. Nonetheless, for the purposes of this RIS, we have attempted to develop a proxy of the potential value of Aboriginal cultural heritage and the benefits of the Regulations. Using published research, we have estimated t</w:t>
      </w:r>
      <w:r w:rsidR="00395382">
        <w:t xml:space="preserve">he quantified benefits of the Regulations are estimated to be $296,739 per </w:t>
      </w:r>
      <w:r w:rsidR="006B2526">
        <w:t>Aboriginal place</w:t>
      </w:r>
      <w:r w:rsidR="00395382">
        <w:t xml:space="preserve"> in Victoria. This is based on </w:t>
      </w:r>
      <w:r w:rsidR="00ED3EE9">
        <w:t xml:space="preserve">a 2003 </w:t>
      </w:r>
      <w:r w:rsidR="0090520F">
        <w:t xml:space="preserve">choice modelling </w:t>
      </w:r>
      <w:r w:rsidR="00ED3EE9">
        <w:t>study authored by John Rolfe and Jill Windle</w:t>
      </w:r>
      <w:r w:rsidR="00D462E3">
        <w:rPr>
          <w:rStyle w:val="FootnoteReference"/>
        </w:rPr>
        <w:footnoteReference w:id="5"/>
      </w:r>
      <w:r w:rsidR="00ED3EE9">
        <w:t xml:space="preserve"> on the stated values of Aboriginal cultural heritage to Aboriginal and n</w:t>
      </w:r>
      <w:r w:rsidR="00395382">
        <w:t>on-Aboriginal people</w:t>
      </w:r>
      <w:r w:rsidR="00ED3EE9">
        <w:t>. This</w:t>
      </w:r>
      <w:r w:rsidR="00395382">
        <w:t xml:space="preserve"> finding</w:t>
      </w:r>
      <w:r w:rsidR="00ED3EE9">
        <w:t xml:space="preserve"> </w:t>
      </w:r>
      <w:r w:rsidR="0090520F">
        <w:t>wa</w:t>
      </w:r>
      <w:r w:rsidR="00ED3EE9">
        <w:t xml:space="preserve">s primarily </w:t>
      </w:r>
      <w:r w:rsidR="0090520F">
        <w:t xml:space="preserve">based on </w:t>
      </w:r>
      <w:r w:rsidR="00ED3EE9">
        <w:t xml:space="preserve">the value assigned by Aboriginal people, as the study </w:t>
      </w:r>
      <w:r w:rsidR="0090520F">
        <w:t xml:space="preserve">premised </w:t>
      </w:r>
      <w:r w:rsidR="00ED3EE9">
        <w:t xml:space="preserve">that non-Aboriginal people </w:t>
      </w:r>
      <w:r w:rsidR="009A43FF">
        <w:t xml:space="preserve">in that study at that time </w:t>
      </w:r>
      <w:r w:rsidR="00ED3EE9">
        <w:t xml:space="preserve">did not value Aboriginal cultural heritage relative to other forms of land management. </w:t>
      </w:r>
    </w:p>
    <w:p w14:paraId="5FED764F" w14:textId="728D883B" w:rsidR="00ED3EE9" w:rsidRDefault="00ED3EE9">
      <w:pPr>
        <w:pStyle w:val="PwCNormal"/>
      </w:pPr>
      <w:r>
        <w:t xml:space="preserve">Another choice modelling exercise by </w:t>
      </w:r>
      <w:r w:rsidR="00670320">
        <w:t>T</w:t>
      </w:r>
      <w:r>
        <w:t>he Allen Consulting Group in 2005</w:t>
      </w:r>
      <w:r w:rsidR="00D462E3">
        <w:rPr>
          <w:rStyle w:val="FootnoteReference"/>
        </w:rPr>
        <w:footnoteReference w:id="6"/>
      </w:r>
      <w:r>
        <w:t xml:space="preserve"> indicated that Australians valued a tightening of development controls and an increase in the number of heritage listings at $105.90 ($146.27 in 2018 dollars) per person per year.</w:t>
      </w:r>
      <w:r w:rsidRPr="00ED3EE9">
        <w:t xml:space="preserve"> As the Rolfe and Windle study focused specifically on Aboriginal cultural heritage, the results of that study should be </w:t>
      </w:r>
      <w:r w:rsidR="0090520F">
        <w:t>given primary consideration</w:t>
      </w:r>
      <w:r w:rsidRPr="00ED3EE9">
        <w:t xml:space="preserve">. </w:t>
      </w:r>
      <w:r w:rsidR="00DD5EF7">
        <w:t>While the studies cannot be directly compared</w:t>
      </w:r>
      <w:r w:rsidRPr="00ED3EE9">
        <w:t xml:space="preserve">, </w:t>
      </w:r>
      <w:r w:rsidR="00670320">
        <w:t>T</w:t>
      </w:r>
      <w:r w:rsidRPr="00ED3EE9">
        <w:t>he Allen Consulting Group’s study provides a useful</w:t>
      </w:r>
      <w:r w:rsidR="00DD5EF7">
        <w:t xml:space="preserve">, broad-based </w:t>
      </w:r>
      <w:r w:rsidRPr="00ED3EE9">
        <w:t>check</w:t>
      </w:r>
      <w:r w:rsidR="00DD5EF7">
        <w:t>.</w:t>
      </w:r>
    </w:p>
    <w:p w14:paraId="20BF88A4" w14:textId="6765FC86" w:rsidR="00ED3EE9" w:rsidRPr="008426A6" w:rsidRDefault="00ED3EE9" w:rsidP="00705BA8">
      <w:pPr>
        <w:pStyle w:val="Caption"/>
      </w:pPr>
      <w:r w:rsidRPr="00705BA8">
        <w:rPr>
          <w:b w:val="0"/>
        </w:rPr>
        <w:t>Non-quantified benefits</w:t>
      </w:r>
    </w:p>
    <w:p w14:paraId="6FDD815F" w14:textId="1389845E" w:rsidR="00ED3EE9" w:rsidRDefault="00670320">
      <w:pPr>
        <w:pStyle w:val="PwCNormal"/>
      </w:pPr>
      <w:r>
        <w:t>As indicated earlier, t</w:t>
      </w:r>
      <w:r w:rsidR="00ED3EE9" w:rsidRPr="00ED3EE9">
        <w:t xml:space="preserve">here are significant benefits of Aboriginal cultural heritage that cannot be </w:t>
      </w:r>
      <w:r>
        <w:t>readily</w:t>
      </w:r>
      <w:r w:rsidRPr="00ED3EE9">
        <w:t xml:space="preserve"> </w:t>
      </w:r>
      <w:r w:rsidR="00ED3EE9" w:rsidRPr="00ED3EE9">
        <w:t>quantified. These primarily relate to</w:t>
      </w:r>
      <w:r w:rsidR="00ED3EE9">
        <w:t xml:space="preserve"> social benefits and tourism benefits:</w:t>
      </w:r>
    </w:p>
    <w:p w14:paraId="169027AF" w14:textId="228187EE" w:rsidR="00ED3EE9" w:rsidRDefault="00ED3EE9" w:rsidP="00705BA8">
      <w:pPr>
        <w:pStyle w:val="ListBullet"/>
      </w:pPr>
      <w:r>
        <w:t>I</w:t>
      </w:r>
      <w:r w:rsidRPr="00ED3EE9">
        <w:t>mproved social, psychological, educational and justice o</w:t>
      </w:r>
      <w:r>
        <w:t xml:space="preserve">utcomes for Aboriginal people: </w:t>
      </w:r>
      <w:r w:rsidRPr="00ED3EE9">
        <w:t>Aboriginal and Torres Strait Islanders identify themselves through their land areas,</w:t>
      </w:r>
      <w:r w:rsidR="00856778">
        <w:t xml:space="preserve"> or ‘country’</w:t>
      </w:r>
      <w:r w:rsidR="006B2526">
        <w:t xml:space="preserve">, </w:t>
      </w:r>
      <w:r w:rsidRPr="00ED3EE9">
        <w:t>and heritage.</w:t>
      </w:r>
      <w:r>
        <w:t xml:space="preserve"> </w:t>
      </w:r>
      <w:r w:rsidRPr="00ED3EE9">
        <w:t xml:space="preserve">According to Mike Dockery of Curtin University, Aboriginal Australians who are happiest, healthiest, have </w:t>
      </w:r>
      <w:r w:rsidR="00856778">
        <w:t xml:space="preserve">the </w:t>
      </w:r>
      <w:r w:rsidRPr="00ED3EE9">
        <w:t>low</w:t>
      </w:r>
      <w:r w:rsidR="00856778">
        <w:t>est</w:t>
      </w:r>
      <w:r w:rsidRPr="00ED3EE9">
        <w:t xml:space="preserve"> rates of contact with the corrections system, and </w:t>
      </w:r>
      <w:r w:rsidR="00670320">
        <w:t xml:space="preserve">have </w:t>
      </w:r>
      <w:r w:rsidRPr="00ED3EE9">
        <w:t>good educational outcomes are those with a strong attachment to their culture and a strong Aboriginal identity.</w:t>
      </w:r>
      <w:r w:rsidR="00D462E3">
        <w:rPr>
          <w:rStyle w:val="FootnoteReference"/>
        </w:rPr>
        <w:footnoteReference w:id="7"/>
      </w:r>
    </w:p>
    <w:p w14:paraId="0E9EED65" w14:textId="03DCD46F" w:rsidR="00ED3EE9" w:rsidRDefault="00ED3EE9" w:rsidP="00705BA8">
      <w:pPr>
        <w:pStyle w:val="ListBullet"/>
      </w:pPr>
      <w:r>
        <w:t>T</w:t>
      </w:r>
      <w:r w:rsidRPr="00ED3EE9">
        <w:t>ourism benefits</w:t>
      </w:r>
      <w:r>
        <w:t xml:space="preserve">: </w:t>
      </w:r>
      <w:r w:rsidR="00D462E3" w:rsidRPr="00D462E3">
        <w:t xml:space="preserve">The protection of places of Aboriginal cultural heritage significance can bring direct benefits to the Victorian economy, if tourists choose to travel to or within Victoria as a result of </w:t>
      </w:r>
      <w:r w:rsidR="00122FBC">
        <w:t xml:space="preserve">the promotion of </w:t>
      </w:r>
      <w:r w:rsidR="00D462E3" w:rsidRPr="00D462E3">
        <w:t>these places.</w:t>
      </w:r>
      <w:r w:rsidR="00D462E3">
        <w:t xml:space="preserve"> I</w:t>
      </w:r>
      <w:r w:rsidR="00D462E3" w:rsidRPr="00D462E3">
        <w:t>n 2004, tourists spent an estimated $7.8 billion ($10.8 billion in 2017 dollars)</w:t>
      </w:r>
      <w:r w:rsidR="00074136">
        <w:t xml:space="preserve"> nationwide</w:t>
      </w:r>
      <w:r w:rsidR="00D462E3" w:rsidRPr="00D462E3">
        <w:t xml:space="preserve"> on trips in which they visited at least one historic heritage site</w:t>
      </w:r>
      <w:r w:rsidR="00D462E3">
        <w:t>.</w:t>
      </w:r>
      <w:r w:rsidR="00D462E3">
        <w:rPr>
          <w:rStyle w:val="FootnoteReference"/>
        </w:rPr>
        <w:footnoteReference w:id="8"/>
      </w:r>
    </w:p>
    <w:p w14:paraId="44A0B9B1" w14:textId="72A1C3CA" w:rsidR="00456ECE" w:rsidRDefault="000339C5" w:rsidP="00705BA8">
      <w:pPr>
        <w:pStyle w:val="Caption"/>
      </w:pPr>
      <w:r>
        <w:t>Quantified c</w:t>
      </w:r>
      <w:r w:rsidR="00456ECE">
        <w:t>osts of the Options</w:t>
      </w:r>
    </w:p>
    <w:p w14:paraId="03461FDB" w14:textId="63240F36" w:rsidR="00D462E3" w:rsidRDefault="00E81BCD" w:rsidP="00705BA8">
      <w:pPr>
        <w:pStyle w:val="ListBullet"/>
        <w:numPr>
          <w:ilvl w:val="0"/>
          <w:numId w:val="0"/>
        </w:numPr>
        <w:ind w:left="284" w:hanging="284"/>
      </w:pPr>
      <w:r>
        <w:t xml:space="preserve">The </w:t>
      </w:r>
      <w:r w:rsidR="00456ECE">
        <w:t xml:space="preserve">estimated </w:t>
      </w:r>
      <w:r>
        <w:t xml:space="preserve">costs of the Options are shown in </w:t>
      </w:r>
      <w:r w:rsidR="00456ECE">
        <w:fldChar w:fldCharType="begin"/>
      </w:r>
      <w:r w:rsidR="00456ECE">
        <w:instrText xml:space="preserve"> REF _Ref505156502 \h </w:instrText>
      </w:r>
      <w:r w:rsidR="00456ECE">
        <w:fldChar w:fldCharType="separate"/>
      </w:r>
      <w:r w:rsidR="000369A1">
        <w:t xml:space="preserve">Table </w:t>
      </w:r>
      <w:r w:rsidR="000369A1">
        <w:rPr>
          <w:noProof/>
        </w:rPr>
        <w:t>2</w:t>
      </w:r>
      <w:r w:rsidR="00456ECE">
        <w:fldChar w:fldCharType="end"/>
      </w:r>
      <w:r w:rsidR="00456ECE">
        <w:t>.</w:t>
      </w:r>
    </w:p>
    <w:p w14:paraId="69B3F847" w14:textId="5AA4553F" w:rsidR="00E81BCD" w:rsidRDefault="00E81BCD" w:rsidP="00705BA8">
      <w:pPr>
        <w:pStyle w:val="Caption"/>
        <w:ind w:left="0" w:firstLine="0"/>
      </w:pPr>
      <w:bookmarkStart w:id="21" w:name="_Ref505156502"/>
      <w:r>
        <w:t xml:space="preserve">Table </w:t>
      </w:r>
      <w:r w:rsidR="00B47FE6">
        <w:fldChar w:fldCharType="begin"/>
      </w:r>
      <w:r w:rsidR="00B47FE6">
        <w:instrText xml:space="preserve"> SEQ Table \* ARABIC </w:instrText>
      </w:r>
      <w:r w:rsidR="00B47FE6">
        <w:fldChar w:fldCharType="separate"/>
      </w:r>
      <w:r w:rsidR="000369A1">
        <w:rPr>
          <w:noProof/>
        </w:rPr>
        <w:t>2</w:t>
      </w:r>
      <w:r w:rsidR="00B47FE6">
        <w:rPr>
          <w:noProof/>
        </w:rPr>
        <w:fldChar w:fldCharType="end"/>
      </w:r>
      <w:bookmarkEnd w:id="21"/>
      <w:r>
        <w:t>: Estimated costs of each Option ($ million) over 10 years (Net Present Value</w:t>
      </w:r>
      <w:r w:rsidR="006A745B">
        <w:t xml:space="preserve"> at four per cent discount rate</w:t>
      </w:r>
      <w:r w:rsidR="00DD5EF7">
        <w:t>, per annum</w:t>
      </w:r>
      <w:r>
        <w:t>)</w:t>
      </w:r>
    </w:p>
    <w:tbl>
      <w:tblPr>
        <w:tblW w:w="9788" w:type="dxa"/>
        <w:tblInd w:w="-601"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ayout w:type="fixed"/>
        <w:tblCellMar>
          <w:top w:w="57" w:type="dxa"/>
          <w:bottom w:w="57" w:type="dxa"/>
        </w:tblCellMar>
        <w:tblLook w:val="04A0" w:firstRow="1" w:lastRow="0" w:firstColumn="1" w:lastColumn="0" w:noHBand="0" w:noVBand="1"/>
      </w:tblPr>
      <w:tblGrid>
        <w:gridCol w:w="1419"/>
        <w:gridCol w:w="1394"/>
        <w:gridCol w:w="1443"/>
        <w:gridCol w:w="1419"/>
        <w:gridCol w:w="1418"/>
        <w:gridCol w:w="1419"/>
        <w:gridCol w:w="1276"/>
      </w:tblGrid>
      <w:tr w:rsidR="00456ECE" w:rsidRPr="00047950" w14:paraId="49C5234C" w14:textId="2C21A281" w:rsidTr="00705BA8">
        <w:trPr>
          <w:trHeight w:val="233"/>
        </w:trPr>
        <w:tc>
          <w:tcPr>
            <w:tcW w:w="1419" w:type="dxa"/>
            <w:shd w:val="clear" w:color="auto" w:fill="A32020" w:themeFill="text2"/>
            <w:noWrap/>
            <w:vAlign w:val="center"/>
            <w:hideMark/>
          </w:tcPr>
          <w:p w14:paraId="3848A8E4" w14:textId="298DE63C" w:rsidR="00E81BCD" w:rsidRPr="00047950" w:rsidRDefault="00E81BCD">
            <w:pPr>
              <w:kinsoku/>
              <w:overflowPunct/>
              <w:autoSpaceDE/>
              <w:autoSpaceDN/>
              <w:adjustRightInd/>
              <w:snapToGrid/>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Costs of each Option</w:t>
            </w:r>
          </w:p>
        </w:tc>
        <w:tc>
          <w:tcPr>
            <w:tcW w:w="1394" w:type="dxa"/>
            <w:shd w:val="clear" w:color="auto" w:fill="A32020" w:themeFill="text2"/>
            <w:vAlign w:val="center"/>
            <w:hideMark/>
          </w:tcPr>
          <w:p w14:paraId="5683F849" w14:textId="7EC70B64" w:rsidR="00E81BCD" w:rsidRPr="00047950" w:rsidRDefault="00E81BCD">
            <w:pPr>
              <w:kinsoku/>
              <w:overflowPunct/>
              <w:autoSpaceDE/>
              <w:autoSpaceDN/>
              <w:adjustRightInd/>
              <w:snapToGrid/>
              <w:jc w:val="center"/>
              <w:rPr>
                <w:rFonts w:asciiTheme="majorHAnsi" w:hAnsiTheme="majorHAnsi"/>
                <w:b/>
                <w:bCs/>
                <w:snapToGrid/>
                <w:color w:val="FFFFFF"/>
                <w:sz w:val="18"/>
                <w:szCs w:val="16"/>
                <w:lang w:eastAsia="en-AU"/>
              </w:rPr>
            </w:pPr>
            <w:r w:rsidRPr="00705BA8">
              <w:rPr>
                <w:rFonts w:asciiTheme="majorHAnsi" w:hAnsiTheme="majorHAnsi"/>
                <w:b/>
                <w:bCs/>
                <w:snapToGrid/>
                <w:color w:val="FFFFFF"/>
                <w:sz w:val="18"/>
                <w:szCs w:val="16"/>
                <w:lang w:eastAsia="en-AU"/>
              </w:rPr>
              <w:t>CHMP processes</w:t>
            </w:r>
          </w:p>
        </w:tc>
        <w:tc>
          <w:tcPr>
            <w:tcW w:w="1443" w:type="dxa"/>
            <w:shd w:val="clear" w:color="auto" w:fill="A32020" w:themeFill="text2"/>
            <w:vAlign w:val="center"/>
            <w:hideMark/>
          </w:tcPr>
          <w:p w14:paraId="1FD8F0F9" w14:textId="4DEC6439" w:rsidR="00E81BCD" w:rsidRPr="00047950" w:rsidRDefault="00E81BCD">
            <w:pPr>
              <w:kinsoku/>
              <w:overflowPunct/>
              <w:autoSpaceDE/>
              <w:autoSpaceDN/>
              <w:adjustRightInd/>
              <w:snapToGrid/>
              <w:jc w:val="center"/>
              <w:rPr>
                <w:rFonts w:asciiTheme="majorHAnsi" w:hAnsiTheme="majorHAnsi"/>
                <w:b/>
                <w:bCs/>
                <w:snapToGrid/>
                <w:color w:val="FFFFFF"/>
                <w:sz w:val="18"/>
                <w:szCs w:val="16"/>
                <w:lang w:eastAsia="en-AU"/>
              </w:rPr>
            </w:pPr>
            <w:r w:rsidRPr="00705BA8">
              <w:rPr>
                <w:rFonts w:asciiTheme="majorHAnsi" w:hAnsiTheme="majorHAnsi"/>
                <w:b/>
                <w:bCs/>
                <w:snapToGrid/>
                <w:color w:val="FFFFFF"/>
                <w:sz w:val="18"/>
                <w:szCs w:val="16"/>
                <w:lang w:eastAsia="en-AU"/>
              </w:rPr>
              <w:t>Management conditions</w:t>
            </w:r>
          </w:p>
        </w:tc>
        <w:tc>
          <w:tcPr>
            <w:tcW w:w="1419" w:type="dxa"/>
            <w:shd w:val="clear" w:color="auto" w:fill="A32020" w:themeFill="text2"/>
            <w:vAlign w:val="center"/>
            <w:hideMark/>
          </w:tcPr>
          <w:p w14:paraId="60A13BE0" w14:textId="6E89CBE6" w:rsidR="00E81BCD" w:rsidRPr="00047950" w:rsidRDefault="00E81BCD">
            <w:pPr>
              <w:kinsoku/>
              <w:overflowPunct/>
              <w:autoSpaceDE/>
              <w:autoSpaceDN/>
              <w:adjustRightInd/>
              <w:snapToGrid/>
              <w:jc w:val="center"/>
              <w:rPr>
                <w:rFonts w:asciiTheme="majorHAnsi" w:hAnsiTheme="majorHAnsi"/>
                <w:b/>
                <w:bCs/>
                <w:snapToGrid/>
                <w:color w:val="FFFFFF"/>
                <w:sz w:val="18"/>
                <w:szCs w:val="16"/>
                <w:lang w:eastAsia="en-AU"/>
              </w:rPr>
            </w:pPr>
            <w:r w:rsidRPr="00705BA8">
              <w:rPr>
                <w:rFonts w:asciiTheme="majorHAnsi" w:hAnsiTheme="majorHAnsi"/>
                <w:b/>
                <w:bCs/>
                <w:snapToGrid/>
                <w:color w:val="FFFFFF"/>
                <w:sz w:val="18"/>
                <w:szCs w:val="16"/>
                <w:lang w:eastAsia="en-AU"/>
              </w:rPr>
              <w:t>Government costs (excl transfers)</w:t>
            </w:r>
          </w:p>
        </w:tc>
        <w:tc>
          <w:tcPr>
            <w:tcW w:w="1418" w:type="dxa"/>
            <w:shd w:val="clear" w:color="auto" w:fill="A32020" w:themeFill="text2"/>
            <w:vAlign w:val="center"/>
            <w:hideMark/>
          </w:tcPr>
          <w:p w14:paraId="2482DBCA" w14:textId="6D673DB5" w:rsidR="00E81BCD" w:rsidRPr="00047950" w:rsidRDefault="00E81BCD" w:rsidP="00B33238">
            <w:pPr>
              <w:kinsoku/>
              <w:overflowPunct/>
              <w:autoSpaceDE/>
              <w:autoSpaceDN/>
              <w:adjustRightInd/>
              <w:snapToGrid/>
              <w:jc w:val="center"/>
              <w:rPr>
                <w:rFonts w:asciiTheme="majorHAnsi" w:hAnsiTheme="majorHAnsi"/>
                <w:b/>
                <w:bCs/>
                <w:snapToGrid/>
                <w:color w:val="FFFFFF"/>
                <w:sz w:val="18"/>
                <w:szCs w:val="16"/>
                <w:lang w:eastAsia="en-AU"/>
              </w:rPr>
            </w:pPr>
            <w:r w:rsidRPr="00E81BCD">
              <w:rPr>
                <w:rFonts w:asciiTheme="majorHAnsi" w:hAnsiTheme="majorHAnsi"/>
                <w:b/>
                <w:bCs/>
                <w:snapToGrid/>
                <w:color w:val="FFFFFF"/>
                <w:sz w:val="18"/>
                <w:szCs w:val="16"/>
                <w:lang w:eastAsia="en-AU"/>
              </w:rPr>
              <w:t>Government</w:t>
            </w:r>
            <w:r w:rsidRPr="00705BA8">
              <w:rPr>
                <w:rFonts w:asciiTheme="majorHAnsi" w:hAnsiTheme="majorHAnsi"/>
                <w:b/>
                <w:bCs/>
                <w:snapToGrid/>
                <w:color w:val="FFFFFF"/>
                <w:sz w:val="18"/>
                <w:szCs w:val="16"/>
                <w:lang w:eastAsia="en-AU"/>
              </w:rPr>
              <w:t xml:space="preserve"> </w:t>
            </w:r>
            <w:r w:rsidR="00B33238">
              <w:rPr>
                <w:rFonts w:asciiTheme="majorHAnsi" w:hAnsiTheme="majorHAnsi"/>
                <w:b/>
                <w:bCs/>
                <w:snapToGrid/>
                <w:color w:val="FFFFFF"/>
                <w:sz w:val="18"/>
                <w:szCs w:val="16"/>
                <w:lang w:eastAsia="en-AU"/>
              </w:rPr>
              <w:t>evaluation</w:t>
            </w:r>
            <w:r w:rsidR="00B33238" w:rsidRPr="00705BA8">
              <w:rPr>
                <w:rFonts w:asciiTheme="majorHAnsi" w:hAnsiTheme="majorHAnsi"/>
                <w:b/>
                <w:bCs/>
                <w:snapToGrid/>
                <w:color w:val="FFFFFF"/>
                <w:sz w:val="18"/>
                <w:szCs w:val="16"/>
                <w:lang w:eastAsia="en-AU"/>
              </w:rPr>
              <w:t xml:space="preserve"> </w:t>
            </w:r>
            <w:r w:rsidRPr="00705BA8">
              <w:rPr>
                <w:rFonts w:asciiTheme="majorHAnsi" w:hAnsiTheme="majorHAnsi"/>
                <w:b/>
                <w:bCs/>
                <w:snapToGrid/>
                <w:color w:val="FFFFFF"/>
                <w:sz w:val="18"/>
                <w:szCs w:val="16"/>
                <w:lang w:eastAsia="en-AU"/>
              </w:rPr>
              <w:t>costs</w:t>
            </w:r>
          </w:p>
        </w:tc>
        <w:tc>
          <w:tcPr>
            <w:tcW w:w="1419" w:type="dxa"/>
            <w:shd w:val="clear" w:color="auto" w:fill="A32020" w:themeFill="text2"/>
            <w:vAlign w:val="center"/>
            <w:hideMark/>
          </w:tcPr>
          <w:p w14:paraId="4B369EF0" w14:textId="2CB73135" w:rsidR="00E81BCD" w:rsidRPr="00047950" w:rsidRDefault="00E81BCD" w:rsidP="00B33238">
            <w:pPr>
              <w:kinsoku/>
              <w:overflowPunct/>
              <w:autoSpaceDE/>
              <w:autoSpaceDN/>
              <w:adjustRightInd/>
              <w:snapToGrid/>
              <w:jc w:val="center"/>
              <w:rPr>
                <w:rFonts w:asciiTheme="majorHAnsi" w:hAnsiTheme="majorHAnsi"/>
                <w:b/>
                <w:bCs/>
                <w:snapToGrid/>
                <w:color w:val="FFFFFF"/>
                <w:sz w:val="18"/>
                <w:szCs w:val="16"/>
                <w:lang w:eastAsia="en-AU"/>
              </w:rPr>
            </w:pPr>
            <w:r w:rsidRPr="00705BA8">
              <w:rPr>
                <w:rFonts w:asciiTheme="majorHAnsi" w:hAnsiTheme="majorHAnsi"/>
                <w:b/>
                <w:bCs/>
                <w:snapToGrid/>
                <w:color w:val="FFFFFF"/>
                <w:sz w:val="18"/>
                <w:szCs w:val="16"/>
                <w:lang w:eastAsia="en-AU"/>
              </w:rPr>
              <w:t xml:space="preserve">RAP </w:t>
            </w:r>
            <w:r w:rsidR="00B33238">
              <w:rPr>
                <w:rFonts w:asciiTheme="majorHAnsi" w:hAnsiTheme="majorHAnsi"/>
                <w:b/>
                <w:bCs/>
                <w:snapToGrid/>
                <w:color w:val="FFFFFF"/>
                <w:sz w:val="18"/>
                <w:szCs w:val="16"/>
                <w:lang w:eastAsia="en-AU"/>
              </w:rPr>
              <w:t>evaluation</w:t>
            </w:r>
            <w:r w:rsidR="00B33238" w:rsidRPr="00705BA8">
              <w:rPr>
                <w:rFonts w:asciiTheme="majorHAnsi" w:hAnsiTheme="majorHAnsi"/>
                <w:b/>
                <w:bCs/>
                <w:snapToGrid/>
                <w:color w:val="FFFFFF"/>
                <w:sz w:val="18"/>
                <w:szCs w:val="16"/>
                <w:lang w:eastAsia="en-AU"/>
              </w:rPr>
              <w:t xml:space="preserve"> </w:t>
            </w:r>
            <w:r w:rsidRPr="00705BA8">
              <w:rPr>
                <w:rFonts w:asciiTheme="majorHAnsi" w:hAnsiTheme="majorHAnsi"/>
                <w:b/>
                <w:bCs/>
                <w:snapToGrid/>
                <w:color w:val="FFFFFF"/>
                <w:sz w:val="18"/>
                <w:szCs w:val="16"/>
                <w:lang w:eastAsia="en-AU"/>
              </w:rPr>
              <w:t>costs</w:t>
            </w:r>
          </w:p>
        </w:tc>
        <w:tc>
          <w:tcPr>
            <w:tcW w:w="1276" w:type="dxa"/>
            <w:shd w:val="clear" w:color="auto" w:fill="A32020" w:themeFill="text2"/>
            <w:vAlign w:val="center"/>
          </w:tcPr>
          <w:p w14:paraId="2163E843" w14:textId="54C1BF06" w:rsidR="00E81BCD" w:rsidRPr="00705BA8" w:rsidRDefault="00E81BCD">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Total costs</w:t>
            </w:r>
          </w:p>
        </w:tc>
      </w:tr>
      <w:tr w:rsidR="003D3EF7" w:rsidRPr="00047950" w14:paraId="72A1233D" w14:textId="10D20B10" w:rsidTr="009D20EA">
        <w:trPr>
          <w:trHeight w:val="233"/>
        </w:trPr>
        <w:tc>
          <w:tcPr>
            <w:tcW w:w="1419" w:type="dxa"/>
            <w:shd w:val="clear" w:color="auto" w:fill="7F7F7F" w:themeFill="text1" w:themeFillTint="80"/>
            <w:vAlign w:val="center"/>
            <w:hideMark/>
          </w:tcPr>
          <w:p w14:paraId="2AE7EDEE" w14:textId="23C537B1"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1</w:t>
            </w:r>
          </w:p>
        </w:tc>
        <w:tc>
          <w:tcPr>
            <w:tcW w:w="1394" w:type="dxa"/>
            <w:shd w:val="clear" w:color="auto" w:fill="auto"/>
            <w:vAlign w:val="center"/>
          </w:tcPr>
          <w:p w14:paraId="1E9F9CB4" w14:textId="0AE779AD"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116.3 </w:t>
            </w:r>
          </w:p>
        </w:tc>
        <w:tc>
          <w:tcPr>
            <w:tcW w:w="1443" w:type="dxa"/>
            <w:shd w:val="clear" w:color="auto" w:fill="auto"/>
            <w:vAlign w:val="center"/>
          </w:tcPr>
          <w:p w14:paraId="6C4B65AD" w14:textId="6D3396E5"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44.8 </w:t>
            </w:r>
          </w:p>
        </w:tc>
        <w:tc>
          <w:tcPr>
            <w:tcW w:w="1419" w:type="dxa"/>
            <w:shd w:val="clear" w:color="auto" w:fill="auto"/>
            <w:vAlign w:val="center"/>
          </w:tcPr>
          <w:p w14:paraId="23889835" w14:textId="0882B08F" w:rsidR="003D3EF7" w:rsidRPr="000921C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0921C1">
              <w:rPr>
                <w:sz w:val="18"/>
                <w:szCs w:val="18"/>
              </w:rPr>
              <w:t>5.0</w:t>
            </w:r>
          </w:p>
        </w:tc>
        <w:tc>
          <w:tcPr>
            <w:tcW w:w="1418" w:type="dxa"/>
            <w:shd w:val="clear" w:color="auto" w:fill="auto"/>
            <w:vAlign w:val="center"/>
          </w:tcPr>
          <w:p w14:paraId="4A43F48E" w14:textId="6F30C01B"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16.6 </w:t>
            </w:r>
          </w:p>
        </w:tc>
        <w:tc>
          <w:tcPr>
            <w:tcW w:w="1419" w:type="dxa"/>
            <w:shd w:val="clear" w:color="auto" w:fill="auto"/>
            <w:vAlign w:val="center"/>
          </w:tcPr>
          <w:p w14:paraId="2C09DA7B" w14:textId="199D851F"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3.2</w:t>
            </w:r>
          </w:p>
        </w:tc>
        <w:tc>
          <w:tcPr>
            <w:tcW w:w="1276" w:type="dxa"/>
            <w:vAlign w:val="center"/>
          </w:tcPr>
          <w:p w14:paraId="64FF2B8B" w14:textId="3C46C1D2" w:rsidR="003D3EF7" w:rsidRPr="00495A21" w:rsidRDefault="003D3EF7" w:rsidP="00495A21">
            <w:pPr>
              <w:kinsoku/>
              <w:overflowPunct/>
              <w:autoSpaceDE/>
              <w:autoSpaceDN/>
              <w:adjustRightInd/>
              <w:snapToGrid/>
              <w:jc w:val="center"/>
              <w:rPr>
                <w:sz w:val="18"/>
                <w:szCs w:val="18"/>
              </w:rPr>
            </w:pPr>
            <w:r w:rsidRPr="00495A21">
              <w:rPr>
                <w:sz w:val="18"/>
                <w:szCs w:val="18"/>
              </w:rPr>
              <w:t xml:space="preserve">185.9 </w:t>
            </w:r>
          </w:p>
        </w:tc>
      </w:tr>
      <w:tr w:rsidR="003D3EF7" w:rsidRPr="00047950" w14:paraId="4EEEC668" w14:textId="2C365F52" w:rsidTr="009D20EA">
        <w:trPr>
          <w:trHeight w:val="348"/>
        </w:trPr>
        <w:tc>
          <w:tcPr>
            <w:tcW w:w="1419" w:type="dxa"/>
            <w:shd w:val="clear" w:color="auto" w:fill="7F7F7F" w:themeFill="text1" w:themeFillTint="80"/>
            <w:vAlign w:val="center"/>
            <w:hideMark/>
          </w:tcPr>
          <w:p w14:paraId="2AD1C45C" w14:textId="4B7FB4D2"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2</w:t>
            </w:r>
          </w:p>
        </w:tc>
        <w:tc>
          <w:tcPr>
            <w:tcW w:w="1394" w:type="dxa"/>
            <w:shd w:val="clear" w:color="auto" w:fill="auto"/>
            <w:vAlign w:val="center"/>
          </w:tcPr>
          <w:p w14:paraId="4C66D829" w14:textId="0186726E"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119.7 </w:t>
            </w:r>
          </w:p>
        </w:tc>
        <w:tc>
          <w:tcPr>
            <w:tcW w:w="1443" w:type="dxa"/>
            <w:shd w:val="clear" w:color="auto" w:fill="auto"/>
            <w:vAlign w:val="center"/>
          </w:tcPr>
          <w:p w14:paraId="207F7576" w14:textId="1DE090F9"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46.1 </w:t>
            </w:r>
          </w:p>
        </w:tc>
        <w:tc>
          <w:tcPr>
            <w:tcW w:w="1419" w:type="dxa"/>
            <w:shd w:val="clear" w:color="auto" w:fill="auto"/>
            <w:vAlign w:val="center"/>
          </w:tcPr>
          <w:p w14:paraId="54C9FE2B" w14:textId="72D24A8B" w:rsidR="003D3EF7" w:rsidRPr="000921C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0921C1">
              <w:rPr>
                <w:sz w:val="18"/>
                <w:szCs w:val="18"/>
              </w:rPr>
              <w:t>5.0</w:t>
            </w:r>
          </w:p>
        </w:tc>
        <w:tc>
          <w:tcPr>
            <w:tcW w:w="1418" w:type="dxa"/>
            <w:shd w:val="clear" w:color="auto" w:fill="auto"/>
            <w:vAlign w:val="center"/>
          </w:tcPr>
          <w:p w14:paraId="64288A57" w14:textId="4B265DF9"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16.9 </w:t>
            </w:r>
          </w:p>
        </w:tc>
        <w:tc>
          <w:tcPr>
            <w:tcW w:w="1419" w:type="dxa"/>
            <w:shd w:val="clear" w:color="auto" w:fill="auto"/>
            <w:vAlign w:val="center"/>
          </w:tcPr>
          <w:p w14:paraId="025019D4" w14:textId="79E83248"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3.3</w:t>
            </w:r>
          </w:p>
        </w:tc>
        <w:tc>
          <w:tcPr>
            <w:tcW w:w="1276" w:type="dxa"/>
            <w:vAlign w:val="center"/>
          </w:tcPr>
          <w:p w14:paraId="3CF38EE0" w14:textId="19F003AC" w:rsidR="003D3EF7" w:rsidRPr="00495A21" w:rsidRDefault="003D3EF7" w:rsidP="00495A21">
            <w:pPr>
              <w:kinsoku/>
              <w:overflowPunct/>
              <w:autoSpaceDE/>
              <w:autoSpaceDN/>
              <w:adjustRightInd/>
              <w:snapToGrid/>
              <w:jc w:val="center"/>
              <w:rPr>
                <w:sz w:val="18"/>
                <w:szCs w:val="18"/>
              </w:rPr>
            </w:pPr>
            <w:r w:rsidRPr="00495A21">
              <w:rPr>
                <w:sz w:val="18"/>
                <w:szCs w:val="18"/>
              </w:rPr>
              <w:t xml:space="preserve">190.9 </w:t>
            </w:r>
          </w:p>
        </w:tc>
      </w:tr>
      <w:tr w:rsidR="003D3EF7" w:rsidRPr="00047950" w14:paraId="68B1B36B" w14:textId="66BD0928" w:rsidTr="009D20EA">
        <w:trPr>
          <w:trHeight w:val="348"/>
        </w:trPr>
        <w:tc>
          <w:tcPr>
            <w:tcW w:w="1419" w:type="dxa"/>
            <w:shd w:val="clear" w:color="auto" w:fill="7F7F7F" w:themeFill="text1" w:themeFillTint="80"/>
            <w:vAlign w:val="center"/>
          </w:tcPr>
          <w:p w14:paraId="393E5E12" w14:textId="677E7442"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3</w:t>
            </w:r>
          </w:p>
        </w:tc>
        <w:tc>
          <w:tcPr>
            <w:tcW w:w="1394" w:type="dxa"/>
            <w:shd w:val="clear" w:color="auto" w:fill="auto"/>
            <w:vAlign w:val="center"/>
          </w:tcPr>
          <w:p w14:paraId="28ABADA9" w14:textId="27C99010"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113.5 </w:t>
            </w:r>
          </w:p>
        </w:tc>
        <w:tc>
          <w:tcPr>
            <w:tcW w:w="1443" w:type="dxa"/>
            <w:shd w:val="clear" w:color="auto" w:fill="auto"/>
            <w:vAlign w:val="center"/>
          </w:tcPr>
          <w:p w14:paraId="5D31ED0E" w14:textId="7AA88096"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45.6 </w:t>
            </w:r>
          </w:p>
        </w:tc>
        <w:tc>
          <w:tcPr>
            <w:tcW w:w="1419" w:type="dxa"/>
            <w:shd w:val="clear" w:color="auto" w:fill="auto"/>
            <w:vAlign w:val="center"/>
          </w:tcPr>
          <w:p w14:paraId="5F6028EC" w14:textId="18BC0D62" w:rsidR="003D3EF7" w:rsidRPr="000921C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0921C1">
              <w:rPr>
                <w:sz w:val="18"/>
                <w:szCs w:val="18"/>
              </w:rPr>
              <w:t>5.0</w:t>
            </w:r>
          </w:p>
        </w:tc>
        <w:tc>
          <w:tcPr>
            <w:tcW w:w="1418" w:type="dxa"/>
            <w:shd w:val="clear" w:color="auto" w:fill="auto"/>
            <w:vAlign w:val="center"/>
          </w:tcPr>
          <w:p w14:paraId="070EC2B9" w14:textId="2D5A0556"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16.5 </w:t>
            </w:r>
          </w:p>
        </w:tc>
        <w:tc>
          <w:tcPr>
            <w:tcW w:w="1419" w:type="dxa"/>
            <w:shd w:val="clear" w:color="auto" w:fill="auto"/>
            <w:vAlign w:val="center"/>
          </w:tcPr>
          <w:p w14:paraId="5C50F6A4" w14:textId="114D0C67" w:rsidR="003D3EF7" w:rsidRPr="00495A21" w:rsidRDefault="003D3EF7" w:rsidP="00495A21">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3.1</w:t>
            </w:r>
          </w:p>
        </w:tc>
        <w:tc>
          <w:tcPr>
            <w:tcW w:w="1276" w:type="dxa"/>
            <w:vAlign w:val="center"/>
          </w:tcPr>
          <w:p w14:paraId="7D151EF1" w14:textId="718B7E0B" w:rsidR="003D3EF7" w:rsidRPr="00495A21" w:rsidRDefault="003D3EF7" w:rsidP="00495A21">
            <w:pPr>
              <w:kinsoku/>
              <w:overflowPunct/>
              <w:autoSpaceDE/>
              <w:autoSpaceDN/>
              <w:adjustRightInd/>
              <w:snapToGrid/>
              <w:jc w:val="center"/>
              <w:rPr>
                <w:sz w:val="18"/>
                <w:szCs w:val="18"/>
              </w:rPr>
            </w:pPr>
            <w:r w:rsidRPr="00495A21">
              <w:rPr>
                <w:sz w:val="18"/>
                <w:szCs w:val="18"/>
              </w:rPr>
              <w:t xml:space="preserve">183.7 </w:t>
            </w:r>
          </w:p>
        </w:tc>
      </w:tr>
    </w:tbl>
    <w:p w14:paraId="55BBA818" w14:textId="77777777" w:rsidR="00E81BCD" w:rsidRDefault="00E81BCD" w:rsidP="00705BA8">
      <w:pPr>
        <w:pStyle w:val="PwCNormal"/>
        <w:numPr>
          <w:ilvl w:val="0"/>
          <w:numId w:val="0"/>
        </w:numPr>
        <w:rPr>
          <w:lang w:val="en-US"/>
        </w:rPr>
      </w:pPr>
    </w:p>
    <w:p w14:paraId="3D3B9DB9" w14:textId="3287E978" w:rsidR="00C8695F" w:rsidRPr="008426A6" w:rsidRDefault="00C8695F" w:rsidP="00705BA8">
      <w:pPr>
        <w:pStyle w:val="Caption"/>
      </w:pPr>
      <w:r>
        <w:rPr>
          <w:b w:val="0"/>
        </w:rPr>
        <w:t>The cost of CHMP processes</w:t>
      </w:r>
    </w:p>
    <w:p w14:paraId="0BBA48DF" w14:textId="0F6F68FB" w:rsidR="00456ECE" w:rsidRDefault="00456ECE" w:rsidP="00705BA8">
      <w:pPr>
        <w:pStyle w:val="ListBullet"/>
        <w:numPr>
          <w:ilvl w:val="0"/>
          <w:numId w:val="0"/>
        </w:numPr>
      </w:pPr>
      <w:r>
        <w:t xml:space="preserve">The majority of the costs of the proposed Regulations under each </w:t>
      </w:r>
      <w:r w:rsidR="00AB5ECB">
        <w:t>O</w:t>
      </w:r>
      <w:r>
        <w:t xml:space="preserve">ption relate to the cost of the CHMP process. These involve </w:t>
      </w:r>
      <w:r w:rsidR="00A750CD">
        <w:t>four</w:t>
      </w:r>
      <w:r>
        <w:t xml:space="preserve"> categories:</w:t>
      </w:r>
    </w:p>
    <w:p w14:paraId="40FD328C" w14:textId="12B3217E" w:rsidR="00E81BCD" w:rsidRDefault="00456ECE" w:rsidP="00705BA8">
      <w:pPr>
        <w:pStyle w:val="ListBullet"/>
      </w:pPr>
      <w:r>
        <w:t xml:space="preserve">The cost of </w:t>
      </w:r>
      <w:r w:rsidR="00B33238">
        <w:t xml:space="preserve">preparing a </w:t>
      </w:r>
      <w:r w:rsidR="00A750CD">
        <w:t>NOI</w:t>
      </w:r>
      <w:r>
        <w:t xml:space="preserve"> to prepare a CHMP before a CHMP is submitted</w:t>
      </w:r>
      <w:r w:rsidR="00B33238">
        <w:t xml:space="preserve"> for approval</w:t>
      </w:r>
      <w:r>
        <w:t>.</w:t>
      </w:r>
      <w:r w:rsidR="00A750CD">
        <w:t xml:space="preserve"> This generally comprise</w:t>
      </w:r>
      <w:r w:rsidR="00B33238">
        <w:t>s</w:t>
      </w:r>
      <w:r w:rsidR="00A750CD">
        <w:t xml:space="preserve"> around one per cent of the total cost of the CHMP process.</w:t>
      </w:r>
    </w:p>
    <w:p w14:paraId="1DB7F126" w14:textId="35CE9A79" w:rsidR="00456ECE" w:rsidRDefault="00456ECE" w:rsidP="00705BA8">
      <w:pPr>
        <w:pStyle w:val="ListBullet"/>
      </w:pPr>
      <w:r>
        <w:t>The cost of commissioning a heritage advisor to prepare a CHM</w:t>
      </w:r>
      <w:r w:rsidR="00A750CD">
        <w:t xml:space="preserve">P and the value of a CHMP sponsors’ time coordinating this, comprising 87 per cent of the cost of </w:t>
      </w:r>
      <w:r w:rsidR="00B33238">
        <w:t xml:space="preserve">the </w:t>
      </w:r>
      <w:r w:rsidR="00A750CD">
        <w:t>CHMP process.</w:t>
      </w:r>
    </w:p>
    <w:p w14:paraId="2180E064" w14:textId="304AA19A" w:rsidR="00456ECE" w:rsidRDefault="00456ECE" w:rsidP="00705BA8">
      <w:pPr>
        <w:pStyle w:val="ListBullet"/>
      </w:pPr>
      <w:r>
        <w:t xml:space="preserve">The cost of amending </w:t>
      </w:r>
      <w:r w:rsidR="00A61760">
        <w:t xml:space="preserve">a </w:t>
      </w:r>
      <w:r>
        <w:t>CHMP following</w:t>
      </w:r>
      <w:r w:rsidR="00A61760">
        <w:t xml:space="preserve"> </w:t>
      </w:r>
      <w:r>
        <w:t>approval</w:t>
      </w:r>
      <w:r w:rsidR="00A750CD">
        <w:t xml:space="preserve">, comprising two per cent of the cost of </w:t>
      </w:r>
      <w:r w:rsidR="00A61760">
        <w:t xml:space="preserve">the </w:t>
      </w:r>
      <w:r w:rsidR="00A750CD">
        <w:t>CHMP process</w:t>
      </w:r>
      <w:r w:rsidR="004D7BC5">
        <w:t>.</w:t>
      </w:r>
    </w:p>
    <w:p w14:paraId="329E25E4" w14:textId="049F6A86" w:rsidR="00456ECE" w:rsidRDefault="00456ECE" w:rsidP="00705BA8">
      <w:pPr>
        <w:pStyle w:val="ListBullet"/>
      </w:pPr>
      <w:r>
        <w:t>The cost of</w:t>
      </w:r>
      <w:r w:rsidR="006E1A47">
        <w:t xml:space="preserve"> an</w:t>
      </w:r>
      <w:r>
        <w:t xml:space="preserve"> incomplete CHMP partially prepared b</w:t>
      </w:r>
      <w:r w:rsidR="00E40D35">
        <w:t>ut</w:t>
      </w:r>
      <w:r>
        <w:t xml:space="preserve"> not submitted for evaluation</w:t>
      </w:r>
      <w:r w:rsidR="00A750CD">
        <w:t xml:space="preserve">. These comprise around 10 per cent of the total cost of </w:t>
      </w:r>
      <w:r w:rsidR="006E1A47">
        <w:t xml:space="preserve">the </w:t>
      </w:r>
      <w:r w:rsidR="00A750CD">
        <w:t>CHMP process.</w:t>
      </w:r>
    </w:p>
    <w:p w14:paraId="36E55A96" w14:textId="31555AC4" w:rsidR="00C8695F" w:rsidRPr="008426A6" w:rsidRDefault="00C8695F" w:rsidP="00705BA8">
      <w:pPr>
        <w:pStyle w:val="Caption"/>
      </w:pPr>
      <w:r>
        <w:rPr>
          <w:b w:val="0"/>
        </w:rPr>
        <w:t>The cost of m</w:t>
      </w:r>
      <w:r w:rsidRPr="00705BA8">
        <w:rPr>
          <w:b w:val="0"/>
        </w:rPr>
        <w:t>anagement conditions</w:t>
      </w:r>
    </w:p>
    <w:p w14:paraId="14DDAAFB" w14:textId="64ACF0E0" w:rsidR="00AB5ECB" w:rsidRDefault="00AB5ECB">
      <w:pPr>
        <w:pStyle w:val="PwCNormal"/>
      </w:pPr>
      <w:r>
        <w:t>The other main cost of the Options relates to the cost of</w:t>
      </w:r>
      <w:r w:rsidR="00C46D7F">
        <w:t xml:space="preserve"> undertaking</w:t>
      </w:r>
      <w:r>
        <w:t xml:space="preserve"> the management conditions recommended as part of a CHMP. These involve either avoidance</w:t>
      </w:r>
      <w:r w:rsidR="006B2526">
        <w:t xml:space="preserve"> or</w:t>
      </w:r>
      <w:r>
        <w:t xml:space="preserve"> minimisation</w:t>
      </w:r>
      <w:r w:rsidR="00C46D7F">
        <w:t xml:space="preserve"> of harm to,</w:t>
      </w:r>
      <w:r>
        <w:t xml:space="preserve"> or salvage of</w:t>
      </w:r>
      <w:r w:rsidR="006B2526">
        <w:t>,</w:t>
      </w:r>
      <w:r>
        <w:t xml:space="preserve"> Aboriginal cultural heritage places.</w:t>
      </w:r>
    </w:p>
    <w:p w14:paraId="413A6A66" w14:textId="59A1AA59" w:rsidR="00AB5ECB" w:rsidRDefault="00AB5ECB">
      <w:pPr>
        <w:pStyle w:val="PwCNormal"/>
      </w:pPr>
      <w:r>
        <w:t xml:space="preserve">Management conditions resulting from CHMPs with complex assessments account for approximately 97 per cent of the cost of management conditions, while those resulting from standard assessments account for the remaining three percent. CHMPs with desktop assessments </w:t>
      </w:r>
      <w:r w:rsidR="00E40D35">
        <w:t xml:space="preserve">generally </w:t>
      </w:r>
      <w:r>
        <w:t xml:space="preserve">do not </w:t>
      </w:r>
      <w:r w:rsidR="006B2526">
        <w:t xml:space="preserve">include </w:t>
      </w:r>
      <w:r>
        <w:t>management conditions.</w:t>
      </w:r>
    </w:p>
    <w:p w14:paraId="7F0F44A9" w14:textId="23147963" w:rsidR="00AB5ECB" w:rsidRPr="008426A6" w:rsidRDefault="00C8695F" w:rsidP="00705BA8">
      <w:pPr>
        <w:pStyle w:val="Caption"/>
      </w:pPr>
      <w:r w:rsidRPr="00705BA8">
        <w:rPr>
          <w:b w:val="0"/>
        </w:rPr>
        <w:t>Government and RAP costs</w:t>
      </w:r>
    </w:p>
    <w:p w14:paraId="344C2987" w14:textId="69E793F8" w:rsidR="00C8695F" w:rsidRDefault="00C8695F">
      <w:pPr>
        <w:pStyle w:val="PwCNormal"/>
      </w:pPr>
      <w:r>
        <w:t>Government and RAP costs for each Option comprise:</w:t>
      </w:r>
    </w:p>
    <w:p w14:paraId="2B4007F3" w14:textId="5E487B98" w:rsidR="00C8695F" w:rsidRDefault="00C8695F" w:rsidP="00705BA8">
      <w:pPr>
        <w:pStyle w:val="ListBullet"/>
      </w:pPr>
      <w:r>
        <w:t>Government monitoring, compliance and enforcement costs incurred by AV, which are t</w:t>
      </w:r>
      <w:r w:rsidR="000339C5">
        <w:t>he same for each Option</w:t>
      </w:r>
      <w:r w:rsidR="009E25C9">
        <w:t xml:space="preserve"> </w:t>
      </w:r>
      <w:r w:rsidR="00DD5EF7">
        <w:t>on the basis that</w:t>
      </w:r>
      <w:r w:rsidR="009E25C9">
        <w:t xml:space="preserve"> AV will continue to allocate the same </w:t>
      </w:r>
      <w:r w:rsidR="00670320">
        <w:t xml:space="preserve">level of </w:t>
      </w:r>
      <w:r w:rsidR="009E25C9">
        <w:t>resources to these activities</w:t>
      </w:r>
      <w:r w:rsidR="000339C5">
        <w:t>.</w:t>
      </w:r>
    </w:p>
    <w:p w14:paraId="45CBC228" w14:textId="47F5E77D" w:rsidR="00C8695F" w:rsidRDefault="000339C5" w:rsidP="00705BA8">
      <w:pPr>
        <w:pStyle w:val="ListBullet"/>
      </w:pPr>
      <w:r>
        <w:t xml:space="preserve">Government costs to </w:t>
      </w:r>
      <w:r w:rsidR="00C46D7F">
        <w:t xml:space="preserve">evaluate </w:t>
      </w:r>
      <w:r>
        <w:t>various applications, including for CHMP</w:t>
      </w:r>
      <w:r w:rsidR="00C46D7F">
        <w:t xml:space="preserve"> approval</w:t>
      </w:r>
      <w:r>
        <w:t>s</w:t>
      </w:r>
      <w:r w:rsidR="00C46D7F">
        <w:t>, CHPs and PAHTs</w:t>
      </w:r>
      <w:r>
        <w:t xml:space="preserve">. These are recovered through the fees levied on applicants, who ultimately incur </w:t>
      </w:r>
      <w:r w:rsidR="009E25C9">
        <w:t xml:space="preserve">most of </w:t>
      </w:r>
      <w:r>
        <w:t>these costs.</w:t>
      </w:r>
      <w:r w:rsidR="009E25C9" w:rsidRPr="009E25C9">
        <w:rPr>
          <w:rStyle w:val="FootnoteReference"/>
        </w:rPr>
        <w:t xml:space="preserve"> </w:t>
      </w:r>
      <w:r w:rsidR="009E25C9">
        <w:rPr>
          <w:rStyle w:val="FootnoteReference"/>
        </w:rPr>
        <w:footnoteReference w:id="9"/>
      </w:r>
    </w:p>
    <w:p w14:paraId="3EC3C7D2" w14:textId="3D406322" w:rsidR="000339C5" w:rsidRDefault="000339C5" w:rsidP="00705BA8">
      <w:pPr>
        <w:pStyle w:val="ListBullet"/>
      </w:pPr>
      <w:r>
        <w:t xml:space="preserve">RAP costs to </w:t>
      </w:r>
      <w:r w:rsidR="00C46D7F">
        <w:t xml:space="preserve">evaluate </w:t>
      </w:r>
      <w:r>
        <w:t xml:space="preserve">various applications, primarily </w:t>
      </w:r>
      <w:r w:rsidR="00C46D7F">
        <w:t xml:space="preserve">for </w:t>
      </w:r>
      <w:r>
        <w:t xml:space="preserve">CHMP </w:t>
      </w:r>
      <w:r w:rsidR="00C46D7F">
        <w:t>approvals and CHPs</w:t>
      </w:r>
      <w:r>
        <w:t>. These are recovered through fees levied on applicants, who ultimately incur</w:t>
      </w:r>
      <w:r w:rsidR="009E25C9">
        <w:t xml:space="preserve"> most of</w:t>
      </w:r>
      <w:r>
        <w:t xml:space="preserve"> these costs.</w:t>
      </w:r>
      <w:r w:rsidR="009E25C9">
        <w:rPr>
          <w:rStyle w:val="FootnoteReference"/>
        </w:rPr>
        <w:footnoteReference w:id="10"/>
      </w:r>
    </w:p>
    <w:p w14:paraId="2A6247D2" w14:textId="42E116F7" w:rsidR="000339C5" w:rsidRDefault="000339C5" w:rsidP="00705BA8">
      <w:pPr>
        <w:pStyle w:val="Caption"/>
      </w:pPr>
      <w:r>
        <w:t>Non-quantified costs of the Options</w:t>
      </w:r>
    </w:p>
    <w:p w14:paraId="07CBD129" w14:textId="45A9E5BD" w:rsidR="000339C5" w:rsidRDefault="000339C5" w:rsidP="000339C5">
      <w:r>
        <w:t xml:space="preserve">There are a range of costs that are difficult to quantify </w:t>
      </w:r>
      <w:r w:rsidR="000A5551">
        <w:t>for</w:t>
      </w:r>
      <w:r>
        <w:t xml:space="preserve"> two main reasons:</w:t>
      </w:r>
    </w:p>
    <w:p w14:paraId="3123D9E7" w14:textId="7E782D82" w:rsidR="000339C5" w:rsidRDefault="000339C5" w:rsidP="00705BA8">
      <w:pPr>
        <w:pStyle w:val="ListBullet"/>
      </w:pPr>
      <w:r>
        <w:t>There is insufficient data available.</w:t>
      </w:r>
    </w:p>
    <w:p w14:paraId="476B3BC0" w14:textId="5FCBFCC6" w:rsidR="000339C5" w:rsidRDefault="000339C5" w:rsidP="00705BA8">
      <w:pPr>
        <w:pStyle w:val="ListBullet"/>
      </w:pPr>
      <w:r>
        <w:t>It is unclear whether the activity involved would fall under the base case.</w:t>
      </w:r>
    </w:p>
    <w:p w14:paraId="176A0348" w14:textId="1B42E186" w:rsidR="000339C5" w:rsidRDefault="00D10239" w:rsidP="00705BA8">
      <w:r>
        <w:t>AV considers that t</w:t>
      </w:r>
      <w:r w:rsidR="000339C5">
        <w:t xml:space="preserve">he non-quantified costs </w:t>
      </w:r>
      <w:r>
        <w:t xml:space="preserve">will </w:t>
      </w:r>
      <w:r w:rsidR="000339C5">
        <w:t xml:space="preserve">be </w:t>
      </w:r>
      <w:r w:rsidR="009E25C9">
        <w:t xml:space="preserve">smaller </w:t>
      </w:r>
      <w:r w:rsidR="000339C5">
        <w:t xml:space="preserve">compared with the quantified costs of the Options. </w:t>
      </w:r>
      <w:r w:rsidR="00435015">
        <w:t>This is discussed further below</w:t>
      </w:r>
      <w:r w:rsidR="000339C5">
        <w:t>:</w:t>
      </w:r>
    </w:p>
    <w:p w14:paraId="0A70DE89" w14:textId="4F425251" w:rsidR="000339C5" w:rsidRDefault="00074136" w:rsidP="00BE58D1">
      <w:pPr>
        <w:pStyle w:val="ListBullet"/>
      </w:pPr>
      <w:r>
        <w:t>The cost of ACHLMAs</w:t>
      </w:r>
      <w:r w:rsidR="000339C5">
        <w:t xml:space="preserve">: </w:t>
      </w:r>
      <w:r w:rsidR="000339C5" w:rsidRPr="000339C5">
        <w:t xml:space="preserve">The burden of ACHLMAs can be attributed largely to the Regulations as they prescribe the standards for preparing an ACHLMA. At present, </w:t>
      </w:r>
      <w:r w:rsidR="00BE58D1">
        <w:t>two ACHLMAs are in progress and</w:t>
      </w:r>
      <w:r w:rsidR="000339C5" w:rsidRPr="000339C5">
        <w:t xml:space="preserve">, </w:t>
      </w:r>
      <w:r w:rsidR="00BE58D1">
        <w:t>o</w:t>
      </w:r>
      <w:r w:rsidR="00BE58D1" w:rsidRPr="00BE58D1">
        <w:t>ver the 10 year period, a small number may be finalised each year</w:t>
      </w:r>
      <w:r w:rsidR="00BE58D1">
        <w:t>.</w:t>
      </w:r>
      <w:r w:rsidR="00BE58D1" w:rsidRPr="00BE58D1">
        <w:rPr>
          <w:rStyle w:val="FootnoteReference"/>
        </w:rPr>
        <w:t xml:space="preserve"> </w:t>
      </w:r>
      <w:r w:rsidR="00BE58D1">
        <w:rPr>
          <w:rStyle w:val="FootnoteReference"/>
        </w:rPr>
        <w:footnoteReference w:id="11"/>
      </w:r>
      <w:r w:rsidR="00BE58D1">
        <w:t xml:space="preserve"> H</w:t>
      </w:r>
      <w:r w:rsidR="00BE58D1" w:rsidRPr="00BE58D1">
        <w:t xml:space="preserve">owever, the time and cost involved in </w:t>
      </w:r>
      <w:r w:rsidR="00377AA0">
        <w:t>negotiating and preparing</w:t>
      </w:r>
      <w:r w:rsidR="00BE58D1" w:rsidRPr="00BE58D1">
        <w:t xml:space="preserve"> them is not yet known. At a broad level, they involve a written notice of intention to enter into an ACHLMA and the completion of an approved form that states the parties to the agreement, the agreement area, the permissible land management activities, and an Aboriginal cultural heritage assessment of the area</w:t>
      </w:r>
      <w:r w:rsidR="00BE58D1">
        <w:t>.</w:t>
      </w:r>
    </w:p>
    <w:p w14:paraId="4D219227" w14:textId="65C7F9FF" w:rsidR="00DC2103" w:rsidRDefault="00DC2103" w:rsidP="00705BA8">
      <w:pPr>
        <w:pStyle w:val="ListBullet"/>
      </w:pPr>
      <w:r>
        <w:t xml:space="preserve">Prescribed forms: Apart from CHMPs and ACHLMAs, the Regulations include the prescribed forms for </w:t>
      </w:r>
      <w:r w:rsidR="000A5551">
        <w:t xml:space="preserve">a </w:t>
      </w:r>
      <w:r>
        <w:t>number of applications, agreements and mechanisms.</w:t>
      </w:r>
      <w:r w:rsidR="00D64CA6">
        <w:t xml:space="preserve"> Prescribed forms require the party completing the form to include details such as the </w:t>
      </w:r>
      <w:r w:rsidR="00AB5917">
        <w:t>information about</w:t>
      </w:r>
      <w:r w:rsidR="00D64CA6">
        <w:t xml:space="preserve"> the applicant, description of the Aboriginal cultural heritage in the relevant area or </w:t>
      </w:r>
      <w:r w:rsidR="00AB5917">
        <w:t>object</w:t>
      </w:r>
      <w:r w:rsidR="00D64CA6">
        <w:t>, any consultation undertaken, academic evidence, and the conclusions of any assessments.</w:t>
      </w:r>
      <w:r>
        <w:t xml:space="preserve"> </w:t>
      </w:r>
      <w:r w:rsidR="00381D4A">
        <w:t xml:space="preserve">Even if not prescribed in the Regulations, </w:t>
      </w:r>
      <w:r>
        <w:t>AV would provide an approved form for these applications</w:t>
      </w:r>
      <w:r w:rsidR="00377AA0">
        <w:t>,</w:t>
      </w:r>
      <w:r>
        <w:t xml:space="preserve"> agreements or mechanisms, or that the party undertaking the </w:t>
      </w:r>
      <w:r w:rsidR="000A5551">
        <w:t xml:space="preserve">evaluation </w:t>
      </w:r>
      <w:r>
        <w:t>(RAPs or AV)</w:t>
      </w:r>
      <w:r w:rsidR="00377AA0">
        <w:t>. The approved form</w:t>
      </w:r>
      <w:r>
        <w:t xml:space="preserve"> would require the contents of the applications or agreement to reflect similar content to the current content of the prescribed forms.</w:t>
      </w:r>
      <w:r w:rsidR="00D64CA6" w:rsidRPr="00D64CA6">
        <w:rPr>
          <w:lang w:val="en-US"/>
        </w:rPr>
        <w:t xml:space="preserve"> </w:t>
      </w:r>
      <w:r w:rsidR="00D64CA6">
        <w:rPr>
          <w:lang w:val="en-US"/>
        </w:rPr>
        <w:t>If AV were not to provide guidance as to the appropriate content of these applications, agreements or mechanisms, the purpose of the Act would be diminished.</w:t>
      </w:r>
    </w:p>
    <w:p w14:paraId="6D134051" w14:textId="734348FB" w:rsidR="00DC2103" w:rsidRDefault="00DC2103" w:rsidP="00705BA8">
      <w:pPr>
        <w:pStyle w:val="ListBullet"/>
      </w:pPr>
      <w:r>
        <w:t xml:space="preserve">The cost of reduced development due to the Regulations: </w:t>
      </w:r>
      <w:r w:rsidRPr="00DC2103">
        <w:t xml:space="preserve">The Regulations impose </w:t>
      </w:r>
      <w:r w:rsidR="003438D4">
        <w:t xml:space="preserve">a </w:t>
      </w:r>
      <w:r w:rsidRPr="00DC2103">
        <w:t>burden on any land-user who wants to develop land,</w:t>
      </w:r>
      <w:r w:rsidR="00377AA0">
        <w:t xml:space="preserve"> or change the current use of the land,</w:t>
      </w:r>
      <w:r w:rsidRPr="00DC2103">
        <w:t xml:space="preserve"> even</w:t>
      </w:r>
      <w:r w:rsidR="00670320">
        <w:t xml:space="preserve"> potentially to</w:t>
      </w:r>
      <w:r w:rsidRPr="00DC2103">
        <w:t xml:space="preserve"> those not undertaking a high impact activity in an area of cultural heritage sensitivity. This is due to land-users needing to undertake research to determine whether these triggers apply to them.</w:t>
      </w:r>
      <w:r>
        <w:t xml:space="preserve"> Land-users may choose not to </w:t>
      </w:r>
      <w:r w:rsidRPr="00DC2103">
        <w:t xml:space="preserve">undertake </w:t>
      </w:r>
      <w:r>
        <w:t xml:space="preserve">the </w:t>
      </w:r>
      <w:r w:rsidRPr="00DC2103">
        <w:t>development</w:t>
      </w:r>
      <w:r>
        <w:t xml:space="preserve"> activity</w:t>
      </w:r>
      <w:r w:rsidR="00982F75">
        <w:t xml:space="preserve"> if</w:t>
      </w:r>
      <w:r w:rsidRPr="00DC2103">
        <w:t xml:space="preserve"> the probable cost of </w:t>
      </w:r>
      <w:r w:rsidR="00377AA0">
        <w:t>prep</w:t>
      </w:r>
      <w:r w:rsidR="003438D4">
        <w:t>a</w:t>
      </w:r>
      <w:r w:rsidR="00377AA0">
        <w:t xml:space="preserve">ring </w:t>
      </w:r>
      <w:r w:rsidRPr="00DC2103">
        <w:t>a CHMP outweigh</w:t>
      </w:r>
      <w:r w:rsidR="00670320">
        <w:t>s</w:t>
      </w:r>
      <w:r w:rsidRPr="00DC2103">
        <w:t xml:space="preserve"> the </w:t>
      </w:r>
      <w:r w:rsidR="00670320">
        <w:t xml:space="preserve">expected </w:t>
      </w:r>
      <w:r w:rsidRPr="00DC2103">
        <w:t>marginal benefit of the development</w:t>
      </w:r>
      <w:r w:rsidR="00862AAF">
        <w:t xml:space="preserve"> </w:t>
      </w:r>
      <w:r w:rsidR="000A5551">
        <w:t>activity</w:t>
      </w:r>
      <w:r w:rsidRPr="00DC2103">
        <w:t>.</w:t>
      </w:r>
      <w:r w:rsidR="00982F75">
        <w:t xml:space="preserve"> </w:t>
      </w:r>
      <w:r w:rsidR="00670320">
        <w:t>There may also be d</w:t>
      </w:r>
      <w:r w:rsidR="00982F75">
        <w:t xml:space="preserve">elay costs, however, </w:t>
      </w:r>
      <w:r w:rsidR="0077484B">
        <w:t xml:space="preserve">they </w:t>
      </w:r>
      <w:r w:rsidR="00982F75">
        <w:t xml:space="preserve">are difficult to estimate as there is </w:t>
      </w:r>
      <w:r w:rsidR="00A62403">
        <w:t>limited</w:t>
      </w:r>
      <w:r w:rsidR="00982F75">
        <w:t xml:space="preserve"> data available on their incidence and scale. The </w:t>
      </w:r>
      <w:r w:rsidR="00A62403">
        <w:t xml:space="preserve">potential </w:t>
      </w:r>
      <w:r w:rsidR="00982F75">
        <w:t xml:space="preserve">impact of these costs </w:t>
      </w:r>
      <w:r w:rsidR="00A62403">
        <w:t>is</w:t>
      </w:r>
      <w:r w:rsidR="00982F75">
        <w:t xml:space="preserve"> considered in the multi-criteria analysis below.</w:t>
      </w:r>
    </w:p>
    <w:p w14:paraId="1927E9A1" w14:textId="0241696A" w:rsidR="00F42914" w:rsidRDefault="00536D28" w:rsidP="00705BA8">
      <w:pPr>
        <w:pStyle w:val="Caption"/>
      </w:pPr>
      <w:r>
        <w:t>Quantified net benefit</w:t>
      </w:r>
      <w:r w:rsidR="00F42914">
        <w:t>s</w:t>
      </w:r>
    </w:p>
    <w:p w14:paraId="04325AE9" w14:textId="7753C562" w:rsidR="007330D6" w:rsidRPr="007330D6" w:rsidRDefault="0072675F" w:rsidP="007330D6">
      <w:pPr>
        <w:pStyle w:val="PwCNormal"/>
      </w:pPr>
      <w:r>
        <w:t xml:space="preserve">Aboriginal cultural heritage is </w:t>
      </w:r>
      <w:r w:rsidR="007330D6">
        <w:t xml:space="preserve">considered priceless to many members of Victoria’s Aboriginal community. </w:t>
      </w:r>
      <w:r w:rsidR="007330D6" w:rsidRPr="007330D6">
        <w:t>Each region of Victoria has significant places where Aboriginal people lived. In these places, they obtained sustenance, expressed themselves artistically, passed on creation stories and cultural values, engaged in conflict, established alliances and social networks, traded goods, celebrated rites of passage and committed the departed to their final resting places.</w:t>
      </w:r>
      <w:r w:rsidR="007330D6">
        <w:t xml:space="preserve"> Even apart from the cultural heritage value of places and objects, t</w:t>
      </w:r>
      <w:r w:rsidRPr="0072675F">
        <w:t xml:space="preserve">here are significant benefits of Aboriginal cultural heritage that cannot be </w:t>
      </w:r>
      <w:r w:rsidR="00670320">
        <w:t>readily</w:t>
      </w:r>
      <w:r w:rsidR="00670320" w:rsidRPr="0072675F">
        <w:t xml:space="preserve"> </w:t>
      </w:r>
      <w:r w:rsidRPr="0072675F">
        <w:t>quantified</w:t>
      </w:r>
      <w:r w:rsidR="007330D6">
        <w:t>.</w:t>
      </w:r>
      <w:r>
        <w:t xml:space="preserve"> </w:t>
      </w:r>
    </w:p>
    <w:p w14:paraId="0D12EB7E" w14:textId="63C838B6" w:rsidR="00F42914" w:rsidRDefault="007330D6" w:rsidP="0072675F">
      <w:pPr>
        <w:pStyle w:val="PwCNormal"/>
      </w:pPr>
      <w:r>
        <w:t xml:space="preserve">Nonetheless, using </w:t>
      </w:r>
      <w:r w:rsidR="0072675F">
        <w:t xml:space="preserve">academic research conducted on the quantified value of Aboriginal cultural heritage, </w:t>
      </w:r>
      <w:r>
        <w:t xml:space="preserve">one can attempt to estimate </w:t>
      </w:r>
      <w:r w:rsidR="00AC1905">
        <w:t>the quantified net benefits of the Options</w:t>
      </w:r>
      <w:r>
        <w:t xml:space="preserve"> based on</w:t>
      </w:r>
      <w:r w:rsidR="00AC1905">
        <w:t xml:space="preserve"> the average weighted benefit of each CHMP conducted. This is based on the likelihood of a CHMP preserving </w:t>
      </w:r>
      <w:r w:rsidR="00862AAF">
        <w:t>Aboriginal</w:t>
      </w:r>
      <w:r w:rsidR="00AC1905">
        <w:t xml:space="preserve"> heritage. </w:t>
      </w:r>
      <w:r w:rsidR="00F42914" w:rsidRPr="00F42914">
        <w:t>It is estimated that approximately 44 per cent of all CHMPs</w:t>
      </w:r>
      <w:r w:rsidR="00982F75">
        <w:rPr>
          <w:rStyle w:val="FootnoteReference"/>
        </w:rPr>
        <w:footnoteReference w:id="12"/>
      </w:r>
      <w:r w:rsidR="00F42914" w:rsidRPr="00F42914">
        <w:t xml:space="preserve"> identify Aboriginal cultural heritage. Of these, 61 per cent mitigate harm through avoidance, minimisation or salvage, meaning that 27 per cent of all CHMPs preserve</w:t>
      </w:r>
      <w:r w:rsidR="00F42914">
        <w:t xml:space="preserve"> Aboriginal cultural heritage</w:t>
      </w:r>
      <w:r w:rsidR="00377AA0">
        <w:t xml:space="preserve"> to some degree</w:t>
      </w:r>
      <w:r w:rsidR="00F42914">
        <w:t>.</w:t>
      </w:r>
      <w:r w:rsidR="00F42914">
        <w:rPr>
          <w:rStyle w:val="FootnoteReference"/>
        </w:rPr>
        <w:footnoteReference w:id="13"/>
      </w:r>
      <w:r w:rsidR="00F42914" w:rsidRPr="00F42914">
        <w:t xml:space="preserve"> As it is </w:t>
      </w:r>
      <w:r w:rsidR="00670320">
        <w:t xml:space="preserve">not </w:t>
      </w:r>
      <w:r w:rsidR="00670320" w:rsidRPr="00F42914">
        <w:t xml:space="preserve">possible </w:t>
      </w:r>
      <w:r w:rsidR="00F42914" w:rsidRPr="00F42914">
        <w:t>to know in advance whether a CHMP will result in</w:t>
      </w:r>
      <w:r w:rsidR="000A5551">
        <w:t xml:space="preserve"> the</w:t>
      </w:r>
      <w:r w:rsidR="00F42914" w:rsidRPr="00F42914">
        <w:t xml:space="preserve"> preservation</w:t>
      </w:r>
      <w:r w:rsidR="000A5551">
        <w:t xml:space="preserve"> of Aboriginal cultural heritage</w:t>
      </w:r>
      <w:r w:rsidR="00F42914" w:rsidRPr="00F42914">
        <w:t xml:space="preserve">, the </w:t>
      </w:r>
      <w:r w:rsidR="00AC1905">
        <w:t xml:space="preserve">quantified </w:t>
      </w:r>
      <w:r w:rsidR="00F42914" w:rsidRPr="00F42914">
        <w:t>benefits of each CHMP should be based on the probability it will identify and preserve Aboriginal cultural heritage and the value of this heritage if preserved.</w:t>
      </w:r>
    </w:p>
    <w:p w14:paraId="6FE7874E" w14:textId="799DDB58" w:rsidR="00F42914" w:rsidRDefault="00F42914">
      <w:pPr>
        <w:pStyle w:val="PwCNormal"/>
      </w:pPr>
      <w:r w:rsidRPr="00F42914">
        <w:t xml:space="preserve">As outlined </w:t>
      </w:r>
      <w:r>
        <w:t>above</w:t>
      </w:r>
      <w:r w:rsidRPr="00F42914">
        <w:t>, the stated value of a</w:t>
      </w:r>
      <w:r w:rsidR="00377AA0">
        <w:t>n Aboriginal place</w:t>
      </w:r>
      <w:r w:rsidR="003438D4">
        <w:t xml:space="preserve"> </w:t>
      </w:r>
      <w:r w:rsidRPr="00F42914">
        <w:t>is estimated to be $296,739. If for each CHMP prepared, there is a 27 per cent chance of significant Aboriginal heritage being identified and preserved, this implies the average benefit of a CHMP is around $74,984.</w:t>
      </w:r>
      <w:r w:rsidR="00290EE2">
        <w:t xml:space="preserve"> However, this average figure does not imply that </w:t>
      </w:r>
      <w:r w:rsidR="00CF11FF">
        <w:t>every</w:t>
      </w:r>
      <w:r w:rsidR="00290EE2">
        <w:t xml:space="preserve"> CHMP will provide this </w:t>
      </w:r>
      <w:r w:rsidR="00CF11FF">
        <w:t xml:space="preserve">level of </w:t>
      </w:r>
      <w:r w:rsidR="00290EE2">
        <w:t>benefit.  Clearly, some CHMP may provide no benefit if Aboriginal heritage is not present, while other CHMPs may provide greater than average benefits if significant</w:t>
      </w:r>
      <w:r w:rsidR="00377AA0">
        <w:t xml:space="preserve"> Aboriginal cultural</w:t>
      </w:r>
      <w:r w:rsidR="00290EE2">
        <w:t xml:space="preserve"> heritage is identified and preserved.</w:t>
      </w:r>
    </w:p>
    <w:p w14:paraId="47F50B98" w14:textId="5A5DAE77" w:rsidR="00F42914" w:rsidRDefault="00F42914">
      <w:pPr>
        <w:pStyle w:val="PwCNormal"/>
      </w:pPr>
      <w:r>
        <w:t xml:space="preserve">Using this average benefit, the </w:t>
      </w:r>
      <w:r w:rsidR="00536D28">
        <w:t xml:space="preserve">quantified </w:t>
      </w:r>
      <w:r>
        <w:t xml:space="preserve">net benefit (average benefit minus cost) of each Option is shown in </w:t>
      </w:r>
      <w:r>
        <w:fldChar w:fldCharType="begin"/>
      </w:r>
      <w:r>
        <w:instrText xml:space="preserve"> REF _Ref505171954 \h </w:instrText>
      </w:r>
      <w:r>
        <w:fldChar w:fldCharType="separate"/>
      </w:r>
      <w:r w:rsidR="000369A1">
        <w:t xml:space="preserve">Table </w:t>
      </w:r>
      <w:r w:rsidR="000369A1">
        <w:rPr>
          <w:noProof/>
        </w:rPr>
        <w:t>3</w:t>
      </w:r>
      <w:r>
        <w:fldChar w:fldCharType="end"/>
      </w:r>
      <w:r>
        <w:t xml:space="preserve"> below.</w:t>
      </w:r>
    </w:p>
    <w:p w14:paraId="452E0C82" w14:textId="58175CD2" w:rsidR="00F42914" w:rsidRDefault="00F42914" w:rsidP="00705BA8">
      <w:pPr>
        <w:pStyle w:val="Caption"/>
      </w:pPr>
      <w:bookmarkStart w:id="22" w:name="_Ref505171954"/>
      <w:r>
        <w:t xml:space="preserve">Table </w:t>
      </w:r>
      <w:r w:rsidR="00B47FE6">
        <w:fldChar w:fldCharType="begin"/>
      </w:r>
      <w:r w:rsidR="00B47FE6">
        <w:instrText xml:space="preserve"> SEQ Table \* ARABIC </w:instrText>
      </w:r>
      <w:r w:rsidR="00B47FE6">
        <w:fldChar w:fldCharType="separate"/>
      </w:r>
      <w:r w:rsidR="000369A1">
        <w:rPr>
          <w:noProof/>
        </w:rPr>
        <w:t>3</w:t>
      </w:r>
      <w:r w:rsidR="00B47FE6">
        <w:rPr>
          <w:noProof/>
        </w:rPr>
        <w:fldChar w:fldCharType="end"/>
      </w:r>
      <w:bookmarkEnd w:id="22"/>
      <w:r>
        <w:t xml:space="preserve">: </w:t>
      </w:r>
      <w:r w:rsidR="00536D28">
        <w:t>Quantified n</w:t>
      </w:r>
      <w:r>
        <w:t>et benefits of the Options</w:t>
      </w:r>
    </w:p>
    <w:tbl>
      <w:tblPr>
        <w:tblW w:w="8419"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ayout w:type="fixed"/>
        <w:tblCellMar>
          <w:top w:w="57" w:type="dxa"/>
          <w:bottom w:w="57" w:type="dxa"/>
        </w:tblCellMar>
        <w:tblLook w:val="04A0" w:firstRow="1" w:lastRow="0" w:firstColumn="1" w:lastColumn="0" w:noHBand="0" w:noVBand="1"/>
      </w:tblPr>
      <w:tblGrid>
        <w:gridCol w:w="1526"/>
        <w:gridCol w:w="2268"/>
        <w:gridCol w:w="2520"/>
        <w:gridCol w:w="2105"/>
      </w:tblGrid>
      <w:tr w:rsidR="00F42914" w:rsidRPr="00047950" w14:paraId="29156BB4" w14:textId="77777777" w:rsidTr="00705BA8">
        <w:trPr>
          <w:trHeight w:val="217"/>
        </w:trPr>
        <w:tc>
          <w:tcPr>
            <w:tcW w:w="1526" w:type="dxa"/>
            <w:shd w:val="clear" w:color="auto" w:fill="A32020" w:themeFill="text2"/>
            <w:noWrap/>
            <w:vAlign w:val="center"/>
            <w:hideMark/>
          </w:tcPr>
          <w:p w14:paraId="2209ABFC" w14:textId="20180562" w:rsidR="00F42914" w:rsidRPr="00047950" w:rsidRDefault="00F42914" w:rsidP="00F42914">
            <w:pPr>
              <w:kinsoku/>
              <w:overflowPunct/>
              <w:autoSpaceDE/>
              <w:autoSpaceDN/>
              <w:adjustRightInd/>
              <w:snapToGrid/>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Net benefit of each Option</w:t>
            </w:r>
          </w:p>
        </w:tc>
        <w:tc>
          <w:tcPr>
            <w:tcW w:w="2268" w:type="dxa"/>
            <w:shd w:val="clear" w:color="auto" w:fill="A32020" w:themeFill="text2"/>
            <w:vAlign w:val="center"/>
          </w:tcPr>
          <w:p w14:paraId="68179C2A" w14:textId="46A31AF7" w:rsidR="00F42914" w:rsidRPr="00047950" w:rsidRDefault="00F42914" w:rsidP="00F42914">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Cost per CHMP approved</w:t>
            </w:r>
          </w:p>
        </w:tc>
        <w:tc>
          <w:tcPr>
            <w:tcW w:w="2520" w:type="dxa"/>
            <w:shd w:val="clear" w:color="auto" w:fill="A32020" w:themeFill="text2"/>
            <w:vAlign w:val="center"/>
          </w:tcPr>
          <w:p w14:paraId="6CCEEB3F" w14:textId="7A4E3E7C" w:rsidR="00F42914" w:rsidRPr="00047950" w:rsidRDefault="00F42914" w:rsidP="00F42914">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Net benefit per CHMP approved</w:t>
            </w:r>
          </w:p>
        </w:tc>
        <w:tc>
          <w:tcPr>
            <w:tcW w:w="2105" w:type="dxa"/>
            <w:shd w:val="clear" w:color="auto" w:fill="A32020" w:themeFill="text2"/>
            <w:vAlign w:val="center"/>
          </w:tcPr>
          <w:p w14:paraId="5923B09E" w14:textId="3C3BE970" w:rsidR="00F42914" w:rsidRPr="00047950" w:rsidRDefault="00F42914" w:rsidP="00F42914">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Total net benefit</w:t>
            </w:r>
            <w:r w:rsidR="0072675F">
              <w:rPr>
                <w:rFonts w:asciiTheme="majorHAnsi" w:hAnsiTheme="majorHAnsi"/>
                <w:b/>
                <w:bCs/>
                <w:snapToGrid/>
                <w:color w:val="FFFFFF"/>
                <w:sz w:val="18"/>
                <w:szCs w:val="16"/>
                <w:lang w:eastAsia="en-AU"/>
              </w:rPr>
              <w:t xml:space="preserve"> per year</w:t>
            </w:r>
          </w:p>
        </w:tc>
      </w:tr>
      <w:tr w:rsidR="003D3EF7" w:rsidRPr="00047950" w14:paraId="5B741763" w14:textId="77777777" w:rsidTr="003438D4">
        <w:trPr>
          <w:trHeight w:val="217"/>
        </w:trPr>
        <w:tc>
          <w:tcPr>
            <w:tcW w:w="1526" w:type="dxa"/>
            <w:shd w:val="clear" w:color="auto" w:fill="7F7F7F" w:themeFill="text1" w:themeFillTint="80"/>
            <w:vAlign w:val="center"/>
            <w:hideMark/>
          </w:tcPr>
          <w:p w14:paraId="35D190F6" w14:textId="77777777"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1</w:t>
            </w:r>
          </w:p>
        </w:tc>
        <w:tc>
          <w:tcPr>
            <w:tcW w:w="2268" w:type="dxa"/>
            <w:shd w:val="clear" w:color="auto" w:fill="auto"/>
            <w:vAlign w:val="center"/>
          </w:tcPr>
          <w:p w14:paraId="43B30C87" w14:textId="1350B78A"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$38,466 </w:t>
            </w:r>
          </w:p>
        </w:tc>
        <w:tc>
          <w:tcPr>
            <w:tcW w:w="2520" w:type="dxa"/>
            <w:shd w:val="clear" w:color="auto" w:fill="auto"/>
            <w:vAlign w:val="center"/>
          </w:tcPr>
          <w:p w14:paraId="46F464BE" w14:textId="1A9DD50B"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$36,518 </w:t>
            </w:r>
          </w:p>
        </w:tc>
        <w:tc>
          <w:tcPr>
            <w:tcW w:w="2105" w:type="dxa"/>
            <w:shd w:val="clear" w:color="auto" w:fill="auto"/>
            <w:vAlign w:val="center"/>
          </w:tcPr>
          <w:p w14:paraId="28C9B4BA" w14:textId="3402CB68"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$20,924,837 </w:t>
            </w:r>
          </w:p>
        </w:tc>
      </w:tr>
      <w:tr w:rsidR="003D3EF7" w:rsidRPr="00047950" w14:paraId="0673338B" w14:textId="77777777" w:rsidTr="003438D4">
        <w:trPr>
          <w:trHeight w:val="325"/>
        </w:trPr>
        <w:tc>
          <w:tcPr>
            <w:tcW w:w="1526" w:type="dxa"/>
            <w:shd w:val="clear" w:color="auto" w:fill="7F7F7F" w:themeFill="text1" w:themeFillTint="80"/>
            <w:vAlign w:val="center"/>
            <w:hideMark/>
          </w:tcPr>
          <w:p w14:paraId="0FB2154C" w14:textId="77777777"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2</w:t>
            </w:r>
          </w:p>
        </w:tc>
        <w:tc>
          <w:tcPr>
            <w:tcW w:w="2268" w:type="dxa"/>
            <w:shd w:val="clear" w:color="auto" w:fill="auto"/>
            <w:vAlign w:val="center"/>
          </w:tcPr>
          <w:p w14:paraId="3DE7C067" w14:textId="6A422866"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$38,382 </w:t>
            </w:r>
          </w:p>
        </w:tc>
        <w:tc>
          <w:tcPr>
            <w:tcW w:w="2520" w:type="dxa"/>
            <w:shd w:val="clear" w:color="auto" w:fill="auto"/>
            <w:vAlign w:val="center"/>
          </w:tcPr>
          <w:p w14:paraId="7ECD074E" w14:textId="0714C62C"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$36,602 </w:t>
            </w:r>
          </w:p>
        </w:tc>
        <w:tc>
          <w:tcPr>
            <w:tcW w:w="2105" w:type="dxa"/>
            <w:shd w:val="clear" w:color="auto" w:fill="auto"/>
            <w:vAlign w:val="center"/>
          </w:tcPr>
          <w:p w14:paraId="1A9E3E03" w14:textId="430335CA"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$21,586,487 </w:t>
            </w:r>
          </w:p>
        </w:tc>
      </w:tr>
      <w:tr w:rsidR="003D3EF7" w:rsidRPr="00047950" w14:paraId="5FEF8637" w14:textId="77777777" w:rsidTr="003438D4">
        <w:trPr>
          <w:trHeight w:val="325"/>
        </w:trPr>
        <w:tc>
          <w:tcPr>
            <w:tcW w:w="1526" w:type="dxa"/>
            <w:shd w:val="clear" w:color="auto" w:fill="7F7F7F" w:themeFill="text1" w:themeFillTint="80"/>
            <w:vAlign w:val="center"/>
          </w:tcPr>
          <w:p w14:paraId="0C8D0BAE" w14:textId="77777777" w:rsidR="003D3EF7" w:rsidRPr="008F5599" w:rsidRDefault="003D3EF7" w:rsidP="003D3EF7">
            <w:pPr>
              <w:kinsoku/>
              <w:overflowPunct/>
              <w:autoSpaceDE/>
              <w:autoSpaceDN/>
              <w:adjustRightInd/>
              <w:snapToGrid/>
              <w:rPr>
                <w:rFonts w:asciiTheme="majorHAnsi" w:hAnsiTheme="majorHAnsi"/>
                <w:b/>
                <w:bCs/>
                <w:snapToGrid/>
                <w:color w:val="FFFFFF" w:themeColor="background1"/>
                <w:sz w:val="18"/>
                <w:szCs w:val="16"/>
                <w:lang w:eastAsia="en-AU"/>
              </w:rPr>
            </w:pPr>
            <w:r>
              <w:rPr>
                <w:rFonts w:asciiTheme="majorHAnsi" w:hAnsiTheme="majorHAnsi"/>
                <w:b/>
                <w:bCs/>
                <w:snapToGrid/>
                <w:color w:val="FFFFFF" w:themeColor="background1"/>
                <w:sz w:val="18"/>
                <w:szCs w:val="16"/>
                <w:lang w:eastAsia="en-AU"/>
              </w:rPr>
              <w:t>Option 3</w:t>
            </w:r>
          </w:p>
        </w:tc>
        <w:tc>
          <w:tcPr>
            <w:tcW w:w="2268" w:type="dxa"/>
            <w:shd w:val="clear" w:color="auto" w:fill="auto"/>
            <w:vAlign w:val="center"/>
          </w:tcPr>
          <w:p w14:paraId="1A05BDD2" w14:textId="6D335BE0"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$38,011 </w:t>
            </w:r>
          </w:p>
        </w:tc>
        <w:tc>
          <w:tcPr>
            <w:tcW w:w="2520" w:type="dxa"/>
            <w:shd w:val="clear" w:color="auto" w:fill="auto"/>
            <w:vAlign w:val="center"/>
          </w:tcPr>
          <w:p w14:paraId="694FF030" w14:textId="665883E1"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$36,973 </w:t>
            </w:r>
          </w:p>
        </w:tc>
        <w:tc>
          <w:tcPr>
            <w:tcW w:w="2105" w:type="dxa"/>
            <w:shd w:val="clear" w:color="auto" w:fill="auto"/>
            <w:vAlign w:val="center"/>
          </w:tcPr>
          <w:p w14:paraId="3ABE458B" w14:textId="6CC830F8" w:rsidR="003D3EF7" w:rsidRPr="00495A21" w:rsidRDefault="003D3EF7" w:rsidP="003D3EF7">
            <w:pPr>
              <w:kinsoku/>
              <w:overflowPunct/>
              <w:autoSpaceDE/>
              <w:autoSpaceDN/>
              <w:adjustRightInd/>
              <w:snapToGrid/>
              <w:jc w:val="center"/>
              <w:rPr>
                <w:rFonts w:asciiTheme="majorHAnsi" w:hAnsiTheme="majorHAnsi"/>
                <w:snapToGrid/>
                <w:color w:val="000000"/>
                <w:sz w:val="18"/>
                <w:szCs w:val="18"/>
                <w:lang w:eastAsia="en-AU"/>
              </w:rPr>
            </w:pPr>
            <w:r w:rsidRPr="00495A21">
              <w:rPr>
                <w:sz w:val="18"/>
                <w:szCs w:val="18"/>
              </w:rPr>
              <w:t xml:space="preserve">$21,185,621 </w:t>
            </w:r>
          </w:p>
        </w:tc>
      </w:tr>
    </w:tbl>
    <w:p w14:paraId="346EDB50" w14:textId="77777777" w:rsidR="00F42914" w:rsidRDefault="00F42914" w:rsidP="00705BA8">
      <w:pPr>
        <w:pStyle w:val="PwCNormal"/>
        <w:numPr>
          <w:ilvl w:val="0"/>
          <w:numId w:val="0"/>
        </w:numPr>
      </w:pPr>
    </w:p>
    <w:p w14:paraId="5A88A860" w14:textId="524B7B01" w:rsidR="00F42914" w:rsidRDefault="00F42914" w:rsidP="00705BA8">
      <w:pPr>
        <w:pStyle w:val="Caption"/>
      </w:pPr>
      <w:r>
        <w:t>Multi-criteria analysis</w:t>
      </w:r>
    </w:p>
    <w:p w14:paraId="2332834A" w14:textId="6E2C00D4" w:rsidR="00536D28" w:rsidRDefault="00536D28" w:rsidP="00536D28">
      <w:pPr>
        <w:pStyle w:val="PwCNormal"/>
        <w:rPr>
          <w:snapToGrid/>
        </w:rPr>
      </w:pPr>
      <w:r>
        <w:t>Arguably the most significant benefits of protecting and managing Aboriginal cultural heritage are those which cannot be easily quantified. These primarily relate to improved social, psychological, educational and justice outcomes for Aboriginal people. Accordingly</w:t>
      </w:r>
      <w:r w:rsidR="00CF11FF">
        <w:t>,</w:t>
      </w:r>
      <w:r>
        <w:t xml:space="preserve"> the options </w:t>
      </w:r>
      <w:r w:rsidR="00CF11FF">
        <w:t>have been assessed using</w:t>
      </w:r>
      <w:r>
        <w:t xml:space="preserve"> a multi-criteria analysis (MCA) to determine and compare the </w:t>
      </w:r>
      <w:r w:rsidR="00CF11FF">
        <w:t xml:space="preserve">costs and </w:t>
      </w:r>
      <w:r>
        <w:t xml:space="preserve">benefits of each option. </w:t>
      </w:r>
    </w:p>
    <w:p w14:paraId="25C19098" w14:textId="24C00517" w:rsidR="00536D28" w:rsidRDefault="00536D28" w:rsidP="00536D28">
      <w:pPr>
        <w:pStyle w:val="PwCNormal"/>
      </w:pPr>
      <w:r>
        <w:t xml:space="preserve">MCA is an approach to comparing costs and benefits of policy options that brings a degree of structure, analysis and transparency to decision-making. MCA establishes preferences between options by referring to an explicit set of objectives and measurable criteria to assess the extent to which the objectives have been achieved. MCA is particularly useful in circumstances where it is necessary to consider a range of economic, environmental and social benefits which cannot be readily quantified and/or valued. The estimate of those costs and benefits that </w:t>
      </w:r>
      <w:r w:rsidRPr="00B3466C">
        <w:t>can</w:t>
      </w:r>
      <w:r>
        <w:t xml:space="preserve"> be quantified</w:t>
      </w:r>
      <w:r w:rsidR="004D72E5">
        <w:t xml:space="preserve"> complement, and are reflected in, the MCA</w:t>
      </w:r>
      <w:r>
        <w:t xml:space="preserve">. </w:t>
      </w:r>
    </w:p>
    <w:p w14:paraId="3BCC2E28" w14:textId="1AEF34DB" w:rsidR="00536D28" w:rsidRDefault="00536D28" w:rsidP="00536D28">
      <w:pPr>
        <w:pStyle w:val="PwCNormal"/>
      </w:pPr>
      <w:r>
        <w:t xml:space="preserve">The preferred option identified through the use of MCA may not result in a quantifiable benefit in all instances, but is the option that produces the best overall outcomes in terms of a range of tangible and intangible costs and benefits. MCA is, therefore, </w:t>
      </w:r>
      <w:r w:rsidR="00CF11FF">
        <w:t>an</w:t>
      </w:r>
      <w:r>
        <w:t xml:space="preserve"> important tool for assessing policies to preserve </w:t>
      </w:r>
      <w:r w:rsidR="001E1296">
        <w:t>A</w:t>
      </w:r>
      <w:r>
        <w:t xml:space="preserve">boriginal cultural heritage, which is the overarching objective of this regulatory regime. </w:t>
      </w:r>
    </w:p>
    <w:p w14:paraId="420FCFC0" w14:textId="12E7C0B0" w:rsidR="00536D28" w:rsidRDefault="00536D28" w:rsidP="00536D28">
      <w:pPr>
        <w:pStyle w:val="PwCNormal"/>
      </w:pPr>
      <w:r>
        <w:t>The CHMP process is the key mechanism of the Regulations. AV estimates that approximately 44 per cent of all CHMPs identify</w:t>
      </w:r>
      <w:r w:rsidR="001E1296">
        <w:t xml:space="preserve"> Aboriginal</w:t>
      </w:r>
      <w:r>
        <w:t xml:space="preserve"> cultural heritage. Of these, 61 per cent mitigate harm through avoidance, minimisation or salvage, meaning that 27 per cent of all CHMPs preserve Aboriginal cultural heritage. In the other 73 per cent of cases, CHMPs are prepared</w:t>
      </w:r>
      <w:r w:rsidR="00CF11FF">
        <w:t>,</w:t>
      </w:r>
      <w:r>
        <w:t xml:space="preserve"> but do not identify or result in the preservation of cultural heritage. In those cases, there are costs to those preparing </w:t>
      </w:r>
      <w:r w:rsidR="00500150">
        <w:t>CHMPs</w:t>
      </w:r>
      <w:r>
        <w:t xml:space="preserve"> without a clear tangible or intangible benefit in terms of preservation of cultural heritage. The analysis of the quantifiable costs and benefits of the regime, however, suggests that the total quantifiable benefits to the community exceed the total quantifiable costs to the sector. That is, although some parties bear the costs of preparing a CHMP without that specific plan resulting in the preservation of heritage, requiring all affected parties to prepare CHMPs yields total </w:t>
      </w:r>
      <w:r w:rsidR="00670320">
        <w:t xml:space="preserve">estimated </w:t>
      </w:r>
      <w:r>
        <w:t xml:space="preserve">benefits that </w:t>
      </w:r>
      <w:r w:rsidR="00670320">
        <w:t xml:space="preserve">are expected to </w:t>
      </w:r>
      <w:r>
        <w:t>outweigh the costs to the sector even without accounting for the intangible value of the benefits of preserving cultural heritage.</w:t>
      </w:r>
    </w:p>
    <w:p w14:paraId="222FBB7F" w14:textId="0DA2D2EC" w:rsidR="00536D28" w:rsidRDefault="00536D28" w:rsidP="00536D28">
      <w:pPr>
        <w:pStyle w:val="PwCNormal"/>
      </w:pPr>
      <w:r>
        <w:t xml:space="preserve">Further, although Aboriginal cultural heritage is not identified in more than half of the CHMPs prepared, AV considers that the CHMP process remains an effective heritage management tool. This is because CHMPs include contingencies for </w:t>
      </w:r>
      <w:r w:rsidR="00500150">
        <w:t xml:space="preserve">managing </w:t>
      </w:r>
      <w:r>
        <w:t xml:space="preserve">Aboriginal cultural heritage that may be uncovered during </w:t>
      </w:r>
      <w:r w:rsidR="00500150">
        <w:t>the</w:t>
      </w:r>
      <w:r w:rsidR="006766EF">
        <w:t xml:space="preserve"> </w:t>
      </w:r>
      <w:r>
        <w:t>development or land use activit</w:t>
      </w:r>
      <w:r w:rsidR="00500150">
        <w:t>y</w:t>
      </w:r>
      <w:r>
        <w:t>. These contingencies allow the activity to continue alongside the proper management of that heritage. The sponsor would incur considerable cost and time delays in complying with the Act without the contingencies developed during the CHMP’s preparation. Both the assessment and contingencies prepared as part of the CHMP provide land users, developers, local government and Traditional Owners certainty that Aboriginal cultural heritage will be identified and managed without imposing unforeseen costs and delays during development activities.</w:t>
      </w:r>
    </w:p>
    <w:p w14:paraId="45B991EA" w14:textId="188B94ED" w:rsidR="00536D28" w:rsidRDefault="00536D28" w:rsidP="00536D28">
      <w:pPr>
        <w:pStyle w:val="PwCNormal"/>
      </w:pPr>
      <w:r>
        <w:t xml:space="preserve">The analysis from both the MCA and the CBA returned positive scores for each option. This suggests </w:t>
      </w:r>
      <w:r w:rsidR="00CF11FF">
        <w:t xml:space="preserve">that </w:t>
      </w:r>
      <w:r>
        <w:t xml:space="preserve">each option would result in effective Aboriginal cultural heritage management </w:t>
      </w:r>
      <w:r w:rsidR="00CF11FF">
        <w:t xml:space="preserve">(relative to having </w:t>
      </w:r>
      <w:r w:rsidR="002F0B84">
        <w:t>no</w:t>
      </w:r>
      <w:r w:rsidR="00CF11FF">
        <w:t xml:space="preserve"> Regulations in place)</w:t>
      </w:r>
      <w:r>
        <w:t>.</w:t>
      </w:r>
    </w:p>
    <w:p w14:paraId="47B05220" w14:textId="5D56B151" w:rsidR="00F42914" w:rsidRDefault="007B4D7F" w:rsidP="00705BA8">
      <w:r>
        <w:fldChar w:fldCharType="begin"/>
      </w:r>
      <w:r>
        <w:instrText xml:space="preserve"> REF _Ref505172634 \h </w:instrText>
      </w:r>
      <w:r>
        <w:fldChar w:fldCharType="separate"/>
      </w:r>
      <w:r w:rsidR="000369A1">
        <w:t xml:space="preserve">Table </w:t>
      </w:r>
      <w:r w:rsidR="000369A1">
        <w:rPr>
          <w:noProof/>
        </w:rPr>
        <w:t>4</w:t>
      </w:r>
      <w:r>
        <w:fldChar w:fldCharType="end"/>
      </w:r>
      <w:r>
        <w:t xml:space="preserve"> shows the </w:t>
      </w:r>
      <w:r w:rsidR="00E5103C">
        <w:t>criteria and scoring for each of the Options.</w:t>
      </w:r>
    </w:p>
    <w:p w14:paraId="768DAC37" w14:textId="3761E7BC" w:rsidR="007B4D7F" w:rsidRDefault="007B4D7F" w:rsidP="00705BA8">
      <w:pPr>
        <w:pStyle w:val="Caption"/>
      </w:pPr>
      <w:bookmarkStart w:id="23" w:name="_Ref505172634"/>
      <w:r>
        <w:t xml:space="preserve">Table </w:t>
      </w:r>
      <w:r w:rsidR="00B47FE6">
        <w:fldChar w:fldCharType="begin"/>
      </w:r>
      <w:r w:rsidR="00B47FE6">
        <w:instrText xml:space="preserve"> SEQ Table \* ARABIC </w:instrText>
      </w:r>
      <w:r w:rsidR="00B47FE6">
        <w:fldChar w:fldCharType="separate"/>
      </w:r>
      <w:r w:rsidR="000369A1">
        <w:rPr>
          <w:noProof/>
        </w:rPr>
        <w:t>4</w:t>
      </w:r>
      <w:r w:rsidR="00B47FE6">
        <w:rPr>
          <w:noProof/>
        </w:rPr>
        <w:fldChar w:fldCharType="end"/>
      </w:r>
      <w:bookmarkEnd w:id="23"/>
      <w:r>
        <w:t>: Multi-criteria analysis</w:t>
      </w:r>
      <w:r>
        <w:rPr>
          <w:noProof/>
        </w:rPr>
        <w:t xml:space="preserve"> scoring (-</w:t>
      </w:r>
      <w:r w:rsidR="00F90AEC">
        <w:rPr>
          <w:noProof/>
        </w:rPr>
        <w:t>10</w:t>
      </w:r>
      <w:r>
        <w:rPr>
          <w:noProof/>
        </w:rPr>
        <w:t xml:space="preserve"> to +</w:t>
      </w:r>
      <w:r w:rsidR="00F90AEC">
        <w:rPr>
          <w:noProof/>
        </w:rPr>
        <w:t>10</w:t>
      </w:r>
      <w:r>
        <w:rPr>
          <w:noProof/>
        </w:rPr>
        <w:t>)</w:t>
      </w:r>
    </w:p>
    <w:tbl>
      <w:tblPr>
        <w:tblStyle w:val="TableGrid"/>
        <w:tblW w:w="0" w:type="auto"/>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1384"/>
        <w:gridCol w:w="1791"/>
        <w:gridCol w:w="657"/>
        <w:gridCol w:w="1097"/>
        <w:gridCol w:w="657"/>
        <w:gridCol w:w="1097"/>
        <w:gridCol w:w="657"/>
        <w:gridCol w:w="1097"/>
      </w:tblGrid>
      <w:tr w:rsidR="00A43C43" w14:paraId="5A1C25CA" w14:textId="77777777" w:rsidTr="00C35804">
        <w:trPr>
          <w:cantSplit/>
          <w:trHeight w:val="94"/>
          <w:tblHeader/>
        </w:trPr>
        <w:tc>
          <w:tcPr>
            <w:tcW w:w="1384" w:type="dxa"/>
            <w:vMerge w:val="restart"/>
            <w:shd w:val="clear" w:color="auto" w:fill="A32020" w:themeFill="text2"/>
            <w:vAlign w:val="center"/>
          </w:tcPr>
          <w:p w14:paraId="47A9DF00" w14:textId="35ACBFAD" w:rsidR="00A43C43" w:rsidRPr="00705BA8" w:rsidRDefault="00A43C43">
            <w:pPr>
              <w:rPr>
                <w:b/>
                <w:color w:val="FFFFFF" w:themeColor="background1"/>
                <w:sz w:val="18"/>
              </w:rPr>
            </w:pPr>
            <w:r w:rsidRPr="00705BA8">
              <w:rPr>
                <w:b/>
                <w:color w:val="FFFFFF" w:themeColor="background1"/>
                <w:sz w:val="18"/>
              </w:rPr>
              <w:t>Criteria</w:t>
            </w:r>
          </w:p>
        </w:tc>
        <w:tc>
          <w:tcPr>
            <w:tcW w:w="1791" w:type="dxa"/>
            <w:vMerge w:val="restart"/>
            <w:shd w:val="clear" w:color="auto" w:fill="A32020" w:themeFill="text2"/>
            <w:vAlign w:val="center"/>
          </w:tcPr>
          <w:p w14:paraId="34C6D6E2" w14:textId="17CA1023" w:rsidR="00A43C43" w:rsidRPr="00705BA8" w:rsidRDefault="00A43C43" w:rsidP="00705BA8">
            <w:pPr>
              <w:rPr>
                <w:b/>
                <w:color w:val="FFFFFF" w:themeColor="background1"/>
                <w:sz w:val="18"/>
              </w:rPr>
            </w:pPr>
            <w:r w:rsidRPr="00705BA8">
              <w:rPr>
                <w:b/>
                <w:color w:val="FFFFFF" w:themeColor="background1"/>
                <w:sz w:val="18"/>
              </w:rPr>
              <w:t>Description</w:t>
            </w:r>
          </w:p>
        </w:tc>
        <w:tc>
          <w:tcPr>
            <w:tcW w:w="0" w:type="auto"/>
            <w:gridSpan w:val="2"/>
            <w:shd w:val="clear" w:color="auto" w:fill="A32020" w:themeFill="text2"/>
            <w:vAlign w:val="center"/>
          </w:tcPr>
          <w:p w14:paraId="5ADCD1C0" w14:textId="508260C2" w:rsidR="00A43C43" w:rsidRPr="00705BA8" w:rsidRDefault="00A43C43" w:rsidP="00705BA8">
            <w:pPr>
              <w:rPr>
                <w:b/>
                <w:color w:val="FFFFFF" w:themeColor="background1"/>
                <w:sz w:val="18"/>
              </w:rPr>
            </w:pPr>
            <w:r w:rsidRPr="00705BA8">
              <w:rPr>
                <w:b/>
                <w:color w:val="FFFFFF" w:themeColor="background1"/>
                <w:sz w:val="18"/>
              </w:rPr>
              <w:t>Option 1</w:t>
            </w:r>
          </w:p>
        </w:tc>
        <w:tc>
          <w:tcPr>
            <w:tcW w:w="0" w:type="auto"/>
            <w:gridSpan w:val="2"/>
            <w:shd w:val="clear" w:color="auto" w:fill="A32020" w:themeFill="text2"/>
            <w:vAlign w:val="center"/>
          </w:tcPr>
          <w:p w14:paraId="646788EA" w14:textId="77777777" w:rsidR="00A43C43" w:rsidRPr="00705BA8" w:rsidRDefault="00A43C43" w:rsidP="00705BA8">
            <w:pPr>
              <w:rPr>
                <w:b/>
                <w:color w:val="FFFFFF" w:themeColor="background1"/>
                <w:sz w:val="18"/>
              </w:rPr>
            </w:pPr>
            <w:r w:rsidRPr="00705BA8">
              <w:rPr>
                <w:b/>
                <w:color w:val="FFFFFF" w:themeColor="background1"/>
                <w:sz w:val="18"/>
              </w:rPr>
              <w:t>Option 2</w:t>
            </w:r>
          </w:p>
        </w:tc>
        <w:tc>
          <w:tcPr>
            <w:tcW w:w="0" w:type="auto"/>
            <w:gridSpan w:val="2"/>
            <w:shd w:val="clear" w:color="auto" w:fill="A32020" w:themeFill="text2"/>
            <w:vAlign w:val="center"/>
          </w:tcPr>
          <w:p w14:paraId="72FC74DD" w14:textId="77777777" w:rsidR="00A43C43" w:rsidRPr="00705BA8" w:rsidRDefault="00A43C43" w:rsidP="00705BA8">
            <w:pPr>
              <w:rPr>
                <w:b/>
                <w:color w:val="FFFFFF" w:themeColor="background1"/>
                <w:sz w:val="18"/>
              </w:rPr>
            </w:pPr>
            <w:r w:rsidRPr="00705BA8">
              <w:rPr>
                <w:b/>
                <w:color w:val="FFFFFF" w:themeColor="background1"/>
                <w:sz w:val="18"/>
              </w:rPr>
              <w:t>Option 3</w:t>
            </w:r>
          </w:p>
        </w:tc>
      </w:tr>
      <w:tr w:rsidR="00A43C43" w14:paraId="2DA9AA83" w14:textId="77777777" w:rsidTr="00C35804">
        <w:trPr>
          <w:cantSplit/>
          <w:trHeight w:val="626"/>
          <w:tblHeader/>
        </w:trPr>
        <w:tc>
          <w:tcPr>
            <w:tcW w:w="1384" w:type="dxa"/>
            <w:vMerge/>
            <w:shd w:val="clear" w:color="auto" w:fill="BFBFBF" w:themeFill="background1" w:themeFillShade="BF"/>
            <w:vAlign w:val="center"/>
          </w:tcPr>
          <w:p w14:paraId="04E2989E" w14:textId="19708D1F" w:rsidR="00A43C43" w:rsidRPr="00705BA8" w:rsidRDefault="00A43C43">
            <w:pPr>
              <w:rPr>
                <w:sz w:val="18"/>
              </w:rPr>
            </w:pPr>
          </w:p>
        </w:tc>
        <w:tc>
          <w:tcPr>
            <w:tcW w:w="1791" w:type="dxa"/>
            <w:vMerge/>
            <w:shd w:val="clear" w:color="auto" w:fill="BFBFBF" w:themeFill="background1" w:themeFillShade="BF"/>
            <w:vAlign w:val="center"/>
          </w:tcPr>
          <w:p w14:paraId="4CFA180E" w14:textId="361D2966" w:rsidR="00A43C43" w:rsidRPr="00705BA8" w:rsidRDefault="00A43C43" w:rsidP="00705BA8">
            <w:pPr>
              <w:rPr>
                <w:sz w:val="18"/>
              </w:rPr>
            </w:pPr>
          </w:p>
        </w:tc>
        <w:tc>
          <w:tcPr>
            <w:tcW w:w="0" w:type="auto"/>
            <w:shd w:val="clear" w:color="auto" w:fill="F4CACA" w:themeFill="text2" w:themeFillTint="33"/>
            <w:vAlign w:val="center"/>
          </w:tcPr>
          <w:p w14:paraId="04059DE6" w14:textId="4B2E5EDD" w:rsidR="00A43C43" w:rsidRPr="00705BA8" w:rsidRDefault="00A43C43">
            <w:pPr>
              <w:jc w:val="center"/>
              <w:rPr>
                <w:sz w:val="18"/>
              </w:rPr>
            </w:pPr>
            <w:r w:rsidRPr="00705BA8">
              <w:rPr>
                <w:sz w:val="18"/>
              </w:rPr>
              <w:t>Score</w:t>
            </w:r>
          </w:p>
        </w:tc>
        <w:tc>
          <w:tcPr>
            <w:tcW w:w="0" w:type="auto"/>
            <w:shd w:val="clear" w:color="auto" w:fill="F4CACA" w:themeFill="text2" w:themeFillTint="33"/>
            <w:vAlign w:val="center"/>
          </w:tcPr>
          <w:p w14:paraId="66873261" w14:textId="77777777" w:rsidR="00A43C43" w:rsidRPr="00705BA8" w:rsidRDefault="00A43C43">
            <w:pPr>
              <w:jc w:val="center"/>
              <w:rPr>
                <w:sz w:val="18"/>
              </w:rPr>
            </w:pPr>
            <w:r w:rsidRPr="00705BA8">
              <w:rPr>
                <w:sz w:val="18"/>
              </w:rPr>
              <w:t>Weighted-score</w:t>
            </w:r>
          </w:p>
        </w:tc>
        <w:tc>
          <w:tcPr>
            <w:tcW w:w="0" w:type="auto"/>
            <w:shd w:val="clear" w:color="auto" w:fill="F4CACA" w:themeFill="text2" w:themeFillTint="33"/>
            <w:vAlign w:val="center"/>
          </w:tcPr>
          <w:p w14:paraId="6BA4AB6C" w14:textId="77777777" w:rsidR="00A43C43" w:rsidRPr="00705BA8" w:rsidRDefault="00A43C43">
            <w:pPr>
              <w:jc w:val="center"/>
              <w:rPr>
                <w:sz w:val="18"/>
              </w:rPr>
            </w:pPr>
            <w:r w:rsidRPr="00705BA8">
              <w:rPr>
                <w:sz w:val="18"/>
              </w:rPr>
              <w:t>Score</w:t>
            </w:r>
          </w:p>
        </w:tc>
        <w:tc>
          <w:tcPr>
            <w:tcW w:w="0" w:type="auto"/>
            <w:shd w:val="clear" w:color="auto" w:fill="F4CACA" w:themeFill="text2" w:themeFillTint="33"/>
            <w:vAlign w:val="center"/>
          </w:tcPr>
          <w:p w14:paraId="27513590" w14:textId="77777777" w:rsidR="00A43C43" w:rsidRPr="00705BA8" w:rsidRDefault="00A43C43">
            <w:pPr>
              <w:jc w:val="center"/>
              <w:rPr>
                <w:sz w:val="18"/>
              </w:rPr>
            </w:pPr>
            <w:r w:rsidRPr="00705BA8">
              <w:rPr>
                <w:sz w:val="18"/>
              </w:rPr>
              <w:t>Weighted-score</w:t>
            </w:r>
          </w:p>
        </w:tc>
        <w:tc>
          <w:tcPr>
            <w:tcW w:w="0" w:type="auto"/>
            <w:shd w:val="clear" w:color="auto" w:fill="F4CACA" w:themeFill="text2" w:themeFillTint="33"/>
            <w:vAlign w:val="center"/>
          </w:tcPr>
          <w:p w14:paraId="71809B5E" w14:textId="77777777" w:rsidR="00A43C43" w:rsidRPr="00705BA8" w:rsidRDefault="00A43C43">
            <w:pPr>
              <w:jc w:val="center"/>
              <w:rPr>
                <w:sz w:val="18"/>
              </w:rPr>
            </w:pPr>
            <w:r w:rsidRPr="00705BA8">
              <w:rPr>
                <w:sz w:val="18"/>
              </w:rPr>
              <w:t>Score</w:t>
            </w:r>
          </w:p>
        </w:tc>
        <w:tc>
          <w:tcPr>
            <w:tcW w:w="0" w:type="auto"/>
            <w:shd w:val="clear" w:color="auto" w:fill="F4CACA" w:themeFill="text2" w:themeFillTint="33"/>
            <w:vAlign w:val="center"/>
          </w:tcPr>
          <w:p w14:paraId="6DD55EFB" w14:textId="77777777" w:rsidR="00A43C43" w:rsidRPr="00705BA8" w:rsidRDefault="00A43C43">
            <w:pPr>
              <w:jc w:val="center"/>
              <w:rPr>
                <w:sz w:val="18"/>
              </w:rPr>
            </w:pPr>
            <w:r w:rsidRPr="00705BA8">
              <w:rPr>
                <w:sz w:val="18"/>
              </w:rPr>
              <w:t>Weighted-score</w:t>
            </w:r>
          </w:p>
        </w:tc>
      </w:tr>
      <w:tr w:rsidR="00A43C43" w14:paraId="7FAAD5BA" w14:textId="77777777" w:rsidTr="00705BA8">
        <w:trPr>
          <w:cantSplit/>
          <w:trHeight w:val="189"/>
        </w:trPr>
        <w:tc>
          <w:tcPr>
            <w:tcW w:w="1384" w:type="dxa"/>
            <w:vAlign w:val="center"/>
          </w:tcPr>
          <w:p w14:paraId="60FF29A5" w14:textId="77777777" w:rsidR="00A43C43" w:rsidRPr="00705BA8" w:rsidRDefault="00A43C43" w:rsidP="00A35429">
            <w:pPr>
              <w:rPr>
                <w:sz w:val="18"/>
              </w:rPr>
            </w:pPr>
            <w:r w:rsidRPr="00705BA8">
              <w:rPr>
                <w:sz w:val="18"/>
              </w:rPr>
              <w:t>Land-user costs (40%)</w:t>
            </w:r>
          </w:p>
        </w:tc>
        <w:tc>
          <w:tcPr>
            <w:tcW w:w="1791" w:type="dxa"/>
            <w:vAlign w:val="center"/>
          </w:tcPr>
          <w:p w14:paraId="240C52DB" w14:textId="5A8CBB92" w:rsidR="00A43C43" w:rsidRPr="00705BA8" w:rsidRDefault="00A43C43" w:rsidP="00705BA8">
            <w:pPr>
              <w:rPr>
                <w:sz w:val="18"/>
              </w:rPr>
            </w:pPr>
            <w:r w:rsidRPr="00705BA8">
              <w:rPr>
                <w:sz w:val="18"/>
              </w:rPr>
              <w:t>The cost to land-users of complying with the Regulations.</w:t>
            </w:r>
          </w:p>
        </w:tc>
        <w:tc>
          <w:tcPr>
            <w:tcW w:w="0" w:type="auto"/>
            <w:vAlign w:val="center"/>
          </w:tcPr>
          <w:p w14:paraId="37ED98C7" w14:textId="4203FA47" w:rsidR="00A43C43" w:rsidRPr="00705BA8" w:rsidRDefault="00A43C43" w:rsidP="00A35429">
            <w:pPr>
              <w:jc w:val="center"/>
              <w:rPr>
                <w:sz w:val="18"/>
              </w:rPr>
            </w:pPr>
            <w:r w:rsidRPr="00705BA8">
              <w:rPr>
                <w:sz w:val="18"/>
              </w:rPr>
              <w:t>-</w:t>
            </w:r>
            <w:r w:rsidR="00F90AEC">
              <w:rPr>
                <w:sz w:val="18"/>
              </w:rPr>
              <w:t>6</w:t>
            </w:r>
          </w:p>
        </w:tc>
        <w:tc>
          <w:tcPr>
            <w:tcW w:w="0" w:type="auto"/>
            <w:vAlign w:val="center"/>
          </w:tcPr>
          <w:p w14:paraId="310ACB1B" w14:textId="2DA54D9C" w:rsidR="00A43C43" w:rsidRPr="00705BA8" w:rsidRDefault="00A43C43" w:rsidP="00A35429">
            <w:pPr>
              <w:jc w:val="center"/>
              <w:rPr>
                <w:sz w:val="18"/>
              </w:rPr>
            </w:pPr>
            <w:r w:rsidRPr="00705BA8">
              <w:rPr>
                <w:sz w:val="18"/>
              </w:rPr>
              <w:t>-</w:t>
            </w:r>
            <w:r w:rsidR="00F90AEC">
              <w:rPr>
                <w:sz w:val="18"/>
              </w:rPr>
              <w:t>2.4</w:t>
            </w:r>
          </w:p>
        </w:tc>
        <w:tc>
          <w:tcPr>
            <w:tcW w:w="0" w:type="auto"/>
            <w:vAlign w:val="center"/>
          </w:tcPr>
          <w:p w14:paraId="061EA939" w14:textId="399F2F04" w:rsidR="00A43C43" w:rsidRPr="00705BA8" w:rsidRDefault="00A43C43" w:rsidP="00A35429">
            <w:pPr>
              <w:jc w:val="center"/>
              <w:rPr>
                <w:sz w:val="18"/>
              </w:rPr>
            </w:pPr>
            <w:r w:rsidRPr="00705BA8">
              <w:rPr>
                <w:sz w:val="18"/>
              </w:rPr>
              <w:t>-</w:t>
            </w:r>
            <w:r w:rsidR="00F90AEC">
              <w:rPr>
                <w:sz w:val="18"/>
              </w:rPr>
              <w:t>7</w:t>
            </w:r>
          </w:p>
        </w:tc>
        <w:tc>
          <w:tcPr>
            <w:tcW w:w="0" w:type="auto"/>
            <w:vAlign w:val="center"/>
          </w:tcPr>
          <w:p w14:paraId="614E9E16" w14:textId="2ADB8206" w:rsidR="00A43C43" w:rsidRPr="00705BA8" w:rsidRDefault="00A43C43" w:rsidP="00A35429">
            <w:pPr>
              <w:jc w:val="center"/>
              <w:rPr>
                <w:sz w:val="18"/>
              </w:rPr>
            </w:pPr>
            <w:r w:rsidRPr="00705BA8">
              <w:rPr>
                <w:sz w:val="18"/>
              </w:rPr>
              <w:t>-</w:t>
            </w:r>
            <w:r w:rsidR="00F90AEC">
              <w:rPr>
                <w:sz w:val="18"/>
              </w:rPr>
              <w:t>2.8</w:t>
            </w:r>
          </w:p>
        </w:tc>
        <w:tc>
          <w:tcPr>
            <w:tcW w:w="0" w:type="auto"/>
            <w:vAlign w:val="center"/>
          </w:tcPr>
          <w:p w14:paraId="20139C8B" w14:textId="4217E44A" w:rsidR="00A43C43" w:rsidRPr="00705BA8" w:rsidRDefault="00A43C43" w:rsidP="00A35429">
            <w:pPr>
              <w:jc w:val="center"/>
              <w:rPr>
                <w:sz w:val="18"/>
              </w:rPr>
            </w:pPr>
            <w:r w:rsidRPr="00705BA8">
              <w:rPr>
                <w:sz w:val="18"/>
              </w:rPr>
              <w:t>-</w:t>
            </w:r>
            <w:r w:rsidR="00F90AEC">
              <w:rPr>
                <w:sz w:val="18"/>
              </w:rPr>
              <w:t>5</w:t>
            </w:r>
          </w:p>
        </w:tc>
        <w:tc>
          <w:tcPr>
            <w:tcW w:w="0" w:type="auto"/>
            <w:vAlign w:val="center"/>
          </w:tcPr>
          <w:p w14:paraId="2B693F36" w14:textId="299DC8FF" w:rsidR="00A43C43" w:rsidRPr="00705BA8" w:rsidRDefault="00A43C43" w:rsidP="00A35429">
            <w:pPr>
              <w:jc w:val="center"/>
              <w:rPr>
                <w:sz w:val="18"/>
              </w:rPr>
            </w:pPr>
            <w:r w:rsidRPr="00705BA8">
              <w:rPr>
                <w:sz w:val="18"/>
              </w:rPr>
              <w:t>-</w:t>
            </w:r>
            <w:r w:rsidR="00F90AEC">
              <w:rPr>
                <w:sz w:val="18"/>
              </w:rPr>
              <w:t>2</w:t>
            </w:r>
          </w:p>
        </w:tc>
      </w:tr>
      <w:tr w:rsidR="00A43C43" w14:paraId="7CACFC97" w14:textId="77777777" w:rsidTr="00705BA8">
        <w:trPr>
          <w:cantSplit/>
          <w:trHeight w:val="189"/>
        </w:trPr>
        <w:tc>
          <w:tcPr>
            <w:tcW w:w="1384" w:type="dxa"/>
            <w:vAlign w:val="center"/>
          </w:tcPr>
          <w:p w14:paraId="57D63BFA" w14:textId="77777777" w:rsidR="00A43C43" w:rsidRPr="00705BA8" w:rsidRDefault="00A43C43" w:rsidP="00A35429">
            <w:pPr>
              <w:rPr>
                <w:sz w:val="18"/>
              </w:rPr>
            </w:pPr>
            <w:r w:rsidRPr="00705BA8">
              <w:rPr>
                <w:sz w:val="18"/>
              </w:rPr>
              <w:t>Government costs (10%)</w:t>
            </w:r>
          </w:p>
        </w:tc>
        <w:tc>
          <w:tcPr>
            <w:tcW w:w="1791" w:type="dxa"/>
            <w:vAlign w:val="center"/>
          </w:tcPr>
          <w:p w14:paraId="55C1A1EF" w14:textId="305576FC" w:rsidR="00A43C43" w:rsidRPr="00705BA8" w:rsidRDefault="00A43C43" w:rsidP="00705BA8">
            <w:pPr>
              <w:rPr>
                <w:sz w:val="18"/>
              </w:rPr>
            </w:pPr>
            <w:r>
              <w:rPr>
                <w:sz w:val="18"/>
              </w:rPr>
              <w:t>The government incurs in monitoring and enforcing compliance.</w:t>
            </w:r>
          </w:p>
        </w:tc>
        <w:tc>
          <w:tcPr>
            <w:tcW w:w="0" w:type="auto"/>
            <w:vAlign w:val="center"/>
          </w:tcPr>
          <w:p w14:paraId="50C7C5F4" w14:textId="25349782" w:rsidR="00A43C43" w:rsidRPr="00705BA8" w:rsidRDefault="00A43C43" w:rsidP="00A35429">
            <w:pPr>
              <w:jc w:val="center"/>
              <w:rPr>
                <w:sz w:val="18"/>
              </w:rPr>
            </w:pPr>
            <w:r w:rsidRPr="00705BA8">
              <w:rPr>
                <w:sz w:val="18"/>
              </w:rPr>
              <w:t>-</w:t>
            </w:r>
            <w:r w:rsidR="00F90AEC">
              <w:rPr>
                <w:sz w:val="18"/>
              </w:rPr>
              <w:t>4</w:t>
            </w:r>
          </w:p>
        </w:tc>
        <w:tc>
          <w:tcPr>
            <w:tcW w:w="0" w:type="auto"/>
            <w:vAlign w:val="center"/>
          </w:tcPr>
          <w:p w14:paraId="1B01FD35" w14:textId="6DA52AE5" w:rsidR="00A43C43" w:rsidRPr="00705BA8" w:rsidRDefault="00A43C43" w:rsidP="00A35429">
            <w:pPr>
              <w:jc w:val="center"/>
              <w:rPr>
                <w:sz w:val="18"/>
              </w:rPr>
            </w:pPr>
            <w:r w:rsidRPr="00705BA8">
              <w:rPr>
                <w:sz w:val="18"/>
              </w:rPr>
              <w:t>-0.</w:t>
            </w:r>
            <w:r w:rsidR="00F90AEC">
              <w:rPr>
                <w:sz w:val="18"/>
              </w:rPr>
              <w:t>4</w:t>
            </w:r>
          </w:p>
        </w:tc>
        <w:tc>
          <w:tcPr>
            <w:tcW w:w="0" w:type="auto"/>
            <w:vAlign w:val="center"/>
          </w:tcPr>
          <w:p w14:paraId="365B8C62" w14:textId="746B76C5" w:rsidR="00A43C43" w:rsidRPr="00705BA8" w:rsidRDefault="00A43C43" w:rsidP="00A35429">
            <w:pPr>
              <w:jc w:val="center"/>
              <w:rPr>
                <w:sz w:val="18"/>
              </w:rPr>
            </w:pPr>
            <w:r w:rsidRPr="00705BA8">
              <w:rPr>
                <w:sz w:val="18"/>
              </w:rPr>
              <w:t>-</w:t>
            </w:r>
            <w:r w:rsidR="00F90AEC">
              <w:rPr>
                <w:sz w:val="18"/>
              </w:rPr>
              <w:t>5</w:t>
            </w:r>
          </w:p>
        </w:tc>
        <w:tc>
          <w:tcPr>
            <w:tcW w:w="0" w:type="auto"/>
            <w:vAlign w:val="center"/>
          </w:tcPr>
          <w:p w14:paraId="712552EE" w14:textId="59B84CD7" w:rsidR="00A43C43" w:rsidRPr="00705BA8" w:rsidRDefault="00A43C43" w:rsidP="00A35429">
            <w:pPr>
              <w:jc w:val="center"/>
              <w:rPr>
                <w:sz w:val="18"/>
              </w:rPr>
            </w:pPr>
            <w:r w:rsidRPr="00705BA8">
              <w:rPr>
                <w:sz w:val="18"/>
              </w:rPr>
              <w:t>-0.5</w:t>
            </w:r>
          </w:p>
        </w:tc>
        <w:tc>
          <w:tcPr>
            <w:tcW w:w="0" w:type="auto"/>
            <w:vAlign w:val="center"/>
          </w:tcPr>
          <w:p w14:paraId="3FEB71AB" w14:textId="0E68B5E4" w:rsidR="00A43C43" w:rsidRPr="00705BA8" w:rsidRDefault="00A43C43" w:rsidP="00A35429">
            <w:pPr>
              <w:jc w:val="center"/>
              <w:rPr>
                <w:sz w:val="18"/>
              </w:rPr>
            </w:pPr>
            <w:r w:rsidRPr="00705BA8">
              <w:rPr>
                <w:sz w:val="18"/>
              </w:rPr>
              <w:t>-</w:t>
            </w:r>
            <w:r w:rsidR="00F90AEC">
              <w:rPr>
                <w:sz w:val="18"/>
              </w:rPr>
              <w:t>4</w:t>
            </w:r>
          </w:p>
        </w:tc>
        <w:tc>
          <w:tcPr>
            <w:tcW w:w="0" w:type="auto"/>
            <w:vAlign w:val="center"/>
          </w:tcPr>
          <w:p w14:paraId="467474AD" w14:textId="6216A0E0" w:rsidR="00A43C43" w:rsidRPr="00705BA8" w:rsidRDefault="00A43C43" w:rsidP="00A35429">
            <w:pPr>
              <w:jc w:val="center"/>
              <w:rPr>
                <w:sz w:val="18"/>
              </w:rPr>
            </w:pPr>
            <w:r w:rsidRPr="00705BA8">
              <w:rPr>
                <w:sz w:val="18"/>
              </w:rPr>
              <w:t>-0.</w:t>
            </w:r>
            <w:r w:rsidR="00F90AEC">
              <w:rPr>
                <w:sz w:val="18"/>
              </w:rPr>
              <w:t>4</w:t>
            </w:r>
          </w:p>
        </w:tc>
      </w:tr>
      <w:tr w:rsidR="00A43C43" w14:paraId="5DCE26F2" w14:textId="77777777" w:rsidTr="00705BA8">
        <w:trPr>
          <w:cantSplit/>
          <w:trHeight w:val="475"/>
        </w:trPr>
        <w:tc>
          <w:tcPr>
            <w:tcW w:w="1384" w:type="dxa"/>
            <w:vAlign w:val="center"/>
          </w:tcPr>
          <w:p w14:paraId="136334B4" w14:textId="77777777" w:rsidR="00A43C43" w:rsidRPr="00705BA8" w:rsidRDefault="00A43C43" w:rsidP="00A35429">
            <w:pPr>
              <w:rPr>
                <w:sz w:val="18"/>
              </w:rPr>
            </w:pPr>
            <w:r w:rsidRPr="00705BA8">
              <w:rPr>
                <w:sz w:val="18"/>
              </w:rPr>
              <w:t>Protection of Aboriginal cultural heritage (40%)</w:t>
            </w:r>
          </w:p>
        </w:tc>
        <w:tc>
          <w:tcPr>
            <w:tcW w:w="1791" w:type="dxa"/>
            <w:vAlign w:val="center"/>
          </w:tcPr>
          <w:p w14:paraId="1DC92CDD" w14:textId="1926A24B" w:rsidR="00A43C43" w:rsidRPr="00705BA8" w:rsidRDefault="00A43C43" w:rsidP="00705BA8">
            <w:pPr>
              <w:rPr>
                <w:sz w:val="18"/>
              </w:rPr>
            </w:pPr>
            <w:r>
              <w:rPr>
                <w:sz w:val="18"/>
              </w:rPr>
              <w:t>T</w:t>
            </w:r>
            <w:r w:rsidRPr="00A43C43">
              <w:rPr>
                <w:sz w:val="18"/>
              </w:rPr>
              <w:t>he benefits experienced as a result of land-users preparing CHMPs before undertaking a high impact activity in an area of cultural heritage sensitivity.</w:t>
            </w:r>
          </w:p>
        </w:tc>
        <w:tc>
          <w:tcPr>
            <w:tcW w:w="0" w:type="auto"/>
            <w:vAlign w:val="center"/>
          </w:tcPr>
          <w:p w14:paraId="5FE99D01" w14:textId="7A2CE6D1" w:rsidR="00A43C43" w:rsidRPr="00705BA8" w:rsidRDefault="00A43C43" w:rsidP="00A35429">
            <w:pPr>
              <w:jc w:val="center"/>
              <w:rPr>
                <w:sz w:val="18"/>
              </w:rPr>
            </w:pPr>
            <w:r w:rsidRPr="00705BA8">
              <w:rPr>
                <w:sz w:val="18"/>
              </w:rPr>
              <w:t>+</w:t>
            </w:r>
            <w:r w:rsidR="00F90AEC">
              <w:rPr>
                <w:sz w:val="18"/>
              </w:rPr>
              <w:t>6</w:t>
            </w:r>
          </w:p>
        </w:tc>
        <w:tc>
          <w:tcPr>
            <w:tcW w:w="0" w:type="auto"/>
            <w:vAlign w:val="center"/>
          </w:tcPr>
          <w:p w14:paraId="2039115F" w14:textId="279FDC62" w:rsidR="00A43C43" w:rsidRPr="00705BA8" w:rsidRDefault="00A43C43" w:rsidP="00A35429">
            <w:pPr>
              <w:jc w:val="center"/>
              <w:rPr>
                <w:sz w:val="18"/>
              </w:rPr>
            </w:pPr>
            <w:r w:rsidRPr="00705BA8">
              <w:rPr>
                <w:sz w:val="18"/>
              </w:rPr>
              <w:t>+</w:t>
            </w:r>
            <w:r w:rsidR="00F90AEC">
              <w:rPr>
                <w:sz w:val="18"/>
              </w:rPr>
              <w:t>2.4</w:t>
            </w:r>
          </w:p>
        </w:tc>
        <w:tc>
          <w:tcPr>
            <w:tcW w:w="0" w:type="auto"/>
            <w:vAlign w:val="center"/>
          </w:tcPr>
          <w:p w14:paraId="485C3377" w14:textId="3AD66A34" w:rsidR="00A43C43" w:rsidRPr="00705BA8" w:rsidRDefault="00A43C43" w:rsidP="00A35429">
            <w:pPr>
              <w:jc w:val="center"/>
              <w:rPr>
                <w:sz w:val="18"/>
              </w:rPr>
            </w:pPr>
            <w:r w:rsidRPr="00705BA8">
              <w:rPr>
                <w:sz w:val="18"/>
              </w:rPr>
              <w:t>+</w:t>
            </w:r>
            <w:r w:rsidR="00F90AEC">
              <w:rPr>
                <w:sz w:val="18"/>
              </w:rPr>
              <w:t>8</w:t>
            </w:r>
          </w:p>
        </w:tc>
        <w:tc>
          <w:tcPr>
            <w:tcW w:w="0" w:type="auto"/>
            <w:vAlign w:val="center"/>
          </w:tcPr>
          <w:p w14:paraId="142F40CA" w14:textId="4EB5151F" w:rsidR="00A43C43" w:rsidRPr="00705BA8" w:rsidRDefault="00A43C43" w:rsidP="00A35429">
            <w:pPr>
              <w:jc w:val="center"/>
              <w:rPr>
                <w:sz w:val="18"/>
              </w:rPr>
            </w:pPr>
            <w:r w:rsidRPr="00705BA8">
              <w:rPr>
                <w:sz w:val="18"/>
              </w:rPr>
              <w:t>+</w:t>
            </w:r>
            <w:r w:rsidR="00F90AEC">
              <w:rPr>
                <w:sz w:val="18"/>
              </w:rPr>
              <w:t>3.2</w:t>
            </w:r>
          </w:p>
        </w:tc>
        <w:tc>
          <w:tcPr>
            <w:tcW w:w="0" w:type="auto"/>
            <w:vAlign w:val="center"/>
          </w:tcPr>
          <w:p w14:paraId="73D52FB7" w14:textId="13F82400" w:rsidR="00A43C43" w:rsidRPr="00705BA8" w:rsidRDefault="00A43C43" w:rsidP="00A35429">
            <w:pPr>
              <w:jc w:val="center"/>
              <w:rPr>
                <w:sz w:val="18"/>
              </w:rPr>
            </w:pPr>
            <w:r w:rsidRPr="00705BA8">
              <w:rPr>
                <w:sz w:val="18"/>
              </w:rPr>
              <w:t>+</w:t>
            </w:r>
            <w:r w:rsidR="00F90AEC">
              <w:rPr>
                <w:sz w:val="18"/>
              </w:rPr>
              <w:t>7</w:t>
            </w:r>
          </w:p>
        </w:tc>
        <w:tc>
          <w:tcPr>
            <w:tcW w:w="0" w:type="auto"/>
            <w:vAlign w:val="center"/>
          </w:tcPr>
          <w:p w14:paraId="5494715F" w14:textId="3189D065" w:rsidR="00A43C43" w:rsidRPr="00705BA8" w:rsidRDefault="00A43C43" w:rsidP="00A35429">
            <w:pPr>
              <w:jc w:val="center"/>
              <w:rPr>
                <w:sz w:val="18"/>
              </w:rPr>
            </w:pPr>
            <w:r w:rsidRPr="00705BA8">
              <w:rPr>
                <w:sz w:val="18"/>
              </w:rPr>
              <w:t>+</w:t>
            </w:r>
            <w:r w:rsidR="00F90AEC">
              <w:rPr>
                <w:sz w:val="18"/>
              </w:rPr>
              <w:t>2.8</w:t>
            </w:r>
            <w:r w:rsidR="000E65C2">
              <w:rPr>
                <w:sz w:val="18"/>
              </w:rPr>
              <w:t xml:space="preserve"> </w:t>
            </w:r>
          </w:p>
        </w:tc>
      </w:tr>
      <w:tr w:rsidR="00A43C43" w14:paraId="78C4DA40" w14:textId="77777777" w:rsidTr="00705BA8">
        <w:trPr>
          <w:cantSplit/>
          <w:trHeight w:val="280"/>
        </w:trPr>
        <w:tc>
          <w:tcPr>
            <w:tcW w:w="1384" w:type="dxa"/>
            <w:vAlign w:val="center"/>
          </w:tcPr>
          <w:p w14:paraId="48B8FF29" w14:textId="77777777" w:rsidR="00A43C43" w:rsidRPr="00705BA8" w:rsidRDefault="00A43C43" w:rsidP="00A35429">
            <w:pPr>
              <w:rPr>
                <w:sz w:val="18"/>
              </w:rPr>
            </w:pPr>
            <w:r w:rsidRPr="00705BA8">
              <w:rPr>
                <w:sz w:val="18"/>
              </w:rPr>
              <w:t>Increased certainty (10%)</w:t>
            </w:r>
          </w:p>
        </w:tc>
        <w:tc>
          <w:tcPr>
            <w:tcW w:w="1791" w:type="dxa"/>
            <w:vAlign w:val="center"/>
          </w:tcPr>
          <w:p w14:paraId="047E0C6E" w14:textId="60C098A9" w:rsidR="00A43C43" w:rsidRPr="00705BA8" w:rsidRDefault="00A43C43" w:rsidP="00705BA8">
            <w:pPr>
              <w:rPr>
                <w:sz w:val="18"/>
              </w:rPr>
            </w:pPr>
            <w:r>
              <w:rPr>
                <w:sz w:val="18"/>
              </w:rPr>
              <w:t>T</w:t>
            </w:r>
            <w:r w:rsidRPr="00A43C43">
              <w:rPr>
                <w:sz w:val="18"/>
              </w:rPr>
              <w:t xml:space="preserve">he benefits to land-users and RAPs from the presence of a regulatory framework to manage </w:t>
            </w:r>
            <w:r w:rsidR="00025B82">
              <w:rPr>
                <w:sz w:val="18"/>
              </w:rPr>
              <w:t xml:space="preserve">land use and development activities and </w:t>
            </w:r>
            <w:r w:rsidRPr="00A43C43">
              <w:rPr>
                <w:sz w:val="18"/>
              </w:rPr>
              <w:t>Aboriginal cultural heritage</w:t>
            </w:r>
            <w:r>
              <w:rPr>
                <w:sz w:val="18"/>
              </w:rPr>
              <w:t>.</w:t>
            </w:r>
          </w:p>
        </w:tc>
        <w:tc>
          <w:tcPr>
            <w:tcW w:w="0" w:type="auto"/>
            <w:vAlign w:val="center"/>
          </w:tcPr>
          <w:p w14:paraId="7C219B49" w14:textId="0F0C759B" w:rsidR="00A43C43" w:rsidRPr="00705BA8" w:rsidRDefault="00A43C43" w:rsidP="00A35429">
            <w:pPr>
              <w:jc w:val="center"/>
              <w:rPr>
                <w:sz w:val="18"/>
              </w:rPr>
            </w:pPr>
            <w:r w:rsidRPr="00705BA8">
              <w:rPr>
                <w:sz w:val="18"/>
              </w:rPr>
              <w:t>+</w:t>
            </w:r>
            <w:r w:rsidR="00F90AEC">
              <w:rPr>
                <w:sz w:val="18"/>
              </w:rPr>
              <w:t>6</w:t>
            </w:r>
          </w:p>
        </w:tc>
        <w:tc>
          <w:tcPr>
            <w:tcW w:w="0" w:type="auto"/>
            <w:vAlign w:val="center"/>
          </w:tcPr>
          <w:p w14:paraId="304F4618" w14:textId="6C0876A6" w:rsidR="00A43C43" w:rsidRPr="00705BA8" w:rsidRDefault="00A43C43" w:rsidP="00A35429">
            <w:pPr>
              <w:jc w:val="center"/>
              <w:rPr>
                <w:sz w:val="18"/>
              </w:rPr>
            </w:pPr>
            <w:r w:rsidRPr="00705BA8">
              <w:rPr>
                <w:sz w:val="18"/>
              </w:rPr>
              <w:t>+0.</w:t>
            </w:r>
            <w:r w:rsidR="00F90AEC">
              <w:rPr>
                <w:sz w:val="18"/>
              </w:rPr>
              <w:t>6</w:t>
            </w:r>
          </w:p>
        </w:tc>
        <w:tc>
          <w:tcPr>
            <w:tcW w:w="0" w:type="auto"/>
            <w:vAlign w:val="center"/>
          </w:tcPr>
          <w:p w14:paraId="6C40C2E2" w14:textId="1BBCB91D" w:rsidR="00A43C43" w:rsidRPr="00705BA8" w:rsidRDefault="00A43C43" w:rsidP="00A35429">
            <w:pPr>
              <w:jc w:val="center"/>
              <w:rPr>
                <w:sz w:val="18"/>
              </w:rPr>
            </w:pPr>
            <w:r w:rsidRPr="00705BA8">
              <w:rPr>
                <w:sz w:val="18"/>
              </w:rPr>
              <w:t>+</w:t>
            </w:r>
            <w:r w:rsidR="00F90AEC">
              <w:rPr>
                <w:sz w:val="18"/>
              </w:rPr>
              <w:t>6</w:t>
            </w:r>
          </w:p>
        </w:tc>
        <w:tc>
          <w:tcPr>
            <w:tcW w:w="0" w:type="auto"/>
            <w:vAlign w:val="center"/>
          </w:tcPr>
          <w:p w14:paraId="0B8152D6" w14:textId="32165C49" w:rsidR="00A43C43" w:rsidRPr="00705BA8" w:rsidRDefault="00A43C43" w:rsidP="00A35429">
            <w:pPr>
              <w:jc w:val="center"/>
              <w:rPr>
                <w:sz w:val="18"/>
              </w:rPr>
            </w:pPr>
            <w:r w:rsidRPr="00705BA8">
              <w:rPr>
                <w:sz w:val="18"/>
              </w:rPr>
              <w:t>+0.</w:t>
            </w:r>
            <w:r w:rsidR="00F90AEC">
              <w:rPr>
                <w:sz w:val="18"/>
              </w:rPr>
              <w:t>6</w:t>
            </w:r>
          </w:p>
        </w:tc>
        <w:tc>
          <w:tcPr>
            <w:tcW w:w="0" w:type="auto"/>
            <w:vAlign w:val="center"/>
          </w:tcPr>
          <w:p w14:paraId="7B53A398" w14:textId="1EDF32B0" w:rsidR="00A43C43" w:rsidRPr="00705BA8" w:rsidRDefault="00A43C43" w:rsidP="00A35429">
            <w:pPr>
              <w:jc w:val="center"/>
              <w:rPr>
                <w:sz w:val="18"/>
              </w:rPr>
            </w:pPr>
            <w:r w:rsidRPr="00705BA8">
              <w:rPr>
                <w:sz w:val="18"/>
              </w:rPr>
              <w:t>+</w:t>
            </w:r>
            <w:r w:rsidR="00F90AEC">
              <w:rPr>
                <w:sz w:val="18"/>
              </w:rPr>
              <w:t>7</w:t>
            </w:r>
          </w:p>
        </w:tc>
        <w:tc>
          <w:tcPr>
            <w:tcW w:w="0" w:type="auto"/>
            <w:vAlign w:val="center"/>
          </w:tcPr>
          <w:p w14:paraId="52B805D7" w14:textId="73A85F6E" w:rsidR="00A43C43" w:rsidRPr="00705BA8" w:rsidRDefault="00A43C43" w:rsidP="00A35429">
            <w:pPr>
              <w:jc w:val="center"/>
              <w:rPr>
                <w:sz w:val="18"/>
              </w:rPr>
            </w:pPr>
            <w:r w:rsidRPr="00705BA8">
              <w:rPr>
                <w:sz w:val="18"/>
              </w:rPr>
              <w:t>+0.</w:t>
            </w:r>
            <w:r w:rsidR="00F90AEC">
              <w:rPr>
                <w:sz w:val="18"/>
              </w:rPr>
              <w:t>7</w:t>
            </w:r>
          </w:p>
        </w:tc>
      </w:tr>
      <w:tr w:rsidR="00A43C43" w14:paraId="2D0A164E" w14:textId="77777777" w:rsidTr="00705BA8">
        <w:trPr>
          <w:cantSplit/>
          <w:trHeight w:val="317"/>
        </w:trPr>
        <w:tc>
          <w:tcPr>
            <w:tcW w:w="3175" w:type="dxa"/>
            <w:gridSpan w:val="2"/>
            <w:vAlign w:val="center"/>
          </w:tcPr>
          <w:p w14:paraId="54C9EABF" w14:textId="6FF56D4F" w:rsidR="00A43C43" w:rsidRPr="00705BA8" w:rsidRDefault="00A43C43" w:rsidP="00A35429">
            <w:pPr>
              <w:jc w:val="center"/>
              <w:rPr>
                <w:b/>
                <w:sz w:val="18"/>
              </w:rPr>
            </w:pPr>
            <w:r w:rsidRPr="00705BA8">
              <w:rPr>
                <w:b/>
                <w:sz w:val="18"/>
              </w:rPr>
              <w:t>Totals (after weighting)</w:t>
            </w:r>
          </w:p>
        </w:tc>
        <w:tc>
          <w:tcPr>
            <w:tcW w:w="0" w:type="auto"/>
            <w:gridSpan w:val="2"/>
            <w:vAlign w:val="center"/>
          </w:tcPr>
          <w:p w14:paraId="189D6BB8" w14:textId="1D61E278" w:rsidR="00A43C43" w:rsidRPr="00705BA8" w:rsidRDefault="00A43C43" w:rsidP="00A35429">
            <w:pPr>
              <w:jc w:val="center"/>
              <w:rPr>
                <w:b/>
                <w:sz w:val="18"/>
              </w:rPr>
            </w:pPr>
            <w:r w:rsidRPr="00705BA8">
              <w:rPr>
                <w:b/>
                <w:sz w:val="18"/>
              </w:rPr>
              <w:t>+0.</w:t>
            </w:r>
            <w:r w:rsidR="00F90AEC">
              <w:rPr>
                <w:b/>
                <w:sz w:val="18"/>
              </w:rPr>
              <w:t>2</w:t>
            </w:r>
          </w:p>
        </w:tc>
        <w:tc>
          <w:tcPr>
            <w:tcW w:w="0" w:type="auto"/>
            <w:gridSpan w:val="2"/>
            <w:vAlign w:val="center"/>
          </w:tcPr>
          <w:p w14:paraId="6A3A228B" w14:textId="4F39D176" w:rsidR="00A43C43" w:rsidRPr="00705BA8" w:rsidRDefault="00A43C43" w:rsidP="00A35429">
            <w:pPr>
              <w:jc w:val="center"/>
              <w:rPr>
                <w:b/>
                <w:sz w:val="18"/>
              </w:rPr>
            </w:pPr>
            <w:r w:rsidRPr="00705BA8">
              <w:rPr>
                <w:b/>
                <w:sz w:val="18"/>
              </w:rPr>
              <w:t>+0.</w:t>
            </w:r>
            <w:r w:rsidR="00F90AEC">
              <w:rPr>
                <w:b/>
                <w:sz w:val="18"/>
              </w:rPr>
              <w:t>5</w:t>
            </w:r>
          </w:p>
        </w:tc>
        <w:tc>
          <w:tcPr>
            <w:tcW w:w="0" w:type="auto"/>
            <w:gridSpan w:val="2"/>
            <w:vAlign w:val="center"/>
          </w:tcPr>
          <w:p w14:paraId="534C313F" w14:textId="78257AB9" w:rsidR="00A43C43" w:rsidRPr="00705BA8" w:rsidRDefault="00A43C43" w:rsidP="00A35429">
            <w:pPr>
              <w:jc w:val="center"/>
              <w:rPr>
                <w:b/>
                <w:sz w:val="18"/>
              </w:rPr>
            </w:pPr>
            <w:r w:rsidRPr="00705BA8">
              <w:rPr>
                <w:b/>
                <w:sz w:val="18"/>
              </w:rPr>
              <w:t>+</w:t>
            </w:r>
            <w:r w:rsidR="00F90AEC">
              <w:rPr>
                <w:b/>
                <w:sz w:val="18"/>
              </w:rPr>
              <w:t>1.1</w:t>
            </w:r>
          </w:p>
        </w:tc>
      </w:tr>
    </w:tbl>
    <w:p w14:paraId="176C057E" w14:textId="644E4E1E" w:rsidR="00A43C43" w:rsidRPr="00705BA8" w:rsidRDefault="007B4D7F">
      <w:pPr>
        <w:pStyle w:val="PwCNormal"/>
        <w:rPr>
          <w:color w:val="A32020" w:themeColor="text2"/>
          <w:sz w:val="18"/>
        </w:rPr>
      </w:pPr>
      <w:r w:rsidRPr="00705BA8">
        <w:rPr>
          <w:color w:val="A32020" w:themeColor="text2"/>
          <w:sz w:val="18"/>
        </w:rPr>
        <w:t>Note: The costs to RAPs and Government recovered through fees are not included</w:t>
      </w:r>
      <w:r w:rsidR="00025B82">
        <w:rPr>
          <w:color w:val="A32020" w:themeColor="text2"/>
          <w:sz w:val="18"/>
        </w:rPr>
        <w:t>;</w:t>
      </w:r>
      <w:r w:rsidRPr="00705BA8">
        <w:rPr>
          <w:color w:val="A32020" w:themeColor="text2"/>
          <w:sz w:val="18"/>
        </w:rPr>
        <w:t xml:space="preserve"> as the costs are ultimately borne by land-users</w:t>
      </w:r>
      <w:r w:rsidR="00FB4482">
        <w:rPr>
          <w:color w:val="A32020" w:themeColor="text2"/>
          <w:sz w:val="18"/>
        </w:rPr>
        <w:t xml:space="preserve"> developers</w:t>
      </w:r>
      <w:r w:rsidRPr="00705BA8">
        <w:rPr>
          <w:color w:val="A32020" w:themeColor="text2"/>
          <w:sz w:val="18"/>
        </w:rPr>
        <w:t>.</w:t>
      </w:r>
    </w:p>
    <w:p w14:paraId="6A741E41" w14:textId="5FE7B84B" w:rsidR="007B4D7F" w:rsidRDefault="00E5103C">
      <w:pPr>
        <w:pStyle w:val="PwCNormal"/>
      </w:pPr>
      <w:r w:rsidRPr="00E5103C">
        <w:t xml:space="preserve">The options analysis indicates that Option 3 </w:t>
      </w:r>
      <w:r w:rsidR="00670320" w:rsidRPr="00E5103C">
        <w:t>scor</w:t>
      </w:r>
      <w:r w:rsidR="00670320">
        <w:t>es</w:t>
      </w:r>
      <w:r w:rsidR="00670320" w:rsidRPr="00E5103C">
        <w:t xml:space="preserve"> </w:t>
      </w:r>
      <w:r w:rsidRPr="00E5103C">
        <w:t xml:space="preserve">higher than Options 1 and 2. This is primarily because Option 3 increases clarity for land-users, RAPs and government, which reduces the burden of the Regulations compared to Option 1 and Option 2. </w:t>
      </w:r>
    </w:p>
    <w:p w14:paraId="585478AA" w14:textId="675A7D9B" w:rsidR="00E5103C" w:rsidRDefault="00E5103C" w:rsidP="00705BA8">
      <w:pPr>
        <w:pStyle w:val="Heading8"/>
      </w:pPr>
      <w:r>
        <w:t>Preferred option</w:t>
      </w:r>
    </w:p>
    <w:p w14:paraId="5DDE34CE" w14:textId="5008CD97" w:rsidR="007B7CDD" w:rsidRPr="00705BA8" w:rsidRDefault="00E5103C">
      <w:pPr>
        <w:pStyle w:val="PwCNormal"/>
      </w:pPr>
      <w:r w:rsidRPr="00E5103C">
        <w:t xml:space="preserve">The combination of Options 2 and 3 are preferred because they are expected to provide a greater level of net benefit compared to Option 1. As Options 2 and 3 </w:t>
      </w:r>
      <w:r w:rsidR="00043144">
        <w:t>are not mutually exclusive</w:t>
      </w:r>
      <w:r w:rsidRPr="00E5103C">
        <w:t xml:space="preserve">, it is possible and preferable to </w:t>
      </w:r>
      <w:r w:rsidR="00025B82">
        <w:t>put forward</w:t>
      </w:r>
      <w:r w:rsidR="00025B82" w:rsidRPr="00E5103C">
        <w:t xml:space="preserve"> </w:t>
      </w:r>
      <w:r w:rsidRPr="00E5103C">
        <w:t>both sets of reforms.</w:t>
      </w:r>
      <w:r w:rsidR="00B60C05">
        <w:t xml:space="preserve"> The total cost of the preferred options is estimated at around $21.9 million per year, and $184.4 million in NPV</w:t>
      </w:r>
      <w:r w:rsidR="007B5399">
        <w:t xml:space="preserve"> (Net Present Value)</w:t>
      </w:r>
      <w:r w:rsidR="00B60C05">
        <w:t xml:space="preserve"> terms over 10 years, which is lower than the total cost of Option 2 and higher than the total cost for Option 3.</w:t>
      </w:r>
    </w:p>
    <w:p w14:paraId="71557F65" w14:textId="0690AC82" w:rsidR="00E5103C" w:rsidRPr="00E5103C" w:rsidRDefault="00E5103C" w:rsidP="00705BA8">
      <w:pPr>
        <w:pStyle w:val="PwCNormal"/>
      </w:pPr>
      <w:r w:rsidRPr="00E5103C">
        <w:t xml:space="preserve">In summary, the preferred </w:t>
      </w:r>
      <w:r w:rsidR="006F61FC">
        <w:t>O</w:t>
      </w:r>
      <w:r w:rsidRPr="00E5103C">
        <w:t>ptions involve</w:t>
      </w:r>
      <w:r w:rsidR="00074136">
        <w:t xml:space="preserve"> re-making the existing </w:t>
      </w:r>
      <w:r w:rsidR="00025B82">
        <w:t>R</w:t>
      </w:r>
      <w:r w:rsidR="00074136">
        <w:t>egulations, with the following substantive changes</w:t>
      </w:r>
      <w:r w:rsidRPr="00E5103C">
        <w:t>:</w:t>
      </w:r>
    </w:p>
    <w:p w14:paraId="5C7EBE13" w14:textId="4B3C67DD" w:rsidR="00B60C05" w:rsidRDefault="00E5103C" w:rsidP="00AC7EE5">
      <w:pPr>
        <w:pStyle w:val="ListBullet"/>
      </w:pPr>
      <w:r w:rsidRPr="00E5103C">
        <w:t>changes to the triggers for a CHMP</w:t>
      </w:r>
      <w:r w:rsidR="00BF47FC">
        <w:t xml:space="preserve">, resulting in a net increase in the number of CHMPs prepared </w:t>
      </w:r>
      <w:r w:rsidR="00025B82">
        <w:t xml:space="preserve">per </w:t>
      </w:r>
      <w:r w:rsidR="00BF47FC">
        <w:t>year,</w:t>
      </w:r>
      <w:r w:rsidRPr="00E5103C">
        <w:t xml:space="preserve"> to ensure better protection of Aboriginal heritage and better outcomes for sponsors.</w:t>
      </w:r>
      <w:r w:rsidR="00B60C05">
        <w:t xml:space="preserve"> The specific changes are to amend the triggers for a CHMP, namely:</w:t>
      </w:r>
    </w:p>
    <w:p w14:paraId="054ECFAD" w14:textId="1ADF4302" w:rsidR="00B60C05" w:rsidRPr="00AA69A1" w:rsidRDefault="00B60C05" w:rsidP="00B60C05">
      <w:pPr>
        <w:pStyle w:val="ListBullet2"/>
        <w:rPr>
          <w:lang w:val="en-US"/>
        </w:rPr>
      </w:pPr>
      <w:r>
        <w:t>the definition of high impact activities</w:t>
      </w:r>
      <w:r w:rsidRPr="00AA69A1">
        <w:rPr>
          <w:lang w:val="en-US"/>
        </w:rPr>
        <w:t xml:space="preserve"> (see Division 2 of Part 2 of the current Regulations</w:t>
      </w:r>
      <w:r>
        <w:rPr>
          <w:lang w:val="en-US"/>
        </w:rPr>
        <w:t>)</w:t>
      </w:r>
      <w:r w:rsidR="005F3076">
        <w:rPr>
          <w:lang w:val="en-US"/>
        </w:rPr>
        <w:t xml:space="preserve"> to also include</w:t>
      </w:r>
      <w:r w:rsidRPr="00AA69A1">
        <w:rPr>
          <w:lang w:val="en-US"/>
        </w:rPr>
        <w:t>:</w:t>
      </w:r>
    </w:p>
    <w:p w14:paraId="3B81D220" w14:textId="676976D4" w:rsidR="00B60C05" w:rsidRDefault="00B60C05" w:rsidP="00B60C05">
      <w:pPr>
        <w:pStyle w:val="ListBullet3"/>
        <w:rPr>
          <w:lang w:val="en-US"/>
        </w:rPr>
      </w:pPr>
      <w:r>
        <w:rPr>
          <w:lang w:val="en-US"/>
        </w:rPr>
        <w:t xml:space="preserve">the </w:t>
      </w:r>
      <w:r w:rsidR="007B5399">
        <w:rPr>
          <w:lang w:val="en-US"/>
        </w:rPr>
        <w:t>construction</w:t>
      </w:r>
      <w:r>
        <w:rPr>
          <w:lang w:val="en-US"/>
        </w:rPr>
        <w:t xml:space="preserve"> of residential villages</w:t>
      </w:r>
    </w:p>
    <w:p w14:paraId="7E66EAE4" w14:textId="54009249" w:rsidR="00B60C05" w:rsidRDefault="00B60C05" w:rsidP="00B60C05">
      <w:pPr>
        <w:pStyle w:val="ListBullet3"/>
        <w:rPr>
          <w:lang w:val="en-US"/>
        </w:rPr>
      </w:pPr>
      <w:r>
        <w:rPr>
          <w:lang w:val="en-US"/>
        </w:rPr>
        <w:t xml:space="preserve">the </w:t>
      </w:r>
      <w:r w:rsidR="007B5399">
        <w:rPr>
          <w:lang w:val="en-US"/>
        </w:rPr>
        <w:t>construction</w:t>
      </w:r>
      <w:r>
        <w:rPr>
          <w:lang w:val="en-US"/>
        </w:rPr>
        <w:t xml:space="preserve"> of Residential Buildings</w:t>
      </w:r>
    </w:p>
    <w:p w14:paraId="4D4E21CA" w14:textId="77777777" w:rsidR="00B60C05" w:rsidRDefault="00B60C05" w:rsidP="00B60C05">
      <w:pPr>
        <w:pStyle w:val="ListBullet3"/>
        <w:rPr>
          <w:lang w:val="en-US"/>
        </w:rPr>
      </w:pPr>
      <w:r w:rsidRPr="00AA69A1">
        <w:rPr>
          <w:lang w:val="en-US"/>
        </w:rPr>
        <w:t>the construction of fuel breaks that require a permit to remove native vegetation</w:t>
      </w:r>
    </w:p>
    <w:p w14:paraId="4973310D" w14:textId="34F8CA3F" w:rsidR="00B60C05" w:rsidRDefault="00B60C05" w:rsidP="00B60C05">
      <w:pPr>
        <w:pStyle w:val="ListBullet3"/>
        <w:rPr>
          <w:lang w:val="en-US"/>
        </w:rPr>
      </w:pPr>
      <w:r>
        <w:rPr>
          <w:lang w:val="en-US"/>
        </w:rPr>
        <w:t xml:space="preserve">walking and cycling tracks </w:t>
      </w:r>
      <w:r w:rsidR="00D360D7">
        <w:rPr>
          <w:lang w:val="en-US"/>
        </w:rPr>
        <w:t>greater</w:t>
      </w:r>
      <w:r>
        <w:rPr>
          <w:lang w:val="en-US"/>
        </w:rPr>
        <w:t xml:space="preserve"> than 500 metres long</w:t>
      </w:r>
    </w:p>
    <w:p w14:paraId="632DA46D" w14:textId="77777777" w:rsidR="00B60C05" w:rsidRDefault="00B60C05" w:rsidP="00B60C05">
      <w:pPr>
        <w:pStyle w:val="ListBullet2"/>
        <w:rPr>
          <w:lang w:val="en-US"/>
        </w:rPr>
      </w:pPr>
      <w:r>
        <w:rPr>
          <w:lang w:val="en-US"/>
        </w:rPr>
        <w:t>update the areas of cultural heritage sensitivity (see Division 3 of Part 2 of the current Regulations), including:</w:t>
      </w:r>
    </w:p>
    <w:p w14:paraId="6909C83B" w14:textId="77777777" w:rsidR="00B60C05" w:rsidRDefault="00B60C05" w:rsidP="00B60C05">
      <w:pPr>
        <w:pStyle w:val="ListBullet3"/>
        <w:rPr>
          <w:lang w:val="en-US"/>
        </w:rPr>
      </w:pPr>
      <w:r>
        <w:rPr>
          <w:lang w:val="en-US"/>
        </w:rPr>
        <w:t>expanding the definition to include parks and reserves managed for conservation purposes</w:t>
      </w:r>
    </w:p>
    <w:p w14:paraId="37536915" w14:textId="77777777" w:rsidR="00B60C05" w:rsidRDefault="00B60C05" w:rsidP="00B60C05">
      <w:pPr>
        <w:pStyle w:val="ListBullet3"/>
        <w:rPr>
          <w:lang w:val="en-US"/>
        </w:rPr>
      </w:pPr>
      <w:r>
        <w:rPr>
          <w:lang w:val="en-US"/>
        </w:rPr>
        <w:t>the definition of waterways to ensure that tributaries of named waterways and channelised sections</w:t>
      </w:r>
    </w:p>
    <w:p w14:paraId="15F328D1" w14:textId="377D5DDF" w:rsidR="00B60C05" w:rsidRDefault="00D360D7" w:rsidP="00B60C05">
      <w:pPr>
        <w:pStyle w:val="ListBullet3"/>
        <w:rPr>
          <w:lang w:val="en-US"/>
        </w:rPr>
      </w:pPr>
      <w:r>
        <w:rPr>
          <w:lang w:val="en-US"/>
        </w:rPr>
        <w:t>identifying</w:t>
      </w:r>
      <w:r w:rsidR="00B60C05">
        <w:rPr>
          <w:lang w:val="en-US"/>
        </w:rPr>
        <w:t xml:space="preserve"> more up-to-date </w:t>
      </w:r>
      <w:r w:rsidR="005F3076">
        <w:rPr>
          <w:lang w:val="en-US"/>
        </w:rPr>
        <w:t>geological</w:t>
      </w:r>
      <w:r w:rsidR="00B60C05">
        <w:rPr>
          <w:lang w:val="en-US"/>
        </w:rPr>
        <w:t xml:space="preserve"> data.</w:t>
      </w:r>
    </w:p>
    <w:p w14:paraId="07083150" w14:textId="2846D5CF" w:rsidR="00C270FB" w:rsidRDefault="00E5103C" w:rsidP="00705BA8">
      <w:pPr>
        <w:pStyle w:val="ListBullet"/>
      </w:pPr>
      <w:r w:rsidRPr="00E5103C">
        <w:t xml:space="preserve">amendments to CHMP </w:t>
      </w:r>
      <w:r w:rsidR="00025B82">
        <w:t>guidance material</w:t>
      </w:r>
      <w:r w:rsidR="00025B82" w:rsidRPr="00E5103C">
        <w:t xml:space="preserve"> </w:t>
      </w:r>
      <w:r w:rsidRPr="00E5103C">
        <w:t>to provide greater clarity to CHMP sponsors and RAPs regarding the standards required for CHMPs</w:t>
      </w:r>
      <w:r w:rsidR="00B60C05">
        <w:t>, including to:</w:t>
      </w:r>
    </w:p>
    <w:p w14:paraId="2DA2F966" w14:textId="77777777" w:rsidR="00B60C05" w:rsidRDefault="00B60C05" w:rsidP="00B60C05">
      <w:pPr>
        <w:pStyle w:val="ListBullet2"/>
      </w:pPr>
      <w:r>
        <w:t>improve the explanation in a desktop assessment around the likelihood of finding Aboriginal cultural heritage in the assessment area</w:t>
      </w:r>
    </w:p>
    <w:p w14:paraId="6046945F" w14:textId="1309BAEB" w:rsidR="00B60C05" w:rsidRDefault="00B60C05" w:rsidP="00B60C05">
      <w:pPr>
        <w:pStyle w:val="ListBullet2"/>
      </w:pPr>
      <w:r>
        <w:t xml:space="preserve">clarify when a CHMP should progress from a desktop assessment to </w:t>
      </w:r>
      <w:r w:rsidR="005F3076">
        <w:t xml:space="preserve">a </w:t>
      </w:r>
      <w:r>
        <w:t>standard assessment, and onto a complex assessment</w:t>
      </w:r>
    </w:p>
    <w:p w14:paraId="0EB6EF72" w14:textId="509DCC55" w:rsidR="00B60C05" w:rsidRDefault="00B60C05" w:rsidP="00B60C05">
      <w:pPr>
        <w:pStyle w:val="ListBullet2"/>
      </w:pPr>
      <w:r>
        <w:t xml:space="preserve">provide information </w:t>
      </w:r>
      <w:r w:rsidR="005F3076">
        <w:t>on</w:t>
      </w:r>
      <w:r>
        <w:t xml:space="preserve"> what a cumulative impacts statement </w:t>
      </w:r>
      <w:r w:rsidR="00D360D7">
        <w:t>must include</w:t>
      </w:r>
    </w:p>
    <w:p w14:paraId="46537C22" w14:textId="690EF6D0" w:rsidR="00E5103C" w:rsidRDefault="00B60C05" w:rsidP="006766EF">
      <w:pPr>
        <w:pStyle w:val="ListBullet2"/>
      </w:pPr>
      <w:r>
        <w:t>ensure that the management conditions recommended are consistent with the conclusions of the assessment.</w:t>
      </w:r>
    </w:p>
    <w:p w14:paraId="4F407D48" w14:textId="2E50739E" w:rsidR="00495A21" w:rsidRDefault="00495A21" w:rsidP="00A31D50">
      <w:pPr>
        <w:pStyle w:val="Caption"/>
      </w:pPr>
      <w:r>
        <w:t>Implementation, compliance and enforcement, and evaluation</w:t>
      </w:r>
    </w:p>
    <w:p w14:paraId="72EDF803" w14:textId="59F1D192" w:rsidR="00495A21" w:rsidRDefault="00495A21" w:rsidP="00CB368A">
      <w:pPr>
        <w:pStyle w:val="PwCNormal"/>
      </w:pPr>
      <w:r>
        <w:t>The activities AV will undertake following the re-making of the proposed Regulations fall into the following categories:</w:t>
      </w:r>
    </w:p>
    <w:p w14:paraId="26501CC0" w14:textId="0DBD5D4F" w:rsidR="00495A21" w:rsidRDefault="00495A21">
      <w:pPr>
        <w:pStyle w:val="ListBullet"/>
      </w:pPr>
      <w:r w:rsidRPr="00A31D50">
        <w:rPr>
          <w:b/>
        </w:rPr>
        <w:t>Implementation:</w:t>
      </w:r>
      <w:r>
        <w:t xml:space="preserve"> This involves writing to and offering to meet with stakeholders, including RAPs, local government, public land managers, heritage advisors and </w:t>
      </w:r>
      <w:r w:rsidR="00D360D7">
        <w:t>industry representative bodies</w:t>
      </w:r>
      <w:r>
        <w:t xml:space="preserve">, as well as updating publicly available information, including on the </w:t>
      </w:r>
      <w:r w:rsidR="00D360D7">
        <w:t xml:space="preserve">AV </w:t>
      </w:r>
      <w:r>
        <w:t xml:space="preserve">website. It may also involve limited changes to IT infrastructure to capture new fees and requirements. </w:t>
      </w:r>
    </w:p>
    <w:p w14:paraId="09B74E38" w14:textId="69147263" w:rsidR="00495A21" w:rsidRDefault="00495A21">
      <w:pPr>
        <w:pStyle w:val="ListBullet"/>
      </w:pPr>
      <w:r w:rsidRPr="00A31D50">
        <w:rPr>
          <w:b/>
        </w:rPr>
        <w:t>Compliance and enforcement:</w:t>
      </w:r>
      <w:r>
        <w:t xml:space="preserve"> AV will utilise a risk-based approach to undertake compliance activities, focusing in particular on activities </w:t>
      </w:r>
      <w:r w:rsidR="00D360D7">
        <w:t>that cause harm</w:t>
      </w:r>
      <w:r>
        <w:t xml:space="preserve"> to Aboriginal cultural heritage, possession of Aboriginal </w:t>
      </w:r>
      <w:r w:rsidR="00D360D7">
        <w:t>A</w:t>
      </w:r>
      <w:r>
        <w:t xml:space="preserve">ncestral </w:t>
      </w:r>
      <w:r w:rsidR="00D360D7">
        <w:t>R</w:t>
      </w:r>
      <w:r>
        <w:t>emains, un</w:t>
      </w:r>
      <w:r w:rsidR="00A31D50">
        <w:t xml:space="preserve">dertaking activities without a required </w:t>
      </w:r>
      <w:r>
        <w:t>CHMP or CHP and non-compliance with stop-work orders.</w:t>
      </w:r>
    </w:p>
    <w:p w14:paraId="3590DE3D" w14:textId="5796039D" w:rsidR="00A31D50" w:rsidRPr="00A31D50" w:rsidRDefault="00A31D50">
      <w:pPr>
        <w:pStyle w:val="ListBullet"/>
      </w:pPr>
      <w:r w:rsidRPr="00A31D50">
        <w:rPr>
          <w:b/>
        </w:rPr>
        <w:t>Evaluation:</w:t>
      </w:r>
      <w:r>
        <w:t xml:space="preserve"> Annual evaluation will be carried out internally, in the form of internal progress status reports against Key Evaluation Questions (KEQs). AV will use both qualitative and quantitative data to evaluate against the KEQs. This will include data collected in </w:t>
      </w:r>
      <w:r w:rsidR="00670320">
        <w:t>AV’s</w:t>
      </w:r>
      <w:r>
        <w:t xml:space="preserve"> cultural heritage management database; the Aboriginal Heritage Evaluation Management System (AHEMS).</w:t>
      </w:r>
    </w:p>
    <w:p w14:paraId="529A269F" w14:textId="286333B0" w:rsidR="00E5103C" w:rsidRDefault="00E5103C" w:rsidP="00705BA8">
      <w:pPr>
        <w:pStyle w:val="Heading8"/>
      </w:pPr>
      <w:r>
        <w:t>Analysis of fees</w:t>
      </w:r>
    </w:p>
    <w:p w14:paraId="6B549EF6" w14:textId="3A8521D1" w:rsidR="00E5103C" w:rsidRDefault="00E5103C" w:rsidP="00705BA8">
      <w:pPr>
        <w:pStyle w:val="PwCNormal"/>
      </w:pPr>
      <w:r w:rsidRPr="00E5103C">
        <w:t>The re-making of the Regulations involves ensuring that the fees charged reflect costs incurred</w:t>
      </w:r>
      <w:r w:rsidR="00963177">
        <w:t>, in a way that</w:t>
      </w:r>
      <w:r w:rsidRPr="00E5103C">
        <w:t xml:space="preserve"> ensure</w:t>
      </w:r>
      <w:r w:rsidR="00963177">
        <w:t>s</w:t>
      </w:r>
      <w:r w:rsidRPr="00E5103C">
        <w:t xml:space="preserve"> both efficiency and equity objectives are met.</w:t>
      </w:r>
      <w:r>
        <w:t xml:space="preserve"> </w:t>
      </w:r>
    </w:p>
    <w:p w14:paraId="18ACAC4B" w14:textId="31158D3B" w:rsidR="006715B3" w:rsidRDefault="006715B3" w:rsidP="006715B3">
      <w:pPr>
        <w:pStyle w:val="PwCNormal"/>
      </w:pPr>
      <w:r>
        <w:fldChar w:fldCharType="begin"/>
      </w:r>
      <w:r>
        <w:instrText xml:space="preserve"> REF _Ref505174061 \h </w:instrText>
      </w:r>
      <w:r>
        <w:fldChar w:fldCharType="separate"/>
      </w:r>
      <w:r w:rsidR="000369A1">
        <w:t xml:space="preserve">Table </w:t>
      </w:r>
      <w:r w:rsidR="000369A1">
        <w:rPr>
          <w:noProof/>
        </w:rPr>
        <w:t>5</w:t>
      </w:r>
      <w:r>
        <w:fldChar w:fldCharType="end"/>
      </w:r>
      <w:r>
        <w:t xml:space="preserve"> shows the estimated time incurred by government and RAPs to undertake </w:t>
      </w:r>
      <w:r w:rsidR="004E3549">
        <w:t xml:space="preserve">evaluations </w:t>
      </w:r>
      <w:r>
        <w:t>relating to the fees</w:t>
      </w:r>
      <w:r w:rsidR="00670320">
        <w:t xml:space="preserve">. </w:t>
      </w:r>
      <w:r w:rsidR="00670320">
        <w:rPr>
          <w:lang w:val="en-US"/>
        </w:rPr>
        <w:t>Data for the fees analysis are primarily sourced from AV and a survey of RAPs. These data were checked against previous reviews and reports.</w:t>
      </w:r>
    </w:p>
    <w:p w14:paraId="335A71F8" w14:textId="2D44935B" w:rsidR="006715B3" w:rsidRDefault="006715B3" w:rsidP="006715B3">
      <w:pPr>
        <w:pStyle w:val="Caption"/>
      </w:pPr>
      <w:bookmarkStart w:id="24" w:name="_Ref505174061"/>
      <w:r>
        <w:t xml:space="preserve">Table </w:t>
      </w:r>
      <w:r w:rsidR="00B47FE6">
        <w:fldChar w:fldCharType="begin"/>
      </w:r>
      <w:r w:rsidR="00B47FE6">
        <w:instrText xml:space="preserve"> SEQ Table \* ARABIC </w:instrText>
      </w:r>
      <w:r w:rsidR="00B47FE6">
        <w:fldChar w:fldCharType="separate"/>
      </w:r>
      <w:r w:rsidR="000369A1">
        <w:rPr>
          <w:noProof/>
        </w:rPr>
        <w:t>5</w:t>
      </w:r>
      <w:r w:rsidR="00B47FE6">
        <w:rPr>
          <w:noProof/>
        </w:rPr>
        <w:fldChar w:fldCharType="end"/>
      </w:r>
      <w:bookmarkEnd w:id="24"/>
      <w:r>
        <w:t xml:space="preserve">: Government and RAP time and volumes for each fee type </w:t>
      </w:r>
    </w:p>
    <w:tbl>
      <w:tblPr>
        <w:tblStyle w:val="ListTable3-Accent11"/>
        <w:tblW w:w="8437" w:type="dxa"/>
        <w:tblLook w:val="04A0" w:firstRow="1" w:lastRow="0" w:firstColumn="1" w:lastColumn="0" w:noHBand="0" w:noVBand="1"/>
      </w:tblPr>
      <w:tblGrid>
        <w:gridCol w:w="1818"/>
        <w:gridCol w:w="1644"/>
        <w:gridCol w:w="1741"/>
        <w:gridCol w:w="1617"/>
        <w:gridCol w:w="1617"/>
      </w:tblGrid>
      <w:tr w:rsidR="006715B3" w14:paraId="37C78120" w14:textId="77777777" w:rsidTr="00A35429">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818" w:type="dxa"/>
            <w:vAlign w:val="center"/>
          </w:tcPr>
          <w:p w14:paraId="2FD2FDD4" w14:textId="77777777" w:rsidR="006715B3" w:rsidRPr="00705BA8" w:rsidRDefault="006715B3" w:rsidP="00A35429">
            <w:pPr>
              <w:rPr>
                <w:sz w:val="18"/>
              </w:rPr>
            </w:pPr>
            <w:r w:rsidRPr="00705BA8">
              <w:rPr>
                <w:sz w:val="18"/>
              </w:rPr>
              <w:t>Fee type</w:t>
            </w:r>
          </w:p>
        </w:tc>
        <w:tc>
          <w:tcPr>
            <w:tcW w:w="1644" w:type="dxa"/>
            <w:vAlign w:val="center"/>
          </w:tcPr>
          <w:p w14:paraId="4C607379" w14:textId="5FB02496" w:rsidR="006715B3" w:rsidRPr="00705BA8" w:rsidRDefault="006715B3" w:rsidP="00025B82">
            <w:pPr>
              <w:jc w:val="center"/>
              <w:cnfStyle w:val="100000000000" w:firstRow="1" w:lastRow="0" w:firstColumn="0" w:lastColumn="0" w:oddVBand="0" w:evenVBand="0" w:oddHBand="0" w:evenHBand="0" w:firstRowFirstColumn="0" w:firstRowLastColumn="0" w:lastRowFirstColumn="0" w:lastRowLastColumn="0"/>
              <w:rPr>
                <w:sz w:val="18"/>
              </w:rPr>
            </w:pPr>
            <w:r w:rsidRPr="00705BA8">
              <w:rPr>
                <w:sz w:val="18"/>
              </w:rPr>
              <w:t xml:space="preserve">Government </w:t>
            </w:r>
            <w:r w:rsidR="00025B82">
              <w:rPr>
                <w:sz w:val="18"/>
              </w:rPr>
              <w:t>evaluation</w:t>
            </w:r>
            <w:r w:rsidR="00025B82" w:rsidRPr="00705BA8">
              <w:rPr>
                <w:sz w:val="18"/>
              </w:rPr>
              <w:t xml:space="preserve"> </w:t>
            </w:r>
            <w:r w:rsidRPr="00705BA8">
              <w:rPr>
                <w:sz w:val="18"/>
              </w:rPr>
              <w:t>time (hours)</w:t>
            </w:r>
            <w:r w:rsidRPr="00705BA8">
              <w:rPr>
                <w:rStyle w:val="FootnoteReference"/>
                <w:sz w:val="18"/>
              </w:rPr>
              <w:footnoteReference w:id="14"/>
            </w:r>
          </w:p>
        </w:tc>
        <w:tc>
          <w:tcPr>
            <w:tcW w:w="1741" w:type="dxa"/>
            <w:vAlign w:val="center"/>
          </w:tcPr>
          <w:p w14:paraId="2B3AD169" w14:textId="77777777" w:rsidR="006715B3" w:rsidRPr="00705BA8" w:rsidRDefault="006715B3" w:rsidP="00A35429">
            <w:pPr>
              <w:jc w:val="center"/>
              <w:cnfStyle w:val="100000000000" w:firstRow="1" w:lastRow="0" w:firstColumn="0" w:lastColumn="0" w:oddVBand="0" w:evenVBand="0" w:oddHBand="0" w:evenHBand="0" w:firstRowFirstColumn="0" w:firstRowLastColumn="0" w:lastRowFirstColumn="0" w:lastRowLastColumn="0"/>
              <w:rPr>
                <w:sz w:val="18"/>
              </w:rPr>
            </w:pPr>
            <w:r w:rsidRPr="00705BA8">
              <w:rPr>
                <w:sz w:val="18"/>
              </w:rPr>
              <w:t>Number undertaken by government each year (preferred options)</w:t>
            </w:r>
          </w:p>
        </w:tc>
        <w:tc>
          <w:tcPr>
            <w:tcW w:w="1617" w:type="dxa"/>
            <w:vAlign w:val="center"/>
          </w:tcPr>
          <w:p w14:paraId="0A806491" w14:textId="037873B9" w:rsidR="006715B3" w:rsidRPr="00705BA8" w:rsidRDefault="006715B3" w:rsidP="00025B82">
            <w:pPr>
              <w:jc w:val="center"/>
              <w:cnfStyle w:val="100000000000" w:firstRow="1" w:lastRow="0" w:firstColumn="0" w:lastColumn="0" w:oddVBand="0" w:evenVBand="0" w:oddHBand="0" w:evenHBand="0" w:firstRowFirstColumn="0" w:firstRowLastColumn="0" w:lastRowFirstColumn="0" w:lastRowLastColumn="0"/>
              <w:rPr>
                <w:sz w:val="18"/>
              </w:rPr>
            </w:pPr>
            <w:r w:rsidRPr="00705BA8">
              <w:rPr>
                <w:sz w:val="18"/>
              </w:rPr>
              <w:t xml:space="preserve">RAP </w:t>
            </w:r>
            <w:r w:rsidR="00025B82">
              <w:rPr>
                <w:sz w:val="18"/>
              </w:rPr>
              <w:t>evaluation</w:t>
            </w:r>
            <w:r w:rsidR="00025B82" w:rsidRPr="00705BA8">
              <w:rPr>
                <w:sz w:val="18"/>
              </w:rPr>
              <w:t xml:space="preserve"> </w:t>
            </w:r>
            <w:r w:rsidRPr="00705BA8">
              <w:rPr>
                <w:sz w:val="18"/>
              </w:rPr>
              <w:t>time (hours)</w:t>
            </w:r>
            <w:r w:rsidRPr="00705BA8">
              <w:rPr>
                <w:rStyle w:val="FootnoteReference"/>
                <w:sz w:val="18"/>
              </w:rPr>
              <w:footnoteReference w:id="15"/>
            </w:r>
          </w:p>
        </w:tc>
        <w:tc>
          <w:tcPr>
            <w:tcW w:w="1617" w:type="dxa"/>
            <w:vAlign w:val="center"/>
          </w:tcPr>
          <w:p w14:paraId="7A9EC3B9" w14:textId="77777777" w:rsidR="006715B3" w:rsidRPr="00705BA8" w:rsidRDefault="006715B3" w:rsidP="00A35429">
            <w:pPr>
              <w:jc w:val="center"/>
              <w:cnfStyle w:val="100000000000" w:firstRow="1" w:lastRow="0" w:firstColumn="0" w:lastColumn="0" w:oddVBand="0" w:evenVBand="0" w:oddHBand="0" w:evenHBand="0" w:firstRowFirstColumn="0" w:firstRowLastColumn="0" w:lastRowFirstColumn="0" w:lastRowLastColumn="0"/>
              <w:rPr>
                <w:sz w:val="18"/>
              </w:rPr>
            </w:pPr>
            <w:r w:rsidRPr="00705BA8">
              <w:rPr>
                <w:sz w:val="18"/>
              </w:rPr>
              <w:t>Number undertaken by RAPs  each year (preferred options)</w:t>
            </w:r>
          </w:p>
        </w:tc>
      </w:tr>
      <w:tr w:rsidR="006715B3" w14:paraId="30A8364E" w14:textId="77777777" w:rsidTr="00A3542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7BB17845" w14:textId="77777777" w:rsidR="006715B3" w:rsidRPr="00705BA8" w:rsidRDefault="006715B3" w:rsidP="00A35429">
            <w:pPr>
              <w:rPr>
                <w:color w:val="FFFFFF" w:themeColor="background1"/>
                <w:sz w:val="18"/>
              </w:rPr>
            </w:pPr>
            <w:r w:rsidRPr="00705BA8">
              <w:rPr>
                <w:color w:val="FFFFFF" w:themeColor="background1"/>
                <w:sz w:val="18"/>
              </w:rPr>
              <w:t>CHP application</w:t>
            </w:r>
          </w:p>
        </w:tc>
        <w:tc>
          <w:tcPr>
            <w:tcW w:w="1644" w:type="dxa"/>
            <w:vAlign w:val="center"/>
          </w:tcPr>
          <w:p w14:paraId="625FF27D"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38.0</w:t>
            </w:r>
          </w:p>
        </w:tc>
        <w:tc>
          <w:tcPr>
            <w:tcW w:w="1741" w:type="dxa"/>
            <w:vAlign w:val="center"/>
          </w:tcPr>
          <w:p w14:paraId="15E69654"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22</w:t>
            </w:r>
          </w:p>
        </w:tc>
        <w:tc>
          <w:tcPr>
            <w:tcW w:w="1617" w:type="dxa"/>
            <w:vAlign w:val="center"/>
          </w:tcPr>
          <w:p w14:paraId="4A21E417"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38.0</w:t>
            </w:r>
            <w:r w:rsidRPr="00705BA8">
              <w:rPr>
                <w:rStyle w:val="FootnoteReference"/>
                <w:sz w:val="18"/>
              </w:rPr>
              <w:footnoteReference w:id="16"/>
            </w:r>
          </w:p>
        </w:tc>
        <w:tc>
          <w:tcPr>
            <w:tcW w:w="1617" w:type="dxa"/>
            <w:vAlign w:val="center"/>
          </w:tcPr>
          <w:p w14:paraId="11381C74"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4</w:t>
            </w:r>
          </w:p>
        </w:tc>
      </w:tr>
      <w:tr w:rsidR="006715B3" w14:paraId="076A796E" w14:textId="77777777" w:rsidTr="00A35429">
        <w:trPr>
          <w:trHeight w:val="30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40380F99" w14:textId="77777777" w:rsidR="006715B3" w:rsidRPr="00705BA8" w:rsidRDefault="006715B3" w:rsidP="00A35429">
            <w:pPr>
              <w:rPr>
                <w:color w:val="FFFFFF" w:themeColor="background1"/>
                <w:sz w:val="18"/>
              </w:rPr>
            </w:pPr>
            <w:r w:rsidRPr="00705BA8">
              <w:rPr>
                <w:color w:val="FFFFFF" w:themeColor="background1"/>
                <w:sz w:val="18"/>
              </w:rPr>
              <w:t>Certification of a PAHT</w:t>
            </w:r>
          </w:p>
        </w:tc>
        <w:tc>
          <w:tcPr>
            <w:tcW w:w="1644" w:type="dxa"/>
            <w:vAlign w:val="center"/>
          </w:tcPr>
          <w:p w14:paraId="41BB4270" w14:textId="3EFC42E5" w:rsidR="006715B3" w:rsidRPr="00705BA8" w:rsidRDefault="00C661E4" w:rsidP="00A35429">
            <w:pPr>
              <w:jc w:val="center"/>
              <w:cnfStyle w:val="000000000000" w:firstRow="0" w:lastRow="0" w:firstColumn="0" w:lastColumn="0" w:oddVBand="0" w:evenVBand="0" w:oddHBand="0" w:evenHBand="0" w:firstRowFirstColumn="0" w:firstRowLastColumn="0" w:lastRowFirstColumn="0" w:lastRowLastColumn="0"/>
              <w:rPr>
                <w:sz w:val="18"/>
              </w:rPr>
            </w:pPr>
            <w:r>
              <w:rPr>
                <w:sz w:val="18"/>
              </w:rPr>
              <w:t>6.5</w:t>
            </w:r>
          </w:p>
        </w:tc>
        <w:tc>
          <w:tcPr>
            <w:tcW w:w="1741" w:type="dxa"/>
            <w:vAlign w:val="center"/>
          </w:tcPr>
          <w:p w14:paraId="47F0A511"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37</w:t>
            </w:r>
          </w:p>
        </w:tc>
        <w:tc>
          <w:tcPr>
            <w:tcW w:w="1617" w:type="dxa"/>
            <w:vAlign w:val="center"/>
          </w:tcPr>
          <w:p w14:paraId="75F969F8"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N/A</w:t>
            </w:r>
          </w:p>
        </w:tc>
        <w:tc>
          <w:tcPr>
            <w:tcW w:w="1617" w:type="dxa"/>
            <w:vAlign w:val="center"/>
          </w:tcPr>
          <w:p w14:paraId="7C634567"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N/A</w:t>
            </w:r>
          </w:p>
        </w:tc>
      </w:tr>
      <w:tr w:rsidR="006715B3" w14:paraId="16ABC811" w14:textId="77777777" w:rsidTr="00A3542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1AC131ED" w14:textId="77777777" w:rsidR="006715B3" w:rsidRPr="00705BA8" w:rsidRDefault="006715B3" w:rsidP="00A35429">
            <w:pPr>
              <w:rPr>
                <w:color w:val="FFFFFF" w:themeColor="background1"/>
                <w:sz w:val="18"/>
              </w:rPr>
            </w:pPr>
            <w:r w:rsidRPr="00705BA8">
              <w:rPr>
                <w:color w:val="FFFFFF" w:themeColor="background1"/>
                <w:sz w:val="18"/>
              </w:rPr>
              <w:t>NOI to prepare a CHMP</w:t>
            </w:r>
          </w:p>
        </w:tc>
        <w:tc>
          <w:tcPr>
            <w:tcW w:w="1644" w:type="dxa"/>
            <w:vAlign w:val="center"/>
          </w:tcPr>
          <w:p w14:paraId="00A51716" w14:textId="68684C14" w:rsidR="006715B3" w:rsidRPr="00705BA8" w:rsidRDefault="006715B3" w:rsidP="00AC7EE5">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1</w:t>
            </w:r>
            <w:r w:rsidR="00C661E4">
              <w:rPr>
                <w:sz w:val="18"/>
              </w:rPr>
              <w:t>.0</w:t>
            </w:r>
          </w:p>
        </w:tc>
        <w:tc>
          <w:tcPr>
            <w:tcW w:w="1741" w:type="dxa"/>
            <w:vAlign w:val="center"/>
          </w:tcPr>
          <w:p w14:paraId="58734D21" w14:textId="043B8F2F" w:rsidR="006715B3" w:rsidRPr="00705BA8" w:rsidRDefault="00C661E4" w:rsidP="00A35429">
            <w:pPr>
              <w:jc w:val="center"/>
              <w:cnfStyle w:val="000000100000" w:firstRow="0" w:lastRow="0" w:firstColumn="0" w:lastColumn="0" w:oddVBand="0" w:evenVBand="0" w:oddHBand="1" w:evenHBand="0" w:firstRowFirstColumn="0" w:firstRowLastColumn="0" w:lastRowFirstColumn="0" w:lastRowLastColumn="0"/>
              <w:rPr>
                <w:sz w:val="18"/>
              </w:rPr>
            </w:pPr>
            <w:r>
              <w:rPr>
                <w:sz w:val="18"/>
              </w:rPr>
              <w:t>400</w:t>
            </w:r>
          </w:p>
        </w:tc>
        <w:tc>
          <w:tcPr>
            <w:tcW w:w="1617" w:type="dxa"/>
            <w:vAlign w:val="center"/>
          </w:tcPr>
          <w:p w14:paraId="5A62D649"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2.7</w:t>
            </w:r>
          </w:p>
        </w:tc>
        <w:tc>
          <w:tcPr>
            <w:tcW w:w="1617" w:type="dxa"/>
            <w:vAlign w:val="center"/>
          </w:tcPr>
          <w:p w14:paraId="1CC39805" w14:textId="7BF0B179"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38</w:t>
            </w:r>
            <w:r w:rsidR="00C661E4">
              <w:rPr>
                <w:sz w:val="18"/>
              </w:rPr>
              <w:t>1</w:t>
            </w:r>
          </w:p>
        </w:tc>
      </w:tr>
      <w:tr w:rsidR="006715B3" w14:paraId="3EDAEDE2" w14:textId="77777777" w:rsidTr="00A35429">
        <w:trPr>
          <w:trHeight w:val="15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5726FC41" w14:textId="77777777" w:rsidR="006715B3" w:rsidRPr="00705BA8" w:rsidRDefault="006715B3" w:rsidP="00A35429">
            <w:pPr>
              <w:rPr>
                <w:color w:val="FFFFFF" w:themeColor="background1"/>
                <w:sz w:val="18"/>
              </w:rPr>
            </w:pPr>
            <w:r w:rsidRPr="00705BA8">
              <w:rPr>
                <w:color w:val="FFFFFF" w:themeColor="background1"/>
                <w:sz w:val="18"/>
              </w:rPr>
              <w:t>CHMP with a desktop assessment</w:t>
            </w:r>
          </w:p>
        </w:tc>
        <w:tc>
          <w:tcPr>
            <w:tcW w:w="1644" w:type="dxa"/>
            <w:vAlign w:val="center"/>
          </w:tcPr>
          <w:p w14:paraId="0DA83FC7" w14:textId="5BD56006" w:rsidR="006715B3" w:rsidRPr="00705BA8" w:rsidRDefault="00C661E4" w:rsidP="00AC7EE5">
            <w:pPr>
              <w:jc w:val="center"/>
              <w:cnfStyle w:val="000000000000" w:firstRow="0" w:lastRow="0" w:firstColumn="0" w:lastColumn="0" w:oddVBand="0" w:evenVBand="0" w:oddHBand="0" w:evenHBand="0" w:firstRowFirstColumn="0" w:firstRowLastColumn="0" w:lastRowFirstColumn="0" w:lastRowLastColumn="0"/>
              <w:rPr>
                <w:sz w:val="18"/>
              </w:rPr>
            </w:pPr>
            <w:r>
              <w:rPr>
                <w:sz w:val="18"/>
              </w:rPr>
              <w:t>14.5</w:t>
            </w:r>
          </w:p>
        </w:tc>
        <w:tc>
          <w:tcPr>
            <w:tcW w:w="1741" w:type="dxa"/>
            <w:vAlign w:val="center"/>
          </w:tcPr>
          <w:p w14:paraId="0AA379EE"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22</w:t>
            </w:r>
          </w:p>
        </w:tc>
        <w:tc>
          <w:tcPr>
            <w:tcW w:w="1617" w:type="dxa"/>
            <w:vAlign w:val="center"/>
          </w:tcPr>
          <w:p w14:paraId="3C8961A0"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4.7</w:t>
            </w:r>
          </w:p>
        </w:tc>
        <w:tc>
          <w:tcPr>
            <w:tcW w:w="1617" w:type="dxa"/>
            <w:vAlign w:val="center"/>
          </w:tcPr>
          <w:p w14:paraId="7D72F982"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19</w:t>
            </w:r>
          </w:p>
        </w:tc>
      </w:tr>
      <w:tr w:rsidR="006715B3" w14:paraId="335E6063" w14:textId="77777777" w:rsidTr="00A35429">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6FE4C21A" w14:textId="77777777" w:rsidR="006715B3" w:rsidRPr="00705BA8" w:rsidRDefault="006715B3" w:rsidP="00A35429">
            <w:pPr>
              <w:rPr>
                <w:color w:val="FFFFFF" w:themeColor="background1"/>
                <w:sz w:val="18"/>
              </w:rPr>
            </w:pPr>
            <w:r w:rsidRPr="00705BA8">
              <w:rPr>
                <w:color w:val="FFFFFF" w:themeColor="background1"/>
                <w:sz w:val="18"/>
              </w:rPr>
              <w:t>CHMP with a standard assessment</w:t>
            </w:r>
          </w:p>
        </w:tc>
        <w:tc>
          <w:tcPr>
            <w:tcW w:w="1644" w:type="dxa"/>
            <w:vAlign w:val="center"/>
          </w:tcPr>
          <w:p w14:paraId="35F758D5" w14:textId="23D1A3C4" w:rsidR="006715B3" w:rsidRPr="00705BA8" w:rsidRDefault="00C661E4" w:rsidP="00AC7EE5">
            <w:pPr>
              <w:jc w:val="center"/>
              <w:cnfStyle w:val="000000100000" w:firstRow="0" w:lastRow="0" w:firstColumn="0" w:lastColumn="0" w:oddVBand="0" w:evenVBand="0" w:oddHBand="1" w:evenHBand="0" w:firstRowFirstColumn="0" w:firstRowLastColumn="0" w:lastRowFirstColumn="0" w:lastRowLastColumn="0"/>
              <w:rPr>
                <w:sz w:val="18"/>
              </w:rPr>
            </w:pPr>
            <w:r>
              <w:rPr>
                <w:sz w:val="18"/>
              </w:rPr>
              <w:t>16.5</w:t>
            </w:r>
          </w:p>
        </w:tc>
        <w:tc>
          <w:tcPr>
            <w:tcW w:w="1741" w:type="dxa"/>
            <w:vAlign w:val="center"/>
          </w:tcPr>
          <w:p w14:paraId="6D17A0BE"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72</w:t>
            </w:r>
          </w:p>
        </w:tc>
        <w:tc>
          <w:tcPr>
            <w:tcW w:w="1617" w:type="dxa"/>
            <w:vAlign w:val="center"/>
          </w:tcPr>
          <w:p w14:paraId="3E7E9029"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8.3</w:t>
            </w:r>
          </w:p>
        </w:tc>
        <w:tc>
          <w:tcPr>
            <w:tcW w:w="1617" w:type="dxa"/>
            <w:vAlign w:val="center"/>
          </w:tcPr>
          <w:p w14:paraId="186D478B"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62</w:t>
            </w:r>
          </w:p>
        </w:tc>
      </w:tr>
      <w:tr w:rsidR="006715B3" w14:paraId="6A52CE35" w14:textId="77777777" w:rsidTr="00A35429">
        <w:trPr>
          <w:trHeight w:val="15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46A474FB" w14:textId="77777777" w:rsidR="006715B3" w:rsidRPr="00705BA8" w:rsidRDefault="006715B3" w:rsidP="00A35429">
            <w:pPr>
              <w:rPr>
                <w:color w:val="FFFFFF" w:themeColor="background1"/>
                <w:sz w:val="18"/>
              </w:rPr>
            </w:pPr>
            <w:r w:rsidRPr="00705BA8">
              <w:rPr>
                <w:color w:val="FFFFFF" w:themeColor="background1"/>
                <w:sz w:val="18"/>
              </w:rPr>
              <w:t>CHMP with a complex assessment</w:t>
            </w:r>
          </w:p>
        </w:tc>
        <w:tc>
          <w:tcPr>
            <w:tcW w:w="1644" w:type="dxa"/>
            <w:vAlign w:val="center"/>
          </w:tcPr>
          <w:p w14:paraId="2E2891CF" w14:textId="3C846B06" w:rsidR="006715B3" w:rsidRPr="00705BA8" w:rsidRDefault="00C661E4" w:rsidP="00AC7EE5">
            <w:pPr>
              <w:jc w:val="center"/>
              <w:cnfStyle w:val="000000000000" w:firstRow="0" w:lastRow="0" w:firstColumn="0" w:lastColumn="0" w:oddVBand="0" w:evenVBand="0" w:oddHBand="0" w:evenHBand="0" w:firstRowFirstColumn="0" w:firstRowLastColumn="0" w:lastRowFirstColumn="0" w:lastRowLastColumn="0"/>
              <w:rPr>
                <w:sz w:val="18"/>
              </w:rPr>
            </w:pPr>
            <w:r>
              <w:rPr>
                <w:sz w:val="18"/>
              </w:rPr>
              <w:t>23.5</w:t>
            </w:r>
          </w:p>
        </w:tc>
        <w:tc>
          <w:tcPr>
            <w:tcW w:w="1741" w:type="dxa"/>
            <w:vAlign w:val="center"/>
          </w:tcPr>
          <w:p w14:paraId="656E76C2" w14:textId="3F0A9055"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28</w:t>
            </w:r>
            <w:r w:rsidR="00C661E4">
              <w:rPr>
                <w:sz w:val="18"/>
              </w:rPr>
              <w:t>4</w:t>
            </w:r>
          </w:p>
        </w:tc>
        <w:tc>
          <w:tcPr>
            <w:tcW w:w="1617" w:type="dxa"/>
            <w:vAlign w:val="center"/>
          </w:tcPr>
          <w:p w14:paraId="59CED208"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14.8</w:t>
            </w:r>
          </w:p>
        </w:tc>
        <w:tc>
          <w:tcPr>
            <w:tcW w:w="1617" w:type="dxa"/>
            <w:vAlign w:val="center"/>
          </w:tcPr>
          <w:p w14:paraId="6E5C69C6"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243</w:t>
            </w:r>
          </w:p>
        </w:tc>
      </w:tr>
      <w:tr w:rsidR="006715B3" w14:paraId="5655CE8A" w14:textId="77777777" w:rsidTr="00A3542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05BDBC12" w14:textId="77777777" w:rsidR="006715B3" w:rsidRPr="00705BA8" w:rsidRDefault="006715B3" w:rsidP="00A35429">
            <w:pPr>
              <w:rPr>
                <w:color w:val="FFFFFF" w:themeColor="background1"/>
                <w:sz w:val="18"/>
              </w:rPr>
            </w:pPr>
            <w:r w:rsidRPr="00705BA8">
              <w:rPr>
                <w:color w:val="FFFFFF" w:themeColor="background1"/>
                <w:sz w:val="18"/>
              </w:rPr>
              <w:t>Application to amend a CHMP</w:t>
            </w:r>
          </w:p>
        </w:tc>
        <w:tc>
          <w:tcPr>
            <w:tcW w:w="1644" w:type="dxa"/>
            <w:vAlign w:val="center"/>
          </w:tcPr>
          <w:p w14:paraId="5AE4B8D5" w14:textId="7C64063A" w:rsidR="006715B3" w:rsidRPr="00705BA8" w:rsidRDefault="00C661E4" w:rsidP="00AC7EE5">
            <w:pPr>
              <w:jc w:val="center"/>
              <w:cnfStyle w:val="000000100000" w:firstRow="0" w:lastRow="0" w:firstColumn="0" w:lastColumn="0" w:oddVBand="0" w:evenVBand="0" w:oddHBand="1" w:evenHBand="0" w:firstRowFirstColumn="0" w:firstRowLastColumn="0" w:lastRowFirstColumn="0" w:lastRowLastColumn="0"/>
              <w:rPr>
                <w:sz w:val="18"/>
              </w:rPr>
            </w:pPr>
            <w:r>
              <w:rPr>
                <w:sz w:val="18"/>
              </w:rPr>
              <w:t>11.0</w:t>
            </w:r>
          </w:p>
        </w:tc>
        <w:tc>
          <w:tcPr>
            <w:tcW w:w="1741" w:type="dxa"/>
            <w:vAlign w:val="center"/>
          </w:tcPr>
          <w:p w14:paraId="1393A95C"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17</w:t>
            </w:r>
          </w:p>
        </w:tc>
        <w:tc>
          <w:tcPr>
            <w:tcW w:w="1617" w:type="dxa"/>
            <w:vAlign w:val="center"/>
          </w:tcPr>
          <w:p w14:paraId="22D4EA11"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5.8</w:t>
            </w:r>
          </w:p>
        </w:tc>
        <w:tc>
          <w:tcPr>
            <w:tcW w:w="1617" w:type="dxa"/>
            <w:vAlign w:val="center"/>
          </w:tcPr>
          <w:p w14:paraId="5D245821" w14:textId="244FD6F5" w:rsidR="006715B3" w:rsidRPr="00705BA8" w:rsidRDefault="00C661E4" w:rsidP="00A35429">
            <w:pPr>
              <w:jc w:val="center"/>
              <w:cnfStyle w:val="000000100000" w:firstRow="0" w:lastRow="0" w:firstColumn="0" w:lastColumn="0" w:oddVBand="0" w:evenVBand="0" w:oddHBand="1" w:evenHBand="0" w:firstRowFirstColumn="0" w:firstRowLastColumn="0" w:lastRowFirstColumn="0" w:lastRowLastColumn="0"/>
              <w:rPr>
                <w:sz w:val="18"/>
              </w:rPr>
            </w:pPr>
            <w:r>
              <w:rPr>
                <w:sz w:val="18"/>
              </w:rPr>
              <w:t>20</w:t>
            </w:r>
          </w:p>
        </w:tc>
      </w:tr>
      <w:tr w:rsidR="006715B3" w14:paraId="370ABE09" w14:textId="77777777" w:rsidTr="00A35429">
        <w:trPr>
          <w:trHeight w:val="15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34E17B32" w14:textId="25F64075" w:rsidR="006715B3" w:rsidRPr="00705BA8" w:rsidRDefault="006715B3" w:rsidP="00025B82">
            <w:pPr>
              <w:rPr>
                <w:color w:val="FFFFFF" w:themeColor="background1"/>
                <w:sz w:val="18"/>
              </w:rPr>
            </w:pPr>
            <w:r w:rsidRPr="00705BA8">
              <w:rPr>
                <w:color w:val="FFFFFF" w:themeColor="background1"/>
                <w:sz w:val="18"/>
              </w:rPr>
              <w:t xml:space="preserve">Application for access to the </w:t>
            </w:r>
            <w:r w:rsidR="00025B82">
              <w:rPr>
                <w:color w:val="FFFFFF" w:themeColor="background1"/>
                <w:sz w:val="18"/>
              </w:rPr>
              <w:t>VAHR</w:t>
            </w:r>
          </w:p>
        </w:tc>
        <w:tc>
          <w:tcPr>
            <w:tcW w:w="1644" w:type="dxa"/>
            <w:vAlign w:val="center"/>
          </w:tcPr>
          <w:p w14:paraId="493FF8B1"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0.2</w:t>
            </w:r>
          </w:p>
        </w:tc>
        <w:tc>
          <w:tcPr>
            <w:tcW w:w="1741" w:type="dxa"/>
            <w:vAlign w:val="center"/>
          </w:tcPr>
          <w:p w14:paraId="36347BBD"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636</w:t>
            </w:r>
          </w:p>
        </w:tc>
        <w:tc>
          <w:tcPr>
            <w:tcW w:w="1617" w:type="dxa"/>
            <w:vAlign w:val="center"/>
          </w:tcPr>
          <w:p w14:paraId="167BC88C"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2.7</w:t>
            </w:r>
          </w:p>
        </w:tc>
        <w:tc>
          <w:tcPr>
            <w:tcW w:w="1617" w:type="dxa"/>
            <w:vAlign w:val="center"/>
          </w:tcPr>
          <w:p w14:paraId="25C94FE5" w14:textId="77777777" w:rsidR="006715B3" w:rsidRPr="00705BA8" w:rsidRDefault="006715B3" w:rsidP="00A35429">
            <w:pPr>
              <w:jc w:val="center"/>
              <w:cnfStyle w:val="000000000000" w:firstRow="0" w:lastRow="0" w:firstColumn="0" w:lastColumn="0" w:oddVBand="0" w:evenVBand="0" w:oddHBand="0" w:evenHBand="0" w:firstRowFirstColumn="0" w:firstRowLastColumn="0" w:lastRowFirstColumn="0" w:lastRowLastColumn="0"/>
              <w:rPr>
                <w:sz w:val="18"/>
              </w:rPr>
            </w:pPr>
            <w:r w:rsidRPr="00705BA8">
              <w:rPr>
                <w:sz w:val="18"/>
              </w:rPr>
              <w:t>N/A</w:t>
            </w:r>
          </w:p>
        </w:tc>
      </w:tr>
      <w:tr w:rsidR="006715B3" w14:paraId="3D1B1EF7" w14:textId="77777777" w:rsidTr="00A35429">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818" w:type="dxa"/>
            <w:shd w:val="clear" w:color="auto" w:fill="808080" w:themeFill="background1" w:themeFillShade="80"/>
            <w:vAlign w:val="center"/>
          </w:tcPr>
          <w:p w14:paraId="322941CD" w14:textId="52C68176" w:rsidR="006715B3" w:rsidRPr="00705BA8" w:rsidRDefault="006715B3" w:rsidP="00F9052A">
            <w:pPr>
              <w:rPr>
                <w:color w:val="FFFFFF" w:themeColor="background1"/>
                <w:sz w:val="18"/>
              </w:rPr>
            </w:pPr>
            <w:r w:rsidRPr="00705BA8">
              <w:rPr>
                <w:color w:val="FFFFFF" w:themeColor="background1"/>
                <w:sz w:val="18"/>
              </w:rPr>
              <w:t xml:space="preserve">Application </w:t>
            </w:r>
            <w:r w:rsidR="00F9052A">
              <w:rPr>
                <w:color w:val="FFFFFF" w:themeColor="background1"/>
                <w:sz w:val="18"/>
              </w:rPr>
              <w:t>for</w:t>
            </w:r>
            <w:r w:rsidRPr="00705BA8">
              <w:rPr>
                <w:color w:val="FFFFFF" w:themeColor="background1"/>
                <w:sz w:val="18"/>
              </w:rPr>
              <w:t xml:space="preserve"> </w:t>
            </w:r>
            <w:r w:rsidR="00F9052A">
              <w:rPr>
                <w:color w:val="FFFFFF" w:themeColor="background1"/>
                <w:sz w:val="18"/>
              </w:rPr>
              <w:t xml:space="preserve"> </w:t>
            </w:r>
            <w:r w:rsidRPr="00705BA8">
              <w:rPr>
                <w:color w:val="FFFFFF" w:themeColor="background1"/>
                <w:sz w:val="18"/>
              </w:rPr>
              <w:t xml:space="preserve">advice on information held in the </w:t>
            </w:r>
            <w:r w:rsidR="00025B82">
              <w:rPr>
                <w:color w:val="FFFFFF" w:themeColor="background1"/>
                <w:sz w:val="18"/>
              </w:rPr>
              <w:t>VAHR</w:t>
            </w:r>
          </w:p>
        </w:tc>
        <w:tc>
          <w:tcPr>
            <w:tcW w:w="1644" w:type="dxa"/>
            <w:vAlign w:val="center"/>
          </w:tcPr>
          <w:p w14:paraId="73CE29D7"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0.5</w:t>
            </w:r>
          </w:p>
        </w:tc>
        <w:tc>
          <w:tcPr>
            <w:tcW w:w="1741" w:type="dxa"/>
            <w:vAlign w:val="center"/>
          </w:tcPr>
          <w:p w14:paraId="47280B2D"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2,734</w:t>
            </w:r>
          </w:p>
        </w:tc>
        <w:tc>
          <w:tcPr>
            <w:tcW w:w="1617" w:type="dxa"/>
            <w:vAlign w:val="center"/>
          </w:tcPr>
          <w:p w14:paraId="664190BE"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N/A</w:t>
            </w:r>
          </w:p>
        </w:tc>
        <w:tc>
          <w:tcPr>
            <w:tcW w:w="1617" w:type="dxa"/>
            <w:vAlign w:val="center"/>
          </w:tcPr>
          <w:p w14:paraId="7C5AA93A" w14:textId="77777777" w:rsidR="006715B3" w:rsidRPr="00705BA8" w:rsidRDefault="006715B3" w:rsidP="00A35429">
            <w:pPr>
              <w:jc w:val="center"/>
              <w:cnfStyle w:val="000000100000" w:firstRow="0" w:lastRow="0" w:firstColumn="0" w:lastColumn="0" w:oddVBand="0" w:evenVBand="0" w:oddHBand="1" w:evenHBand="0" w:firstRowFirstColumn="0" w:firstRowLastColumn="0" w:lastRowFirstColumn="0" w:lastRowLastColumn="0"/>
              <w:rPr>
                <w:sz w:val="18"/>
              </w:rPr>
            </w:pPr>
            <w:r w:rsidRPr="00705BA8">
              <w:rPr>
                <w:sz w:val="18"/>
              </w:rPr>
              <w:t>N/A</w:t>
            </w:r>
          </w:p>
        </w:tc>
      </w:tr>
    </w:tbl>
    <w:p w14:paraId="547FBE2C" w14:textId="74ADCED3" w:rsidR="006715B3" w:rsidRPr="007E360E" w:rsidRDefault="006715B3" w:rsidP="006715B3">
      <w:pPr>
        <w:pStyle w:val="PwCNormal"/>
        <w:rPr>
          <w:color w:val="A32020" w:themeColor="text2"/>
          <w:sz w:val="18"/>
        </w:rPr>
      </w:pPr>
      <w:r w:rsidRPr="007E360E">
        <w:rPr>
          <w:color w:val="A32020" w:themeColor="text2"/>
          <w:sz w:val="18"/>
        </w:rPr>
        <w:t xml:space="preserve">Note: All </w:t>
      </w:r>
      <w:r w:rsidR="00025B82">
        <w:rPr>
          <w:color w:val="A32020" w:themeColor="text2"/>
          <w:sz w:val="18"/>
        </w:rPr>
        <w:t>evaluation</w:t>
      </w:r>
      <w:r w:rsidR="00025B82" w:rsidRPr="007E360E">
        <w:rPr>
          <w:color w:val="A32020" w:themeColor="text2"/>
          <w:sz w:val="18"/>
        </w:rPr>
        <w:t xml:space="preserve"> </w:t>
      </w:r>
      <w:r w:rsidRPr="007E360E">
        <w:rPr>
          <w:color w:val="A32020" w:themeColor="text2"/>
          <w:sz w:val="18"/>
        </w:rPr>
        <w:t xml:space="preserve">times are cumulative, ie include previous levels of </w:t>
      </w:r>
      <w:r w:rsidR="00025B82">
        <w:rPr>
          <w:color w:val="A32020" w:themeColor="text2"/>
          <w:sz w:val="18"/>
        </w:rPr>
        <w:t>evaluation</w:t>
      </w:r>
      <w:r w:rsidRPr="007E360E">
        <w:rPr>
          <w:color w:val="A32020" w:themeColor="text2"/>
          <w:sz w:val="18"/>
        </w:rPr>
        <w:t>.</w:t>
      </w:r>
    </w:p>
    <w:p w14:paraId="7EC8759A" w14:textId="722152BE" w:rsidR="00E5103C" w:rsidRDefault="00E5103C" w:rsidP="00705BA8">
      <w:pPr>
        <w:pStyle w:val="Caption"/>
      </w:pPr>
      <w:r>
        <w:t>Fee options</w:t>
      </w:r>
    </w:p>
    <w:p w14:paraId="3AF9BDA4" w14:textId="4DB3EE96" w:rsidR="00E5103C" w:rsidRDefault="00E5103C" w:rsidP="00705BA8">
      <w:pPr>
        <w:pStyle w:val="PwCNormal"/>
      </w:pPr>
      <w:r>
        <w:t xml:space="preserve">The fee options have been formulated with regard to consultation with AV and RAPs as part of this RIS, as well as previous consultation by AV over the past year, including the publication of a </w:t>
      </w:r>
      <w:r w:rsidR="00CF2B9C">
        <w:t>D</w:t>
      </w:r>
      <w:r>
        <w:t xml:space="preserve">iscussion </w:t>
      </w:r>
      <w:r w:rsidR="00CF2B9C">
        <w:t>P</w:t>
      </w:r>
      <w:r>
        <w:t xml:space="preserve">aper. </w:t>
      </w:r>
      <w:r w:rsidR="00670320">
        <w:t>T</w:t>
      </w:r>
      <w:r>
        <w:t xml:space="preserve">he fee options </w:t>
      </w:r>
      <w:r w:rsidR="00670320">
        <w:t>are</w:t>
      </w:r>
      <w:r>
        <w:t>:</w:t>
      </w:r>
    </w:p>
    <w:p w14:paraId="19ED18D1" w14:textId="1949E0F6" w:rsidR="00E5103C" w:rsidRDefault="00E709D8" w:rsidP="00705BA8">
      <w:pPr>
        <w:pStyle w:val="ListBullet"/>
      </w:pPr>
      <w:r>
        <w:t>Fee o</w:t>
      </w:r>
      <w:r w:rsidR="00E5103C">
        <w:t>ption 1: Re-make existing fees – this fee option maintains the existing fee regime, which gives stakeholders continuity and reduces uncertainty.</w:t>
      </w:r>
    </w:p>
    <w:p w14:paraId="37DDD468" w14:textId="6D7EF3FD" w:rsidR="00E5103C" w:rsidRDefault="00E709D8" w:rsidP="00705BA8">
      <w:pPr>
        <w:pStyle w:val="ListBullet"/>
      </w:pPr>
      <w:r>
        <w:t>Fee o</w:t>
      </w:r>
      <w:r w:rsidR="00E5103C">
        <w:t xml:space="preserve">ption 2: Single set of fees based on weighted average cost recovery – this fee option involves updating the fees based on information collected from stakeholders on their costs involved with undertaking </w:t>
      </w:r>
      <w:r w:rsidR="00CF2B9C">
        <w:t xml:space="preserve"> evaluations </w:t>
      </w:r>
      <w:r w:rsidR="00E5103C">
        <w:t>, and estimating fee levels based on a</w:t>
      </w:r>
      <w:r>
        <w:t>n</w:t>
      </w:r>
      <w:r w:rsidR="00E5103C">
        <w:t xml:space="preserve"> average of Government and RAPs costs weighted by the number of </w:t>
      </w:r>
      <w:r w:rsidR="00CF2B9C">
        <w:t xml:space="preserve">evaluations </w:t>
      </w:r>
      <w:r w:rsidR="00E5103C">
        <w:t>they undertook.</w:t>
      </w:r>
      <w:r>
        <w:t xml:space="preserve"> </w:t>
      </w:r>
      <w:r w:rsidR="006715B3">
        <w:t xml:space="preserve">Fees to </w:t>
      </w:r>
      <w:r w:rsidR="00276AFD">
        <w:t xml:space="preserve">determine </w:t>
      </w:r>
      <w:r w:rsidR="006715B3">
        <w:t>CHPs are maintained at current levels to ensure that non-compliance does not rise.</w:t>
      </w:r>
    </w:p>
    <w:p w14:paraId="3E6CE1DB" w14:textId="232610BD" w:rsidR="00E5103C" w:rsidRDefault="00E709D8" w:rsidP="00705BA8">
      <w:pPr>
        <w:pStyle w:val="ListBullet"/>
      </w:pPr>
      <w:r>
        <w:t>Fee o</w:t>
      </w:r>
      <w:r w:rsidR="00E5103C">
        <w:t xml:space="preserve">ption 3: Variable fees by </w:t>
      </w:r>
      <w:r w:rsidR="00F9052A">
        <w:t>evaluator</w:t>
      </w:r>
      <w:r w:rsidR="00E5103C">
        <w:t xml:space="preserve"> – this fee option splits the fee levels into different fees for Government and RAPs to reflect their different cost bases and </w:t>
      </w:r>
      <w:r w:rsidR="00670320">
        <w:t>are designed not to</w:t>
      </w:r>
      <w:r w:rsidR="00E5103C">
        <w:t xml:space="preserve"> disadvantage the party with a higher cost base.</w:t>
      </w:r>
      <w:r w:rsidR="006715B3">
        <w:t xml:space="preserve"> Like Option 2, fees to </w:t>
      </w:r>
      <w:r w:rsidR="00276AFD">
        <w:t xml:space="preserve">determine </w:t>
      </w:r>
      <w:r w:rsidR="006715B3">
        <w:t>CHPs are maintained at current levels.</w:t>
      </w:r>
    </w:p>
    <w:p w14:paraId="6AE7CE9D" w14:textId="065CEBB8" w:rsidR="00E709D8" w:rsidRDefault="006715B3" w:rsidP="00705BA8">
      <w:pPr>
        <w:pStyle w:val="PwCNormal"/>
      </w:pPr>
      <w:r>
        <w:t xml:space="preserve">Fees levels are expressed in Regulations as fee units. </w:t>
      </w:r>
      <w:r w:rsidR="00963177">
        <w:t>In</w:t>
      </w:r>
      <w:r w:rsidR="00963177" w:rsidRPr="00963177">
        <w:t xml:space="preserve"> </w:t>
      </w:r>
      <w:r w:rsidR="00EF70EB">
        <w:t xml:space="preserve">the </w:t>
      </w:r>
      <w:r w:rsidR="00963177" w:rsidRPr="00963177">
        <w:t>2017-18</w:t>
      </w:r>
      <w:r w:rsidR="00EF70EB">
        <w:t xml:space="preserve"> financial year</w:t>
      </w:r>
      <w:r w:rsidR="00963177" w:rsidRPr="00963177">
        <w:t>, a</w:t>
      </w:r>
      <w:r>
        <w:t xml:space="preserve"> fee unit in Victoria is </w:t>
      </w:r>
      <w:r w:rsidR="00963177">
        <w:t>set</w:t>
      </w:r>
      <w:r>
        <w:t xml:space="preserve"> at $14.22. </w:t>
      </w:r>
      <w:r w:rsidR="00963177">
        <w:t xml:space="preserve">The value for </w:t>
      </w:r>
      <w:r w:rsidR="00EF70EB">
        <w:t xml:space="preserve">the </w:t>
      </w:r>
      <w:r w:rsidR="00963177">
        <w:t xml:space="preserve">2018-19 </w:t>
      </w:r>
      <w:r w:rsidR="00EF70EB">
        <w:t xml:space="preserve">financial year </w:t>
      </w:r>
      <w:r w:rsidR="00963177">
        <w:t xml:space="preserve">has not yet been set. </w:t>
      </w:r>
    </w:p>
    <w:p w14:paraId="2EAF5C9C" w14:textId="2C68A3C1" w:rsidR="006715B3" w:rsidRPr="007C358F" w:rsidRDefault="006715B3" w:rsidP="006715B3">
      <w:pPr>
        <w:pStyle w:val="PwCNormal"/>
        <w:rPr>
          <w:lang w:val="en-US"/>
        </w:rPr>
      </w:pPr>
      <w:r>
        <w:rPr>
          <w:lang w:val="en-US"/>
        </w:rPr>
        <w:t xml:space="preserve">Using the data shown in </w:t>
      </w:r>
      <w:r>
        <w:rPr>
          <w:lang w:val="en-US"/>
        </w:rPr>
        <w:fldChar w:fldCharType="begin"/>
      </w:r>
      <w:r>
        <w:rPr>
          <w:lang w:val="en-US"/>
        </w:rPr>
        <w:instrText xml:space="preserve"> REF _Ref505174061 \h </w:instrText>
      </w:r>
      <w:r>
        <w:rPr>
          <w:lang w:val="en-US"/>
        </w:rPr>
      </w:r>
      <w:r>
        <w:rPr>
          <w:lang w:val="en-US"/>
        </w:rPr>
        <w:fldChar w:fldCharType="separate"/>
      </w:r>
      <w:r w:rsidR="000369A1">
        <w:t xml:space="preserve">Table </w:t>
      </w:r>
      <w:r w:rsidR="000369A1">
        <w:rPr>
          <w:noProof/>
        </w:rPr>
        <w:t>5</w:t>
      </w:r>
      <w:r>
        <w:rPr>
          <w:lang w:val="en-US"/>
        </w:rPr>
        <w:fldChar w:fldCharType="end"/>
      </w:r>
      <w:r>
        <w:rPr>
          <w:lang w:val="en-US"/>
        </w:rPr>
        <w:t xml:space="preserve">, fee levels have been estimated for each fee option. </w:t>
      </w:r>
      <w:r>
        <w:rPr>
          <w:lang w:val="en-US"/>
        </w:rPr>
        <w:fldChar w:fldCharType="begin"/>
      </w:r>
      <w:r>
        <w:rPr>
          <w:lang w:val="en-US"/>
        </w:rPr>
        <w:instrText xml:space="preserve"> REF _Ref505174236 \h </w:instrText>
      </w:r>
      <w:r>
        <w:rPr>
          <w:lang w:val="en-US"/>
        </w:rPr>
      </w:r>
      <w:r>
        <w:rPr>
          <w:lang w:val="en-US"/>
        </w:rPr>
        <w:fldChar w:fldCharType="separate"/>
      </w:r>
      <w:r w:rsidR="000369A1">
        <w:t xml:space="preserve">Table </w:t>
      </w:r>
      <w:r w:rsidR="000369A1">
        <w:rPr>
          <w:noProof/>
        </w:rPr>
        <w:t>6</w:t>
      </w:r>
      <w:r>
        <w:rPr>
          <w:lang w:val="en-US"/>
        </w:rPr>
        <w:fldChar w:fldCharType="end"/>
      </w:r>
      <w:r>
        <w:rPr>
          <w:lang w:val="en-US"/>
        </w:rPr>
        <w:t xml:space="preserve"> shows a comparison of the fee units for each fee option. </w:t>
      </w:r>
      <w:r w:rsidR="00577E93">
        <w:rPr>
          <w:lang w:val="en-US"/>
        </w:rPr>
        <w:t xml:space="preserve">The definitions of small, medium and large activity </w:t>
      </w:r>
      <w:r w:rsidR="00EF70EB">
        <w:rPr>
          <w:lang w:val="en-US"/>
        </w:rPr>
        <w:t xml:space="preserve">area </w:t>
      </w:r>
      <w:r w:rsidR="00577E93">
        <w:rPr>
          <w:lang w:val="en-US"/>
        </w:rPr>
        <w:t xml:space="preserve">can be found in Section </w:t>
      </w:r>
      <w:r w:rsidR="00577E93">
        <w:rPr>
          <w:lang w:val="en-US"/>
        </w:rPr>
        <w:fldChar w:fldCharType="begin"/>
      </w:r>
      <w:r w:rsidR="00577E93">
        <w:rPr>
          <w:lang w:val="en-US"/>
        </w:rPr>
        <w:instrText xml:space="preserve"> REF _Ref507756038 \n \h </w:instrText>
      </w:r>
      <w:r w:rsidR="00577E93">
        <w:rPr>
          <w:lang w:val="en-US"/>
        </w:rPr>
      </w:r>
      <w:r w:rsidR="00577E93">
        <w:rPr>
          <w:lang w:val="en-US"/>
        </w:rPr>
        <w:fldChar w:fldCharType="separate"/>
      </w:r>
      <w:r w:rsidR="000369A1">
        <w:rPr>
          <w:lang w:val="en-US"/>
        </w:rPr>
        <w:t>8.3.3</w:t>
      </w:r>
      <w:r w:rsidR="00577E93">
        <w:rPr>
          <w:lang w:val="en-US"/>
        </w:rPr>
        <w:fldChar w:fldCharType="end"/>
      </w:r>
      <w:r w:rsidR="00577E93">
        <w:rPr>
          <w:lang w:val="en-US"/>
        </w:rPr>
        <w:t>.</w:t>
      </w:r>
    </w:p>
    <w:p w14:paraId="18809488" w14:textId="77777777" w:rsidR="006715B3" w:rsidRDefault="006715B3" w:rsidP="006715B3">
      <w:pPr>
        <w:pStyle w:val="Caption"/>
      </w:pPr>
      <w:bookmarkStart w:id="25" w:name="_Ref505174236"/>
      <w:r>
        <w:t xml:space="preserve">Table </w:t>
      </w:r>
      <w:r w:rsidR="00B47FE6">
        <w:fldChar w:fldCharType="begin"/>
      </w:r>
      <w:r w:rsidR="00B47FE6">
        <w:instrText xml:space="preserve"> SEQ Table \* ARABIC </w:instrText>
      </w:r>
      <w:r w:rsidR="00B47FE6">
        <w:fldChar w:fldCharType="separate"/>
      </w:r>
      <w:r w:rsidR="000369A1">
        <w:rPr>
          <w:noProof/>
        </w:rPr>
        <w:t>6</w:t>
      </w:r>
      <w:r w:rsidR="00B47FE6">
        <w:rPr>
          <w:noProof/>
        </w:rPr>
        <w:fldChar w:fldCharType="end"/>
      </w:r>
      <w:bookmarkEnd w:id="25"/>
      <w:r>
        <w:t>: Comparison of fee units for each fee option</w:t>
      </w:r>
    </w:p>
    <w:tbl>
      <w:tblPr>
        <w:tblW w:w="8789" w:type="dxa"/>
        <w:tblInd w:w="-34"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2552"/>
        <w:gridCol w:w="1559"/>
        <w:gridCol w:w="1418"/>
        <w:gridCol w:w="1559"/>
        <w:gridCol w:w="1701"/>
      </w:tblGrid>
      <w:tr w:rsidR="006715B3" w:rsidRPr="00556915" w14:paraId="1A4895F9" w14:textId="77777777" w:rsidTr="00C35804">
        <w:trPr>
          <w:cantSplit/>
          <w:trHeight w:val="379"/>
          <w:tblHeader/>
        </w:trPr>
        <w:tc>
          <w:tcPr>
            <w:tcW w:w="2552" w:type="dxa"/>
            <w:shd w:val="clear" w:color="auto" w:fill="A32020" w:themeFill="accent1"/>
            <w:noWrap/>
            <w:vAlign w:val="center"/>
            <w:hideMark/>
          </w:tcPr>
          <w:p w14:paraId="17CEE04D" w14:textId="77777777" w:rsidR="006715B3" w:rsidRPr="00705BA8" w:rsidRDefault="006715B3" w:rsidP="00A35429">
            <w:pPr>
              <w:rPr>
                <w:b/>
                <w:bCs/>
                <w:color w:val="FFFFFF" w:themeColor="background1"/>
                <w:sz w:val="18"/>
              </w:rPr>
            </w:pPr>
            <w:r w:rsidRPr="00705BA8">
              <w:rPr>
                <w:b/>
                <w:bCs/>
                <w:color w:val="FFFFFF" w:themeColor="background1"/>
                <w:sz w:val="18"/>
              </w:rPr>
              <w:t>Fee</w:t>
            </w:r>
          </w:p>
        </w:tc>
        <w:tc>
          <w:tcPr>
            <w:tcW w:w="1559" w:type="dxa"/>
            <w:shd w:val="clear" w:color="auto" w:fill="A32020" w:themeFill="accent1"/>
            <w:vAlign w:val="center"/>
            <w:hideMark/>
          </w:tcPr>
          <w:p w14:paraId="767FBAF8" w14:textId="332FA178" w:rsidR="006715B3" w:rsidRPr="00705BA8" w:rsidRDefault="006715B3" w:rsidP="00A35429">
            <w:pPr>
              <w:jc w:val="center"/>
              <w:rPr>
                <w:b/>
                <w:bCs/>
                <w:color w:val="FFFFFF" w:themeColor="background1"/>
                <w:sz w:val="18"/>
              </w:rPr>
            </w:pPr>
            <w:r w:rsidRPr="00705BA8">
              <w:rPr>
                <w:b/>
                <w:bCs/>
                <w:color w:val="FFFFFF" w:themeColor="background1"/>
                <w:sz w:val="18"/>
              </w:rPr>
              <w:t>Option 1 actual fee units</w:t>
            </w:r>
            <w:r w:rsidR="00B60C05">
              <w:rPr>
                <w:b/>
                <w:bCs/>
                <w:color w:val="FFFFFF" w:themeColor="background1"/>
                <w:sz w:val="18"/>
              </w:rPr>
              <w:t xml:space="preserve"> (current)</w:t>
            </w:r>
          </w:p>
        </w:tc>
        <w:tc>
          <w:tcPr>
            <w:tcW w:w="1418" w:type="dxa"/>
            <w:shd w:val="clear" w:color="auto" w:fill="A32020" w:themeFill="accent1"/>
            <w:vAlign w:val="center"/>
          </w:tcPr>
          <w:p w14:paraId="1D34A37F" w14:textId="77777777" w:rsidR="006715B3" w:rsidRPr="00705BA8" w:rsidRDefault="006715B3" w:rsidP="00A35429">
            <w:pPr>
              <w:jc w:val="center"/>
              <w:rPr>
                <w:b/>
                <w:bCs/>
                <w:color w:val="FFFFFF" w:themeColor="background1"/>
                <w:sz w:val="18"/>
              </w:rPr>
            </w:pPr>
            <w:r w:rsidRPr="00705BA8">
              <w:rPr>
                <w:b/>
                <w:bCs/>
                <w:color w:val="FFFFFF" w:themeColor="background1"/>
                <w:sz w:val="18"/>
              </w:rPr>
              <w:t>Option 2 implied fee units</w:t>
            </w:r>
          </w:p>
        </w:tc>
        <w:tc>
          <w:tcPr>
            <w:tcW w:w="1559" w:type="dxa"/>
            <w:shd w:val="clear" w:color="auto" w:fill="A32020" w:themeFill="accent1"/>
            <w:vAlign w:val="center"/>
          </w:tcPr>
          <w:p w14:paraId="07710C18" w14:textId="77777777" w:rsidR="006715B3" w:rsidRPr="00705BA8" w:rsidRDefault="006715B3" w:rsidP="00A35429">
            <w:pPr>
              <w:jc w:val="center"/>
              <w:rPr>
                <w:b/>
                <w:bCs/>
                <w:color w:val="FFFFFF" w:themeColor="background1"/>
                <w:sz w:val="18"/>
              </w:rPr>
            </w:pPr>
            <w:r w:rsidRPr="00705BA8">
              <w:rPr>
                <w:b/>
                <w:bCs/>
                <w:color w:val="FFFFFF" w:themeColor="background1"/>
                <w:sz w:val="18"/>
              </w:rPr>
              <w:t>Option 3 – implied Government fee units</w:t>
            </w:r>
          </w:p>
        </w:tc>
        <w:tc>
          <w:tcPr>
            <w:tcW w:w="1701" w:type="dxa"/>
            <w:shd w:val="clear" w:color="auto" w:fill="A32020" w:themeFill="accent1"/>
            <w:vAlign w:val="center"/>
          </w:tcPr>
          <w:p w14:paraId="16E996BD" w14:textId="77777777" w:rsidR="006715B3" w:rsidRPr="00705BA8" w:rsidRDefault="006715B3" w:rsidP="00A35429">
            <w:pPr>
              <w:jc w:val="center"/>
              <w:rPr>
                <w:b/>
                <w:bCs/>
                <w:color w:val="FFFFFF" w:themeColor="background1"/>
                <w:sz w:val="18"/>
              </w:rPr>
            </w:pPr>
            <w:r w:rsidRPr="00705BA8">
              <w:rPr>
                <w:b/>
                <w:bCs/>
                <w:color w:val="FFFFFF" w:themeColor="background1"/>
                <w:sz w:val="18"/>
              </w:rPr>
              <w:t>Option 3 – implied RAP fee units</w:t>
            </w:r>
          </w:p>
        </w:tc>
      </w:tr>
      <w:tr w:rsidR="006715B3" w:rsidRPr="00556915" w14:paraId="230A54A1" w14:textId="77777777" w:rsidTr="00A35429">
        <w:trPr>
          <w:trHeight w:val="253"/>
        </w:trPr>
        <w:tc>
          <w:tcPr>
            <w:tcW w:w="2552" w:type="dxa"/>
            <w:shd w:val="clear" w:color="auto" w:fill="7F7F7F" w:themeFill="text1" w:themeFillTint="80"/>
            <w:vAlign w:val="center"/>
            <w:hideMark/>
          </w:tcPr>
          <w:p w14:paraId="6DAE259B" w14:textId="65FC506E" w:rsidR="006715B3" w:rsidRPr="00705BA8" w:rsidRDefault="006715B3" w:rsidP="00A35429">
            <w:pPr>
              <w:rPr>
                <w:b/>
                <w:bCs/>
                <w:color w:val="FFFFFF" w:themeColor="background1"/>
                <w:sz w:val="18"/>
              </w:rPr>
            </w:pPr>
            <w:r w:rsidRPr="00705BA8">
              <w:rPr>
                <w:b/>
                <w:bCs/>
                <w:color w:val="FFFFFF" w:themeColor="background1"/>
                <w:sz w:val="18"/>
              </w:rPr>
              <w:t>CHP</w:t>
            </w:r>
            <w:r w:rsidR="00276AFD">
              <w:rPr>
                <w:b/>
                <w:bCs/>
                <w:color w:val="FFFFFF" w:themeColor="background1"/>
                <w:sz w:val="18"/>
              </w:rPr>
              <w:t xml:space="preserve"> application</w:t>
            </w:r>
          </w:p>
        </w:tc>
        <w:tc>
          <w:tcPr>
            <w:tcW w:w="1559" w:type="dxa"/>
            <w:shd w:val="clear" w:color="auto" w:fill="auto"/>
            <w:vAlign w:val="center"/>
            <w:hideMark/>
          </w:tcPr>
          <w:p w14:paraId="4CE59555" w14:textId="77777777" w:rsidR="006715B3" w:rsidRPr="00705BA8" w:rsidRDefault="006715B3" w:rsidP="00A35429">
            <w:pPr>
              <w:jc w:val="center"/>
              <w:rPr>
                <w:sz w:val="18"/>
              </w:rPr>
            </w:pPr>
          </w:p>
        </w:tc>
        <w:tc>
          <w:tcPr>
            <w:tcW w:w="1418" w:type="dxa"/>
            <w:vAlign w:val="center"/>
          </w:tcPr>
          <w:p w14:paraId="1E9EB89F" w14:textId="77777777" w:rsidR="006715B3" w:rsidRPr="00705BA8" w:rsidRDefault="006715B3" w:rsidP="00A35429">
            <w:pPr>
              <w:jc w:val="center"/>
              <w:rPr>
                <w:sz w:val="18"/>
              </w:rPr>
            </w:pPr>
          </w:p>
        </w:tc>
        <w:tc>
          <w:tcPr>
            <w:tcW w:w="1559" w:type="dxa"/>
            <w:vAlign w:val="center"/>
          </w:tcPr>
          <w:p w14:paraId="4A1D5DF7" w14:textId="77777777" w:rsidR="006715B3" w:rsidRPr="00705BA8" w:rsidRDefault="006715B3" w:rsidP="00A35429">
            <w:pPr>
              <w:jc w:val="center"/>
              <w:rPr>
                <w:sz w:val="18"/>
              </w:rPr>
            </w:pPr>
          </w:p>
        </w:tc>
        <w:tc>
          <w:tcPr>
            <w:tcW w:w="1701" w:type="dxa"/>
            <w:vAlign w:val="center"/>
          </w:tcPr>
          <w:p w14:paraId="63AA9B07" w14:textId="77777777" w:rsidR="006715B3" w:rsidRPr="00705BA8" w:rsidRDefault="006715B3" w:rsidP="00A35429">
            <w:pPr>
              <w:jc w:val="center"/>
              <w:rPr>
                <w:sz w:val="18"/>
              </w:rPr>
            </w:pPr>
          </w:p>
        </w:tc>
      </w:tr>
      <w:tr w:rsidR="003D3EF7" w:rsidRPr="00556915" w14:paraId="33E8DF3A" w14:textId="77777777" w:rsidTr="00CB368A">
        <w:trPr>
          <w:trHeight w:val="253"/>
        </w:trPr>
        <w:tc>
          <w:tcPr>
            <w:tcW w:w="2552" w:type="dxa"/>
            <w:shd w:val="clear" w:color="auto" w:fill="7F7F7F" w:themeFill="text1" w:themeFillTint="80"/>
            <w:vAlign w:val="center"/>
            <w:hideMark/>
          </w:tcPr>
          <w:p w14:paraId="5E5D6C58" w14:textId="77777777" w:rsidR="003D3EF7" w:rsidRPr="00705BA8" w:rsidRDefault="003D3EF7" w:rsidP="003D3EF7">
            <w:pPr>
              <w:rPr>
                <w:color w:val="FFFFFF" w:themeColor="background1"/>
                <w:sz w:val="18"/>
              </w:rPr>
            </w:pPr>
            <w:r w:rsidRPr="00705BA8">
              <w:rPr>
                <w:color w:val="FFFFFF" w:themeColor="background1"/>
                <w:sz w:val="18"/>
              </w:rPr>
              <w:t>Discovery and research</w:t>
            </w:r>
          </w:p>
        </w:tc>
        <w:tc>
          <w:tcPr>
            <w:tcW w:w="1559" w:type="dxa"/>
            <w:shd w:val="clear" w:color="auto" w:fill="auto"/>
            <w:vAlign w:val="center"/>
          </w:tcPr>
          <w:p w14:paraId="41124D3A" w14:textId="77777777" w:rsidR="003D3EF7" w:rsidRPr="00705BA8" w:rsidRDefault="003D3EF7" w:rsidP="003D3EF7">
            <w:pPr>
              <w:jc w:val="center"/>
              <w:rPr>
                <w:sz w:val="18"/>
              </w:rPr>
            </w:pPr>
            <w:r w:rsidRPr="00705BA8">
              <w:rPr>
                <w:sz w:val="18"/>
              </w:rPr>
              <w:t>8</w:t>
            </w:r>
          </w:p>
        </w:tc>
        <w:tc>
          <w:tcPr>
            <w:tcW w:w="1418" w:type="dxa"/>
            <w:vAlign w:val="center"/>
          </w:tcPr>
          <w:p w14:paraId="76297B11" w14:textId="1BA66FFE" w:rsidR="003D3EF7" w:rsidRPr="00705BA8" w:rsidRDefault="003D3EF7" w:rsidP="003D3EF7">
            <w:pPr>
              <w:jc w:val="center"/>
              <w:rPr>
                <w:sz w:val="18"/>
              </w:rPr>
            </w:pPr>
            <w:r w:rsidRPr="00056780">
              <w:t xml:space="preserve">8 </w:t>
            </w:r>
          </w:p>
        </w:tc>
        <w:tc>
          <w:tcPr>
            <w:tcW w:w="1559" w:type="dxa"/>
            <w:vAlign w:val="center"/>
          </w:tcPr>
          <w:p w14:paraId="30632294" w14:textId="5B23298E" w:rsidR="003D3EF7" w:rsidRPr="00705BA8" w:rsidRDefault="003D3EF7" w:rsidP="00495A21">
            <w:pPr>
              <w:jc w:val="center"/>
              <w:rPr>
                <w:sz w:val="18"/>
              </w:rPr>
            </w:pPr>
            <w:r w:rsidRPr="0027578A">
              <w:t xml:space="preserve">8 </w:t>
            </w:r>
          </w:p>
        </w:tc>
        <w:tc>
          <w:tcPr>
            <w:tcW w:w="1701" w:type="dxa"/>
            <w:vAlign w:val="center"/>
          </w:tcPr>
          <w:p w14:paraId="663254B7" w14:textId="6EFE14F5" w:rsidR="003D3EF7" w:rsidRPr="00705BA8" w:rsidRDefault="003D3EF7">
            <w:pPr>
              <w:jc w:val="center"/>
              <w:rPr>
                <w:sz w:val="18"/>
              </w:rPr>
            </w:pPr>
            <w:r w:rsidRPr="00D85C4E">
              <w:t xml:space="preserve">8 </w:t>
            </w:r>
          </w:p>
        </w:tc>
      </w:tr>
      <w:tr w:rsidR="003D3EF7" w:rsidRPr="00556915" w14:paraId="7A28D558" w14:textId="77777777" w:rsidTr="00CB368A">
        <w:trPr>
          <w:trHeight w:val="253"/>
        </w:trPr>
        <w:tc>
          <w:tcPr>
            <w:tcW w:w="2552" w:type="dxa"/>
            <w:shd w:val="clear" w:color="auto" w:fill="7F7F7F" w:themeFill="text1" w:themeFillTint="80"/>
            <w:vAlign w:val="center"/>
            <w:hideMark/>
          </w:tcPr>
          <w:p w14:paraId="07C87962" w14:textId="77777777" w:rsidR="003D3EF7" w:rsidRPr="00705BA8" w:rsidRDefault="003D3EF7" w:rsidP="003D3EF7">
            <w:pPr>
              <w:rPr>
                <w:color w:val="FFFFFF" w:themeColor="background1"/>
                <w:sz w:val="18"/>
              </w:rPr>
            </w:pPr>
            <w:r w:rsidRPr="00705BA8">
              <w:rPr>
                <w:color w:val="FFFFFF" w:themeColor="background1"/>
                <w:sz w:val="18"/>
              </w:rPr>
              <w:t>Harm Aboriginal cultural heritage</w:t>
            </w:r>
          </w:p>
        </w:tc>
        <w:tc>
          <w:tcPr>
            <w:tcW w:w="1559" w:type="dxa"/>
            <w:shd w:val="clear" w:color="auto" w:fill="auto"/>
            <w:vAlign w:val="center"/>
          </w:tcPr>
          <w:p w14:paraId="30E558C1" w14:textId="77777777" w:rsidR="003D3EF7" w:rsidRPr="00705BA8" w:rsidRDefault="003D3EF7" w:rsidP="003D3EF7">
            <w:pPr>
              <w:jc w:val="center"/>
              <w:rPr>
                <w:sz w:val="18"/>
              </w:rPr>
            </w:pPr>
            <w:r w:rsidRPr="00705BA8">
              <w:rPr>
                <w:sz w:val="18"/>
              </w:rPr>
              <w:t>46</w:t>
            </w:r>
          </w:p>
        </w:tc>
        <w:tc>
          <w:tcPr>
            <w:tcW w:w="1418" w:type="dxa"/>
            <w:vAlign w:val="center"/>
          </w:tcPr>
          <w:p w14:paraId="698AA7C5" w14:textId="2476FC2F" w:rsidR="003D3EF7" w:rsidRPr="00705BA8" w:rsidRDefault="003D3EF7" w:rsidP="003D3EF7">
            <w:pPr>
              <w:jc w:val="center"/>
              <w:rPr>
                <w:sz w:val="18"/>
              </w:rPr>
            </w:pPr>
            <w:r w:rsidRPr="00056780">
              <w:t xml:space="preserve">46 </w:t>
            </w:r>
          </w:p>
        </w:tc>
        <w:tc>
          <w:tcPr>
            <w:tcW w:w="1559" w:type="dxa"/>
            <w:vAlign w:val="center"/>
          </w:tcPr>
          <w:p w14:paraId="07533199" w14:textId="03B55040" w:rsidR="003D3EF7" w:rsidRPr="00705BA8" w:rsidRDefault="003D3EF7" w:rsidP="00495A21">
            <w:pPr>
              <w:jc w:val="center"/>
              <w:rPr>
                <w:sz w:val="18"/>
              </w:rPr>
            </w:pPr>
            <w:r w:rsidRPr="0027578A">
              <w:t xml:space="preserve">46 </w:t>
            </w:r>
          </w:p>
        </w:tc>
        <w:tc>
          <w:tcPr>
            <w:tcW w:w="1701" w:type="dxa"/>
            <w:vAlign w:val="center"/>
          </w:tcPr>
          <w:p w14:paraId="1DA265D1" w14:textId="5DD44B10" w:rsidR="003D3EF7" w:rsidRPr="00705BA8" w:rsidRDefault="003D3EF7">
            <w:pPr>
              <w:jc w:val="center"/>
              <w:rPr>
                <w:sz w:val="18"/>
              </w:rPr>
            </w:pPr>
            <w:r w:rsidRPr="00D85C4E">
              <w:t xml:space="preserve">46 </w:t>
            </w:r>
          </w:p>
        </w:tc>
      </w:tr>
      <w:tr w:rsidR="003D3EF7" w:rsidRPr="00556915" w14:paraId="1C9E5F77" w14:textId="77777777" w:rsidTr="00CB368A">
        <w:trPr>
          <w:trHeight w:val="253"/>
        </w:trPr>
        <w:tc>
          <w:tcPr>
            <w:tcW w:w="2552" w:type="dxa"/>
            <w:shd w:val="clear" w:color="auto" w:fill="7F7F7F" w:themeFill="text1" w:themeFillTint="80"/>
            <w:vAlign w:val="center"/>
            <w:hideMark/>
          </w:tcPr>
          <w:p w14:paraId="0B8D89AF" w14:textId="77777777" w:rsidR="003D3EF7" w:rsidRPr="00705BA8" w:rsidRDefault="003D3EF7" w:rsidP="003D3EF7">
            <w:pPr>
              <w:rPr>
                <w:color w:val="FFFFFF" w:themeColor="background1"/>
                <w:sz w:val="18"/>
              </w:rPr>
            </w:pPr>
            <w:r w:rsidRPr="00705BA8">
              <w:rPr>
                <w:color w:val="FFFFFF" w:themeColor="background1"/>
                <w:sz w:val="18"/>
              </w:rPr>
              <w:t>Sell or remove Aboriginal object</w:t>
            </w:r>
          </w:p>
        </w:tc>
        <w:tc>
          <w:tcPr>
            <w:tcW w:w="1559" w:type="dxa"/>
            <w:shd w:val="clear" w:color="auto" w:fill="auto"/>
            <w:vAlign w:val="center"/>
          </w:tcPr>
          <w:p w14:paraId="4FE7A3AA" w14:textId="77777777" w:rsidR="003D3EF7" w:rsidRPr="00705BA8" w:rsidRDefault="003D3EF7" w:rsidP="003D3EF7">
            <w:pPr>
              <w:jc w:val="center"/>
              <w:rPr>
                <w:sz w:val="18"/>
              </w:rPr>
            </w:pPr>
            <w:r w:rsidRPr="00705BA8">
              <w:rPr>
                <w:sz w:val="18"/>
              </w:rPr>
              <w:t>13</w:t>
            </w:r>
          </w:p>
        </w:tc>
        <w:tc>
          <w:tcPr>
            <w:tcW w:w="1418" w:type="dxa"/>
            <w:vAlign w:val="center"/>
          </w:tcPr>
          <w:p w14:paraId="047E873B" w14:textId="34509E46" w:rsidR="003D3EF7" w:rsidRPr="00705BA8" w:rsidRDefault="003D3EF7" w:rsidP="003D3EF7">
            <w:pPr>
              <w:jc w:val="center"/>
              <w:rPr>
                <w:sz w:val="18"/>
              </w:rPr>
            </w:pPr>
            <w:r w:rsidRPr="00056780">
              <w:t xml:space="preserve">13 </w:t>
            </w:r>
          </w:p>
        </w:tc>
        <w:tc>
          <w:tcPr>
            <w:tcW w:w="1559" w:type="dxa"/>
            <w:vAlign w:val="center"/>
          </w:tcPr>
          <w:p w14:paraId="05168714" w14:textId="13D4A7C4" w:rsidR="003D3EF7" w:rsidRPr="00705BA8" w:rsidRDefault="003D3EF7" w:rsidP="00495A21">
            <w:pPr>
              <w:jc w:val="center"/>
              <w:rPr>
                <w:sz w:val="18"/>
              </w:rPr>
            </w:pPr>
            <w:r w:rsidRPr="0027578A">
              <w:t xml:space="preserve">13 </w:t>
            </w:r>
          </w:p>
        </w:tc>
        <w:tc>
          <w:tcPr>
            <w:tcW w:w="1701" w:type="dxa"/>
            <w:vAlign w:val="center"/>
          </w:tcPr>
          <w:p w14:paraId="4C48B6EC" w14:textId="6034D6DA" w:rsidR="003D3EF7" w:rsidRPr="00705BA8" w:rsidRDefault="003D3EF7">
            <w:pPr>
              <w:jc w:val="center"/>
              <w:rPr>
                <w:sz w:val="18"/>
              </w:rPr>
            </w:pPr>
            <w:r w:rsidRPr="00D85C4E">
              <w:t xml:space="preserve">13 </w:t>
            </w:r>
          </w:p>
        </w:tc>
      </w:tr>
      <w:tr w:rsidR="003D3EF7" w:rsidRPr="00556915" w14:paraId="6B53E46C" w14:textId="77777777" w:rsidTr="00CB368A">
        <w:trPr>
          <w:trHeight w:val="253"/>
        </w:trPr>
        <w:tc>
          <w:tcPr>
            <w:tcW w:w="2552" w:type="dxa"/>
            <w:shd w:val="clear" w:color="auto" w:fill="7F7F7F" w:themeFill="text1" w:themeFillTint="80"/>
            <w:vAlign w:val="center"/>
            <w:hideMark/>
          </w:tcPr>
          <w:p w14:paraId="02C12902" w14:textId="77777777" w:rsidR="003D3EF7" w:rsidRPr="00705BA8" w:rsidRDefault="003D3EF7" w:rsidP="003D3EF7">
            <w:pPr>
              <w:rPr>
                <w:b/>
                <w:bCs/>
                <w:color w:val="FFFFFF" w:themeColor="background1"/>
                <w:sz w:val="18"/>
              </w:rPr>
            </w:pPr>
            <w:r w:rsidRPr="00705BA8">
              <w:rPr>
                <w:b/>
                <w:bCs/>
                <w:color w:val="FFFFFF" w:themeColor="background1"/>
                <w:sz w:val="18"/>
              </w:rPr>
              <w:t>PAHTs</w:t>
            </w:r>
          </w:p>
        </w:tc>
        <w:tc>
          <w:tcPr>
            <w:tcW w:w="1559" w:type="dxa"/>
            <w:shd w:val="clear" w:color="auto" w:fill="auto"/>
            <w:vAlign w:val="center"/>
          </w:tcPr>
          <w:p w14:paraId="474EDDDC" w14:textId="77777777" w:rsidR="003D3EF7" w:rsidRPr="00705BA8" w:rsidRDefault="003D3EF7" w:rsidP="003D3EF7">
            <w:pPr>
              <w:jc w:val="center"/>
              <w:rPr>
                <w:sz w:val="18"/>
              </w:rPr>
            </w:pPr>
          </w:p>
        </w:tc>
        <w:tc>
          <w:tcPr>
            <w:tcW w:w="1418" w:type="dxa"/>
            <w:vAlign w:val="center"/>
          </w:tcPr>
          <w:p w14:paraId="37A21A3D" w14:textId="77777777" w:rsidR="003D3EF7" w:rsidRPr="00705BA8" w:rsidRDefault="003D3EF7" w:rsidP="003D3EF7">
            <w:pPr>
              <w:jc w:val="center"/>
              <w:rPr>
                <w:sz w:val="18"/>
              </w:rPr>
            </w:pPr>
          </w:p>
        </w:tc>
        <w:tc>
          <w:tcPr>
            <w:tcW w:w="1559" w:type="dxa"/>
            <w:vAlign w:val="center"/>
          </w:tcPr>
          <w:p w14:paraId="60D5746B" w14:textId="77777777" w:rsidR="003D3EF7" w:rsidRPr="00705BA8" w:rsidRDefault="003D3EF7" w:rsidP="00495A21">
            <w:pPr>
              <w:jc w:val="center"/>
              <w:rPr>
                <w:sz w:val="18"/>
              </w:rPr>
            </w:pPr>
          </w:p>
        </w:tc>
        <w:tc>
          <w:tcPr>
            <w:tcW w:w="1701" w:type="dxa"/>
            <w:vAlign w:val="center"/>
          </w:tcPr>
          <w:p w14:paraId="77E01A0A" w14:textId="77777777" w:rsidR="003D3EF7" w:rsidRPr="00705BA8" w:rsidRDefault="003D3EF7">
            <w:pPr>
              <w:jc w:val="center"/>
              <w:rPr>
                <w:sz w:val="18"/>
              </w:rPr>
            </w:pPr>
          </w:p>
        </w:tc>
      </w:tr>
      <w:tr w:rsidR="003D3EF7" w:rsidRPr="00556915" w14:paraId="7ED001DD" w14:textId="77777777" w:rsidTr="00CB368A">
        <w:trPr>
          <w:trHeight w:val="253"/>
        </w:trPr>
        <w:tc>
          <w:tcPr>
            <w:tcW w:w="2552" w:type="dxa"/>
            <w:shd w:val="clear" w:color="auto" w:fill="7F7F7F" w:themeFill="text1" w:themeFillTint="80"/>
            <w:vAlign w:val="center"/>
            <w:hideMark/>
          </w:tcPr>
          <w:p w14:paraId="0C6EE791" w14:textId="77777777" w:rsidR="003D3EF7" w:rsidRPr="00705BA8" w:rsidRDefault="003D3EF7" w:rsidP="003D3EF7">
            <w:pPr>
              <w:rPr>
                <w:color w:val="FFFFFF" w:themeColor="background1"/>
                <w:sz w:val="18"/>
              </w:rPr>
            </w:pPr>
            <w:r w:rsidRPr="00705BA8">
              <w:rPr>
                <w:color w:val="FFFFFF" w:themeColor="background1"/>
                <w:sz w:val="18"/>
              </w:rPr>
              <w:t>Small activity</w:t>
            </w:r>
          </w:p>
        </w:tc>
        <w:tc>
          <w:tcPr>
            <w:tcW w:w="1559" w:type="dxa"/>
            <w:shd w:val="clear" w:color="auto" w:fill="auto"/>
            <w:vAlign w:val="center"/>
          </w:tcPr>
          <w:p w14:paraId="15B6618C" w14:textId="77777777" w:rsidR="003D3EF7" w:rsidRPr="00705BA8" w:rsidRDefault="003D3EF7" w:rsidP="003D3EF7">
            <w:pPr>
              <w:jc w:val="center"/>
              <w:rPr>
                <w:sz w:val="18"/>
              </w:rPr>
            </w:pPr>
            <w:r w:rsidRPr="00705BA8">
              <w:rPr>
                <w:sz w:val="18"/>
              </w:rPr>
              <w:t>40</w:t>
            </w:r>
          </w:p>
        </w:tc>
        <w:tc>
          <w:tcPr>
            <w:tcW w:w="1418" w:type="dxa"/>
            <w:vAlign w:val="center"/>
          </w:tcPr>
          <w:p w14:paraId="10C8F05C" w14:textId="6623626D" w:rsidR="003D3EF7" w:rsidRPr="00705BA8" w:rsidRDefault="003D3EF7" w:rsidP="003D3EF7">
            <w:pPr>
              <w:jc w:val="center"/>
              <w:rPr>
                <w:sz w:val="18"/>
              </w:rPr>
            </w:pPr>
            <w:r w:rsidRPr="00056780">
              <w:t xml:space="preserve">24 </w:t>
            </w:r>
          </w:p>
        </w:tc>
        <w:tc>
          <w:tcPr>
            <w:tcW w:w="1559" w:type="dxa"/>
            <w:vAlign w:val="center"/>
          </w:tcPr>
          <w:p w14:paraId="07B9AB41" w14:textId="3DF82421" w:rsidR="003D3EF7" w:rsidRPr="00705BA8" w:rsidRDefault="003D3EF7" w:rsidP="00495A21">
            <w:pPr>
              <w:jc w:val="center"/>
              <w:rPr>
                <w:sz w:val="18"/>
              </w:rPr>
            </w:pPr>
            <w:r w:rsidRPr="0027578A">
              <w:t xml:space="preserve">24 </w:t>
            </w:r>
          </w:p>
        </w:tc>
        <w:tc>
          <w:tcPr>
            <w:tcW w:w="1701" w:type="dxa"/>
            <w:vAlign w:val="center"/>
          </w:tcPr>
          <w:p w14:paraId="78EB8812" w14:textId="738ED7BB" w:rsidR="003D3EF7" w:rsidRPr="00705BA8" w:rsidRDefault="003D3EF7">
            <w:pPr>
              <w:jc w:val="center"/>
              <w:rPr>
                <w:sz w:val="18"/>
              </w:rPr>
            </w:pPr>
            <w:r w:rsidRPr="00D85C4E">
              <w:t xml:space="preserve">N/A </w:t>
            </w:r>
          </w:p>
        </w:tc>
      </w:tr>
      <w:tr w:rsidR="003D3EF7" w:rsidRPr="00556915" w14:paraId="20B6CBAB" w14:textId="77777777" w:rsidTr="00CB368A">
        <w:trPr>
          <w:trHeight w:val="253"/>
        </w:trPr>
        <w:tc>
          <w:tcPr>
            <w:tcW w:w="2552" w:type="dxa"/>
            <w:shd w:val="clear" w:color="auto" w:fill="7F7F7F" w:themeFill="text1" w:themeFillTint="80"/>
            <w:vAlign w:val="center"/>
            <w:hideMark/>
          </w:tcPr>
          <w:p w14:paraId="0CE467B6" w14:textId="77777777" w:rsidR="003D3EF7" w:rsidRPr="00705BA8" w:rsidRDefault="003D3EF7" w:rsidP="003D3EF7">
            <w:pPr>
              <w:rPr>
                <w:color w:val="FFFFFF" w:themeColor="background1"/>
                <w:sz w:val="18"/>
              </w:rPr>
            </w:pPr>
            <w:r w:rsidRPr="00705BA8">
              <w:rPr>
                <w:color w:val="FFFFFF" w:themeColor="background1"/>
                <w:sz w:val="18"/>
              </w:rPr>
              <w:t>Medium activity</w:t>
            </w:r>
          </w:p>
        </w:tc>
        <w:tc>
          <w:tcPr>
            <w:tcW w:w="1559" w:type="dxa"/>
            <w:shd w:val="clear" w:color="auto" w:fill="auto"/>
            <w:vAlign w:val="center"/>
          </w:tcPr>
          <w:p w14:paraId="316B5E4D" w14:textId="77777777" w:rsidR="003D3EF7" w:rsidRPr="00705BA8" w:rsidRDefault="003D3EF7" w:rsidP="003D3EF7">
            <w:pPr>
              <w:jc w:val="center"/>
              <w:rPr>
                <w:sz w:val="18"/>
              </w:rPr>
            </w:pPr>
            <w:r w:rsidRPr="00705BA8">
              <w:rPr>
                <w:sz w:val="18"/>
              </w:rPr>
              <w:t>80</w:t>
            </w:r>
          </w:p>
        </w:tc>
        <w:tc>
          <w:tcPr>
            <w:tcW w:w="1418" w:type="dxa"/>
            <w:vAlign w:val="center"/>
          </w:tcPr>
          <w:p w14:paraId="7F0D77C0" w14:textId="49F727A8" w:rsidR="003D3EF7" w:rsidRPr="00705BA8" w:rsidRDefault="003D3EF7" w:rsidP="003D3EF7">
            <w:pPr>
              <w:jc w:val="center"/>
              <w:rPr>
                <w:sz w:val="18"/>
              </w:rPr>
            </w:pPr>
            <w:r w:rsidRPr="00056780">
              <w:t xml:space="preserve">47 </w:t>
            </w:r>
          </w:p>
        </w:tc>
        <w:tc>
          <w:tcPr>
            <w:tcW w:w="1559" w:type="dxa"/>
            <w:vAlign w:val="center"/>
          </w:tcPr>
          <w:p w14:paraId="42B80167" w14:textId="29B92223" w:rsidR="003D3EF7" w:rsidRPr="00705BA8" w:rsidRDefault="003D3EF7" w:rsidP="00495A21">
            <w:pPr>
              <w:jc w:val="center"/>
              <w:rPr>
                <w:sz w:val="18"/>
              </w:rPr>
            </w:pPr>
            <w:r w:rsidRPr="0027578A">
              <w:t xml:space="preserve">47 </w:t>
            </w:r>
          </w:p>
        </w:tc>
        <w:tc>
          <w:tcPr>
            <w:tcW w:w="1701" w:type="dxa"/>
            <w:vAlign w:val="center"/>
          </w:tcPr>
          <w:p w14:paraId="281AA19D" w14:textId="3E5F64D8" w:rsidR="003D3EF7" w:rsidRPr="00705BA8" w:rsidRDefault="003D3EF7">
            <w:pPr>
              <w:jc w:val="center"/>
              <w:rPr>
                <w:sz w:val="18"/>
              </w:rPr>
            </w:pPr>
            <w:r w:rsidRPr="00D85C4E">
              <w:t xml:space="preserve">N/A </w:t>
            </w:r>
          </w:p>
        </w:tc>
      </w:tr>
      <w:tr w:rsidR="003D3EF7" w:rsidRPr="00556915" w14:paraId="62A24D96" w14:textId="77777777" w:rsidTr="00CB368A">
        <w:trPr>
          <w:trHeight w:val="253"/>
        </w:trPr>
        <w:tc>
          <w:tcPr>
            <w:tcW w:w="2552" w:type="dxa"/>
            <w:shd w:val="clear" w:color="auto" w:fill="7F7F7F" w:themeFill="text1" w:themeFillTint="80"/>
            <w:vAlign w:val="center"/>
            <w:hideMark/>
          </w:tcPr>
          <w:p w14:paraId="1FB02B7A" w14:textId="77777777" w:rsidR="003D3EF7" w:rsidRPr="00705BA8" w:rsidRDefault="003D3EF7" w:rsidP="003D3EF7">
            <w:pPr>
              <w:rPr>
                <w:color w:val="FFFFFF" w:themeColor="background1"/>
                <w:sz w:val="18"/>
              </w:rPr>
            </w:pPr>
            <w:r w:rsidRPr="00705BA8">
              <w:rPr>
                <w:color w:val="FFFFFF" w:themeColor="background1"/>
                <w:sz w:val="18"/>
              </w:rPr>
              <w:t>Large activity</w:t>
            </w:r>
          </w:p>
        </w:tc>
        <w:tc>
          <w:tcPr>
            <w:tcW w:w="1559" w:type="dxa"/>
            <w:shd w:val="clear" w:color="auto" w:fill="auto"/>
            <w:vAlign w:val="center"/>
          </w:tcPr>
          <w:p w14:paraId="44809E51" w14:textId="77777777" w:rsidR="003D3EF7" w:rsidRPr="00705BA8" w:rsidRDefault="003D3EF7" w:rsidP="003D3EF7">
            <w:pPr>
              <w:jc w:val="center"/>
              <w:rPr>
                <w:sz w:val="18"/>
              </w:rPr>
            </w:pPr>
            <w:r w:rsidRPr="00705BA8">
              <w:rPr>
                <w:sz w:val="18"/>
              </w:rPr>
              <w:t>120</w:t>
            </w:r>
          </w:p>
        </w:tc>
        <w:tc>
          <w:tcPr>
            <w:tcW w:w="1418" w:type="dxa"/>
            <w:vAlign w:val="center"/>
          </w:tcPr>
          <w:p w14:paraId="15466FB5" w14:textId="6CAC7AEC" w:rsidR="003D3EF7" w:rsidRPr="00705BA8" w:rsidRDefault="003D3EF7" w:rsidP="003D3EF7">
            <w:pPr>
              <w:jc w:val="center"/>
              <w:rPr>
                <w:sz w:val="18"/>
              </w:rPr>
            </w:pPr>
            <w:r w:rsidRPr="00056780">
              <w:t xml:space="preserve">71 </w:t>
            </w:r>
          </w:p>
        </w:tc>
        <w:tc>
          <w:tcPr>
            <w:tcW w:w="1559" w:type="dxa"/>
            <w:vAlign w:val="center"/>
          </w:tcPr>
          <w:p w14:paraId="4A3823E8" w14:textId="2FF4A260" w:rsidR="003D3EF7" w:rsidRPr="00705BA8" w:rsidRDefault="003D3EF7" w:rsidP="00495A21">
            <w:pPr>
              <w:jc w:val="center"/>
              <w:rPr>
                <w:sz w:val="18"/>
              </w:rPr>
            </w:pPr>
            <w:r w:rsidRPr="0027578A">
              <w:t xml:space="preserve">71 </w:t>
            </w:r>
          </w:p>
        </w:tc>
        <w:tc>
          <w:tcPr>
            <w:tcW w:w="1701" w:type="dxa"/>
            <w:vAlign w:val="center"/>
          </w:tcPr>
          <w:p w14:paraId="66C65B1D" w14:textId="57061344" w:rsidR="003D3EF7" w:rsidRPr="00705BA8" w:rsidRDefault="003D3EF7">
            <w:pPr>
              <w:jc w:val="center"/>
              <w:rPr>
                <w:sz w:val="18"/>
              </w:rPr>
            </w:pPr>
            <w:r w:rsidRPr="00D85C4E">
              <w:t xml:space="preserve">N/A </w:t>
            </w:r>
          </w:p>
        </w:tc>
      </w:tr>
      <w:tr w:rsidR="003D3EF7" w:rsidRPr="00556915" w14:paraId="662644AE" w14:textId="77777777" w:rsidTr="00CB368A">
        <w:trPr>
          <w:trHeight w:val="253"/>
        </w:trPr>
        <w:tc>
          <w:tcPr>
            <w:tcW w:w="2552" w:type="dxa"/>
            <w:shd w:val="clear" w:color="auto" w:fill="7F7F7F" w:themeFill="text1" w:themeFillTint="80"/>
            <w:vAlign w:val="center"/>
            <w:hideMark/>
          </w:tcPr>
          <w:p w14:paraId="07875C78" w14:textId="77777777" w:rsidR="003D3EF7" w:rsidRPr="00705BA8" w:rsidRDefault="003D3EF7" w:rsidP="003D3EF7">
            <w:pPr>
              <w:rPr>
                <w:b/>
                <w:bCs/>
                <w:color w:val="FFFFFF" w:themeColor="background1"/>
                <w:sz w:val="18"/>
              </w:rPr>
            </w:pPr>
            <w:r w:rsidRPr="00705BA8">
              <w:rPr>
                <w:b/>
                <w:bCs/>
                <w:color w:val="FFFFFF" w:themeColor="background1"/>
                <w:sz w:val="18"/>
              </w:rPr>
              <w:t>NOI to prepare a CHMP</w:t>
            </w:r>
          </w:p>
        </w:tc>
        <w:tc>
          <w:tcPr>
            <w:tcW w:w="1559" w:type="dxa"/>
            <w:shd w:val="clear" w:color="auto" w:fill="auto"/>
            <w:vAlign w:val="center"/>
          </w:tcPr>
          <w:p w14:paraId="6EF32D6D" w14:textId="77777777" w:rsidR="003D3EF7" w:rsidRPr="00705BA8" w:rsidRDefault="003D3EF7" w:rsidP="003D3EF7">
            <w:pPr>
              <w:jc w:val="center"/>
              <w:rPr>
                <w:sz w:val="18"/>
              </w:rPr>
            </w:pPr>
            <w:r w:rsidRPr="00705BA8">
              <w:rPr>
                <w:sz w:val="18"/>
              </w:rPr>
              <w:t>8</w:t>
            </w:r>
          </w:p>
        </w:tc>
        <w:tc>
          <w:tcPr>
            <w:tcW w:w="1418" w:type="dxa"/>
            <w:vAlign w:val="center"/>
          </w:tcPr>
          <w:p w14:paraId="02229388" w14:textId="1F1E021B" w:rsidR="003D3EF7" w:rsidRPr="00705BA8" w:rsidRDefault="003D3EF7" w:rsidP="003D3EF7">
            <w:pPr>
              <w:jc w:val="center"/>
              <w:rPr>
                <w:sz w:val="18"/>
              </w:rPr>
            </w:pPr>
            <w:r w:rsidRPr="00056780">
              <w:t xml:space="preserve">10 </w:t>
            </w:r>
          </w:p>
        </w:tc>
        <w:tc>
          <w:tcPr>
            <w:tcW w:w="1559" w:type="dxa"/>
            <w:vAlign w:val="center"/>
          </w:tcPr>
          <w:p w14:paraId="03826F4C" w14:textId="5D437696" w:rsidR="003D3EF7" w:rsidRPr="00705BA8" w:rsidRDefault="003D3EF7" w:rsidP="00495A21">
            <w:pPr>
              <w:jc w:val="center"/>
              <w:rPr>
                <w:sz w:val="18"/>
              </w:rPr>
            </w:pPr>
            <w:r w:rsidRPr="0027578A">
              <w:t xml:space="preserve">7 </w:t>
            </w:r>
          </w:p>
        </w:tc>
        <w:tc>
          <w:tcPr>
            <w:tcW w:w="1701" w:type="dxa"/>
            <w:vAlign w:val="center"/>
          </w:tcPr>
          <w:p w14:paraId="3DF47481" w14:textId="00293BDA" w:rsidR="003D3EF7" w:rsidRPr="00705BA8" w:rsidRDefault="003D3EF7">
            <w:pPr>
              <w:jc w:val="center"/>
              <w:rPr>
                <w:sz w:val="18"/>
              </w:rPr>
            </w:pPr>
            <w:r w:rsidRPr="00D85C4E">
              <w:t xml:space="preserve">13 </w:t>
            </w:r>
          </w:p>
        </w:tc>
      </w:tr>
      <w:tr w:rsidR="003D3EF7" w:rsidRPr="00556915" w14:paraId="6BDF5797" w14:textId="77777777" w:rsidTr="00CB368A">
        <w:trPr>
          <w:trHeight w:val="253"/>
        </w:trPr>
        <w:tc>
          <w:tcPr>
            <w:tcW w:w="2552" w:type="dxa"/>
            <w:shd w:val="clear" w:color="auto" w:fill="7F7F7F" w:themeFill="text1" w:themeFillTint="80"/>
            <w:vAlign w:val="center"/>
            <w:hideMark/>
          </w:tcPr>
          <w:p w14:paraId="6525B13C" w14:textId="77777777" w:rsidR="003D3EF7" w:rsidRPr="00705BA8" w:rsidRDefault="003D3EF7" w:rsidP="003D3EF7">
            <w:pPr>
              <w:rPr>
                <w:b/>
                <w:bCs/>
                <w:color w:val="FFFFFF" w:themeColor="background1"/>
                <w:sz w:val="18"/>
              </w:rPr>
            </w:pPr>
            <w:r w:rsidRPr="00705BA8">
              <w:rPr>
                <w:b/>
                <w:bCs/>
                <w:color w:val="FFFFFF" w:themeColor="background1"/>
                <w:sz w:val="18"/>
              </w:rPr>
              <w:t>CHMPs - one authority only</w:t>
            </w:r>
          </w:p>
        </w:tc>
        <w:tc>
          <w:tcPr>
            <w:tcW w:w="1559" w:type="dxa"/>
            <w:shd w:val="clear" w:color="auto" w:fill="auto"/>
            <w:vAlign w:val="center"/>
          </w:tcPr>
          <w:p w14:paraId="720D2575" w14:textId="77777777" w:rsidR="003D3EF7" w:rsidRPr="00705BA8" w:rsidRDefault="003D3EF7" w:rsidP="003D3EF7">
            <w:pPr>
              <w:jc w:val="center"/>
              <w:rPr>
                <w:sz w:val="18"/>
              </w:rPr>
            </w:pPr>
          </w:p>
        </w:tc>
        <w:tc>
          <w:tcPr>
            <w:tcW w:w="1418" w:type="dxa"/>
            <w:vAlign w:val="center"/>
          </w:tcPr>
          <w:p w14:paraId="7D62F176" w14:textId="77777777" w:rsidR="003D3EF7" w:rsidRPr="00705BA8" w:rsidRDefault="003D3EF7" w:rsidP="003D3EF7">
            <w:pPr>
              <w:jc w:val="center"/>
              <w:rPr>
                <w:sz w:val="18"/>
              </w:rPr>
            </w:pPr>
          </w:p>
        </w:tc>
        <w:tc>
          <w:tcPr>
            <w:tcW w:w="1559" w:type="dxa"/>
            <w:vAlign w:val="center"/>
          </w:tcPr>
          <w:p w14:paraId="57D634BA" w14:textId="77777777" w:rsidR="003D3EF7" w:rsidRPr="00705BA8" w:rsidRDefault="003D3EF7" w:rsidP="00495A21">
            <w:pPr>
              <w:jc w:val="center"/>
              <w:rPr>
                <w:sz w:val="18"/>
              </w:rPr>
            </w:pPr>
          </w:p>
        </w:tc>
        <w:tc>
          <w:tcPr>
            <w:tcW w:w="1701" w:type="dxa"/>
            <w:vAlign w:val="center"/>
          </w:tcPr>
          <w:p w14:paraId="4FB19CF6" w14:textId="77777777" w:rsidR="003D3EF7" w:rsidRPr="00705BA8" w:rsidRDefault="003D3EF7">
            <w:pPr>
              <w:jc w:val="center"/>
              <w:rPr>
                <w:sz w:val="18"/>
              </w:rPr>
            </w:pPr>
          </w:p>
        </w:tc>
      </w:tr>
      <w:tr w:rsidR="003D3EF7" w:rsidRPr="00556915" w14:paraId="00249822" w14:textId="77777777" w:rsidTr="00CB368A">
        <w:trPr>
          <w:trHeight w:val="253"/>
        </w:trPr>
        <w:tc>
          <w:tcPr>
            <w:tcW w:w="2552" w:type="dxa"/>
            <w:shd w:val="clear" w:color="auto" w:fill="7F7F7F" w:themeFill="text1" w:themeFillTint="80"/>
            <w:vAlign w:val="center"/>
            <w:hideMark/>
          </w:tcPr>
          <w:p w14:paraId="72302DF8" w14:textId="77777777" w:rsidR="003D3EF7" w:rsidRPr="00705BA8" w:rsidRDefault="003D3EF7" w:rsidP="003D3EF7">
            <w:pPr>
              <w:rPr>
                <w:color w:val="FFFFFF" w:themeColor="background1"/>
                <w:sz w:val="18"/>
              </w:rPr>
            </w:pPr>
            <w:r w:rsidRPr="00705BA8">
              <w:rPr>
                <w:color w:val="FFFFFF" w:themeColor="background1"/>
                <w:sz w:val="18"/>
              </w:rPr>
              <w:t>Desktop assessment - small activity</w:t>
            </w:r>
          </w:p>
        </w:tc>
        <w:tc>
          <w:tcPr>
            <w:tcW w:w="1559" w:type="dxa"/>
            <w:shd w:val="clear" w:color="auto" w:fill="auto"/>
            <w:vAlign w:val="center"/>
          </w:tcPr>
          <w:p w14:paraId="3D607582" w14:textId="77777777" w:rsidR="003D3EF7" w:rsidRPr="00705BA8" w:rsidRDefault="003D3EF7" w:rsidP="003D3EF7">
            <w:pPr>
              <w:jc w:val="center"/>
              <w:rPr>
                <w:sz w:val="18"/>
              </w:rPr>
            </w:pPr>
            <w:r w:rsidRPr="00705BA8">
              <w:rPr>
                <w:sz w:val="18"/>
              </w:rPr>
              <w:t>10</w:t>
            </w:r>
          </w:p>
        </w:tc>
        <w:tc>
          <w:tcPr>
            <w:tcW w:w="1418" w:type="dxa"/>
            <w:vAlign w:val="center"/>
          </w:tcPr>
          <w:p w14:paraId="3888E427" w14:textId="48E9C820" w:rsidR="003D3EF7" w:rsidRPr="00705BA8" w:rsidRDefault="003D3EF7" w:rsidP="003D3EF7">
            <w:pPr>
              <w:jc w:val="center"/>
              <w:rPr>
                <w:sz w:val="18"/>
              </w:rPr>
            </w:pPr>
            <w:r w:rsidRPr="00056780">
              <w:t xml:space="preserve">27 </w:t>
            </w:r>
          </w:p>
        </w:tc>
        <w:tc>
          <w:tcPr>
            <w:tcW w:w="1559" w:type="dxa"/>
            <w:vAlign w:val="center"/>
          </w:tcPr>
          <w:p w14:paraId="76A58388" w14:textId="4BAF5ABA" w:rsidR="003D3EF7" w:rsidRPr="00705BA8" w:rsidRDefault="003D3EF7" w:rsidP="00495A21">
            <w:pPr>
              <w:jc w:val="center"/>
              <w:rPr>
                <w:sz w:val="18"/>
              </w:rPr>
            </w:pPr>
            <w:r w:rsidRPr="0027578A">
              <w:t xml:space="preserve">41 </w:t>
            </w:r>
          </w:p>
        </w:tc>
        <w:tc>
          <w:tcPr>
            <w:tcW w:w="1701" w:type="dxa"/>
            <w:vAlign w:val="center"/>
          </w:tcPr>
          <w:p w14:paraId="46B3F0AB" w14:textId="21387766" w:rsidR="003D3EF7" w:rsidRPr="00705BA8" w:rsidRDefault="003D3EF7">
            <w:pPr>
              <w:jc w:val="center"/>
              <w:rPr>
                <w:sz w:val="18"/>
              </w:rPr>
            </w:pPr>
            <w:r w:rsidRPr="00D85C4E">
              <w:t xml:space="preserve">11 </w:t>
            </w:r>
          </w:p>
        </w:tc>
      </w:tr>
      <w:tr w:rsidR="003D3EF7" w:rsidRPr="00556915" w14:paraId="54FD89DC" w14:textId="77777777" w:rsidTr="00CB368A">
        <w:trPr>
          <w:trHeight w:val="253"/>
        </w:trPr>
        <w:tc>
          <w:tcPr>
            <w:tcW w:w="2552" w:type="dxa"/>
            <w:shd w:val="clear" w:color="auto" w:fill="7F7F7F" w:themeFill="text1" w:themeFillTint="80"/>
            <w:vAlign w:val="center"/>
            <w:hideMark/>
          </w:tcPr>
          <w:p w14:paraId="16ECF2D2" w14:textId="77777777" w:rsidR="003D3EF7" w:rsidRPr="00705BA8" w:rsidRDefault="003D3EF7" w:rsidP="003D3EF7">
            <w:pPr>
              <w:rPr>
                <w:color w:val="FFFFFF" w:themeColor="background1"/>
                <w:sz w:val="18"/>
              </w:rPr>
            </w:pPr>
            <w:r w:rsidRPr="00705BA8">
              <w:rPr>
                <w:color w:val="FFFFFF" w:themeColor="background1"/>
                <w:sz w:val="18"/>
              </w:rPr>
              <w:t>Desktop assessment - medium activity</w:t>
            </w:r>
          </w:p>
        </w:tc>
        <w:tc>
          <w:tcPr>
            <w:tcW w:w="1559" w:type="dxa"/>
            <w:shd w:val="clear" w:color="auto" w:fill="auto"/>
            <w:vAlign w:val="center"/>
          </w:tcPr>
          <w:p w14:paraId="1B2C2B0C" w14:textId="77777777" w:rsidR="003D3EF7" w:rsidRPr="00705BA8" w:rsidRDefault="003D3EF7" w:rsidP="003D3EF7">
            <w:pPr>
              <w:jc w:val="center"/>
              <w:rPr>
                <w:sz w:val="18"/>
              </w:rPr>
            </w:pPr>
            <w:r w:rsidRPr="00705BA8">
              <w:rPr>
                <w:sz w:val="18"/>
              </w:rPr>
              <w:t>20</w:t>
            </w:r>
          </w:p>
        </w:tc>
        <w:tc>
          <w:tcPr>
            <w:tcW w:w="1418" w:type="dxa"/>
            <w:vAlign w:val="center"/>
          </w:tcPr>
          <w:p w14:paraId="087C3B85" w14:textId="0E495821" w:rsidR="003D3EF7" w:rsidRPr="00705BA8" w:rsidRDefault="003D3EF7" w:rsidP="003D3EF7">
            <w:pPr>
              <w:jc w:val="center"/>
              <w:rPr>
                <w:sz w:val="18"/>
              </w:rPr>
            </w:pPr>
            <w:r w:rsidRPr="00056780">
              <w:t xml:space="preserve">55 </w:t>
            </w:r>
          </w:p>
        </w:tc>
        <w:tc>
          <w:tcPr>
            <w:tcW w:w="1559" w:type="dxa"/>
            <w:vAlign w:val="center"/>
          </w:tcPr>
          <w:p w14:paraId="2103FFEF" w14:textId="2EC695D3" w:rsidR="003D3EF7" w:rsidRPr="00705BA8" w:rsidRDefault="003D3EF7" w:rsidP="00495A21">
            <w:pPr>
              <w:jc w:val="center"/>
              <w:rPr>
                <w:sz w:val="18"/>
              </w:rPr>
            </w:pPr>
            <w:r w:rsidRPr="0027578A">
              <w:t xml:space="preserve">82 </w:t>
            </w:r>
          </w:p>
        </w:tc>
        <w:tc>
          <w:tcPr>
            <w:tcW w:w="1701" w:type="dxa"/>
            <w:vAlign w:val="center"/>
          </w:tcPr>
          <w:p w14:paraId="317E4A84" w14:textId="136E7D19" w:rsidR="003D3EF7" w:rsidRPr="00705BA8" w:rsidRDefault="003D3EF7">
            <w:pPr>
              <w:jc w:val="center"/>
              <w:rPr>
                <w:sz w:val="18"/>
              </w:rPr>
            </w:pPr>
            <w:r w:rsidRPr="00D85C4E">
              <w:t xml:space="preserve">23 </w:t>
            </w:r>
          </w:p>
        </w:tc>
      </w:tr>
      <w:tr w:rsidR="003D3EF7" w:rsidRPr="00556915" w14:paraId="0FF80D7A" w14:textId="77777777" w:rsidTr="00CB368A">
        <w:trPr>
          <w:trHeight w:val="253"/>
        </w:trPr>
        <w:tc>
          <w:tcPr>
            <w:tcW w:w="2552" w:type="dxa"/>
            <w:shd w:val="clear" w:color="auto" w:fill="7F7F7F" w:themeFill="text1" w:themeFillTint="80"/>
            <w:vAlign w:val="center"/>
            <w:hideMark/>
          </w:tcPr>
          <w:p w14:paraId="1D9EA9F2" w14:textId="77777777" w:rsidR="003D3EF7" w:rsidRPr="00705BA8" w:rsidRDefault="003D3EF7" w:rsidP="003D3EF7">
            <w:pPr>
              <w:rPr>
                <w:color w:val="FFFFFF" w:themeColor="background1"/>
                <w:sz w:val="18"/>
              </w:rPr>
            </w:pPr>
            <w:r w:rsidRPr="00705BA8">
              <w:rPr>
                <w:color w:val="FFFFFF" w:themeColor="background1"/>
                <w:sz w:val="18"/>
              </w:rPr>
              <w:t>Desktop assessment - large activity</w:t>
            </w:r>
          </w:p>
        </w:tc>
        <w:tc>
          <w:tcPr>
            <w:tcW w:w="1559" w:type="dxa"/>
            <w:shd w:val="clear" w:color="auto" w:fill="auto"/>
            <w:vAlign w:val="center"/>
          </w:tcPr>
          <w:p w14:paraId="6AEA6767" w14:textId="77777777" w:rsidR="003D3EF7" w:rsidRPr="00705BA8" w:rsidRDefault="003D3EF7" w:rsidP="003D3EF7">
            <w:pPr>
              <w:jc w:val="center"/>
              <w:rPr>
                <w:sz w:val="18"/>
              </w:rPr>
            </w:pPr>
            <w:r w:rsidRPr="00705BA8">
              <w:rPr>
                <w:sz w:val="18"/>
              </w:rPr>
              <w:t>40</w:t>
            </w:r>
          </w:p>
        </w:tc>
        <w:tc>
          <w:tcPr>
            <w:tcW w:w="1418" w:type="dxa"/>
            <w:vAlign w:val="center"/>
          </w:tcPr>
          <w:p w14:paraId="3D8DC6FD" w14:textId="10C1D977" w:rsidR="003D3EF7" w:rsidRPr="00705BA8" w:rsidRDefault="003D3EF7" w:rsidP="003D3EF7">
            <w:pPr>
              <w:jc w:val="center"/>
              <w:rPr>
                <w:sz w:val="18"/>
              </w:rPr>
            </w:pPr>
            <w:r w:rsidRPr="00056780">
              <w:t xml:space="preserve">110 </w:t>
            </w:r>
          </w:p>
        </w:tc>
        <w:tc>
          <w:tcPr>
            <w:tcW w:w="1559" w:type="dxa"/>
            <w:vAlign w:val="center"/>
          </w:tcPr>
          <w:p w14:paraId="0317B965" w14:textId="77C0523D" w:rsidR="003D3EF7" w:rsidRPr="00705BA8" w:rsidRDefault="003D3EF7" w:rsidP="00495A21">
            <w:pPr>
              <w:jc w:val="center"/>
              <w:rPr>
                <w:sz w:val="18"/>
              </w:rPr>
            </w:pPr>
            <w:r w:rsidRPr="0027578A">
              <w:t xml:space="preserve">164 </w:t>
            </w:r>
          </w:p>
        </w:tc>
        <w:tc>
          <w:tcPr>
            <w:tcW w:w="1701" w:type="dxa"/>
            <w:vAlign w:val="center"/>
          </w:tcPr>
          <w:p w14:paraId="4030173B" w14:textId="281FEE37" w:rsidR="003D3EF7" w:rsidRPr="00705BA8" w:rsidRDefault="003D3EF7">
            <w:pPr>
              <w:jc w:val="center"/>
              <w:rPr>
                <w:sz w:val="18"/>
              </w:rPr>
            </w:pPr>
            <w:r w:rsidRPr="00D85C4E">
              <w:t xml:space="preserve">46 </w:t>
            </w:r>
          </w:p>
        </w:tc>
      </w:tr>
      <w:tr w:rsidR="003D3EF7" w:rsidRPr="00556915" w14:paraId="5F97C3B8" w14:textId="77777777" w:rsidTr="00CB368A">
        <w:trPr>
          <w:trHeight w:val="253"/>
        </w:trPr>
        <w:tc>
          <w:tcPr>
            <w:tcW w:w="2552" w:type="dxa"/>
            <w:shd w:val="clear" w:color="auto" w:fill="7F7F7F" w:themeFill="text1" w:themeFillTint="80"/>
            <w:vAlign w:val="center"/>
            <w:hideMark/>
          </w:tcPr>
          <w:p w14:paraId="3A29C009" w14:textId="77777777" w:rsidR="003D3EF7" w:rsidRPr="00705BA8" w:rsidRDefault="003D3EF7" w:rsidP="003D3EF7">
            <w:pPr>
              <w:rPr>
                <w:color w:val="FFFFFF" w:themeColor="background1"/>
                <w:sz w:val="18"/>
              </w:rPr>
            </w:pPr>
            <w:r w:rsidRPr="00705BA8">
              <w:rPr>
                <w:color w:val="FFFFFF" w:themeColor="background1"/>
                <w:sz w:val="18"/>
              </w:rPr>
              <w:t>Standard assessment - small activity</w:t>
            </w:r>
          </w:p>
        </w:tc>
        <w:tc>
          <w:tcPr>
            <w:tcW w:w="1559" w:type="dxa"/>
            <w:shd w:val="clear" w:color="auto" w:fill="auto"/>
            <w:vAlign w:val="center"/>
          </w:tcPr>
          <w:p w14:paraId="6EB8F461" w14:textId="77777777" w:rsidR="003D3EF7" w:rsidRPr="00705BA8" w:rsidRDefault="003D3EF7" w:rsidP="003D3EF7">
            <w:pPr>
              <w:jc w:val="center"/>
              <w:rPr>
                <w:sz w:val="18"/>
              </w:rPr>
            </w:pPr>
            <w:r w:rsidRPr="00705BA8">
              <w:rPr>
                <w:sz w:val="18"/>
              </w:rPr>
              <w:t>40</w:t>
            </w:r>
          </w:p>
        </w:tc>
        <w:tc>
          <w:tcPr>
            <w:tcW w:w="1418" w:type="dxa"/>
            <w:vAlign w:val="center"/>
          </w:tcPr>
          <w:p w14:paraId="488428A5" w14:textId="6C0277CA" w:rsidR="003D3EF7" w:rsidRPr="00705BA8" w:rsidRDefault="003D3EF7" w:rsidP="003D3EF7">
            <w:pPr>
              <w:jc w:val="center"/>
              <w:rPr>
                <w:sz w:val="18"/>
              </w:rPr>
            </w:pPr>
            <w:r w:rsidRPr="00056780">
              <w:t xml:space="preserve">39 </w:t>
            </w:r>
          </w:p>
        </w:tc>
        <w:tc>
          <w:tcPr>
            <w:tcW w:w="1559" w:type="dxa"/>
            <w:vAlign w:val="center"/>
          </w:tcPr>
          <w:p w14:paraId="11182214" w14:textId="35BA68FC" w:rsidR="003D3EF7" w:rsidRPr="00705BA8" w:rsidRDefault="003D3EF7" w:rsidP="00495A21">
            <w:pPr>
              <w:jc w:val="center"/>
              <w:rPr>
                <w:sz w:val="18"/>
              </w:rPr>
            </w:pPr>
            <w:r w:rsidRPr="0027578A">
              <w:t xml:space="preserve">56 </w:t>
            </w:r>
          </w:p>
        </w:tc>
        <w:tc>
          <w:tcPr>
            <w:tcW w:w="1701" w:type="dxa"/>
            <w:vAlign w:val="center"/>
          </w:tcPr>
          <w:p w14:paraId="65E00E76" w14:textId="4B5A54E7" w:rsidR="003D3EF7" w:rsidRPr="00705BA8" w:rsidRDefault="003D3EF7">
            <w:pPr>
              <w:jc w:val="center"/>
              <w:rPr>
                <w:sz w:val="18"/>
              </w:rPr>
            </w:pPr>
            <w:r w:rsidRPr="00D85C4E">
              <w:t xml:space="preserve">20 </w:t>
            </w:r>
          </w:p>
        </w:tc>
      </w:tr>
      <w:tr w:rsidR="003D3EF7" w:rsidRPr="00556915" w14:paraId="64A86439" w14:textId="77777777" w:rsidTr="00CB368A">
        <w:trPr>
          <w:trHeight w:val="253"/>
        </w:trPr>
        <w:tc>
          <w:tcPr>
            <w:tcW w:w="2552" w:type="dxa"/>
            <w:shd w:val="clear" w:color="auto" w:fill="7F7F7F" w:themeFill="text1" w:themeFillTint="80"/>
            <w:vAlign w:val="center"/>
            <w:hideMark/>
          </w:tcPr>
          <w:p w14:paraId="5C3C578A" w14:textId="77777777" w:rsidR="003D3EF7" w:rsidRPr="00705BA8" w:rsidRDefault="003D3EF7" w:rsidP="003D3EF7">
            <w:pPr>
              <w:rPr>
                <w:color w:val="FFFFFF" w:themeColor="background1"/>
                <w:sz w:val="18"/>
              </w:rPr>
            </w:pPr>
            <w:r w:rsidRPr="00705BA8">
              <w:rPr>
                <w:color w:val="FFFFFF" w:themeColor="background1"/>
                <w:sz w:val="18"/>
              </w:rPr>
              <w:t>Standard assessment - medium activity</w:t>
            </w:r>
          </w:p>
        </w:tc>
        <w:tc>
          <w:tcPr>
            <w:tcW w:w="1559" w:type="dxa"/>
            <w:shd w:val="clear" w:color="auto" w:fill="auto"/>
            <w:vAlign w:val="center"/>
          </w:tcPr>
          <w:p w14:paraId="11F71FFA" w14:textId="77777777" w:rsidR="003D3EF7" w:rsidRPr="00705BA8" w:rsidRDefault="003D3EF7" w:rsidP="003D3EF7">
            <w:pPr>
              <w:jc w:val="center"/>
              <w:rPr>
                <w:sz w:val="18"/>
              </w:rPr>
            </w:pPr>
            <w:r w:rsidRPr="00705BA8">
              <w:rPr>
                <w:sz w:val="18"/>
              </w:rPr>
              <w:t>80</w:t>
            </w:r>
          </w:p>
        </w:tc>
        <w:tc>
          <w:tcPr>
            <w:tcW w:w="1418" w:type="dxa"/>
            <w:vAlign w:val="center"/>
          </w:tcPr>
          <w:p w14:paraId="5092814D" w14:textId="6377F516" w:rsidR="003D3EF7" w:rsidRPr="00705BA8" w:rsidRDefault="003D3EF7" w:rsidP="003D3EF7">
            <w:pPr>
              <w:jc w:val="center"/>
              <w:rPr>
                <w:sz w:val="18"/>
              </w:rPr>
            </w:pPr>
            <w:r w:rsidRPr="00056780">
              <w:t xml:space="preserve">79 </w:t>
            </w:r>
          </w:p>
        </w:tc>
        <w:tc>
          <w:tcPr>
            <w:tcW w:w="1559" w:type="dxa"/>
            <w:vAlign w:val="center"/>
          </w:tcPr>
          <w:p w14:paraId="1F774BC1" w14:textId="0C023EA9" w:rsidR="003D3EF7" w:rsidRPr="00705BA8" w:rsidRDefault="003D3EF7" w:rsidP="00495A21">
            <w:pPr>
              <w:jc w:val="center"/>
              <w:rPr>
                <w:sz w:val="18"/>
              </w:rPr>
            </w:pPr>
            <w:r w:rsidRPr="0027578A">
              <w:t xml:space="preserve">111 </w:t>
            </w:r>
          </w:p>
        </w:tc>
        <w:tc>
          <w:tcPr>
            <w:tcW w:w="1701" w:type="dxa"/>
            <w:vAlign w:val="center"/>
          </w:tcPr>
          <w:p w14:paraId="3EA1EA5A" w14:textId="4D2AA1ED" w:rsidR="003D3EF7" w:rsidRPr="00705BA8" w:rsidRDefault="003D3EF7">
            <w:pPr>
              <w:jc w:val="center"/>
              <w:rPr>
                <w:sz w:val="18"/>
              </w:rPr>
            </w:pPr>
            <w:r w:rsidRPr="00D85C4E">
              <w:t xml:space="preserve">40 </w:t>
            </w:r>
          </w:p>
        </w:tc>
      </w:tr>
      <w:tr w:rsidR="003D3EF7" w:rsidRPr="00556915" w14:paraId="740515B8" w14:textId="77777777" w:rsidTr="00CB368A">
        <w:trPr>
          <w:trHeight w:val="253"/>
        </w:trPr>
        <w:tc>
          <w:tcPr>
            <w:tcW w:w="2552" w:type="dxa"/>
            <w:shd w:val="clear" w:color="auto" w:fill="7F7F7F" w:themeFill="text1" w:themeFillTint="80"/>
            <w:vAlign w:val="center"/>
            <w:hideMark/>
          </w:tcPr>
          <w:p w14:paraId="2B19BD45" w14:textId="77777777" w:rsidR="003D3EF7" w:rsidRPr="00705BA8" w:rsidRDefault="003D3EF7" w:rsidP="003D3EF7">
            <w:pPr>
              <w:rPr>
                <w:color w:val="FFFFFF" w:themeColor="background1"/>
                <w:sz w:val="18"/>
              </w:rPr>
            </w:pPr>
            <w:r w:rsidRPr="00705BA8">
              <w:rPr>
                <w:color w:val="FFFFFF" w:themeColor="background1"/>
                <w:sz w:val="18"/>
              </w:rPr>
              <w:t>Standard assessment - large activity</w:t>
            </w:r>
          </w:p>
        </w:tc>
        <w:tc>
          <w:tcPr>
            <w:tcW w:w="1559" w:type="dxa"/>
            <w:shd w:val="clear" w:color="auto" w:fill="auto"/>
            <w:vAlign w:val="center"/>
          </w:tcPr>
          <w:p w14:paraId="157EBC63" w14:textId="77777777" w:rsidR="003D3EF7" w:rsidRPr="00705BA8" w:rsidRDefault="003D3EF7" w:rsidP="003D3EF7">
            <w:pPr>
              <w:jc w:val="center"/>
              <w:rPr>
                <w:sz w:val="18"/>
              </w:rPr>
            </w:pPr>
            <w:r w:rsidRPr="00705BA8">
              <w:rPr>
                <w:sz w:val="18"/>
              </w:rPr>
              <w:t>120</w:t>
            </w:r>
          </w:p>
        </w:tc>
        <w:tc>
          <w:tcPr>
            <w:tcW w:w="1418" w:type="dxa"/>
            <w:vAlign w:val="center"/>
          </w:tcPr>
          <w:p w14:paraId="3A0DDDE8" w14:textId="7792D457" w:rsidR="003D3EF7" w:rsidRPr="00705BA8" w:rsidRDefault="003D3EF7" w:rsidP="003D3EF7">
            <w:pPr>
              <w:jc w:val="center"/>
              <w:rPr>
                <w:sz w:val="18"/>
              </w:rPr>
            </w:pPr>
            <w:r w:rsidRPr="00056780">
              <w:t xml:space="preserve">157 </w:t>
            </w:r>
          </w:p>
        </w:tc>
        <w:tc>
          <w:tcPr>
            <w:tcW w:w="1559" w:type="dxa"/>
            <w:vAlign w:val="center"/>
          </w:tcPr>
          <w:p w14:paraId="4106F31C" w14:textId="56E9063D" w:rsidR="003D3EF7" w:rsidRPr="00705BA8" w:rsidRDefault="003D3EF7" w:rsidP="00495A21">
            <w:pPr>
              <w:jc w:val="center"/>
              <w:rPr>
                <w:sz w:val="18"/>
              </w:rPr>
            </w:pPr>
            <w:r w:rsidRPr="0027578A">
              <w:t xml:space="preserve">223 </w:t>
            </w:r>
          </w:p>
        </w:tc>
        <w:tc>
          <w:tcPr>
            <w:tcW w:w="1701" w:type="dxa"/>
            <w:vAlign w:val="center"/>
          </w:tcPr>
          <w:p w14:paraId="42A94D3E" w14:textId="44A13CEF" w:rsidR="003D3EF7" w:rsidRPr="00705BA8" w:rsidRDefault="003D3EF7">
            <w:pPr>
              <w:jc w:val="center"/>
              <w:rPr>
                <w:sz w:val="18"/>
              </w:rPr>
            </w:pPr>
            <w:r w:rsidRPr="00D85C4E">
              <w:t xml:space="preserve">81 </w:t>
            </w:r>
          </w:p>
        </w:tc>
      </w:tr>
      <w:tr w:rsidR="003D3EF7" w:rsidRPr="00556915" w14:paraId="27F24CE6" w14:textId="77777777" w:rsidTr="00CB368A">
        <w:trPr>
          <w:trHeight w:val="253"/>
        </w:trPr>
        <w:tc>
          <w:tcPr>
            <w:tcW w:w="2552" w:type="dxa"/>
            <w:shd w:val="clear" w:color="auto" w:fill="7F7F7F" w:themeFill="text1" w:themeFillTint="80"/>
            <w:vAlign w:val="center"/>
            <w:hideMark/>
          </w:tcPr>
          <w:p w14:paraId="021F17A7" w14:textId="77777777" w:rsidR="003D3EF7" w:rsidRPr="00705BA8" w:rsidRDefault="003D3EF7" w:rsidP="003D3EF7">
            <w:pPr>
              <w:rPr>
                <w:color w:val="FFFFFF" w:themeColor="background1"/>
                <w:sz w:val="18"/>
              </w:rPr>
            </w:pPr>
            <w:r w:rsidRPr="00705BA8">
              <w:rPr>
                <w:color w:val="FFFFFF" w:themeColor="background1"/>
                <w:sz w:val="18"/>
              </w:rPr>
              <w:t>Complex assessment - small activity</w:t>
            </w:r>
          </w:p>
        </w:tc>
        <w:tc>
          <w:tcPr>
            <w:tcW w:w="1559" w:type="dxa"/>
            <w:shd w:val="clear" w:color="auto" w:fill="auto"/>
            <w:vAlign w:val="center"/>
          </w:tcPr>
          <w:p w14:paraId="7DDB130B" w14:textId="77777777" w:rsidR="003D3EF7" w:rsidRPr="00705BA8" w:rsidRDefault="003D3EF7" w:rsidP="003D3EF7">
            <w:pPr>
              <w:jc w:val="center"/>
              <w:rPr>
                <w:sz w:val="18"/>
              </w:rPr>
            </w:pPr>
            <w:r w:rsidRPr="00705BA8">
              <w:rPr>
                <w:sz w:val="18"/>
              </w:rPr>
              <w:t>60</w:t>
            </w:r>
          </w:p>
        </w:tc>
        <w:tc>
          <w:tcPr>
            <w:tcW w:w="1418" w:type="dxa"/>
            <w:vAlign w:val="center"/>
          </w:tcPr>
          <w:p w14:paraId="587681BC" w14:textId="78AB7071" w:rsidR="003D3EF7" w:rsidRPr="00705BA8" w:rsidRDefault="003D3EF7" w:rsidP="003D3EF7">
            <w:pPr>
              <w:jc w:val="center"/>
              <w:rPr>
                <w:sz w:val="18"/>
              </w:rPr>
            </w:pPr>
            <w:r w:rsidRPr="00056780">
              <w:t xml:space="preserve">63 </w:t>
            </w:r>
          </w:p>
        </w:tc>
        <w:tc>
          <w:tcPr>
            <w:tcW w:w="1559" w:type="dxa"/>
            <w:vAlign w:val="center"/>
          </w:tcPr>
          <w:p w14:paraId="555BFA10" w14:textId="64059429" w:rsidR="003D3EF7" w:rsidRPr="00705BA8" w:rsidRDefault="003D3EF7" w:rsidP="00495A21">
            <w:pPr>
              <w:jc w:val="center"/>
              <w:rPr>
                <w:sz w:val="18"/>
              </w:rPr>
            </w:pPr>
            <w:r w:rsidRPr="0027578A">
              <w:t xml:space="preserve">85 </w:t>
            </w:r>
          </w:p>
        </w:tc>
        <w:tc>
          <w:tcPr>
            <w:tcW w:w="1701" w:type="dxa"/>
            <w:vAlign w:val="center"/>
          </w:tcPr>
          <w:p w14:paraId="44951FD0" w14:textId="4511E580" w:rsidR="003D3EF7" w:rsidRPr="00705BA8" w:rsidRDefault="003D3EF7">
            <w:pPr>
              <w:jc w:val="center"/>
              <w:rPr>
                <w:sz w:val="18"/>
              </w:rPr>
            </w:pPr>
            <w:r w:rsidRPr="00D85C4E">
              <w:t xml:space="preserve">36 </w:t>
            </w:r>
          </w:p>
        </w:tc>
      </w:tr>
      <w:tr w:rsidR="003D3EF7" w:rsidRPr="00556915" w14:paraId="77AFD392" w14:textId="77777777" w:rsidTr="00CB368A">
        <w:trPr>
          <w:trHeight w:val="253"/>
        </w:trPr>
        <w:tc>
          <w:tcPr>
            <w:tcW w:w="2552" w:type="dxa"/>
            <w:shd w:val="clear" w:color="auto" w:fill="7F7F7F" w:themeFill="text1" w:themeFillTint="80"/>
            <w:vAlign w:val="center"/>
            <w:hideMark/>
          </w:tcPr>
          <w:p w14:paraId="157CE155" w14:textId="77777777" w:rsidR="003D3EF7" w:rsidRPr="00705BA8" w:rsidRDefault="003D3EF7" w:rsidP="003D3EF7">
            <w:pPr>
              <w:rPr>
                <w:color w:val="FFFFFF" w:themeColor="background1"/>
                <w:sz w:val="18"/>
              </w:rPr>
            </w:pPr>
            <w:r w:rsidRPr="00705BA8">
              <w:rPr>
                <w:color w:val="FFFFFF" w:themeColor="background1"/>
                <w:sz w:val="18"/>
              </w:rPr>
              <w:t>Complex assessment - medium activity</w:t>
            </w:r>
          </w:p>
        </w:tc>
        <w:tc>
          <w:tcPr>
            <w:tcW w:w="1559" w:type="dxa"/>
            <w:shd w:val="clear" w:color="auto" w:fill="auto"/>
            <w:vAlign w:val="center"/>
          </w:tcPr>
          <w:p w14:paraId="72DD422F" w14:textId="77777777" w:rsidR="003D3EF7" w:rsidRPr="00705BA8" w:rsidRDefault="003D3EF7" w:rsidP="003D3EF7">
            <w:pPr>
              <w:jc w:val="center"/>
              <w:rPr>
                <w:sz w:val="18"/>
              </w:rPr>
            </w:pPr>
            <w:r w:rsidRPr="00705BA8">
              <w:rPr>
                <w:sz w:val="18"/>
              </w:rPr>
              <w:t>120</w:t>
            </w:r>
          </w:p>
        </w:tc>
        <w:tc>
          <w:tcPr>
            <w:tcW w:w="1418" w:type="dxa"/>
            <w:vAlign w:val="center"/>
          </w:tcPr>
          <w:p w14:paraId="2D40E9C8" w14:textId="5A9E3BF6" w:rsidR="003D3EF7" w:rsidRPr="00705BA8" w:rsidRDefault="003D3EF7" w:rsidP="003D3EF7">
            <w:pPr>
              <w:jc w:val="center"/>
              <w:rPr>
                <w:sz w:val="18"/>
              </w:rPr>
            </w:pPr>
            <w:r w:rsidRPr="00056780">
              <w:t xml:space="preserve">125 </w:t>
            </w:r>
          </w:p>
        </w:tc>
        <w:tc>
          <w:tcPr>
            <w:tcW w:w="1559" w:type="dxa"/>
            <w:vAlign w:val="center"/>
          </w:tcPr>
          <w:p w14:paraId="2E5555EE" w14:textId="036F2BC1" w:rsidR="003D3EF7" w:rsidRPr="00705BA8" w:rsidRDefault="003D3EF7" w:rsidP="00495A21">
            <w:pPr>
              <w:jc w:val="center"/>
              <w:rPr>
                <w:sz w:val="18"/>
              </w:rPr>
            </w:pPr>
            <w:r w:rsidRPr="0027578A">
              <w:t xml:space="preserve">171 </w:t>
            </w:r>
          </w:p>
        </w:tc>
        <w:tc>
          <w:tcPr>
            <w:tcW w:w="1701" w:type="dxa"/>
            <w:vAlign w:val="center"/>
          </w:tcPr>
          <w:p w14:paraId="1ACE4EC0" w14:textId="5AEE475B" w:rsidR="003D3EF7" w:rsidRPr="00705BA8" w:rsidRDefault="003D3EF7">
            <w:pPr>
              <w:jc w:val="center"/>
              <w:rPr>
                <w:sz w:val="18"/>
              </w:rPr>
            </w:pPr>
            <w:r w:rsidRPr="00D85C4E">
              <w:t xml:space="preserve">72 </w:t>
            </w:r>
          </w:p>
        </w:tc>
      </w:tr>
      <w:tr w:rsidR="003D3EF7" w:rsidRPr="00556915" w14:paraId="7832EDDD" w14:textId="77777777" w:rsidTr="00CB368A">
        <w:trPr>
          <w:trHeight w:val="253"/>
        </w:trPr>
        <w:tc>
          <w:tcPr>
            <w:tcW w:w="2552" w:type="dxa"/>
            <w:shd w:val="clear" w:color="auto" w:fill="7F7F7F" w:themeFill="text1" w:themeFillTint="80"/>
            <w:vAlign w:val="center"/>
            <w:hideMark/>
          </w:tcPr>
          <w:p w14:paraId="2F546E3E" w14:textId="77777777" w:rsidR="003D3EF7" w:rsidRPr="00705BA8" w:rsidRDefault="003D3EF7" w:rsidP="003D3EF7">
            <w:pPr>
              <w:rPr>
                <w:color w:val="FFFFFF" w:themeColor="background1"/>
                <w:sz w:val="18"/>
              </w:rPr>
            </w:pPr>
            <w:r w:rsidRPr="00705BA8">
              <w:rPr>
                <w:color w:val="FFFFFF" w:themeColor="background1"/>
                <w:sz w:val="18"/>
              </w:rPr>
              <w:t>Complex assessment - large activity</w:t>
            </w:r>
          </w:p>
        </w:tc>
        <w:tc>
          <w:tcPr>
            <w:tcW w:w="1559" w:type="dxa"/>
            <w:shd w:val="clear" w:color="auto" w:fill="auto"/>
            <w:vAlign w:val="center"/>
          </w:tcPr>
          <w:p w14:paraId="55161112" w14:textId="77777777" w:rsidR="003D3EF7" w:rsidRPr="00705BA8" w:rsidRDefault="003D3EF7" w:rsidP="003D3EF7">
            <w:pPr>
              <w:jc w:val="center"/>
              <w:rPr>
                <w:sz w:val="18"/>
              </w:rPr>
            </w:pPr>
            <w:r w:rsidRPr="00705BA8">
              <w:rPr>
                <w:sz w:val="18"/>
              </w:rPr>
              <w:t>240</w:t>
            </w:r>
          </w:p>
        </w:tc>
        <w:tc>
          <w:tcPr>
            <w:tcW w:w="1418" w:type="dxa"/>
            <w:vAlign w:val="center"/>
          </w:tcPr>
          <w:p w14:paraId="4A99C37E" w14:textId="02344966" w:rsidR="003D3EF7" w:rsidRPr="00705BA8" w:rsidRDefault="003D3EF7" w:rsidP="003D3EF7">
            <w:pPr>
              <w:jc w:val="center"/>
              <w:rPr>
                <w:sz w:val="18"/>
              </w:rPr>
            </w:pPr>
            <w:r w:rsidRPr="00056780">
              <w:t xml:space="preserve">251 </w:t>
            </w:r>
          </w:p>
        </w:tc>
        <w:tc>
          <w:tcPr>
            <w:tcW w:w="1559" w:type="dxa"/>
            <w:vAlign w:val="center"/>
          </w:tcPr>
          <w:p w14:paraId="07ED9E74" w14:textId="2AF091A4" w:rsidR="003D3EF7" w:rsidRPr="00705BA8" w:rsidRDefault="003D3EF7" w:rsidP="00495A21">
            <w:pPr>
              <w:jc w:val="center"/>
              <w:rPr>
                <w:sz w:val="18"/>
              </w:rPr>
            </w:pPr>
            <w:r w:rsidRPr="0027578A">
              <w:t xml:space="preserve">342 </w:t>
            </w:r>
          </w:p>
        </w:tc>
        <w:tc>
          <w:tcPr>
            <w:tcW w:w="1701" w:type="dxa"/>
            <w:vAlign w:val="center"/>
          </w:tcPr>
          <w:p w14:paraId="41E48E46" w14:textId="6A101446" w:rsidR="003D3EF7" w:rsidRPr="00705BA8" w:rsidRDefault="003D3EF7">
            <w:pPr>
              <w:jc w:val="center"/>
              <w:rPr>
                <w:sz w:val="18"/>
              </w:rPr>
            </w:pPr>
            <w:r w:rsidRPr="00D85C4E">
              <w:t xml:space="preserve">144 </w:t>
            </w:r>
          </w:p>
        </w:tc>
      </w:tr>
      <w:tr w:rsidR="003D3EF7" w:rsidRPr="00556915" w14:paraId="7054F3F4" w14:textId="77777777" w:rsidTr="00CB368A">
        <w:trPr>
          <w:trHeight w:val="253"/>
        </w:trPr>
        <w:tc>
          <w:tcPr>
            <w:tcW w:w="2552" w:type="dxa"/>
            <w:shd w:val="clear" w:color="auto" w:fill="7F7F7F" w:themeFill="text1" w:themeFillTint="80"/>
            <w:vAlign w:val="center"/>
            <w:hideMark/>
          </w:tcPr>
          <w:p w14:paraId="54DC40B4" w14:textId="77777777" w:rsidR="003D3EF7" w:rsidRPr="00705BA8" w:rsidRDefault="003D3EF7" w:rsidP="003D3EF7">
            <w:pPr>
              <w:rPr>
                <w:b/>
                <w:bCs/>
                <w:color w:val="FFFFFF" w:themeColor="background1"/>
                <w:sz w:val="18"/>
              </w:rPr>
            </w:pPr>
            <w:r w:rsidRPr="00705BA8">
              <w:rPr>
                <w:b/>
                <w:bCs/>
                <w:color w:val="FFFFFF" w:themeColor="background1"/>
                <w:sz w:val="18"/>
              </w:rPr>
              <w:t>CHMPs - two authorities</w:t>
            </w:r>
          </w:p>
        </w:tc>
        <w:tc>
          <w:tcPr>
            <w:tcW w:w="1559" w:type="dxa"/>
            <w:shd w:val="clear" w:color="auto" w:fill="auto"/>
            <w:vAlign w:val="center"/>
          </w:tcPr>
          <w:p w14:paraId="20AB1854" w14:textId="77777777" w:rsidR="003D3EF7" w:rsidRPr="00705BA8" w:rsidRDefault="003D3EF7" w:rsidP="003D3EF7">
            <w:pPr>
              <w:jc w:val="center"/>
              <w:rPr>
                <w:sz w:val="18"/>
              </w:rPr>
            </w:pPr>
          </w:p>
        </w:tc>
        <w:tc>
          <w:tcPr>
            <w:tcW w:w="1418" w:type="dxa"/>
            <w:vAlign w:val="center"/>
          </w:tcPr>
          <w:p w14:paraId="5ED1074F" w14:textId="77777777" w:rsidR="003D3EF7" w:rsidRPr="00705BA8" w:rsidRDefault="003D3EF7" w:rsidP="003D3EF7">
            <w:pPr>
              <w:jc w:val="center"/>
              <w:rPr>
                <w:sz w:val="18"/>
              </w:rPr>
            </w:pPr>
          </w:p>
        </w:tc>
        <w:tc>
          <w:tcPr>
            <w:tcW w:w="1559" w:type="dxa"/>
            <w:vAlign w:val="center"/>
          </w:tcPr>
          <w:p w14:paraId="141255C4" w14:textId="77777777" w:rsidR="003D3EF7" w:rsidRPr="00705BA8" w:rsidRDefault="003D3EF7" w:rsidP="00495A21">
            <w:pPr>
              <w:jc w:val="center"/>
              <w:rPr>
                <w:sz w:val="18"/>
              </w:rPr>
            </w:pPr>
          </w:p>
        </w:tc>
        <w:tc>
          <w:tcPr>
            <w:tcW w:w="1701" w:type="dxa"/>
            <w:vAlign w:val="center"/>
          </w:tcPr>
          <w:p w14:paraId="1E71018B" w14:textId="77777777" w:rsidR="003D3EF7" w:rsidRPr="00705BA8" w:rsidRDefault="003D3EF7">
            <w:pPr>
              <w:jc w:val="center"/>
              <w:rPr>
                <w:sz w:val="18"/>
              </w:rPr>
            </w:pPr>
          </w:p>
        </w:tc>
      </w:tr>
      <w:tr w:rsidR="003D3EF7" w:rsidRPr="00556915" w14:paraId="34FC8231" w14:textId="77777777" w:rsidTr="00CB368A">
        <w:trPr>
          <w:trHeight w:val="253"/>
        </w:trPr>
        <w:tc>
          <w:tcPr>
            <w:tcW w:w="2552" w:type="dxa"/>
            <w:shd w:val="clear" w:color="auto" w:fill="7F7F7F" w:themeFill="text1" w:themeFillTint="80"/>
            <w:vAlign w:val="center"/>
            <w:hideMark/>
          </w:tcPr>
          <w:p w14:paraId="061FDC44" w14:textId="77777777" w:rsidR="003D3EF7" w:rsidRPr="00705BA8" w:rsidRDefault="003D3EF7" w:rsidP="003D3EF7">
            <w:pPr>
              <w:rPr>
                <w:color w:val="FFFFFF" w:themeColor="background1"/>
                <w:sz w:val="18"/>
              </w:rPr>
            </w:pPr>
            <w:r w:rsidRPr="00705BA8">
              <w:rPr>
                <w:color w:val="FFFFFF" w:themeColor="background1"/>
                <w:sz w:val="18"/>
              </w:rPr>
              <w:t>Desktop assessment - small activity</w:t>
            </w:r>
          </w:p>
        </w:tc>
        <w:tc>
          <w:tcPr>
            <w:tcW w:w="1559" w:type="dxa"/>
            <w:shd w:val="clear" w:color="auto" w:fill="auto"/>
            <w:vAlign w:val="center"/>
          </w:tcPr>
          <w:p w14:paraId="0F51E3AA" w14:textId="77777777" w:rsidR="003D3EF7" w:rsidRPr="00705BA8" w:rsidRDefault="003D3EF7" w:rsidP="003D3EF7">
            <w:pPr>
              <w:jc w:val="center"/>
              <w:rPr>
                <w:sz w:val="18"/>
              </w:rPr>
            </w:pPr>
            <w:r w:rsidRPr="00705BA8">
              <w:rPr>
                <w:sz w:val="18"/>
              </w:rPr>
              <w:t>8</w:t>
            </w:r>
          </w:p>
        </w:tc>
        <w:tc>
          <w:tcPr>
            <w:tcW w:w="1418" w:type="dxa"/>
            <w:vAlign w:val="center"/>
          </w:tcPr>
          <w:p w14:paraId="5397A4C2" w14:textId="05E6AE28" w:rsidR="003D3EF7" w:rsidRPr="00705BA8" w:rsidRDefault="003D3EF7" w:rsidP="003D3EF7">
            <w:pPr>
              <w:jc w:val="center"/>
              <w:rPr>
                <w:sz w:val="18"/>
              </w:rPr>
            </w:pPr>
            <w:r w:rsidRPr="00056780">
              <w:t xml:space="preserve">22 </w:t>
            </w:r>
          </w:p>
        </w:tc>
        <w:tc>
          <w:tcPr>
            <w:tcW w:w="1559" w:type="dxa"/>
            <w:vAlign w:val="center"/>
          </w:tcPr>
          <w:p w14:paraId="7B98828F" w14:textId="7DB3D725" w:rsidR="003D3EF7" w:rsidRPr="00705BA8" w:rsidRDefault="003D3EF7" w:rsidP="00495A21">
            <w:pPr>
              <w:jc w:val="center"/>
              <w:rPr>
                <w:sz w:val="18"/>
              </w:rPr>
            </w:pPr>
            <w:r w:rsidRPr="0027578A">
              <w:t xml:space="preserve">33 </w:t>
            </w:r>
          </w:p>
        </w:tc>
        <w:tc>
          <w:tcPr>
            <w:tcW w:w="1701" w:type="dxa"/>
            <w:vAlign w:val="center"/>
          </w:tcPr>
          <w:p w14:paraId="24D5B138" w14:textId="7751A37E" w:rsidR="003D3EF7" w:rsidRPr="00705BA8" w:rsidRDefault="003D3EF7">
            <w:pPr>
              <w:jc w:val="center"/>
              <w:rPr>
                <w:sz w:val="18"/>
              </w:rPr>
            </w:pPr>
            <w:r w:rsidRPr="00D85C4E">
              <w:t xml:space="preserve">9 </w:t>
            </w:r>
          </w:p>
        </w:tc>
      </w:tr>
      <w:tr w:rsidR="003D3EF7" w:rsidRPr="00556915" w14:paraId="1B43BD4E" w14:textId="77777777" w:rsidTr="00CB368A">
        <w:trPr>
          <w:trHeight w:val="253"/>
        </w:trPr>
        <w:tc>
          <w:tcPr>
            <w:tcW w:w="2552" w:type="dxa"/>
            <w:shd w:val="clear" w:color="auto" w:fill="7F7F7F" w:themeFill="text1" w:themeFillTint="80"/>
            <w:vAlign w:val="center"/>
            <w:hideMark/>
          </w:tcPr>
          <w:p w14:paraId="561B6B44" w14:textId="77777777" w:rsidR="003D3EF7" w:rsidRPr="00705BA8" w:rsidRDefault="003D3EF7" w:rsidP="003D3EF7">
            <w:pPr>
              <w:rPr>
                <w:color w:val="FFFFFF" w:themeColor="background1"/>
                <w:sz w:val="18"/>
              </w:rPr>
            </w:pPr>
            <w:r w:rsidRPr="00705BA8">
              <w:rPr>
                <w:color w:val="FFFFFF" w:themeColor="background1"/>
                <w:sz w:val="18"/>
              </w:rPr>
              <w:t>Desktop assessment - medium activity</w:t>
            </w:r>
          </w:p>
        </w:tc>
        <w:tc>
          <w:tcPr>
            <w:tcW w:w="1559" w:type="dxa"/>
            <w:shd w:val="clear" w:color="auto" w:fill="auto"/>
            <w:vAlign w:val="center"/>
          </w:tcPr>
          <w:p w14:paraId="74EEE4E5" w14:textId="77777777" w:rsidR="003D3EF7" w:rsidRPr="00705BA8" w:rsidRDefault="003D3EF7" w:rsidP="003D3EF7">
            <w:pPr>
              <w:jc w:val="center"/>
              <w:rPr>
                <w:sz w:val="18"/>
              </w:rPr>
            </w:pPr>
            <w:r w:rsidRPr="00705BA8">
              <w:rPr>
                <w:sz w:val="18"/>
              </w:rPr>
              <w:t>15</w:t>
            </w:r>
          </w:p>
        </w:tc>
        <w:tc>
          <w:tcPr>
            <w:tcW w:w="1418" w:type="dxa"/>
            <w:vAlign w:val="center"/>
          </w:tcPr>
          <w:p w14:paraId="0BD01331" w14:textId="11FA1F1F" w:rsidR="003D3EF7" w:rsidRPr="00705BA8" w:rsidRDefault="003D3EF7" w:rsidP="003D3EF7">
            <w:pPr>
              <w:jc w:val="center"/>
              <w:rPr>
                <w:sz w:val="18"/>
              </w:rPr>
            </w:pPr>
            <w:r w:rsidRPr="00056780">
              <w:t xml:space="preserve">41 </w:t>
            </w:r>
          </w:p>
        </w:tc>
        <w:tc>
          <w:tcPr>
            <w:tcW w:w="1559" w:type="dxa"/>
            <w:vAlign w:val="center"/>
          </w:tcPr>
          <w:p w14:paraId="487CE4CA" w14:textId="4388B5F6" w:rsidR="003D3EF7" w:rsidRPr="00705BA8" w:rsidRDefault="003D3EF7" w:rsidP="00495A21">
            <w:pPr>
              <w:jc w:val="center"/>
              <w:rPr>
                <w:sz w:val="18"/>
              </w:rPr>
            </w:pPr>
            <w:r w:rsidRPr="0027578A">
              <w:t xml:space="preserve">62 </w:t>
            </w:r>
          </w:p>
        </w:tc>
        <w:tc>
          <w:tcPr>
            <w:tcW w:w="1701" w:type="dxa"/>
            <w:vAlign w:val="center"/>
          </w:tcPr>
          <w:p w14:paraId="7A61F6BD" w14:textId="6EB98611" w:rsidR="003D3EF7" w:rsidRPr="00705BA8" w:rsidRDefault="003D3EF7">
            <w:pPr>
              <w:jc w:val="center"/>
              <w:rPr>
                <w:sz w:val="18"/>
              </w:rPr>
            </w:pPr>
            <w:r w:rsidRPr="00D85C4E">
              <w:t xml:space="preserve">17 </w:t>
            </w:r>
          </w:p>
        </w:tc>
      </w:tr>
      <w:tr w:rsidR="003D3EF7" w:rsidRPr="00556915" w14:paraId="5A180422" w14:textId="77777777" w:rsidTr="00CB368A">
        <w:trPr>
          <w:trHeight w:val="253"/>
        </w:trPr>
        <w:tc>
          <w:tcPr>
            <w:tcW w:w="2552" w:type="dxa"/>
            <w:shd w:val="clear" w:color="auto" w:fill="7F7F7F" w:themeFill="text1" w:themeFillTint="80"/>
            <w:vAlign w:val="center"/>
            <w:hideMark/>
          </w:tcPr>
          <w:p w14:paraId="10C20A91" w14:textId="77777777" w:rsidR="003D3EF7" w:rsidRPr="00705BA8" w:rsidRDefault="003D3EF7" w:rsidP="003D3EF7">
            <w:pPr>
              <w:rPr>
                <w:color w:val="FFFFFF" w:themeColor="background1"/>
                <w:sz w:val="18"/>
              </w:rPr>
            </w:pPr>
            <w:r w:rsidRPr="00705BA8">
              <w:rPr>
                <w:color w:val="FFFFFF" w:themeColor="background1"/>
                <w:sz w:val="18"/>
              </w:rPr>
              <w:t>Desktop assessment - large activity</w:t>
            </w:r>
          </w:p>
        </w:tc>
        <w:tc>
          <w:tcPr>
            <w:tcW w:w="1559" w:type="dxa"/>
            <w:shd w:val="clear" w:color="auto" w:fill="auto"/>
            <w:vAlign w:val="center"/>
          </w:tcPr>
          <w:p w14:paraId="7F1C1D1C" w14:textId="77777777" w:rsidR="003D3EF7" w:rsidRPr="00705BA8" w:rsidRDefault="003D3EF7" w:rsidP="003D3EF7">
            <w:pPr>
              <w:jc w:val="center"/>
              <w:rPr>
                <w:sz w:val="18"/>
              </w:rPr>
            </w:pPr>
            <w:r w:rsidRPr="00705BA8">
              <w:rPr>
                <w:sz w:val="18"/>
              </w:rPr>
              <w:t>30</w:t>
            </w:r>
          </w:p>
        </w:tc>
        <w:tc>
          <w:tcPr>
            <w:tcW w:w="1418" w:type="dxa"/>
            <w:vAlign w:val="center"/>
          </w:tcPr>
          <w:p w14:paraId="7495C377" w14:textId="118FD3F8" w:rsidR="003D3EF7" w:rsidRPr="00705BA8" w:rsidRDefault="003D3EF7" w:rsidP="003D3EF7">
            <w:pPr>
              <w:jc w:val="center"/>
              <w:rPr>
                <w:sz w:val="18"/>
              </w:rPr>
            </w:pPr>
            <w:r w:rsidRPr="00056780">
              <w:t xml:space="preserve">82 </w:t>
            </w:r>
          </w:p>
        </w:tc>
        <w:tc>
          <w:tcPr>
            <w:tcW w:w="1559" w:type="dxa"/>
            <w:vAlign w:val="center"/>
          </w:tcPr>
          <w:p w14:paraId="307895A8" w14:textId="55C3895D" w:rsidR="003D3EF7" w:rsidRPr="00705BA8" w:rsidRDefault="003D3EF7" w:rsidP="00495A21">
            <w:pPr>
              <w:jc w:val="center"/>
              <w:rPr>
                <w:sz w:val="18"/>
              </w:rPr>
            </w:pPr>
            <w:r w:rsidRPr="0027578A">
              <w:t xml:space="preserve">123 </w:t>
            </w:r>
          </w:p>
        </w:tc>
        <w:tc>
          <w:tcPr>
            <w:tcW w:w="1701" w:type="dxa"/>
            <w:vAlign w:val="center"/>
          </w:tcPr>
          <w:p w14:paraId="1D121763" w14:textId="49799E6F" w:rsidR="003D3EF7" w:rsidRPr="00705BA8" w:rsidRDefault="003D3EF7">
            <w:pPr>
              <w:jc w:val="center"/>
              <w:rPr>
                <w:sz w:val="18"/>
              </w:rPr>
            </w:pPr>
            <w:r w:rsidRPr="00D85C4E">
              <w:t xml:space="preserve">34 </w:t>
            </w:r>
          </w:p>
        </w:tc>
      </w:tr>
      <w:tr w:rsidR="003D3EF7" w:rsidRPr="00556915" w14:paraId="7BC2A89D" w14:textId="77777777" w:rsidTr="00CB368A">
        <w:trPr>
          <w:trHeight w:val="253"/>
        </w:trPr>
        <w:tc>
          <w:tcPr>
            <w:tcW w:w="2552" w:type="dxa"/>
            <w:shd w:val="clear" w:color="auto" w:fill="7F7F7F" w:themeFill="text1" w:themeFillTint="80"/>
            <w:vAlign w:val="center"/>
            <w:hideMark/>
          </w:tcPr>
          <w:p w14:paraId="66637E04" w14:textId="77777777" w:rsidR="003D3EF7" w:rsidRPr="00705BA8" w:rsidRDefault="003D3EF7" w:rsidP="003D3EF7">
            <w:pPr>
              <w:rPr>
                <w:color w:val="FFFFFF" w:themeColor="background1"/>
                <w:sz w:val="18"/>
              </w:rPr>
            </w:pPr>
            <w:r w:rsidRPr="00705BA8">
              <w:rPr>
                <w:color w:val="FFFFFF" w:themeColor="background1"/>
                <w:sz w:val="18"/>
              </w:rPr>
              <w:t>Standard assessment - small activity</w:t>
            </w:r>
          </w:p>
        </w:tc>
        <w:tc>
          <w:tcPr>
            <w:tcW w:w="1559" w:type="dxa"/>
            <w:shd w:val="clear" w:color="auto" w:fill="auto"/>
            <w:vAlign w:val="center"/>
          </w:tcPr>
          <w:p w14:paraId="11E64E5A" w14:textId="77777777" w:rsidR="003D3EF7" w:rsidRPr="00705BA8" w:rsidRDefault="003D3EF7" w:rsidP="003D3EF7">
            <w:pPr>
              <w:jc w:val="center"/>
              <w:rPr>
                <w:sz w:val="18"/>
              </w:rPr>
            </w:pPr>
            <w:r w:rsidRPr="00705BA8">
              <w:rPr>
                <w:sz w:val="18"/>
              </w:rPr>
              <w:t>30</w:t>
            </w:r>
          </w:p>
        </w:tc>
        <w:tc>
          <w:tcPr>
            <w:tcW w:w="1418" w:type="dxa"/>
            <w:vAlign w:val="center"/>
          </w:tcPr>
          <w:p w14:paraId="4B587F94" w14:textId="59BFE682" w:rsidR="003D3EF7" w:rsidRPr="00705BA8" w:rsidRDefault="003D3EF7" w:rsidP="003D3EF7">
            <w:pPr>
              <w:jc w:val="center"/>
              <w:rPr>
                <w:sz w:val="18"/>
              </w:rPr>
            </w:pPr>
            <w:r w:rsidRPr="00056780">
              <w:t xml:space="preserve">30 </w:t>
            </w:r>
          </w:p>
        </w:tc>
        <w:tc>
          <w:tcPr>
            <w:tcW w:w="1559" w:type="dxa"/>
            <w:vAlign w:val="center"/>
          </w:tcPr>
          <w:p w14:paraId="1D23230A" w14:textId="31FAEF6E" w:rsidR="003D3EF7" w:rsidRPr="00705BA8" w:rsidRDefault="003D3EF7" w:rsidP="00495A21">
            <w:pPr>
              <w:jc w:val="center"/>
              <w:rPr>
                <w:sz w:val="18"/>
              </w:rPr>
            </w:pPr>
            <w:r w:rsidRPr="0027578A">
              <w:t xml:space="preserve">42 </w:t>
            </w:r>
          </w:p>
        </w:tc>
        <w:tc>
          <w:tcPr>
            <w:tcW w:w="1701" w:type="dxa"/>
            <w:vAlign w:val="center"/>
          </w:tcPr>
          <w:p w14:paraId="6803FB0A" w14:textId="02C01F83" w:rsidR="003D3EF7" w:rsidRPr="00705BA8" w:rsidRDefault="003D3EF7">
            <w:pPr>
              <w:jc w:val="center"/>
              <w:rPr>
                <w:sz w:val="18"/>
              </w:rPr>
            </w:pPr>
            <w:r w:rsidRPr="00D85C4E">
              <w:t xml:space="preserve">15 </w:t>
            </w:r>
          </w:p>
        </w:tc>
      </w:tr>
      <w:tr w:rsidR="003D3EF7" w:rsidRPr="00556915" w14:paraId="6F44D5E5" w14:textId="77777777" w:rsidTr="00CB368A">
        <w:trPr>
          <w:trHeight w:val="253"/>
        </w:trPr>
        <w:tc>
          <w:tcPr>
            <w:tcW w:w="2552" w:type="dxa"/>
            <w:shd w:val="clear" w:color="auto" w:fill="7F7F7F" w:themeFill="text1" w:themeFillTint="80"/>
            <w:vAlign w:val="center"/>
            <w:hideMark/>
          </w:tcPr>
          <w:p w14:paraId="75CB8425" w14:textId="77777777" w:rsidR="003D3EF7" w:rsidRPr="00705BA8" w:rsidRDefault="003D3EF7" w:rsidP="003D3EF7">
            <w:pPr>
              <w:rPr>
                <w:color w:val="FFFFFF" w:themeColor="background1"/>
                <w:sz w:val="18"/>
              </w:rPr>
            </w:pPr>
            <w:r w:rsidRPr="00705BA8">
              <w:rPr>
                <w:color w:val="FFFFFF" w:themeColor="background1"/>
                <w:sz w:val="18"/>
              </w:rPr>
              <w:t>Standard assessment - medium activity</w:t>
            </w:r>
          </w:p>
        </w:tc>
        <w:tc>
          <w:tcPr>
            <w:tcW w:w="1559" w:type="dxa"/>
            <w:shd w:val="clear" w:color="auto" w:fill="auto"/>
            <w:vAlign w:val="center"/>
          </w:tcPr>
          <w:p w14:paraId="1B997C0D" w14:textId="77777777" w:rsidR="003D3EF7" w:rsidRPr="00705BA8" w:rsidRDefault="003D3EF7" w:rsidP="003D3EF7">
            <w:pPr>
              <w:jc w:val="center"/>
              <w:rPr>
                <w:sz w:val="18"/>
              </w:rPr>
            </w:pPr>
            <w:r w:rsidRPr="00705BA8">
              <w:rPr>
                <w:sz w:val="18"/>
              </w:rPr>
              <w:t>60</w:t>
            </w:r>
          </w:p>
        </w:tc>
        <w:tc>
          <w:tcPr>
            <w:tcW w:w="1418" w:type="dxa"/>
            <w:vAlign w:val="center"/>
          </w:tcPr>
          <w:p w14:paraId="6A38B4E5" w14:textId="1F85A22F" w:rsidR="003D3EF7" w:rsidRPr="00705BA8" w:rsidRDefault="003D3EF7" w:rsidP="003D3EF7">
            <w:pPr>
              <w:jc w:val="center"/>
              <w:rPr>
                <w:sz w:val="18"/>
              </w:rPr>
            </w:pPr>
            <w:r w:rsidRPr="00056780">
              <w:t xml:space="preserve">59 </w:t>
            </w:r>
          </w:p>
        </w:tc>
        <w:tc>
          <w:tcPr>
            <w:tcW w:w="1559" w:type="dxa"/>
            <w:vAlign w:val="center"/>
          </w:tcPr>
          <w:p w14:paraId="1C809B8C" w14:textId="64ABA464" w:rsidR="003D3EF7" w:rsidRPr="00705BA8" w:rsidRDefault="003D3EF7" w:rsidP="00495A21">
            <w:pPr>
              <w:jc w:val="center"/>
              <w:rPr>
                <w:sz w:val="18"/>
              </w:rPr>
            </w:pPr>
            <w:r w:rsidRPr="0027578A">
              <w:t xml:space="preserve">84 </w:t>
            </w:r>
          </w:p>
        </w:tc>
        <w:tc>
          <w:tcPr>
            <w:tcW w:w="1701" w:type="dxa"/>
            <w:vAlign w:val="center"/>
          </w:tcPr>
          <w:p w14:paraId="0CDC01FC" w14:textId="27CE6D77" w:rsidR="003D3EF7" w:rsidRPr="00705BA8" w:rsidRDefault="003D3EF7">
            <w:pPr>
              <w:jc w:val="center"/>
              <w:rPr>
                <w:sz w:val="18"/>
              </w:rPr>
            </w:pPr>
            <w:r w:rsidRPr="00D85C4E">
              <w:t xml:space="preserve">30 </w:t>
            </w:r>
          </w:p>
        </w:tc>
      </w:tr>
      <w:tr w:rsidR="003D3EF7" w:rsidRPr="00556915" w14:paraId="7096380F" w14:textId="77777777" w:rsidTr="00CB368A">
        <w:trPr>
          <w:trHeight w:val="253"/>
        </w:trPr>
        <w:tc>
          <w:tcPr>
            <w:tcW w:w="2552" w:type="dxa"/>
            <w:shd w:val="clear" w:color="auto" w:fill="7F7F7F" w:themeFill="text1" w:themeFillTint="80"/>
            <w:vAlign w:val="center"/>
            <w:hideMark/>
          </w:tcPr>
          <w:p w14:paraId="3ECE989E" w14:textId="77777777" w:rsidR="003D3EF7" w:rsidRPr="00705BA8" w:rsidRDefault="003D3EF7" w:rsidP="003D3EF7">
            <w:pPr>
              <w:rPr>
                <w:color w:val="FFFFFF" w:themeColor="background1"/>
                <w:sz w:val="18"/>
              </w:rPr>
            </w:pPr>
            <w:r w:rsidRPr="00705BA8">
              <w:rPr>
                <w:color w:val="FFFFFF" w:themeColor="background1"/>
                <w:sz w:val="18"/>
              </w:rPr>
              <w:t>Standard assessment - large activity</w:t>
            </w:r>
          </w:p>
        </w:tc>
        <w:tc>
          <w:tcPr>
            <w:tcW w:w="1559" w:type="dxa"/>
            <w:shd w:val="clear" w:color="auto" w:fill="auto"/>
            <w:vAlign w:val="center"/>
          </w:tcPr>
          <w:p w14:paraId="16C1CAEE" w14:textId="77777777" w:rsidR="003D3EF7" w:rsidRPr="00705BA8" w:rsidRDefault="003D3EF7" w:rsidP="003D3EF7">
            <w:pPr>
              <w:jc w:val="center"/>
              <w:rPr>
                <w:sz w:val="18"/>
              </w:rPr>
            </w:pPr>
            <w:r w:rsidRPr="00705BA8">
              <w:rPr>
                <w:sz w:val="18"/>
              </w:rPr>
              <w:t>160</w:t>
            </w:r>
          </w:p>
        </w:tc>
        <w:tc>
          <w:tcPr>
            <w:tcW w:w="1418" w:type="dxa"/>
            <w:vAlign w:val="center"/>
          </w:tcPr>
          <w:p w14:paraId="2392C4A9" w14:textId="354A3F9B" w:rsidR="003D3EF7" w:rsidRPr="00705BA8" w:rsidRDefault="003D3EF7" w:rsidP="003D3EF7">
            <w:pPr>
              <w:jc w:val="center"/>
              <w:rPr>
                <w:sz w:val="18"/>
              </w:rPr>
            </w:pPr>
            <w:r w:rsidRPr="00056780">
              <w:t xml:space="preserve">118 </w:t>
            </w:r>
          </w:p>
        </w:tc>
        <w:tc>
          <w:tcPr>
            <w:tcW w:w="1559" w:type="dxa"/>
            <w:vAlign w:val="center"/>
          </w:tcPr>
          <w:p w14:paraId="508F43B6" w14:textId="7C76DAD2" w:rsidR="003D3EF7" w:rsidRPr="00705BA8" w:rsidRDefault="003D3EF7" w:rsidP="00495A21">
            <w:pPr>
              <w:jc w:val="center"/>
              <w:rPr>
                <w:sz w:val="18"/>
              </w:rPr>
            </w:pPr>
            <w:r w:rsidRPr="0027578A">
              <w:t xml:space="preserve">167 </w:t>
            </w:r>
          </w:p>
        </w:tc>
        <w:tc>
          <w:tcPr>
            <w:tcW w:w="1701" w:type="dxa"/>
            <w:vAlign w:val="center"/>
          </w:tcPr>
          <w:p w14:paraId="23257F6D" w14:textId="76B5AF5C" w:rsidR="003D3EF7" w:rsidRPr="00705BA8" w:rsidRDefault="003D3EF7">
            <w:pPr>
              <w:jc w:val="center"/>
              <w:rPr>
                <w:sz w:val="18"/>
              </w:rPr>
            </w:pPr>
            <w:r w:rsidRPr="00D85C4E">
              <w:t xml:space="preserve">61 </w:t>
            </w:r>
          </w:p>
        </w:tc>
      </w:tr>
      <w:tr w:rsidR="003D3EF7" w:rsidRPr="00556915" w14:paraId="32658D8E" w14:textId="77777777" w:rsidTr="00CB368A">
        <w:trPr>
          <w:trHeight w:val="253"/>
        </w:trPr>
        <w:tc>
          <w:tcPr>
            <w:tcW w:w="2552" w:type="dxa"/>
            <w:shd w:val="clear" w:color="auto" w:fill="7F7F7F" w:themeFill="text1" w:themeFillTint="80"/>
            <w:vAlign w:val="center"/>
            <w:hideMark/>
          </w:tcPr>
          <w:p w14:paraId="4DF191E2" w14:textId="77777777" w:rsidR="003D3EF7" w:rsidRPr="00705BA8" w:rsidRDefault="003D3EF7" w:rsidP="003D3EF7">
            <w:pPr>
              <w:rPr>
                <w:color w:val="FFFFFF" w:themeColor="background1"/>
                <w:sz w:val="18"/>
              </w:rPr>
            </w:pPr>
            <w:r w:rsidRPr="00705BA8">
              <w:rPr>
                <w:color w:val="FFFFFF" w:themeColor="background1"/>
                <w:sz w:val="18"/>
              </w:rPr>
              <w:t>Complex assessment - small activity</w:t>
            </w:r>
          </w:p>
        </w:tc>
        <w:tc>
          <w:tcPr>
            <w:tcW w:w="1559" w:type="dxa"/>
            <w:shd w:val="clear" w:color="auto" w:fill="auto"/>
            <w:vAlign w:val="center"/>
          </w:tcPr>
          <w:p w14:paraId="47765D73" w14:textId="77777777" w:rsidR="003D3EF7" w:rsidRPr="00705BA8" w:rsidRDefault="003D3EF7" w:rsidP="003D3EF7">
            <w:pPr>
              <w:jc w:val="center"/>
              <w:rPr>
                <w:sz w:val="18"/>
              </w:rPr>
            </w:pPr>
            <w:r w:rsidRPr="00705BA8">
              <w:rPr>
                <w:sz w:val="18"/>
              </w:rPr>
              <w:t>80</w:t>
            </w:r>
          </w:p>
        </w:tc>
        <w:tc>
          <w:tcPr>
            <w:tcW w:w="1418" w:type="dxa"/>
            <w:vAlign w:val="center"/>
          </w:tcPr>
          <w:p w14:paraId="22EBD028" w14:textId="33154D0A" w:rsidR="003D3EF7" w:rsidRPr="00705BA8" w:rsidRDefault="003D3EF7" w:rsidP="003D3EF7">
            <w:pPr>
              <w:jc w:val="center"/>
              <w:rPr>
                <w:sz w:val="18"/>
              </w:rPr>
            </w:pPr>
            <w:r w:rsidRPr="00056780">
              <w:t xml:space="preserve">47 </w:t>
            </w:r>
          </w:p>
        </w:tc>
        <w:tc>
          <w:tcPr>
            <w:tcW w:w="1559" w:type="dxa"/>
            <w:vAlign w:val="center"/>
          </w:tcPr>
          <w:p w14:paraId="4B9D5E08" w14:textId="533952C5" w:rsidR="003D3EF7" w:rsidRPr="00705BA8" w:rsidRDefault="003D3EF7" w:rsidP="00495A21">
            <w:pPr>
              <w:jc w:val="center"/>
              <w:rPr>
                <w:sz w:val="18"/>
              </w:rPr>
            </w:pPr>
            <w:r w:rsidRPr="0027578A">
              <w:t xml:space="preserve">64 </w:t>
            </w:r>
          </w:p>
        </w:tc>
        <w:tc>
          <w:tcPr>
            <w:tcW w:w="1701" w:type="dxa"/>
            <w:vAlign w:val="center"/>
          </w:tcPr>
          <w:p w14:paraId="6F2D2807" w14:textId="59293D1C" w:rsidR="003D3EF7" w:rsidRPr="00705BA8" w:rsidRDefault="003D3EF7">
            <w:pPr>
              <w:jc w:val="center"/>
              <w:rPr>
                <w:sz w:val="18"/>
              </w:rPr>
            </w:pPr>
            <w:r w:rsidRPr="00D85C4E">
              <w:t xml:space="preserve">27 </w:t>
            </w:r>
          </w:p>
        </w:tc>
      </w:tr>
      <w:tr w:rsidR="003D3EF7" w:rsidRPr="00556915" w14:paraId="43115320" w14:textId="77777777" w:rsidTr="00CB368A">
        <w:trPr>
          <w:trHeight w:val="253"/>
        </w:trPr>
        <w:tc>
          <w:tcPr>
            <w:tcW w:w="2552" w:type="dxa"/>
            <w:shd w:val="clear" w:color="auto" w:fill="7F7F7F" w:themeFill="text1" w:themeFillTint="80"/>
            <w:vAlign w:val="center"/>
            <w:hideMark/>
          </w:tcPr>
          <w:p w14:paraId="7CF4418C" w14:textId="77777777" w:rsidR="003D3EF7" w:rsidRPr="00705BA8" w:rsidRDefault="003D3EF7" w:rsidP="003D3EF7">
            <w:pPr>
              <w:rPr>
                <w:color w:val="FFFFFF" w:themeColor="background1"/>
                <w:sz w:val="18"/>
              </w:rPr>
            </w:pPr>
            <w:r w:rsidRPr="00705BA8">
              <w:rPr>
                <w:color w:val="FFFFFF" w:themeColor="background1"/>
                <w:sz w:val="18"/>
              </w:rPr>
              <w:t>Complex assessment - medium activity</w:t>
            </w:r>
          </w:p>
        </w:tc>
        <w:tc>
          <w:tcPr>
            <w:tcW w:w="1559" w:type="dxa"/>
            <w:shd w:val="clear" w:color="auto" w:fill="auto"/>
            <w:vAlign w:val="center"/>
          </w:tcPr>
          <w:p w14:paraId="41838435" w14:textId="77777777" w:rsidR="003D3EF7" w:rsidRPr="00705BA8" w:rsidRDefault="003D3EF7" w:rsidP="003D3EF7">
            <w:pPr>
              <w:jc w:val="center"/>
              <w:rPr>
                <w:sz w:val="18"/>
              </w:rPr>
            </w:pPr>
            <w:r w:rsidRPr="00705BA8">
              <w:rPr>
                <w:sz w:val="18"/>
              </w:rPr>
              <w:t>160</w:t>
            </w:r>
          </w:p>
        </w:tc>
        <w:tc>
          <w:tcPr>
            <w:tcW w:w="1418" w:type="dxa"/>
            <w:vAlign w:val="center"/>
          </w:tcPr>
          <w:p w14:paraId="6D73B1E7" w14:textId="1E1A4A71" w:rsidR="003D3EF7" w:rsidRPr="00705BA8" w:rsidRDefault="003D3EF7" w:rsidP="003D3EF7">
            <w:pPr>
              <w:jc w:val="center"/>
              <w:rPr>
                <w:sz w:val="18"/>
              </w:rPr>
            </w:pPr>
            <w:r w:rsidRPr="00056780">
              <w:t xml:space="preserve">94 </w:t>
            </w:r>
          </w:p>
        </w:tc>
        <w:tc>
          <w:tcPr>
            <w:tcW w:w="1559" w:type="dxa"/>
            <w:vAlign w:val="center"/>
          </w:tcPr>
          <w:p w14:paraId="0A7CE428" w14:textId="71A6A0C6" w:rsidR="003D3EF7" w:rsidRPr="00705BA8" w:rsidRDefault="003D3EF7" w:rsidP="00495A21">
            <w:pPr>
              <w:jc w:val="center"/>
              <w:rPr>
                <w:sz w:val="18"/>
              </w:rPr>
            </w:pPr>
            <w:r w:rsidRPr="0027578A">
              <w:t xml:space="preserve">128 </w:t>
            </w:r>
          </w:p>
        </w:tc>
        <w:tc>
          <w:tcPr>
            <w:tcW w:w="1701" w:type="dxa"/>
            <w:vAlign w:val="center"/>
          </w:tcPr>
          <w:p w14:paraId="7449821C" w14:textId="2072AFF6" w:rsidR="003D3EF7" w:rsidRPr="00705BA8" w:rsidRDefault="003D3EF7">
            <w:pPr>
              <w:jc w:val="center"/>
              <w:rPr>
                <w:sz w:val="18"/>
              </w:rPr>
            </w:pPr>
            <w:r w:rsidRPr="00D85C4E">
              <w:t xml:space="preserve">54 </w:t>
            </w:r>
          </w:p>
        </w:tc>
      </w:tr>
      <w:tr w:rsidR="003D3EF7" w:rsidRPr="00556915" w14:paraId="27369946" w14:textId="77777777" w:rsidTr="00CB368A">
        <w:trPr>
          <w:trHeight w:val="253"/>
        </w:trPr>
        <w:tc>
          <w:tcPr>
            <w:tcW w:w="2552" w:type="dxa"/>
            <w:shd w:val="clear" w:color="auto" w:fill="7F7F7F" w:themeFill="text1" w:themeFillTint="80"/>
            <w:vAlign w:val="center"/>
            <w:hideMark/>
          </w:tcPr>
          <w:p w14:paraId="0AAEBC48" w14:textId="77777777" w:rsidR="003D3EF7" w:rsidRPr="00705BA8" w:rsidRDefault="003D3EF7" w:rsidP="003D3EF7">
            <w:pPr>
              <w:rPr>
                <w:color w:val="FFFFFF" w:themeColor="background1"/>
                <w:sz w:val="18"/>
              </w:rPr>
            </w:pPr>
            <w:r w:rsidRPr="00705BA8">
              <w:rPr>
                <w:color w:val="FFFFFF" w:themeColor="background1"/>
                <w:sz w:val="18"/>
              </w:rPr>
              <w:t>Complex assessment - large activity</w:t>
            </w:r>
          </w:p>
        </w:tc>
        <w:tc>
          <w:tcPr>
            <w:tcW w:w="1559" w:type="dxa"/>
            <w:shd w:val="clear" w:color="auto" w:fill="auto"/>
            <w:vAlign w:val="center"/>
          </w:tcPr>
          <w:p w14:paraId="6C79DED6" w14:textId="77777777" w:rsidR="003D3EF7" w:rsidRPr="00705BA8" w:rsidRDefault="003D3EF7" w:rsidP="003D3EF7">
            <w:pPr>
              <w:jc w:val="center"/>
              <w:rPr>
                <w:sz w:val="18"/>
              </w:rPr>
            </w:pPr>
            <w:r w:rsidRPr="00705BA8">
              <w:rPr>
                <w:sz w:val="18"/>
              </w:rPr>
              <w:t>320</w:t>
            </w:r>
          </w:p>
        </w:tc>
        <w:tc>
          <w:tcPr>
            <w:tcW w:w="1418" w:type="dxa"/>
            <w:vAlign w:val="center"/>
          </w:tcPr>
          <w:p w14:paraId="1A6698ED" w14:textId="6AD536B9" w:rsidR="003D3EF7" w:rsidRPr="00705BA8" w:rsidRDefault="003D3EF7" w:rsidP="003D3EF7">
            <w:pPr>
              <w:jc w:val="center"/>
              <w:rPr>
                <w:sz w:val="18"/>
              </w:rPr>
            </w:pPr>
            <w:r w:rsidRPr="00056780">
              <w:t xml:space="preserve">188 </w:t>
            </w:r>
          </w:p>
        </w:tc>
        <w:tc>
          <w:tcPr>
            <w:tcW w:w="1559" w:type="dxa"/>
            <w:vAlign w:val="center"/>
          </w:tcPr>
          <w:p w14:paraId="6D058633" w14:textId="10A1468E" w:rsidR="003D3EF7" w:rsidRPr="00705BA8" w:rsidRDefault="003D3EF7" w:rsidP="00495A21">
            <w:pPr>
              <w:jc w:val="center"/>
              <w:rPr>
                <w:sz w:val="18"/>
              </w:rPr>
            </w:pPr>
            <w:r w:rsidRPr="0027578A">
              <w:t xml:space="preserve">256 </w:t>
            </w:r>
          </w:p>
        </w:tc>
        <w:tc>
          <w:tcPr>
            <w:tcW w:w="1701" w:type="dxa"/>
            <w:vAlign w:val="center"/>
          </w:tcPr>
          <w:p w14:paraId="07FA4506" w14:textId="161C65EB" w:rsidR="003D3EF7" w:rsidRPr="00705BA8" w:rsidRDefault="003D3EF7">
            <w:pPr>
              <w:jc w:val="center"/>
              <w:rPr>
                <w:sz w:val="18"/>
              </w:rPr>
            </w:pPr>
            <w:r w:rsidRPr="00D85C4E">
              <w:t xml:space="preserve">108 </w:t>
            </w:r>
          </w:p>
        </w:tc>
      </w:tr>
      <w:tr w:rsidR="003D3EF7" w:rsidRPr="00556915" w14:paraId="6C985F05" w14:textId="77777777" w:rsidTr="00CB368A">
        <w:trPr>
          <w:trHeight w:val="253"/>
        </w:trPr>
        <w:tc>
          <w:tcPr>
            <w:tcW w:w="2552" w:type="dxa"/>
            <w:shd w:val="clear" w:color="auto" w:fill="7F7F7F" w:themeFill="text1" w:themeFillTint="80"/>
            <w:vAlign w:val="center"/>
            <w:hideMark/>
          </w:tcPr>
          <w:p w14:paraId="74A2DEB4" w14:textId="77777777" w:rsidR="003D3EF7" w:rsidRPr="00705BA8" w:rsidRDefault="003D3EF7" w:rsidP="003D3EF7">
            <w:pPr>
              <w:rPr>
                <w:b/>
                <w:bCs/>
                <w:color w:val="FFFFFF" w:themeColor="background1"/>
                <w:sz w:val="18"/>
              </w:rPr>
            </w:pPr>
            <w:r w:rsidRPr="00705BA8">
              <w:rPr>
                <w:b/>
                <w:bCs/>
                <w:color w:val="FFFFFF" w:themeColor="background1"/>
                <w:sz w:val="18"/>
              </w:rPr>
              <w:t>CHMPs - three or more authorities</w:t>
            </w:r>
          </w:p>
        </w:tc>
        <w:tc>
          <w:tcPr>
            <w:tcW w:w="1559" w:type="dxa"/>
            <w:shd w:val="clear" w:color="auto" w:fill="auto"/>
            <w:vAlign w:val="center"/>
          </w:tcPr>
          <w:p w14:paraId="27469C26" w14:textId="77777777" w:rsidR="003D3EF7" w:rsidRPr="00705BA8" w:rsidRDefault="003D3EF7" w:rsidP="003D3EF7">
            <w:pPr>
              <w:jc w:val="center"/>
              <w:rPr>
                <w:sz w:val="18"/>
              </w:rPr>
            </w:pPr>
          </w:p>
        </w:tc>
        <w:tc>
          <w:tcPr>
            <w:tcW w:w="1418" w:type="dxa"/>
            <w:vAlign w:val="center"/>
          </w:tcPr>
          <w:p w14:paraId="5AE121EA" w14:textId="77777777" w:rsidR="003D3EF7" w:rsidRPr="00705BA8" w:rsidRDefault="003D3EF7" w:rsidP="003D3EF7">
            <w:pPr>
              <w:jc w:val="center"/>
              <w:rPr>
                <w:sz w:val="18"/>
              </w:rPr>
            </w:pPr>
          </w:p>
        </w:tc>
        <w:tc>
          <w:tcPr>
            <w:tcW w:w="1559" w:type="dxa"/>
            <w:vAlign w:val="center"/>
          </w:tcPr>
          <w:p w14:paraId="09DEEC1F" w14:textId="77777777" w:rsidR="003D3EF7" w:rsidRPr="00705BA8" w:rsidRDefault="003D3EF7" w:rsidP="00495A21">
            <w:pPr>
              <w:jc w:val="center"/>
              <w:rPr>
                <w:sz w:val="18"/>
              </w:rPr>
            </w:pPr>
          </w:p>
        </w:tc>
        <w:tc>
          <w:tcPr>
            <w:tcW w:w="1701" w:type="dxa"/>
            <w:vAlign w:val="center"/>
          </w:tcPr>
          <w:p w14:paraId="48151A22" w14:textId="77777777" w:rsidR="003D3EF7" w:rsidRPr="00705BA8" w:rsidRDefault="003D3EF7">
            <w:pPr>
              <w:jc w:val="center"/>
              <w:rPr>
                <w:sz w:val="18"/>
              </w:rPr>
            </w:pPr>
          </w:p>
        </w:tc>
      </w:tr>
      <w:tr w:rsidR="003D3EF7" w:rsidRPr="00556915" w14:paraId="0B9ABC22" w14:textId="77777777" w:rsidTr="00CB368A">
        <w:trPr>
          <w:trHeight w:val="253"/>
        </w:trPr>
        <w:tc>
          <w:tcPr>
            <w:tcW w:w="2552" w:type="dxa"/>
            <w:shd w:val="clear" w:color="auto" w:fill="7F7F7F" w:themeFill="text1" w:themeFillTint="80"/>
            <w:vAlign w:val="center"/>
            <w:hideMark/>
          </w:tcPr>
          <w:p w14:paraId="2C822666" w14:textId="77777777" w:rsidR="003D3EF7" w:rsidRPr="00705BA8" w:rsidRDefault="003D3EF7" w:rsidP="003D3EF7">
            <w:pPr>
              <w:rPr>
                <w:color w:val="FFFFFF" w:themeColor="background1"/>
                <w:sz w:val="18"/>
              </w:rPr>
            </w:pPr>
            <w:r w:rsidRPr="00705BA8">
              <w:rPr>
                <w:color w:val="FFFFFF" w:themeColor="background1"/>
                <w:sz w:val="18"/>
              </w:rPr>
              <w:t>Desktop assessment - small activity</w:t>
            </w:r>
          </w:p>
        </w:tc>
        <w:tc>
          <w:tcPr>
            <w:tcW w:w="1559" w:type="dxa"/>
            <w:shd w:val="clear" w:color="auto" w:fill="auto"/>
            <w:vAlign w:val="center"/>
          </w:tcPr>
          <w:p w14:paraId="1807D9F8" w14:textId="77777777" w:rsidR="003D3EF7" w:rsidRPr="00705BA8" w:rsidRDefault="003D3EF7" w:rsidP="003D3EF7">
            <w:pPr>
              <w:jc w:val="center"/>
              <w:rPr>
                <w:sz w:val="18"/>
              </w:rPr>
            </w:pPr>
            <w:r w:rsidRPr="00705BA8">
              <w:rPr>
                <w:sz w:val="18"/>
              </w:rPr>
              <w:t>7</w:t>
            </w:r>
          </w:p>
        </w:tc>
        <w:tc>
          <w:tcPr>
            <w:tcW w:w="1418" w:type="dxa"/>
            <w:vAlign w:val="center"/>
          </w:tcPr>
          <w:p w14:paraId="0041BA71" w14:textId="5A7EA1EA" w:rsidR="003D3EF7" w:rsidRPr="00705BA8" w:rsidRDefault="003D3EF7" w:rsidP="003D3EF7">
            <w:pPr>
              <w:jc w:val="center"/>
              <w:rPr>
                <w:sz w:val="18"/>
              </w:rPr>
            </w:pPr>
            <w:r w:rsidRPr="00056780">
              <w:t xml:space="preserve">19 </w:t>
            </w:r>
          </w:p>
        </w:tc>
        <w:tc>
          <w:tcPr>
            <w:tcW w:w="1559" w:type="dxa"/>
            <w:vAlign w:val="center"/>
          </w:tcPr>
          <w:p w14:paraId="749A2F21" w14:textId="47167B07" w:rsidR="003D3EF7" w:rsidRPr="00705BA8" w:rsidRDefault="003D3EF7" w:rsidP="00495A21">
            <w:pPr>
              <w:jc w:val="center"/>
              <w:rPr>
                <w:sz w:val="18"/>
              </w:rPr>
            </w:pPr>
            <w:r w:rsidRPr="0027578A">
              <w:t xml:space="preserve">29 </w:t>
            </w:r>
          </w:p>
        </w:tc>
        <w:tc>
          <w:tcPr>
            <w:tcW w:w="1701" w:type="dxa"/>
            <w:vAlign w:val="center"/>
          </w:tcPr>
          <w:p w14:paraId="5A0EFA07" w14:textId="447AA066" w:rsidR="003D3EF7" w:rsidRPr="00705BA8" w:rsidRDefault="003D3EF7">
            <w:pPr>
              <w:jc w:val="center"/>
              <w:rPr>
                <w:sz w:val="18"/>
              </w:rPr>
            </w:pPr>
            <w:r w:rsidRPr="00D85C4E">
              <w:t xml:space="preserve">8 </w:t>
            </w:r>
          </w:p>
        </w:tc>
      </w:tr>
      <w:tr w:rsidR="003D3EF7" w:rsidRPr="00556915" w14:paraId="70B63189" w14:textId="77777777" w:rsidTr="00CB368A">
        <w:trPr>
          <w:trHeight w:val="253"/>
        </w:trPr>
        <w:tc>
          <w:tcPr>
            <w:tcW w:w="2552" w:type="dxa"/>
            <w:shd w:val="clear" w:color="auto" w:fill="7F7F7F" w:themeFill="text1" w:themeFillTint="80"/>
            <w:vAlign w:val="center"/>
            <w:hideMark/>
          </w:tcPr>
          <w:p w14:paraId="4A3012CF" w14:textId="77777777" w:rsidR="003D3EF7" w:rsidRPr="00705BA8" w:rsidRDefault="003D3EF7" w:rsidP="003D3EF7">
            <w:pPr>
              <w:rPr>
                <w:color w:val="FFFFFF" w:themeColor="background1"/>
                <w:sz w:val="18"/>
              </w:rPr>
            </w:pPr>
            <w:r w:rsidRPr="00705BA8">
              <w:rPr>
                <w:color w:val="FFFFFF" w:themeColor="background1"/>
                <w:sz w:val="18"/>
              </w:rPr>
              <w:t>Desktop assessment - medium activity</w:t>
            </w:r>
          </w:p>
        </w:tc>
        <w:tc>
          <w:tcPr>
            <w:tcW w:w="1559" w:type="dxa"/>
            <w:shd w:val="clear" w:color="auto" w:fill="auto"/>
            <w:vAlign w:val="center"/>
          </w:tcPr>
          <w:p w14:paraId="314E5A5B" w14:textId="77777777" w:rsidR="003D3EF7" w:rsidRPr="00705BA8" w:rsidRDefault="003D3EF7" w:rsidP="003D3EF7">
            <w:pPr>
              <w:jc w:val="center"/>
              <w:rPr>
                <w:sz w:val="18"/>
              </w:rPr>
            </w:pPr>
            <w:r w:rsidRPr="00705BA8">
              <w:rPr>
                <w:sz w:val="18"/>
              </w:rPr>
              <w:t>13</w:t>
            </w:r>
          </w:p>
        </w:tc>
        <w:tc>
          <w:tcPr>
            <w:tcW w:w="1418" w:type="dxa"/>
            <w:vAlign w:val="center"/>
          </w:tcPr>
          <w:p w14:paraId="25ED0FA8" w14:textId="2F682F44" w:rsidR="003D3EF7" w:rsidRPr="00705BA8" w:rsidRDefault="003D3EF7" w:rsidP="003D3EF7">
            <w:pPr>
              <w:jc w:val="center"/>
              <w:rPr>
                <w:sz w:val="18"/>
              </w:rPr>
            </w:pPr>
            <w:r w:rsidRPr="00056780">
              <w:t xml:space="preserve">36 </w:t>
            </w:r>
          </w:p>
        </w:tc>
        <w:tc>
          <w:tcPr>
            <w:tcW w:w="1559" w:type="dxa"/>
            <w:vAlign w:val="center"/>
          </w:tcPr>
          <w:p w14:paraId="127E5529" w14:textId="4AE9FEBF" w:rsidR="003D3EF7" w:rsidRPr="00705BA8" w:rsidRDefault="003D3EF7" w:rsidP="00495A21">
            <w:pPr>
              <w:jc w:val="center"/>
              <w:rPr>
                <w:sz w:val="18"/>
              </w:rPr>
            </w:pPr>
            <w:r w:rsidRPr="0027578A">
              <w:t xml:space="preserve">53 </w:t>
            </w:r>
          </w:p>
        </w:tc>
        <w:tc>
          <w:tcPr>
            <w:tcW w:w="1701" w:type="dxa"/>
            <w:vAlign w:val="center"/>
          </w:tcPr>
          <w:p w14:paraId="1395B10E" w14:textId="0DDEC453" w:rsidR="003D3EF7" w:rsidRPr="00705BA8" w:rsidRDefault="003D3EF7">
            <w:pPr>
              <w:jc w:val="center"/>
              <w:rPr>
                <w:sz w:val="18"/>
              </w:rPr>
            </w:pPr>
            <w:r w:rsidRPr="00D85C4E">
              <w:t xml:space="preserve">15 </w:t>
            </w:r>
          </w:p>
        </w:tc>
      </w:tr>
      <w:tr w:rsidR="003D3EF7" w:rsidRPr="00556915" w14:paraId="138A4EA5" w14:textId="77777777" w:rsidTr="00CB368A">
        <w:trPr>
          <w:trHeight w:val="253"/>
        </w:trPr>
        <w:tc>
          <w:tcPr>
            <w:tcW w:w="2552" w:type="dxa"/>
            <w:shd w:val="clear" w:color="auto" w:fill="7F7F7F" w:themeFill="text1" w:themeFillTint="80"/>
            <w:vAlign w:val="center"/>
            <w:hideMark/>
          </w:tcPr>
          <w:p w14:paraId="1897519A" w14:textId="77777777" w:rsidR="003D3EF7" w:rsidRPr="00705BA8" w:rsidRDefault="003D3EF7" w:rsidP="003D3EF7">
            <w:pPr>
              <w:rPr>
                <w:color w:val="FFFFFF" w:themeColor="background1"/>
                <w:sz w:val="18"/>
              </w:rPr>
            </w:pPr>
            <w:r w:rsidRPr="00705BA8">
              <w:rPr>
                <w:color w:val="FFFFFF" w:themeColor="background1"/>
                <w:sz w:val="18"/>
              </w:rPr>
              <w:t>Desktop assessment - large activity</w:t>
            </w:r>
          </w:p>
        </w:tc>
        <w:tc>
          <w:tcPr>
            <w:tcW w:w="1559" w:type="dxa"/>
            <w:shd w:val="clear" w:color="auto" w:fill="auto"/>
            <w:vAlign w:val="center"/>
          </w:tcPr>
          <w:p w14:paraId="00224C1A" w14:textId="77777777" w:rsidR="003D3EF7" w:rsidRPr="00705BA8" w:rsidRDefault="003D3EF7" w:rsidP="003D3EF7">
            <w:pPr>
              <w:jc w:val="center"/>
              <w:rPr>
                <w:sz w:val="18"/>
              </w:rPr>
            </w:pPr>
            <w:r w:rsidRPr="00705BA8">
              <w:rPr>
                <w:sz w:val="18"/>
              </w:rPr>
              <w:t>27</w:t>
            </w:r>
          </w:p>
        </w:tc>
        <w:tc>
          <w:tcPr>
            <w:tcW w:w="1418" w:type="dxa"/>
            <w:vAlign w:val="center"/>
          </w:tcPr>
          <w:p w14:paraId="3ECE3C0A" w14:textId="361E5CF3" w:rsidR="003D3EF7" w:rsidRPr="00705BA8" w:rsidRDefault="003D3EF7" w:rsidP="003D3EF7">
            <w:pPr>
              <w:jc w:val="center"/>
              <w:rPr>
                <w:sz w:val="18"/>
              </w:rPr>
            </w:pPr>
            <w:r w:rsidRPr="00056780">
              <w:t xml:space="preserve">74 </w:t>
            </w:r>
          </w:p>
        </w:tc>
        <w:tc>
          <w:tcPr>
            <w:tcW w:w="1559" w:type="dxa"/>
            <w:vAlign w:val="center"/>
          </w:tcPr>
          <w:p w14:paraId="08E22720" w14:textId="45E0A3FA" w:rsidR="003D3EF7" w:rsidRPr="00705BA8" w:rsidRDefault="003D3EF7" w:rsidP="00495A21">
            <w:pPr>
              <w:jc w:val="center"/>
              <w:rPr>
                <w:sz w:val="18"/>
              </w:rPr>
            </w:pPr>
            <w:r w:rsidRPr="0027578A">
              <w:t xml:space="preserve">111 </w:t>
            </w:r>
          </w:p>
        </w:tc>
        <w:tc>
          <w:tcPr>
            <w:tcW w:w="1701" w:type="dxa"/>
            <w:vAlign w:val="center"/>
          </w:tcPr>
          <w:p w14:paraId="6703B02B" w14:textId="55FF9585" w:rsidR="003D3EF7" w:rsidRPr="00705BA8" w:rsidRDefault="003D3EF7">
            <w:pPr>
              <w:jc w:val="center"/>
              <w:rPr>
                <w:sz w:val="18"/>
              </w:rPr>
            </w:pPr>
            <w:r w:rsidRPr="00D85C4E">
              <w:t xml:space="preserve">31 </w:t>
            </w:r>
          </w:p>
        </w:tc>
      </w:tr>
      <w:tr w:rsidR="003D3EF7" w:rsidRPr="00556915" w14:paraId="65B0DE4F" w14:textId="77777777" w:rsidTr="00CB368A">
        <w:trPr>
          <w:trHeight w:val="253"/>
        </w:trPr>
        <w:tc>
          <w:tcPr>
            <w:tcW w:w="2552" w:type="dxa"/>
            <w:shd w:val="clear" w:color="auto" w:fill="7F7F7F" w:themeFill="text1" w:themeFillTint="80"/>
            <w:vAlign w:val="center"/>
            <w:hideMark/>
          </w:tcPr>
          <w:p w14:paraId="3BF7CE6F" w14:textId="77777777" w:rsidR="003D3EF7" w:rsidRPr="00705BA8" w:rsidRDefault="003D3EF7" w:rsidP="003D3EF7">
            <w:pPr>
              <w:rPr>
                <w:color w:val="FFFFFF" w:themeColor="background1"/>
                <w:sz w:val="18"/>
              </w:rPr>
            </w:pPr>
            <w:r w:rsidRPr="00705BA8">
              <w:rPr>
                <w:color w:val="FFFFFF" w:themeColor="background1"/>
                <w:sz w:val="18"/>
              </w:rPr>
              <w:t>Standard assessment - small activity</w:t>
            </w:r>
          </w:p>
        </w:tc>
        <w:tc>
          <w:tcPr>
            <w:tcW w:w="1559" w:type="dxa"/>
            <w:shd w:val="clear" w:color="auto" w:fill="auto"/>
            <w:vAlign w:val="center"/>
          </w:tcPr>
          <w:p w14:paraId="2CB73E89" w14:textId="77777777" w:rsidR="003D3EF7" w:rsidRPr="00705BA8" w:rsidRDefault="003D3EF7" w:rsidP="003D3EF7">
            <w:pPr>
              <w:jc w:val="center"/>
              <w:rPr>
                <w:sz w:val="18"/>
              </w:rPr>
            </w:pPr>
            <w:r w:rsidRPr="00705BA8">
              <w:rPr>
                <w:sz w:val="18"/>
              </w:rPr>
              <w:t>27</w:t>
            </w:r>
          </w:p>
        </w:tc>
        <w:tc>
          <w:tcPr>
            <w:tcW w:w="1418" w:type="dxa"/>
            <w:vAlign w:val="center"/>
          </w:tcPr>
          <w:p w14:paraId="0CE6C8D1" w14:textId="4917F824" w:rsidR="003D3EF7" w:rsidRPr="00705BA8" w:rsidRDefault="003D3EF7" w:rsidP="003D3EF7">
            <w:pPr>
              <w:jc w:val="center"/>
              <w:rPr>
                <w:sz w:val="18"/>
              </w:rPr>
            </w:pPr>
            <w:r w:rsidRPr="00056780">
              <w:t xml:space="preserve">27 </w:t>
            </w:r>
          </w:p>
        </w:tc>
        <w:tc>
          <w:tcPr>
            <w:tcW w:w="1559" w:type="dxa"/>
            <w:vAlign w:val="center"/>
          </w:tcPr>
          <w:p w14:paraId="0CB2B280" w14:textId="37975B57" w:rsidR="003D3EF7" w:rsidRPr="00705BA8" w:rsidRDefault="003D3EF7" w:rsidP="00495A21">
            <w:pPr>
              <w:jc w:val="center"/>
              <w:rPr>
                <w:sz w:val="18"/>
              </w:rPr>
            </w:pPr>
            <w:r w:rsidRPr="0027578A">
              <w:t xml:space="preserve">38 </w:t>
            </w:r>
          </w:p>
        </w:tc>
        <w:tc>
          <w:tcPr>
            <w:tcW w:w="1701" w:type="dxa"/>
            <w:vAlign w:val="center"/>
          </w:tcPr>
          <w:p w14:paraId="3E76914C" w14:textId="4497DF6A" w:rsidR="003D3EF7" w:rsidRPr="00705BA8" w:rsidRDefault="003D3EF7">
            <w:pPr>
              <w:jc w:val="center"/>
              <w:rPr>
                <w:sz w:val="18"/>
              </w:rPr>
            </w:pPr>
            <w:r w:rsidRPr="00D85C4E">
              <w:t xml:space="preserve">14 </w:t>
            </w:r>
          </w:p>
        </w:tc>
      </w:tr>
      <w:tr w:rsidR="003D3EF7" w:rsidRPr="00556915" w14:paraId="6734C474" w14:textId="77777777" w:rsidTr="00CB368A">
        <w:trPr>
          <w:trHeight w:val="253"/>
        </w:trPr>
        <w:tc>
          <w:tcPr>
            <w:tcW w:w="2552" w:type="dxa"/>
            <w:shd w:val="clear" w:color="auto" w:fill="7F7F7F" w:themeFill="text1" w:themeFillTint="80"/>
            <w:vAlign w:val="center"/>
            <w:hideMark/>
          </w:tcPr>
          <w:p w14:paraId="4D4D6466" w14:textId="77777777" w:rsidR="003D3EF7" w:rsidRPr="00705BA8" w:rsidRDefault="003D3EF7" w:rsidP="003D3EF7">
            <w:pPr>
              <w:rPr>
                <w:color w:val="FFFFFF" w:themeColor="background1"/>
                <w:sz w:val="18"/>
              </w:rPr>
            </w:pPr>
            <w:r w:rsidRPr="00705BA8">
              <w:rPr>
                <w:color w:val="FFFFFF" w:themeColor="background1"/>
                <w:sz w:val="18"/>
              </w:rPr>
              <w:t>Standard assessment - medium activity</w:t>
            </w:r>
          </w:p>
        </w:tc>
        <w:tc>
          <w:tcPr>
            <w:tcW w:w="1559" w:type="dxa"/>
            <w:shd w:val="clear" w:color="auto" w:fill="auto"/>
            <w:vAlign w:val="center"/>
          </w:tcPr>
          <w:p w14:paraId="2D1185E1" w14:textId="77777777" w:rsidR="003D3EF7" w:rsidRPr="00705BA8" w:rsidRDefault="003D3EF7" w:rsidP="003D3EF7">
            <w:pPr>
              <w:jc w:val="center"/>
              <w:rPr>
                <w:sz w:val="18"/>
              </w:rPr>
            </w:pPr>
            <w:r w:rsidRPr="00705BA8">
              <w:rPr>
                <w:sz w:val="18"/>
              </w:rPr>
              <w:t>53</w:t>
            </w:r>
          </w:p>
        </w:tc>
        <w:tc>
          <w:tcPr>
            <w:tcW w:w="1418" w:type="dxa"/>
            <w:vAlign w:val="center"/>
          </w:tcPr>
          <w:p w14:paraId="1449E700" w14:textId="1162B1F0" w:rsidR="003D3EF7" w:rsidRPr="00705BA8" w:rsidRDefault="003D3EF7" w:rsidP="003D3EF7">
            <w:pPr>
              <w:jc w:val="center"/>
              <w:rPr>
                <w:sz w:val="18"/>
              </w:rPr>
            </w:pPr>
            <w:r w:rsidRPr="00056780">
              <w:t xml:space="preserve">52 </w:t>
            </w:r>
          </w:p>
        </w:tc>
        <w:tc>
          <w:tcPr>
            <w:tcW w:w="1559" w:type="dxa"/>
            <w:vAlign w:val="center"/>
          </w:tcPr>
          <w:p w14:paraId="722FB1CE" w14:textId="12510228" w:rsidR="003D3EF7" w:rsidRPr="00705BA8" w:rsidRDefault="003D3EF7" w:rsidP="00495A21">
            <w:pPr>
              <w:jc w:val="center"/>
              <w:rPr>
                <w:sz w:val="18"/>
              </w:rPr>
            </w:pPr>
            <w:r w:rsidRPr="0027578A">
              <w:t xml:space="preserve">74 </w:t>
            </w:r>
          </w:p>
        </w:tc>
        <w:tc>
          <w:tcPr>
            <w:tcW w:w="1701" w:type="dxa"/>
            <w:vAlign w:val="center"/>
          </w:tcPr>
          <w:p w14:paraId="2AC51EA1" w14:textId="48CC7453" w:rsidR="003D3EF7" w:rsidRPr="00705BA8" w:rsidRDefault="003D3EF7">
            <w:pPr>
              <w:jc w:val="center"/>
              <w:rPr>
                <w:sz w:val="18"/>
              </w:rPr>
            </w:pPr>
            <w:r w:rsidRPr="00D85C4E">
              <w:t xml:space="preserve">27 </w:t>
            </w:r>
          </w:p>
        </w:tc>
      </w:tr>
      <w:tr w:rsidR="003D3EF7" w:rsidRPr="00556915" w14:paraId="5B0A4731" w14:textId="77777777" w:rsidTr="00CB368A">
        <w:trPr>
          <w:trHeight w:val="253"/>
        </w:trPr>
        <w:tc>
          <w:tcPr>
            <w:tcW w:w="2552" w:type="dxa"/>
            <w:shd w:val="clear" w:color="auto" w:fill="7F7F7F" w:themeFill="text1" w:themeFillTint="80"/>
            <w:vAlign w:val="center"/>
            <w:hideMark/>
          </w:tcPr>
          <w:p w14:paraId="6E61784B" w14:textId="77777777" w:rsidR="003D3EF7" w:rsidRPr="00705BA8" w:rsidRDefault="003D3EF7" w:rsidP="003D3EF7">
            <w:pPr>
              <w:rPr>
                <w:color w:val="FFFFFF" w:themeColor="background1"/>
                <w:sz w:val="18"/>
              </w:rPr>
            </w:pPr>
            <w:r w:rsidRPr="00705BA8">
              <w:rPr>
                <w:color w:val="FFFFFF" w:themeColor="background1"/>
                <w:sz w:val="18"/>
              </w:rPr>
              <w:t>Standard assessment - large activity</w:t>
            </w:r>
          </w:p>
        </w:tc>
        <w:tc>
          <w:tcPr>
            <w:tcW w:w="1559" w:type="dxa"/>
            <w:shd w:val="clear" w:color="auto" w:fill="auto"/>
            <w:vAlign w:val="center"/>
          </w:tcPr>
          <w:p w14:paraId="2C50D380" w14:textId="77777777" w:rsidR="003D3EF7" w:rsidRPr="00705BA8" w:rsidRDefault="003D3EF7" w:rsidP="003D3EF7">
            <w:pPr>
              <w:jc w:val="center"/>
              <w:rPr>
                <w:sz w:val="18"/>
              </w:rPr>
            </w:pPr>
            <w:r w:rsidRPr="00705BA8">
              <w:rPr>
                <w:sz w:val="18"/>
              </w:rPr>
              <w:t>107</w:t>
            </w:r>
          </w:p>
        </w:tc>
        <w:tc>
          <w:tcPr>
            <w:tcW w:w="1418" w:type="dxa"/>
            <w:vAlign w:val="center"/>
          </w:tcPr>
          <w:p w14:paraId="33CEB1E3" w14:textId="66976C0B" w:rsidR="003D3EF7" w:rsidRPr="00705BA8" w:rsidRDefault="003D3EF7" w:rsidP="003D3EF7">
            <w:pPr>
              <w:jc w:val="center"/>
              <w:rPr>
                <w:sz w:val="18"/>
              </w:rPr>
            </w:pPr>
            <w:r w:rsidRPr="00056780">
              <w:t xml:space="preserve">105 </w:t>
            </w:r>
          </w:p>
        </w:tc>
        <w:tc>
          <w:tcPr>
            <w:tcW w:w="1559" w:type="dxa"/>
            <w:vAlign w:val="center"/>
          </w:tcPr>
          <w:p w14:paraId="1B8B29E2" w14:textId="5A18BE4E" w:rsidR="003D3EF7" w:rsidRPr="00705BA8" w:rsidRDefault="003D3EF7" w:rsidP="00495A21">
            <w:pPr>
              <w:jc w:val="center"/>
              <w:rPr>
                <w:sz w:val="18"/>
              </w:rPr>
            </w:pPr>
            <w:r w:rsidRPr="0027578A">
              <w:t xml:space="preserve">149 </w:t>
            </w:r>
          </w:p>
        </w:tc>
        <w:tc>
          <w:tcPr>
            <w:tcW w:w="1701" w:type="dxa"/>
            <w:vAlign w:val="center"/>
          </w:tcPr>
          <w:p w14:paraId="44D28377" w14:textId="0249AE26" w:rsidR="003D3EF7" w:rsidRPr="00705BA8" w:rsidRDefault="003D3EF7">
            <w:pPr>
              <w:jc w:val="center"/>
              <w:rPr>
                <w:sz w:val="18"/>
              </w:rPr>
            </w:pPr>
            <w:r w:rsidRPr="00D85C4E">
              <w:t xml:space="preserve">54 </w:t>
            </w:r>
          </w:p>
        </w:tc>
      </w:tr>
      <w:tr w:rsidR="003D3EF7" w:rsidRPr="00556915" w14:paraId="4C9D0C28" w14:textId="77777777" w:rsidTr="00CB368A">
        <w:trPr>
          <w:trHeight w:val="253"/>
        </w:trPr>
        <w:tc>
          <w:tcPr>
            <w:tcW w:w="2552" w:type="dxa"/>
            <w:shd w:val="clear" w:color="auto" w:fill="7F7F7F" w:themeFill="text1" w:themeFillTint="80"/>
            <w:vAlign w:val="center"/>
            <w:hideMark/>
          </w:tcPr>
          <w:p w14:paraId="345A1046" w14:textId="77777777" w:rsidR="003D3EF7" w:rsidRPr="00705BA8" w:rsidRDefault="003D3EF7" w:rsidP="003D3EF7">
            <w:pPr>
              <w:rPr>
                <w:color w:val="FFFFFF" w:themeColor="background1"/>
                <w:sz w:val="18"/>
              </w:rPr>
            </w:pPr>
            <w:r w:rsidRPr="00705BA8">
              <w:rPr>
                <w:color w:val="FFFFFF" w:themeColor="background1"/>
                <w:sz w:val="18"/>
              </w:rPr>
              <w:t>Complex assessment - small activity</w:t>
            </w:r>
          </w:p>
        </w:tc>
        <w:tc>
          <w:tcPr>
            <w:tcW w:w="1559" w:type="dxa"/>
            <w:shd w:val="clear" w:color="auto" w:fill="auto"/>
            <w:vAlign w:val="center"/>
          </w:tcPr>
          <w:p w14:paraId="7E2F0F5D" w14:textId="77777777" w:rsidR="003D3EF7" w:rsidRPr="00705BA8" w:rsidRDefault="003D3EF7" w:rsidP="003D3EF7">
            <w:pPr>
              <w:jc w:val="center"/>
              <w:rPr>
                <w:sz w:val="18"/>
              </w:rPr>
            </w:pPr>
            <w:r w:rsidRPr="00705BA8">
              <w:rPr>
                <w:sz w:val="18"/>
              </w:rPr>
              <w:t>53</w:t>
            </w:r>
          </w:p>
        </w:tc>
        <w:tc>
          <w:tcPr>
            <w:tcW w:w="1418" w:type="dxa"/>
            <w:vAlign w:val="center"/>
          </w:tcPr>
          <w:p w14:paraId="6E6D5CFE" w14:textId="5FAAAC4A" w:rsidR="003D3EF7" w:rsidRPr="00705BA8" w:rsidRDefault="003D3EF7" w:rsidP="003D3EF7">
            <w:pPr>
              <w:jc w:val="center"/>
              <w:rPr>
                <w:sz w:val="18"/>
              </w:rPr>
            </w:pPr>
            <w:r w:rsidRPr="00056780">
              <w:t xml:space="preserve">41 </w:t>
            </w:r>
          </w:p>
        </w:tc>
        <w:tc>
          <w:tcPr>
            <w:tcW w:w="1559" w:type="dxa"/>
            <w:vAlign w:val="center"/>
          </w:tcPr>
          <w:p w14:paraId="74956000" w14:textId="31A06D7A" w:rsidR="003D3EF7" w:rsidRPr="00705BA8" w:rsidRDefault="003D3EF7" w:rsidP="00495A21">
            <w:pPr>
              <w:jc w:val="center"/>
              <w:rPr>
                <w:sz w:val="18"/>
              </w:rPr>
            </w:pPr>
            <w:r w:rsidRPr="0027578A">
              <w:t xml:space="preserve">57 </w:t>
            </w:r>
          </w:p>
        </w:tc>
        <w:tc>
          <w:tcPr>
            <w:tcW w:w="1701" w:type="dxa"/>
            <w:vAlign w:val="center"/>
          </w:tcPr>
          <w:p w14:paraId="2190D737" w14:textId="72949C96" w:rsidR="003D3EF7" w:rsidRPr="00705BA8" w:rsidRDefault="003D3EF7">
            <w:pPr>
              <w:jc w:val="center"/>
              <w:rPr>
                <w:sz w:val="18"/>
              </w:rPr>
            </w:pPr>
            <w:r w:rsidRPr="00D85C4E">
              <w:t xml:space="preserve">24 </w:t>
            </w:r>
          </w:p>
        </w:tc>
      </w:tr>
      <w:tr w:rsidR="003D3EF7" w:rsidRPr="00556915" w14:paraId="09BE4F0F" w14:textId="77777777" w:rsidTr="00CB368A">
        <w:trPr>
          <w:trHeight w:val="253"/>
        </w:trPr>
        <w:tc>
          <w:tcPr>
            <w:tcW w:w="2552" w:type="dxa"/>
            <w:shd w:val="clear" w:color="auto" w:fill="7F7F7F" w:themeFill="text1" w:themeFillTint="80"/>
            <w:vAlign w:val="center"/>
            <w:hideMark/>
          </w:tcPr>
          <w:p w14:paraId="3FE836B2" w14:textId="77777777" w:rsidR="003D3EF7" w:rsidRPr="00705BA8" w:rsidRDefault="003D3EF7" w:rsidP="003D3EF7">
            <w:pPr>
              <w:rPr>
                <w:color w:val="FFFFFF" w:themeColor="background1"/>
                <w:sz w:val="18"/>
              </w:rPr>
            </w:pPr>
            <w:r w:rsidRPr="00705BA8">
              <w:rPr>
                <w:color w:val="FFFFFF" w:themeColor="background1"/>
                <w:sz w:val="18"/>
              </w:rPr>
              <w:t>Complex assessment - medium activity</w:t>
            </w:r>
          </w:p>
        </w:tc>
        <w:tc>
          <w:tcPr>
            <w:tcW w:w="1559" w:type="dxa"/>
            <w:shd w:val="clear" w:color="auto" w:fill="auto"/>
            <w:vAlign w:val="center"/>
          </w:tcPr>
          <w:p w14:paraId="4A870E2D" w14:textId="77777777" w:rsidR="003D3EF7" w:rsidRPr="00705BA8" w:rsidRDefault="003D3EF7" w:rsidP="003D3EF7">
            <w:pPr>
              <w:jc w:val="center"/>
              <w:rPr>
                <w:sz w:val="18"/>
              </w:rPr>
            </w:pPr>
            <w:r w:rsidRPr="00705BA8">
              <w:rPr>
                <w:sz w:val="18"/>
              </w:rPr>
              <w:t>107</w:t>
            </w:r>
          </w:p>
        </w:tc>
        <w:tc>
          <w:tcPr>
            <w:tcW w:w="1418" w:type="dxa"/>
            <w:vAlign w:val="center"/>
          </w:tcPr>
          <w:p w14:paraId="3A37A113" w14:textId="4A481A55" w:rsidR="003D3EF7" w:rsidRPr="00705BA8" w:rsidRDefault="003D3EF7" w:rsidP="003D3EF7">
            <w:pPr>
              <w:jc w:val="center"/>
              <w:rPr>
                <w:sz w:val="18"/>
              </w:rPr>
            </w:pPr>
            <w:r w:rsidRPr="00056780">
              <w:t xml:space="preserve">84 </w:t>
            </w:r>
          </w:p>
        </w:tc>
        <w:tc>
          <w:tcPr>
            <w:tcW w:w="1559" w:type="dxa"/>
            <w:vAlign w:val="center"/>
          </w:tcPr>
          <w:p w14:paraId="032B2FBF" w14:textId="4B2701AD" w:rsidR="003D3EF7" w:rsidRPr="00705BA8" w:rsidRDefault="003D3EF7" w:rsidP="00495A21">
            <w:pPr>
              <w:jc w:val="center"/>
              <w:rPr>
                <w:sz w:val="18"/>
              </w:rPr>
            </w:pPr>
            <w:r w:rsidRPr="0027578A">
              <w:t xml:space="preserve">114 </w:t>
            </w:r>
          </w:p>
        </w:tc>
        <w:tc>
          <w:tcPr>
            <w:tcW w:w="1701" w:type="dxa"/>
            <w:vAlign w:val="center"/>
          </w:tcPr>
          <w:p w14:paraId="2AD35DB2" w14:textId="327818AC" w:rsidR="003D3EF7" w:rsidRPr="00705BA8" w:rsidRDefault="003D3EF7">
            <w:pPr>
              <w:jc w:val="center"/>
              <w:rPr>
                <w:sz w:val="18"/>
              </w:rPr>
            </w:pPr>
            <w:r w:rsidRPr="00D85C4E">
              <w:t xml:space="preserve">48 </w:t>
            </w:r>
          </w:p>
        </w:tc>
      </w:tr>
      <w:tr w:rsidR="003D3EF7" w:rsidRPr="00556915" w14:paraId="4A2C5732" w14:textId="77777777" w:rsidTr="00CB368A">
        <w:trPr>
          <w:trHeight w:val="253"/>
        </w:trPr>
        <w:tc>
          <w:tcPr>
            <w:tcW w:w="2552" w:type="dxa"/>
            <w:shd w:val="clear" w:color="auto" w:fill="7F7F7F" w:themeFill="text1" w:themeFillTint="80"/>
            <w:vAlign w:val="center"/>
            <w:hideMark/>
          </w:tcPr>
          <w:p w14:paraId="64EBB150" w14:textId="77777777" w:rsidR="003D3EF7" w:rsidRPr="00705BA8" w:rsidRDefault="003D3EF7" w:rsidP="003D3EF7">
            <w:pPr>
              <w:rPr>
                <w:color w:val="FFFFFF" w:themeColor="background1"/>
                <w:sz w:val="18"/>
              </w:rPr>
            </w:pPr>
            <w:r w:rsidRPr="00705BA8">
              <w:rPr>
                <w:color w:val="FFFFFF" w:themeColor="background1"/>
                <w:sz w:val="18"/>
              </w:rPr>
              <w:t>Complex assessment - large activity</w:t>
            </w:r>
          </w:p>
        </w:tc>
        <w:tc>
          <w:tcPr>
            <w:tcW w:w="1559" w:type="dxa"/>
            <w:shd w:val="clear" w:color="auto" w:fill="auto"/>
            <w:vAlign w:val="center"/>
          </w:tcPr>
          <w:p w14:paraId="40FE331D" w14:textId="77777777" w:rsidR="003D3EF7" w:rsidRPr="00705BA8" w:rsidRDefault="003D3EF7" w:rsidP="003D3EF7">
            <w:pPr>
              <w:jc w:val="center"/>
              <w:rPr>
                <w:sz w:val="18"/>
              </w:rPr>
            </w:pPr>
            <w:r w:rsidRPr="00705BA8">
              <w:rPr>
                <w:sz w:val="18"/>
              </w:rPr>
              <w:t>213</w:t>
            </w:r>
          </w:p>
        </w:tc>
        <w:tc>
          <w:tcPr>
            <w:tcW w:w="1418" w:type="dxa"/>
            <w:vAlign w:val="center"/>
          </w:tcPr>
          <w:p w14:paraId="72FBAC55" w14:textId="44575B9F" w:rsidR="003D3EF7" w:rsidRPr="00705BA8" w:rsidRDefault="003D3EF7" w:rsidP="003D3EF7">
            <w:pPr>
              <w:jc w:val="center"/>
              <w:rPr>
                <w:sz w:val="18"/>
              </w:rPr>
            </w:pPr>
            <w:r w:rsidRPr="00056780">
              <w:t xml:space="preserve">167 </w:t>
            </w:r>
          </w:p>
        </w:tc>
        <w:tc>
          <w:tcPr>
            <w:tcW w:w="1559" w:type="dxa"/>
            <w:vAlign w:val="center"/>
          </w:tcPr>
          <w:p w14:paraId="3C0F400D" w14:textId="6662B422" w:rsidR="003D3EF7" w:rsidRPr="00705BA8" w:rsidRDefault="003D3EF7" w:rsidP="00495A21">
            <w:pPr>
              <w:jc w:val="center"/>
              <w:rPr>
                <w:sz w:val="18"/>
              </w:rPr>
            </w:pPr>
            <w:r w:rsidRPr="0027578A">
              <w:t xml:space="preserve">227 </w:t>
            </w:r>
          </w:p>
        </w:tc>
        <w:tc>
          <w:tcPr>
            <w:tcW w:w="1701" w:type="dxa"/>
            <w:vAlign w:val="center"/>
          </w:tcPr>
          <w:p w14:paraId="30190046" w14:textId="73A5603A" w:rsidR="003D3EF7" w:rsidRPr="00705BA8" w:rsidRDefault="003D3EF7">
            <w:pPr>
              <w:jc w:val="center"/>
              <w:rPr>
                <w:sz w:val="18"/>
              </w:rPr>
            </w:pPr>
            <w:r w:rsidRPr="00D85C4E">
              <w:t xml:space="preserve">96 </w:t>
            </w:r>
          </w:p>
        </w:tc>
      </w:tr>
      <w:tr w:rsidR="003D3EF7" w:rsidRPr="00556915" w14:paraId="48D3DDD5" w14:textId="77777777" w:rsidTr="00CB368A">
        <w:trPr>
          <w:trHeight w:val="253"/>
        </w:trPr>
        <w:tc>
          <w:tcPr>
            <w:tcW w:w="2552" w:type="dxa"/>
            <w:shd w:val="clear" w:color="auto" w:fill="7F7F7F" w:themeFill="text1" w:themeFillTint="80"/>
            <w:vAlign w:val="center"/>
            <w:hideMark/>
          </w:tcPr>
          <w:p w14:paraId="2219E3DF" w14:textId="77777777" w:rsidR="003D3EF7" w:rsidRPr="00705BA8" w:rsidRDefault="003D3EF7" w:rsidP="003D3EF7">
            <w:pPr>
              <w:rPr>
                <w:b/>
                <w:bCs/>
                <w:color w:val="FFFFFF" w:themeColor="background1"/>
                <w:sz w:val="18"/>
              </w:rPr>
            </w:pPr>
            <w:r w:rsidRPr="00705BA8">
              <w:rPr>
                <w:b/>
                <w:bCs/>
                <w:color w:val="FFFFFF" w:themeColor="background1"/>
                <w:sz w:val="18"/>
              </w:rPr>
              <w:t>Approval of an amendment to a CHMP</w:t>
            </w:r>
          </w:p>
        </w:tc>
        <w:tc>
          <w:tcPr>
            <w:tcW w:w="1559" w:type="dxa"/>
            <w:shd w:val="clear" w:color="auto" w:fill="auto"/>
            <w:vAlign w:val="center"/>
          </w:tcPr>
          <w:p w14:paraId="56479928" w14:textId="77777777" w:rsidR="003D3EF7" w:rsidRPr="00705BA8" w:rsidRDefault="003D3EF7" w:rsidP="003D3EF7">
            <w:pPr>
              <w:jc w:val="center"/>
              <w:rPr>
                <w:sz w:val="18"/>
              </w:rPr>
            </w:pPr>
            <w:r w:rsidRPr="00705BA8">
              <w:rPr>
                <w:sz w:val="18"/>
              </w:rPr>
              <w:t>32</w:t>
            </w:r>
          </w:p>
        </w:tc>
        <w:tc>
          <w:tcPr>
            <w:tcW w:w="1418" w:type="dxa"/>
            <w:vAlign w:val="center"/>
          </w:tcPr>
          <w:p w14:paraId="13CB87C0" w14:textId="2A699625" w:rsidR="003D3EF7" w:rsidRPr="00705BA8" w:rsidRDefault="003D3EF7" w:rsidP="003D3EF7">
            <w:pPr>
              <w:jc w:val="center"/>
              <w:rPr>
                <w:sz w:val="18"/>
              </w:rPr>
            </w:pPr>
            <w:r w:rsidRPr="00056780">
              <w:t xml:space="preserve">53 </w:t>
            </w:r>
          </w:p>
        </w:tc>
        <w:tc>
          <w:tcPr>
            <w:tcW w:w="1559" w:type="dxa"/>
            <w:vAlign w:val="center"/>
          </w:tcPr>
          <w:p w14:paraId="022379AA" w14:textId="2FB1D3B2" w:rsidR="003D3EF7" w:rsidRPr="00705BA8" w:rsidRDefault="003D3EF7" w:rsidP="00495A21">
            <w:pPr>
              <w:jc w:val="center"/>
              <w:rPr>
                <w:sz w:val="18"/>
              </w:rPr>
            </w:pPr>
            <w:r w:rsidRPr="0027578A">
              <w:t xml:space="preserve">80 </w:t>
            </w:r>
          </w:p>
        </w:tc>
        <w:tc>
          <w:tcPr>
            <w:tcW w:w="1701" w:type="dxa"/>
            <w:vAlign w:val="center"/>
          </w:tcPr>
          <w:p w14:paraId="25FF28FB" w14:textId="54132DBA" w:rsidR="003D3EF7" w:rsidRPr="00705BA8" w:rsidRDefault="003D3EF7">
            <w:pPr>
              <w:jc w:val="center"/>
              <w:rPr>
                <w:sz w:val="18"/>
              </w:rPr>
            </w:pPr>
            <w:r w:rsidRPr="00D85C4E">
              <w:t xml:space="preserve">28 </w:t>
            </w:r>
          </w:p>
        </w:tc>
      </w:tr>
      <w:tr w:rsidR="003D3EF7" w:rsidRPr="00556915" w14:paraId="6204841E" w14:textId="77777777" w:rsidTr="00CB368A">
        <w:trPr>
          <w:trHeight w:val="253"/>
        </w:trPr>
        <w:tc>
          <w:tcPr>
            <w:tcW w:w="2552" w:type="dxa"/>
            <w:shd w:val="clear" w:color="auto" w:fill="7F7F7F" w:themeFill="text1" w:themeFillTint="80"/>
            <w:vAlign w:val="center"/>
            <w:hideMark/>
          </w:tcPr>
          <w:p w14:paraId="02F20B26" w14:textId="77777777" w:rsidR="003D3EF7" w:rsidRPr="00705BA8" w:rsidRDefault="003D3EF7" w:rsidP="003D3EF7">
            <w:pPr>
              <w:rPr>
                <w:b/>
                <w:bCs/>
                <w:color w:val="FFFFFF" w:themeColor="background1"/>
                <w:sz w:val="18"/>
              </w:rPr>
            </w:pPr>
            <w:r w:rsidRPr="00705BA8">
              <w:rPr>
                <w:b/>
                <w:bCs/>
                <w:color w:val="FFFFFF" w:themeColor="background1"/>
                <w:sz w:val="18"/>
              </w:rPr>
              <w:t>Application for access to the Register</w:t>
            </w:r>
          </w:p>
        </w:tc>
        <w:tc>
          <w:tcPr>
            <w:tcW w:w="1559" w:type="dxa"/>
            <w:shd w:val="clear" w:color="auto" w:fill="auto"/>
            <w:vAlign w:val="center"/>
          </w:tcPr>
          <w:p w14:paraId="1AA27152" w14:textId="77777777" w:rsidR="003D3EF7" w:rsidRPr="00705BA8" w:rsidRDefault="003D3EF7" w:rsidP="003D3EF7">
            <w:pPr>
              <w:jc w:val="center"/>
              <w:rPr>
                <w:sz w:val="18"/>
              </w:rPr>
            </w:pPr>
            <w:r w:rsidRPr="00705BA8">
              <w:rPr>
                <w:sz w:val="18"/>
              </w:rPr>
              <w:t>16</w:t>
            </w:r>
          </w:p>
        </w:tc>
        <w:tc>
          <w:tcPr>
            <w:tcW w:w="1418" w:type="dxa"/>
            <w:vAlign w:val="center"/>
          </w:tcPr>
          <w:p w14:paraId="64E21953" w14:textId="7ECE1F25" w:rsidR="003D3EF7" w:rsidRPr="00705BA8" w:rsidRDefault="003D3EF7" w:rsidP="003D3EF7">
            <w:pPr>
              <w:jc w:val="center"/>
              <w:rPr>
                <w:sz w:val="18"/>
              </w:rPr>
            </w:pPr>
            <w:r w:rsidRPr="00056780">
              <w:t xml:space="preserve">18 </w:t>
            </w:r>
          </w:p>
        </w:tc>
        <w:tc>
          <w:tcPr>
            <w:tcW w:w="1559" w:type="dxa"/>
            <w:vAlign w:val="center"/>
          </w:tcPr>
          <w:p w14:paraId="50F28162" w14:textId="448DC1D5" w:rsidR="003D3EF7" w:rsidRPr="00705BA8" w:rsidRDefault="003D3EF7" w:rsidP="00495A21">
            <w:pPr>
              <w:jc w:val="center"/>
              <w:rPr>
                <w:sz w:val="18"/>
              </w:rPr>
            </w:pPr>
            <w:r w:rsidRPr="0027578A">
              <w:t xml:space="preserve">18 </w:t>
            </w:r>
          </w:p>
        </w:tc>
        <w:tc>
          <w:tcPr>
            <w:tcW w:w="1701" w:type="dxa"/>
            <w:vAlign w:val="center"/>
          </w:tcPr>
          <w:p w14:paraId="025A6C97" w14:textId="0D51D7BB" w:rsidR="003D3EF7" w:rsidRPr="00705BA8" w:rsidRDefault="003D3EF7">
            <w:pPr>
              <w:jc w:val="center"/>
              <w:rPr>
                <w:sz w:val="18"/>
              </w:rPr>
            </w:pPr>
            <w:r w:rsidRPr="00D85C4E">
              <w:t xml:space="preserve">N/A </w:t>
            </w:r>
          </w:p>
        </w:tc>
      </w:tr>
      <w:tr w:rsidR="003D3EF7" w:rsidRPr="00556915" w14:paraId="405F1DA7" w14:textId="77777777" w:rsidTr="00CB368A">
        <w:trPr>
          <w:trHeight w:val="253"/>
        </w:trPr>
        <w:tc>
          <w:tcPr>
            <w:tcW w:w="2552" w:type="dxa"/>
            <w:shd w:val="clear" w:color="auto" w:fill="7F7F7F" w:themeFill="text1" w:themeFillTint="80"/>
            <w:vAlign w:val="center"/>
            <w:hideMark/>
          </w:tcPr>
          <w:p w14:paraId="624D53A2" w14:textId="77777777" w:rsidR="003D3EF7" w:rsidRPr="00705BA8" w:rsidRDefault="003D3EF7" w:rsidP="003D3EF7">
            <w:pPr>
              <w:rPr>
                <w:b/>
                <w:bCs/>
                <w:color w:val="FFFFFF" w:themeColor="background1"/>
                <w:sz w:val="18"/>
              </w:rPr>
            </w:pPr>
            <w:r w:rsidRPr="00705BA8">
              <w:rPr>
                <w:b/>
                <w:bCs/>
                <w:color w:val="FFFFFF" w:themeColor="background1"/>
                <w:sz w:val="18"/>
              </w:rPr>
              <w:t>Application for advice on the Register</w:t>
            </w:r>
          </w:p>
        </w:tc>
        <w:tc>
          <w:tcPr>
            <w:tcW w:w="1559" w:type="dxa"/>
            <w:shd w:val="clear" w:color="auto" w:fill="auto"/>
            <w:vAlign w:val="center"/>
          </w:tcPr>
          <w:p w14:paraId="4B8E4B70" w14:textId="77777777" w:rsidR="003D3EF7" w:rsidRPr="00705BA8" w:rsidRDefault="003D3EF7" w:rsidP="003D3EF7">
            <w:pPr>
              <w:jc w:val="center"/>
              <w:rPr>
                <w:sz w:val="18"/>
              </w:rPr>
            </w:pPr>
            <w:r w:rsidRPr="00705BA8">
              <w:rPr>
                <w:sz w:val="18"/>
              </w:rPr>
              <w:t>6</w:t>
            </w:r>
          </w:p>
        </w:tc>
        <w:tc>
          <w:tcPr>
            <w:tcW w:w="1418" w:type="dxa"/>
            <w:vAlign w:val="center"/>
          </w:tcPr>
          <w:p w14:paraId="2CF0DC82" w14:textId="17CDE220" w:rsidR="003D3EF7" w:rsidRPr="00705BA8" w:rsidRDefault="003D3EF7" w:rsidP="003D3EF7">
            <w:pPr>
              <w:jc w:val="center"/>
              <w:rPr>
                <w:sz w:val="18"/>
              </w:rPr>
            </w:pPr>
            <w:r w:rsidRPr="00056780">
              <w:t xml:space="preserve">12 </w:t>
            </w:r>
          </w:p>
        </w:tc>
        <w:tc>
          <w:tcPr>
            <w:tcW w:w="1559" w:type="dxa"/>
            <w:vAlign w:val="center"/>
          </w:tcPr>
          <w:p w14:paraId="2F483262" w14:textId="50689A26" w:rsidR="003D3EF7" w:rsidRPr="00705BA8" w:rsidRDefault="003D3EF7" w:rsidP="00495A21">
            <w:pPr>
              <w:jc w:val="center"/>
              <w:rPr>
                <w:sz w:val="18"/>
              </w:rPr>
            </w:pPr>
            <w:r w:rsidRPr="0027578A">
              <w:t xml:space="preserve">12 </w:t>
            </w:r>
          </w:p>
        </w:tc>
        <w:tc>
          <w:tcPr>
            <w:tcW w:w="1701" w:type="dxa"/>
            <w:vAlign w:val="center"/>
          </w:tcPr>
          <w:p w14:paraId="7FC19431" w14:textId="57EE8A4E" w:rsidR="003D3EF7" w:rsidRPr="00705BA8" w:rsidRDefault="003D3EF7">
            <w:pPr>
              <w:jc w:val="center"/>
              <w:rPr>
                <w:sz w:val="18"/>
              </w:rPr>
            </w:pPr>
            <w:r w:rsidRPr="00D85C4E">
              <w:t xml:space="preserve">N/A </w:t>
            </w:r>
          </w:p>
        </w:tc>
      </w:tr>
    </w:tbl>
    <w:p w14:paraId="753BB270" w14:textId="753CBEC1" w:rsidR="00E709D8" w:rsidRPr="00705BA8" w:rsidRDefault="006715B3" w:rsidP="00705BA8">
      <w:pPr>
        <w:pStyle w:val="PwCNormal"/>
        <w:rPr>
          <w:color w:val="A32020" w:themeColor="text2"/>
          <w:sz w:val="18"/>
        </w:rPr>
      </w:pPr>
      <w:r w:rsidRPr="00705BA8">
        <w:rPr>
          <w:color w:val="A32020" w:themeColor="text2"/>
          <w:sz w:val="18"/>
        </w:rPr>
        <w:t>Note: The central estimates have been applied to the medium activity</w:t>
      </w:r>
      <w:r w:rsidR="00276AFD">
        <w:rPr>
          <w:color w:val="A32020" w:themeColor="text2"/>
          <w:sz w:val="18"/>
        </w:rPr>
        <w:t xml:space="preserve"> area</w:t>
      </w:r>
      <w:r w:rsidRPr="00705BA8">
        <w:rPr>
          <w:color w:val="A32020" w:themeColor="text2"/>
          <w:sz w:val="18"/>
        </w:rPr>
        <w:t xml:space="preserve"> fee for PAHT and CHMP </w:t>
      </w:r>
      <w:r w:rsidR="00276AFD">
        <w:rPr>
          <w:color w:val="A32020" w:themeColor="text2"/>
          <w:sz w:val="18"/>
        </w:rPr>
        <w:t>evaluations</w:t>
      </w:r>
      <w:r w:rsidRPr="00705BA8">
        <w:rPr>
          <w:color w:val="A32020" w:themeColor="text2"/>
          <w:sz w:val="18"/>
        </w:rPr>
        <w:t xml:space="preserve">, and adjusted up and down for </w:t>
      </w:r>
      <w:r>
        <w:rPr>
          <w:color w:val="A32020" w:themeColor="text2"/>
          <w:sz w:val="18"/>
        </w:rPr>
        <w:t xml:space="preserve">the number of authorities and </w:t>
      </w:r>
      <w:r w:rsidRPr="00705BA8">
        <w:rPr>
          <w:color w:val="A32020" w:themeColor="text2"/>
          <w:sz w:val="18"/>
        </w:rPr>
        <w:t>small and large activities based on the current relativities.</w:t>
      </w:r>
    </w:p>
    <w:p w14:paraId="0BCDF4D4" w14:textId="0C70E7CC" w:rsidR="00E5103C" w:rsidRDefault="006715B3" w:rsidP="00705BA8">
      <w:pPr>
        <w:pStyle w:val="Caption"/>
      </w:pPr>
      <w:r>
        <w:t>Assessment of fee options</w:t>
      </w:r>
    </w:p>
    <w:p w14:paraId="32A9B87A" w14:textId="711B764B" w:rsidR="00763EF5" w:rsidRDefault="00763EF5" w:rsidP="00705BA8">
      <w:pPr>
        <w:pStyle w:val="PwCNormal"/>
      </w:pPr>
      <w:r>
        <w:t>The fee options are assessed using multi-criteria analysis as they do not involve direct costs and benefits.</w:t>
      </w:r>
    </w:p>
    <w:p w14:paraId="47F4E4BB" w14:textId="0B9F3777" w:rsidR="00763EF5" w:rsidRDefault="00763EF5" w:rsidP="00705BA8">
      <w:pPr>
        <w:pStyle w:val="PwCNormal"/>
      </w:pPr>
      <w:r w:rsidRPr="00763EF5">
        <w:t xml:space="preserve">Under the base case, fees levels </w:t>
      </w:r>
      <w:r w:rsidR="00BF4AA8">
        <w:t>c</w:t>
      </w:r>
      <w:r w:rsidR="00BF4AA8" w:rsidRPr="00763EF5">
        <w:t xml:space="preserve">ould </w:t>
      </w:r>
      <w:r w:rsidRPr="00763EF5">
        <w:t xml:space="preserve">not be set, which means fees would not be charged. RAPs may either not choose to undertake any </w:t>
      </w:r>
      <w:r w:rsidR="006F61FC">
        <w:t>evaluations</w:t>
      </w:r>
      <w:r w:rsidRPr="00763EF5">
        <w:t xml:space="preserve">, or their financial sustainability may be jeopardised if they cannot find other funding to cover the cost of undertaking </w:t>
      </w:r>
      <w:r w:rsidR="006F61FC">
        <w:t>evaluations</w:t>
      </w:r>
      <w:r w:rsidRPr="00763EF5">
        <w:t>.</w:t>
      </w:r>
    </w:p>
    <w:p w14:paraId="60468533" w14:textId="33BBC2AF" w:rsidR="006715B3" w:rsidRDefault="00763EF5" w:rsidP="00705BA8">
      <w:pPr>
        <w:pStyle w:val="PwCNormal"/>
      </w:pPr>
      <w:r>
        <w:fldChar w:fldCharType="begin"/>
      </w:r>
      <w:r>
        <w:instrText xml:space="preserve"> REF _Ref505174682 \h </w:instrText>
      </w:r>
      <w:r>
        <w:fldChar w:fldCharType="separate"/>
      </w:r>
      <w:r w:rsidR="000369A1">
        <w:t xml:space="preserve">Table </w:t>
      </w:r>
      <w:r w:rsidR="000369A1">
        <w:rPr>
          <w:noProof/>
        </w:rPr>
        <w:t>7</w:t>
      </w:r>
      <w:r>
        <w:fldChar w:fldCharType="end"/>
      </w:r>
      <w:r>
        <w:t xml:space="preserve"> </w:t>
      </w:r>
      <w:r w:rsidRPr="00763EF5">
        <w:t>provides the MCA scoring of the fee options. These scores and their components provide an indication of the relative costs and benefits of each option.</w:t>
      </w:r>
    </w:p>
    <w:p w14:paraId="12B99BE4" w14:textId="01594B6B" w:rsidR="00763EF5" w:rsidRDefault="00763EF5" w:rsidP="00705BA8">
      <w:pPr>
        <w:pStyle w:val="Caption"/>
      </w:pPr>
      <w:bookmarkStart w:id="26" w:name="_Ref505174682"/>
      <w:r>
        <w:t xml:space="preserve">Table </w:t>
      </w:r>
      <w:r w:rsidR="00B47FE6">
        <w:fldChar w:fldCharType="begin"/>
      </w:r>
      <w:r w:rsidR="00B47FE6">
        <w:instrText xml:space="preserve"> SEQ Table \* ARABIC </w:instrText>
      </w:r>
      <w:r w:rsidR="00B47FE6">
        <w:fldChar w:fldCharType="separate"/>
      </w:r>
      <w:r w:rsidR="000369A1">
        <w:rPr>
          <w:noProof/>
        </w:rPr>
        <w:t>7</w:t>
      </w:r>
      <w:r w:rsidR="00B47FE6">
        <w:rPr>
          <w:noProof/>
        </w:rPr>
        <w:fldChar w:fldCharType="end"/>
      </w:r>
      <w:bookmarkEnd w:id="26"/>
      <w:r>
        <w:t>: Criteria and scoring of fee options (-</w:t>
      </w:r>
      <w:r w:rsidR="00F36329">
        <w:t>10</w:t>
      </w:r>
      <w:r>
        <w:t xml:space="preserve"> to +</w:t>
      </w:r>
      <w:r w:rsidR="00F36329">
        <w:t>10</w:t>
      </w:r>
      <w:r>
        <w:t>)</w:t>
      </w:r>
    </w:p>
    <w:tbl>
      <w:tblPr>
        <w:tblStyle w:val="TableGrid"/>
        <w:tblW w:w="9000"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1334"/>
        <w:gridCol w:w="1720"/>
        <w:gridCol w:w="657"/>
        <w:gridCol w:w="1325"/>
        <w:gridCol w:w="657"/>
        <w:gridCol w:w="1325"/>
        <w:gridCol w:w="657"/>
        <w:gridCol w:w="1325"/>
      </w:tblGrid>
      <w:tr w:rsidR="00170655" w14:paraId="792FB170" w14:textId="77777777" w:rsidTr="00C35804">
        <w:trPr>
          <w:cantSplit/>
          <w:trHeight w:val="184"/>
          <w:tblHeader/>
        </w:trPr>
        <w:tc>
          <w:tcPr>
            <w:tcW w:w="1334" w:type="dxa"/>
            <w:vMerge w:val="restart"/>
            <w:shd w:val="clear" w:color="auto" w:fill="A32020" w:themeFill="text2"/>
            <w:vAlign w:val="center"/>
          </w:tcPr>
          <w:p w14:paraId="752A39F7" w14:textId="51BD229B" w:rsidR="00763EF5" w:rsidRPr="00705BA8" w:rsidRDefault="00763EF5" w:rsidP="00A35429">
            <w:pPr>
              <w:rPr>
                <w:b/>
                <w:color w:val="FFFFFF" w:themeColor="background1"/>
                <w:sz w:val="18"/>
              </w:rPr>
            </w:pPr>
            <w:r w:rsidRPr="00705BA8">
              <w:rPr>
                <w:b/>
                <w:color w:val="FFFFFF" w:themeColor="background1"/>
                <w:sz w:val="18"/>
              </w:rPr>
              <w:t>Criteria</w:t>
            </w:r>
          </w:p>
        </w:tc>
        <w:tc>
          <w:tcPr>
            <w:tcW w:w="1720" w:type="dxa"/>
            <w:vMerge w:val="restart"/>
            <w:shd w:val="clear" w:color="auto" w:fill="A32020" w:themeFill="text2"/>
            <w:vAlign w:val="center"/>
          </w:tcPr>
          <w:p w14:paraId="25BD321A" w14:textId="4987909C" w:rsidR="00763EF5" w:rsidRPr="00705BA8" w:rsidRDefault="00763EF5" w:rsidP="00705BA8">
            <w:pPr>
              <w:rPr>
                <w:b/>
                <w:color w:val="FFFFFF" w:themeColor="background1"/>
                <w:sz w:val="18"/>
              </w:rPr>
            </w:pPr>
            <w:r w:rsidRPr="00705BA8">
              <w:rPr>
                <w:b/>
                <w:color w:val="FFFFFF" w:themeColor="background1"/>
                <w:sz w:val="18"/>
              </w:rPr>
              <w:t>Description</w:t>
            </w:r>
          </w:p>
        </w:tc>
        <w:tc>
          <w:tcPr>
            <w:tcW w:w="0" w:type="auto"/>
            <w:gridSpan w:val="2"/>
            <w:shd w:val="clear" w:color="auto" w:fill="A32020" w:themeFill="text2"/>
            <w:vAlign w:val="center"/>
          </w:tcPr>
          <w:p w14:paraId="6FFE9E1B" w14:textId="095BE718" w:rsidR="00763EF5" w:rsidRPr="00705BA8" w:rsidRDefault="00763EF5" w:rsidP="00A35429">
            <w:pPr>
              <w:jc w:val="center"/>
              <w:rPr>
                <w:b/>
                <w:color w:val="FFFFFF" w:themeColor="background1"/>
                <w:sz w:val="18"/>
              </w:rPr>
            </w:pPr>
            <w:r w:rsidRPr="00705BA8">
              <w:rPr>
                <w:b/>
                <w:color w:val="FFFFFF" w:themeColor="background1"/>
                <w:sz w:val="18"/>
              </w:rPr>
              <w:t>Option 1</w:t>
            </w:r>
          </w:p>
        </w:tc>
        <w:tc>
          <w:tcPr>
            <w:tcW w:w="0" w:type="auto"/>
            <w:gridSpan w:val="2"/>
            <w:shd w:val="clear" w:color="auto" w:fill="A32020" w:themeFill="text2"/>
            <w:vAlign w:val="center"/>
          </w:tcPr>
          <w:p w14:paraId="160468DF" w14:textId="77777777" w:rsidR="00763EF5" w:rsidRPr="00705BA8" w:rsidRDefault="00763EF5" w:rsidP="00A35429">
            <w:pPr>
              <w:jc w:val="center"/>
              <w:rPr>
                <w:b/>
                <w:color w:val="FFFFFF" w:themeColor="background1"/>
                <w:sz w:val="18"/>
              </w:rPr>
            </w:pPr>
            <w:r w:rsidRPr="00705BA8">
              <w:rPr>
                <w:b/>
                <w:color w:val="FFFFFF" w:themeColor="background1"/>
                <w:sz w:val="18"/>
              </w:rPr>
              <w:t>Option 2</w:t>
            </w:r>
          </w:p>
        </w:tc>
        <w:tc>
          <w:tcPr>
            <w:tcW w:w="0" w:type="auto"/>
            <w:gridSpan w:val="2"/>
            <w:shd w:val="clear" w:color="auto" w:fill="A32020" w:themeFill="text2"/>
            <w:vAlign w:val="center"/>
          </w:tcPr>
          <w:p w14:paraId="4237FE9D" w14:textId="77777777" w:rsidR="00763EF5" w:rsidRPr="00705BA8" w:rsidRDefault="00763EF5" w:rsidP="00A35429">
            <w:pPr>
              <w:jc w:val="center"/>
              <w:rPr>
                <w:b/>
                <w:color w:val="FFFFFF" w:themeColor="background1"/>
                <w:sz w:val="18"/>
              </w:rPr>
            </w:pPr>
            <w:r w:rsidRPr="00705BA8">
              <w:rPr>
                <w:b/>
                <w:color w:val="FFFFFF" w:themeColor="background1"/>
                <w:sz w:val="18"/>
              </w:rPr>
              <w:t>Option 3</w:t>
            </w:r>
          </w:p>
        </w:tc>
      </w:tr>
      <w:tr w:rsidR="00170655" w14:paraId="63EF08F2" w14:textId="77777777" w:rsidTr="00C35804">
        <w:trPr>
          <w:cantSplit/>
          <w:trHeight w:val="369"/>
          <w:tblHeader/>
        </w:trPr>
        <w:tc>
          <w:tcPr>
            <w:tcW w:w="1334" w:type="dxa"/>
            <w:vMerge/>
            <w:shd w:val="clear" w:color="auto" w:fill="F4CACA" w:themeFill="text2" w:themeFillTint="33"/>
            <w:vAlign w:val="center"/>
          </w:tcPr>
          <w:p w14:paraId="35B6FED0" w14:textId="5A66F9ED" w:rsidR="00763EF5" w:rsidRPr="00705BA8" w:rsidRDefault="00763EF5" w:rsidP="00A35429">
            <w:pPr>
              <w:rPr>
                <w:sz w:val="18"/>
              </w:rPr>
            </w:pPr>
          </w:p>
        </w:tc>
        <w:tc>
          <w:tcPr>
            <w:tcW w:w="1720" w:type="dxa"/>
            <w:vMerge/>
            <w:shd w:val="clear" w:color="auto" w:fill="F4CACA" w:themeFill="text2" w:themeFillTint="33"/>
          </w:tcPr>
          <w:p w14:paraId="06BEAC92" w14:textId="77777777" w:rsidR="00763EF5" w:rsidRPr="00705BA8" w:rsidRDefault="00763EF5" w:rsidP="00A35429">
            <w:pPr>
              <w:jc w:val="center"/>
              <w:rPr>
                <w:sz w:val="18"/>
              </w:rPr>
            </w:pPr>
          </w:p>
        </w:tc>
        <w:tc>
          <w:tcPr>
            <w:tcW w:w="0" w:type="auto"/>
            <w:shd w:val="clear" w:color="auto" w:fill="F4CACA" w:themeFill="text2" w:themeFillTint="33"/>
            <w:vAlign w:val="center"/>
          </w:tcPr>
          <w:p w14:paraId="485A4568" w14:textId="6637D3A1" w:rsidR="00763EF5" w:rsidRPr="00705BA8" w:rsidRDefault="00763EF5" w:rsidP="00A35429">
            <w:pPr>
              <w:jc w:val="center"/>
              <w:rPr>
                <w:sz w:val="18"/>
              </w:rPr>
            </w:pPr>
            <w:r w:rsidRPr="00705BA8">
              <w:rPr>
                <w:sz w:val="18"/>
              </w:rPr>
              <w:t>Score</w:t>
            </w:r>
          </w:p>
        </w:tc>
        <w:tc>
          <w:tcPr>
            <w:tcW w:w="0" w:type="auto"/>
            <w:shd w:val="clear" w:color="auto" w:fill="F4CACA" w:themeFill="text2" w:themeFillTint="33"/>
            <w:vAlign w:val="center"/>
          </w:tcPr>
          <w:p w14:paraId="4A258A70" w14:textId="77777777" w:rsidR="00763EF5" w:rsidRPr="00705BA8" w:rsidRDefault="00763EF5" w:rsidP="00A35429">
            <w:pPr>
              <w:jc w:val="center"/>
              <w:rPr>
                <w:sz w:val="18"/>
              </w:rPr>
            </w:pPr>
            <w:r w:rsidRPr="00705BA8">
              <w:rPr>
                <w:sz w:val="18"/>
              </w:rPr>
              <w:t>Weighted-score</w:t>
            </w:r>
          </w:p>
        </w:tc>
        <w:tc>
          <w:tcPr>
            <w:tcW w:w="0" w:type="auto"/>
            <w:shd w:val="clear" w:color="auto" w:fill="F4CACA" w:themeFill="text2" w:themeFillTint="33"/>
            <w:vAlign w:val="center"/>
          </w:tcPr>
          <w:p w14:paraId="1D3CB47F" w14:textId="77777777" w:rsidR="00763EF5" w:rsidRPr="00705BA8" w:rsidRDefault="00763EF5" w:rsidP="00A35429">
            <w:pPr>
              <w:jc w:val="center"/>
              <w:rPr>
                <w:sz w:val="18"/>
              </w:rPr>
            </w:pPr>
            <w:r w:rsidRPr="00705BA8">
              <w:rPr>
                <w:sz w:val="18"/>
              </w:rPr>
              <w:t>Score</w:t>
            </w:r>
          </w:p>
        </w:tc>
        <w:tc>
          <w:tcPr>
            <w:tcW w:w="0" w:type="auto"/>
            <w:shd w:val="clear" w:color="auto" w:fill="F4CACA" w:themeFill="text2" w:themeFillTint="33"/>
            <w:vAlign w:val="center"/>
          </w:tcPr>
          <w:p w14:paraId="3CE51C64" w14:textId="77777777" w:rsidR="00763EF5" w:rsidRPr="00705BA8" w:rsidRDefault="00763EF5" w:rsidP="00A35429">
            <w:pPr>
              <w:jc w:val="center"/>
              <w:rPr>
                <w:sz w:val="18"/>
              </w:rPr>
            </w:pPr>
            <w:r w:rsidRPr="00705BA8">
              <w:rPr>
                <w:sz w:val="18"/>
              </w:rPr>
              <w:t>Weighted-score</w:t>
            </w:r>
          </w:p>
        </w:tc>
        <w:tc>
          <w:tcPr>
            <w:tcW w:w="0" w:type="auto"/>
            <w:shd w:val="clear" w:color="auto" w:fill="F4CACA" w:themeFill="text2" w:themeFillTint="33"/>
            <w:vAlign w:val="center"/>
          </w:tcPr>
          <w:p w14:paraId="3C7F0145" w14:textId="77777777" w:rsidR="00763EF5" w:rsidRPr="00705BA8" w:rsidRDefault="00763EF5" w:rsidP="00A35429">
            <w:pPr>
              <w:jc w:val="center"/>
              <w:rPr>
                <w:sz w:val="18"/>
              </w:rPr>
            </w:pPr>
            <w:r w:rsidRPr="00705BA8">
              <w:rPr>
                <w:sz w:val="18"/>
              </w:rPr>
              <w:t>Score</w:t>
            </w:r>
          </w:p>
        </w:tc>
        <w:tc>
          <w:tcPr>
            <w:tcW w:w="0" w:type="auto"/>
            <w:shd w:val="clear" w:color="auto" w:fill="F4CACA" w:themeFill="text2" w:themeFillTint="33"/>
            <w:vAlign w:val="center"/>
          </w:tcPr>
          <w:p w14:paraId="6F607ED8" w14:textId="77777777" w:rsidR="00763EF5" w:rsidRPr="00705BA8" w:rsidRDefault="00763EF5" w:rsidP="00A35429">
            <w:pPr>
              <w:jc w:val="center"/>
              <w:rPr>
                <w:sz w:val="18"/>
              </w:rPr>
            </w:pPr>
            <w:r w:rsidRPr="00705BA8">
              <w:rPr>
                <w:sz w:val="18"/>
              </w:rPr>
              <w:t>Weighted-score</w:t>
            </w:r>
          </w:p>
        </w:tc>
      </w:tr>
      <w:tr w:rsidR="00763EF5" w14:paraId="36F98053" w14:textId="77777777" w:rsidTr="00763EF5">
        <w:trPr>
          <w:cantSplit/>
          <w:trHeight w:val="369"/>
        </w:trPr>
        <w:tc>
          <w:tcPr>
            <w:tcW w:w="1334" w:type="dxa"/>
            <w:vAlign w:val="center"/>
          </w:tcPr>
          <w:p w14:paraId="64371C14" w14:textId="77777777" w:rsidR="00763EF5" w:rsidRPr="00705BA8" w:rsidRDefault="00763EF5" w:rsidP="00A35429">
            <w:pPr>
              <w:rPr>
                <w:sz w:val="18"/>
              </w:rPr>
            </w:pPr>
            <w:r w:rsidRPr="00705BA8">
              <w:rPr>
                <w:sz w:val="18"/>
              </w:rPr>
              <w:t>Full cost recovery (60%)</w:t>
            </w:r>
          </w:p>
        </w:tc>
        <w:tc>
          <w:tcPr>
            <w:tcW w:w="1720" w:type="dxa"/>
            <w:vAlign w:val="center"/>
          </w:tcPr>
          <w:p w14:paraId="7D8A476C" w14:textId="59AF0277" w:rsidR="00763EF5" w:rsidRPr="00705BA8" w:rsidRDefault="00763EF5" w:rsidP="00276AFD">
            <w:pPr>
              <w:rPr>
                <w:sz w:val="18"/>
              </w:rPr>
            </w:pPr>
            <w:r w:rsidRPr="00705BA8">
              <w:rPr>
                <w:sz w:val="18"/>
              </w:rPr>
              <w:t xml:space="preserve">Ensuring that fees are </w:t>
            </w:r>
            <w:r w:rsidR="00276AFD">
              <w:rPr>
                <w:sz w:val="18"/>
              </w:rPr>
              <w:t>sufficient</w:t>
            </w:r>
            <w:r w:rsidR="00276AFD" w:rsidRPr="00705BA8">
              <w:rPr>
                <w:sz w:val="18"/>
              </w:rPr>
              <w:t xml:space="preserve"> </w:t>
            </w:r>
            <w:r w:rsidRPr="00705BA8">
              <w:rPr>
                <w:sz w:val="18"/>
              </w:rPr>
              <w:t>and effective, and reflect the full costs of the activities</w:t>
            </w:r>
          </w:p>
        </w:tc>
        <w:tc>
          <w:tcPr>
            <w:tcW w:w="0" w:type="auto"/>
            <w:vAlign w:val="center"/>
          </w:tcPr>
          <w:p w14:paraId="313D283F" w14:textId="29FE6AB9" w:rsidR="00763EF5" w:rsidRPr="00705BA8" w:rsidRDefault="00763EF5" w:rsidP="00A35429">
            <w:pPr>
              <w:jc w:val="center"/>
              <w:rPr>
                <w:sz w:val="18"/>
              </w:rPr>
            </w:pPr>
            <w:r w:rsidRPr="00705BA8">
              <w:rPr>
                <w:sz w:val="18"/>
              </w:rPr>
              <w:t>+</w:t>
            </w:r>
            <w:r w:rsidR="00F36329">
              <w:rPr>
                <w:sz w:val="18"/>
              </w:rPr>
              <w:t>4</w:t>
            </w:r>
          </w:p>
        </w:tc>
        <w:tc>
          <w:tcPr>
            <w:tcW w:w="0" w:type="auto"/>
            <w:vAlign w:val="center"/>
          </w:tcPr>
          <w:p w14:paraId="123DD1D4" w14:textId="2050F1D5" w:rsidR="00763EF5" w:rsidRPr="00705BA8" w:rsidRDefault="00763EF5" w:rsidP="00A35429">
            <w:pPr>
              <w:jc w:val="center"/>
              <w:rPr>
                <w:sz w:val="18"/>
              </w:rPr>
            </w:pPr>
            <w:r w:rsidRPr="00705BA8">
              <w:rPr>
                <w:sz w:val="18"/>
              </w:rPr>
              <w:t>+</w:t>
            </w:r>
            <w:r w:rsidR="00F36329">
              <w:rPr>
                <w:sz w:val="18"/>
              </w:rPr>
              <w:t>2.4</w:t>
            </w:r>
          </w:p>
        </w:tc>
        <w:tc>
          <w:tcPr>
            <w:tcW w:w="0" w:type="auto"/>
            <w:vAlign w:val="center"/>
          </w:tcPr>
          <w:p w14:paraId="68A77CCB" w14:textId="5C5A3BD0" w:rsidR="00763EF5" w:rsidRPr="00705BA8" w:rsidRDefault="00763EF5" w:rsidP="00A35429">
            <w:pPr>
              <w:jc w:val="center"/>
              <w:rPr>
                <w:sz w:val="18"/>
              </w:rPr>
            </w:pPr>
            <w:r w:rsidRPr="00705BA8">
              <w:rPr>
                <w:sz w:val="18"/>
              </w:rPr>
              <w:t>+</w:t>
            </w:r>
            <w:r w:rsidR="00F36329">
              <w:rPr>
                <w:sz w:val="18"/>
              </w:rPr>
              <w:t>5</w:t>
            </w:r>
          </w:p>
        </w:tc>
        <w:tc>
          <w:tcPr>
            <w:tcW w:w="0" w:type="auto"/>
            <w:vAlign w:val="center"/>
          </w:tcPr>
          <w:p w14:paraId="7C6B5C39" w14:textId="0CB586B0" w:rsidR="00763EF5" w:rsidRPr="00705BA8" w:rsidRDefault="00763EF5" w:rsidP="00A35429">
            <w:pPr>
              <w:jc w:val="center"/>
              <w:rPr>
                <w:sz w:val="18"/>
              </w:rPr>
            </w:pPr>
            <w:r w:rsidRPr="00705BA8">
              <w:rPr>
                <w:sz w:val="18"/>
              </w:rPr>
              <w:t>+</w:t>
            </w:r>
            <w:r w:rsidR="00F36329">
              <w:rPr>
                <w:sz w:val="18"/>
              </w:rPr>
              <w:t>3.0</w:t>
            </w:r>
          </w:p>
        </w:tc>
        <w:tc>
          <w:tcPr>
            <w:tcW w:w="0" w:type="auto"/>
            <w:vAlign w:val="center"/>
          </w:tcPr>
          <w:p w14:paraId="3DBDE6CD" w14:textId="2AFCC589" w:rsidR="00763EF5" w:rsidRPr="00705BA8" w:rsidRDefault="00763EF5" w:rsidP="00A35429">
            <w:pPr>
              <w:jc w:val="center"/>
              <w:rPr>
                <w:sz w:val="18"/>
              </w:rPr>
            </w:pPr>
            <w:r w:rsidRPr="00705BA8">
              <w:rPr>
                <w:sz w:val="18"/>
              </w:rPr>
              <w:t>+</w:t>
            </w:r>
            <w:r w:rsidR="00F36329">
              <w:rPr>
                <w:sz w:val="18"/>
              </w:rPr>
              <w:t>5</w:t>
            </w:r>
          </w:p>
        </w:tc>
        <w:tc>
          <w:tcPr>
            <w:tcW w:w="0" w:type="auto"/>
            <w:vAlign w:val="center"/>
          </w:tcPr>
          <w:p w14:paraId="394C161F" w14:textId="3E32EA11" w:rsidR="00763EF5" w:rsidRPr="00705BA8" w:rsidRDefault="00763EF5" w:rsidP="00A35429">
            <w:pPr>
              <w:jc w:val="center"/>
              <w:rPr>
                <w:sz w:val="18"/>
              </w:rPr>
            </w:pPr>
            <w:r w:rsidRPr="00705BA8">
              <w:rPr>
                <w:sz w:val="18"/>
              </w:rPr>
              <w:t>+</w:t>
            </w:r>
            <w:r w:rsidR="00F36329">
              <w:rPr>
                <w:sz w:val="18"/>
              </w:rPr>
              <w:t>3.0</w:t>
            </w:r>
          </w:p>
        </w:tc>
      </w:tr>
      <w:tr w:rsidR="00763EF5" w14:paraId="3E24FB15" w14:textId="77777777" w:rsidTr="00763EF5">
        <w:trPr>
          <w:cantSplit/>
          <w:trHeight w:val="369"/>
        </w:trPr>
        <w:tc>
          <w:tcPr>
            <w:tcW w:w="1334" w:type="dxa"/>
            <w:vAlign w:val="center"/>
          </w:tcPr>
          <w:p w14:paraId="1CBCBA8F" w14:textId="77777777" w:rsidR="00763EF5" w:rsidRPr="00705BA8" w:rsidRDefault="00763EF5" w:rsidP="00A35429">
            <w:pPr>
              <w:rPr>
                <w:sz w:val="18"/>
              </w:rPr>
            </w:pPr>
            <w:r w:rsidRPr="00705BA8">
              <w:rPr>
                <w:sz w:val="18"/>
              </w:rPr>
              <w:t>Preventing induced demand changes (20%)</w:t>
            </w:r>
          </w:p>
        </w:tc>
        <w:tc>
          <w:tcPr>
            <w:tcW w:w="1720" w:type="dxa"/>
            <w:vAlign w:val="center"/>
          </w:tcPr>
          <w:p w14:paraId="6B9D01C6" w14:textId="3BFB0DD3" w:rsidR="00763EF5" w:rsidRPr="00705BA8" w:rsidRDefault="00763EF5" w:rsidP="00BF4AA8">
            <w:pPr>
              <w:rPr>
                <w:sz w:val="18"/>
              </w:rPr>
            </w:pPr>
            <w:r w:rsidRPr="00705BA8">
              <w:rPr>
                <w:sz w:val="18"/>
              </w:rPr>
              <w:t>Ensuring that high fees do not lead to an increase in non-compliance</w:t>
            </w:r>
          </w:p>
        </w:tc>
        <w:tc>
          <w:tcPr>
            <w:tcW w:w="0" w:type="auto"/>
            <w:vAlign w:val="center"/>
          </w:tcPr>
          <w:p w14:paraId="0F4DC197" w14:textId="294E2189" w:rsidR="00763EF5" w:rsidRPr="00705BA8" w:rsidRDefault="00763EF5" w:rsidP="00A35429">
            <w:pPr>
              <w:jc w:val="center"/>
              <w:rPr>
                <w:sz w:val="18"/>
              </w:rPr>
            </w:pPr>
            <w:r w:rsidRPr="00705BA8">
              <w:rPr>
                <w:sz w:val="18"/>
              </w:rPr>
              <w:t>-</w:t>
            </w:r>
            <w:r w:rsidR="00F36329">
              <w:rPr>
                <w:sz w:val="18"/>
              </w:rPr>
              <w:t>2</w:t>
            </w:r>
          </w:p>
        </w:tc>
        <w:tc>
          <w:tcPr>
            <w:tcW w:w="0" w:type="auto"/>
            <w:vAlign w:val="center"/>
          </w:tcPr>
          <w:p w14:paraId="350875D4" w14:textId="35693BFE" w:rsidR="00763EF5" w:rsidRPr="00705BA8" w:rsidRDefault="00763EF5" w:rsidP="00A35429">
            <w:pPr>
              <w:jc w:val="center"/>
              <w:rPr>
                <w:sz w:val="18"/>
              </w:rPr>
            </w:pPr>
            <w:r w:rsidRPr="00705BA8">
              <w:rPr>
                <w:sz w:val="18"/>
              </w:rPr>
              <w:t>-</w:t>
            </w:r>
            <w:r w:rsidR="00F36329">
              <w:rPr>
                <w:sz w:val="18"/>
              </w:rPr>
              <w:t>0.4</w:t>
            </w:r>
          </w:p>
        </w:tc>
        <w:tc>
          <w:tcPr>
            <w:tcW w:w="0" w:type="auto"/>
            <w:vAlign w:val="center"/>
          </w:tcPr>
          <w:p w14:paraId="209D13CB" w14:textId="212F5418" w:rsidR="00763EF5" w:rsidRPr="00705BA8" w:rsidRDefault="00763EF5" w:rsidP="00A35429">
            <w:pPr>
              <w:jc w:val="center"/>
              <w:rPr>
                <w:sz w:val="18"/>
              </w:rPr>
            </w:pPr>
            <w:r w:rsidRPr="00705BA8">
              <w:rPr>
                <w:sz w:val="18"/>
              </w:rPr>
              <w:t>-</w:t>
            </w:r>
            <w:r w:rsidR="00F36329">
              <w:rPr>
                <w:sz w:val="18"/>
              </w:rPr>
              <w:t>1</w:t>
            </w:r>
          </w:p>
        </w:tc>
        <w:tc>
          <w:tcPr>
            <w:tcW w:w="0" w:type="auto"/>
            <w:vAlign w:val="center"/>
          </w:tcPr>
          <w:p w14:paraId="450D1B0D" w14:textId="2FB9E7E0" w:rsidR="00763EF5" w:rsidRPr="00705BA8" w:rsidRDefault="00763EF5" w:rsidP="00A35429">
            <w:pPr>
              <w:jc w:val="center"/>
              <w:rPr>
                <w:sz w:val="18"/>
              </w:rPr>
            </w:pPr>
            <w:r w:rsidRPr="00705BA8">
              <w:rPr>
                <w:sz w:val="18"/>
              </w:rPr>
              <w:t>-0.</w:t>
            </w:r>
            <w:r w:rsidR="00F36329">
              <w:rPr>
                <w:sz w:val="18"/>
              </w:rPr>
              <w:t>2</w:t>
            </w:r>
          </w:p>
        </w:tc>
        <w:tc>
          <w:tcPr>
            <w:tcW w:w="0" w:type="auto"/>
            <w:vAlign w:val="center"/>
          </w:tcPr>
          <w:p w14:paraId="22D3A66E" w14:textId="0A0136F9" w:rsidR="00763EF5" w:rsidRPr="00705BA8" w:rsidRDefault="00763EF5" w:rsidP="00A35429">
            <w:pPr>
              <w:jc w:val="center"/>
              <w:rPr>
                <w:sz w:val="18"/>
              </w:rPr>
            </w:pPr>
            <w:r w:rsidRPr="00705BA8">
              <w:rPr>
                <w:sz w:val="18"/>
              </w:rPr>
              <w:t>-</w:t>
            </w:r>
            <w:r w:rsidR="00F36329">
              <w:rPr>
                <w:sz w:val="18"/>
              </w:rPr>
              <w:t>6</w:t>
            </w:r>
          </w:p>
        </w:tc>
        <w:tc>
          <w:tcPr>
            <w:tcW w:w="0" w:type="auto"/>
            <w:vAlign w:val="center"/>
          </w:tcPr>
          <w:p w14:paraId="2CA4823C" w14:textId="6BA6A394" w:rsidR="00763EF5" w:rsidRPr="00705BA8" w:rsidRDefault="00763EF5" w:rsidP="00A35429">
            <w:pPr>
              <w:jc w:val="center"/>
              <w:rPr>
                <w:sz w:val="18"/>
              </w:rPr>
            </w:pPr>
            <w:r w:rsidRPr="00705BA8">
              <w:rPr>
                <w:sz w:val="18"/>
              </w:rPr>
              <w:t>-</w:t>
            </w:r>
            <w:r w:rsidR="00F36329">
              <w:rPr>
                <w:sz w:val="18"/>
              </w:rPr>
              <w:t>1.2</w:t>
            </w:r>
          </w:p>
        </w:tc>
      </w:tr>
      <w:tr w:rsidR="00763EF5" w14:paraId="03AD32CB" w14:textId="77777777" w:rsidTr="00CB368A">
        <w:trPr>
          <w:cantSplit/>
          <w:trHeight w:val="602"/>
        </w:trPr>
        <w:tc>
          <w:tcPr>
            <w:tcW w:w="1334" w:type="dxa"/>
            <w:vAlign w:val="center"/>
          </w:tcPr>
          <w:p w14:paraId="2BC132D1" w14:textId="77777777" w:rsidR="00763EF5" w:rsidRPr="00705BA8" w:rsidRDefault="00763EF5" w:rsidP="00A35429">
            <w:pPr>
              <w:rPr>
                <w:sz w:val="18"/>
              </w:rPr>
            </w:pPr>
            <w:r w:rsidRPr="00705BA8">
              <w:rPr>
                <w:sz w:val="18"/>
              </w:rPr>
              <w:t>Simplicity (20%)</w:t>
            </w:r>
          </w:p>
        </w:tc>
        <w:tc>
          <w:tcPr>
            <w:tcW w:w="1720" w:type="dxa"/>
            <w:vAlign w:val="center"/>
          </w:tcPr>
          <w:p w14:paraId="72DE748C" w14:textId="1661FCB9" w:rsidR="00763EF5" w:rsidRPr="00705BA8" w:rsidRDefault="00763EF5" w:rsidP="00705BA8">
            <w:pPr>
              <w:rPr>
                <w:sz w:val="18"/>
              </w:rPr>
            </w:pPr>
            <w:r w:rsidRPr="00705BA8">
              <w:rPr>
                <w:sz w:val="18"/>
              </w:rPr>
              <w:t>Providing simplicity for land-users, RAPs, government and other stakeholders</w:t>
            </w:r>
          </w:p>
        </w:tc>
        <w:tc>
          <w:tcPr>
            <w:tcW w:w="0" w:type="auto"/>
            <w:vAlign w:val="center"/>
          </w:tcPr>
          <w:p w14:paraId="2DC73BC4" w14:textId="72DE5CA6" w:rsidR="00763EF5" w:rsidRPr="00705BA8" w:rsidRDefault="00763EF5" w:rsidP="00A35429">
            <w:pPr>
              <w:jc w:val="center"/>
              <w:rPr>
                <w:sz w:val="18"/>
              </w:rPr>
            </w:pPr>
            <w:r w:rsidRPr="00705BA8">
              <w:rPr>
                <w:sz w:val="18"/>
              </w:rPr>
              <w:t>-</w:t>
            </w:r>
            <w:r w:rsidR="00F36329">
              <w:rPr>
                <w:sz w:val="18"/>
              </w:rPr>
              <w:t>2</w:t>
            </w:r>
          </w:p>
        </w:tc>
        <w:tc>
          <w:tcPr>
            <w:tcW w:w="0" w:type="auto"/>
            <w:vAlign w:val="center"/>
          </w:tcPr>
          <w:p w14:paraId="4F4C9EC0" w14:textId="57953E1F" w:rsidR="00763EF5" w:rsidRPr="00705BA8" w:rsidRDefault="00763EF5" w:rsidP="00A35429">
            <w:pPr>
              <w:jc w:val="center"/>
              <w:rPr>
                <w:sz w:val="18"/>
              </w:rPr>
            </w:pPr>
            <w:r w:rsidRPr="00705BA8">
              <w:rPr>
                <w:sz w:val="18"/>
              </w:rPr>
              <w:t>-</w:t>
            </w:r>
            <w:r w:rsidR="00F36329">
              <w:rPr>
                <w:sz w:val="18"/>
              </w:rPr>
              <w:t>0.4</w:t>
            </w:r>
          </w:p>
        </w:tc>
        <w:tc>
          <w:tcPr>
            <w:tcW w:w="0" w:type="auto"/>
            <w:vAlign w:val="center"/>
          </w:tcPr>
          <w:p w14:paraId="49730FB4" w14:textId="137D01CF" w:rsidR="00763EF5" w:rsidRPr="00705BA8" w:rsidRDefault="00763EF5" w:rsidP="00A35429">
            <w:pPr>
              <w:jc w:val="center"/>
              <w:rPr>
                <w:sz w:val="18"/>
              </w:rPr>
            </w:pPr>
            <w:r w:rsidRPr="00705BA8">
              <w:rPr>
                <w:sz w:val="18"/>
              </w:rPr>
              <w:t>-</w:t>
            </w:r>
            <w:r w:rsidR="00F36329">
              <w:rPr>
                <w:sz w:val="18"/>
              </w:rPr>
              <w:t>4</w:t>
            </w:r>
          </w:p>
        </w:tc>
        <w:tc>
          <w:tcPr>
            <w:tcW w:w="0" w:type="auto"/>
            <w:vAlign w:val="center"/>
          </w:tcPr>
          <w:p w14:paraId="5E2E5211" w14:textId="3DBB0DCF" w:rsidR="00763EF5" w:rsidRPr="00705BA8" w:rsidRDefault="00763EF5" w:rsidP="00A35429">
            <w:pPr>
              <w:jc w:val="center"/>
              <w:rPr>
                <w:sz w:val="18"/>
              </w:rPr>
            </w:pPr>
            <w:r w:rsidRPr="00705BA8">
              <w:rPr>
                <w:sz w:val="18"/>
              </w:rPr>
              <w:t>-0.</w:t>
            </w:r>
            <w:r w:rsidR="00F36329">
              <w:rPr>
                <w:sz w:val="18"/>
              </w:rPr>
              <w:t>8</w:t>
            </w:r>
          </w:p>
        </w:tc>
        <w:tc>
          <w:tcPr>
            <w:tcW w:w="0" w:type="auto"/>
            <w:vAlign w:val="center"/>
          </w:tcPr>
          <w:p w14:paraId="320F42AC" w14:textId="4C0D8D19" w:rsidR="00763EF5" w:rsidRPr="00705BA8" w:rsidRDefault="00763EF5" w:rsidP="00A35429">
            <w:pPr>
              <w:jc w:val="center"/>
              <w:rPr>
                <w:sz w:val="18"/>
              </w:rPr>
            </w:pPr>
            <w:r w:rsidRPr="00705BA8">
              <w:rPr>
                <w:sz w:val="18"/>
              </w:rPr>
              <w:t>-</w:t>
            </w:r>
            <w:r w:rsidR="00F36329">
              <w:rPr>
                <w:sz w:val="18"/>
              </w:rPr>
              <w:t>8</w:t>
            </w:r>
          </w:p>
        </w:tc>
        <w:tc>
          <w:tcPr>
            <w:tcW w:w="0" w:type="auto"/>
            <w:vAlign w:val="center"/>
          </w:tcPr>
          <w:p w14:paraId="0E7D9AED" w14:textId="3EEADC30" w:rsidR="00763EF5" w:rsidRPr="00705BA8" w:rsidRDefault="00763EF5" w:rsidP="00A35429">
            <w:pPr>
              <w:jc w:val="center"/>
              <w:rPr>
                <w:sz w:val="18"/>
              </w:rPr>
            </w:pPr>
            <w:r w:rsidRPr="00705BA8">
              <w:rPr>
                <w:sz w:val="18"/>
              </w:rPr>
              <w:t>-</w:t>
            </w:r>
            <w:r w:rsidR="00F36329">
              <w:rPr>
                <w:sz w:val="18"/>
              </w:rPr>
              <w:t>1.6</w:t>
            </w:r>
          </w:p>
        </w:tc>
      </w:tr>
      <w:tr w:rsidR="00763EF5" w14:paraId="4D426B88" w14:textId="77777777" w:rsidTr="00CB368A">
        <w:trPr>
          <w:cantSplit/>
          <w:trHeight w:val="380"/>
        </w:trPr>
        <w:tc>
          <w:tcPr>
            <w:tcW w:w="0" w:type="auto"/>
            <w:gridSpan w:val="2"/>
            <w:vAlign w:val="center"/>
          </w:tcPr>
          <w:p w14:paraId="767E4DFB" w14:textId="52CE9AB8" w:rsidR="00763EF5" w:rsidRPr="00705BA8" w:rsidRDefault="00763EF5" w:rsidP="00A35429">
            <w:pPr>
              <w:jc w:val="center"/>
              <w:rPr>
                <w:b/>
                <w:sz w:val="18"/>
              </w:rPr>
            </w:pPr>
            <w:r w:rsidRPr="00705BA8">
              <w:rPr>
                <w:b/>
                <w:sz w:val="18"/>
              </w:rPr>
              <w:t>Totals (after weighting)</w:t>
            </w:r>
          </w:p>
        </w:tc>
        <w:tc>
          <w:tcPr>
            <w:tcW w:w="0" w:type="auto"/>
            <w:gridSpan w:val="2"/>
            <w:vAlign w:val="center"/>
          </w:tcPr>
          <w:p w14:paraId="6FFD98D7" w14:textId="530DEAB0" w:rsidR="00763EF5" w:rsidRPr="00705BA8" w:rsidRDefault="00763EF5" w:rsidP="00A35429">
            <w:pPr>
              <w:jc w:val="center"/>
              <w:rPr>
                <w:b/>
                <w:sz w:val="18"/>
              </w:rPr>
            </w:pPr>
            <w:r w:rsidRPr="00705BA8">
              <w:rPr>
                <w:b/>
                <w:sz w:val="18"/>
              </w:rPr>
              <w:t>+</w:t>
            </w:r>
            <w:r w:rsidR="00F36329">
              <w:rPr>
                <w:b/>
                <w:sz w:val="18"/>
              </w:rPr>
              <w:t>1.6</w:t>
            </w:r>
          </w:p>
        </w:tc>
        <w:tc>
          <w:tcPr>
            <w:tcW w:w="0" w:type="auto"/>
            <w:gridSpan w:val="2"/>
            <w:vAlign w:val="center"/>
          </w:tcPr>
          <w:p w14:paraId="6EDD6C69" w14:textId="57F14631" w:rsidR="00763EF5" w:rsidRPr="00705BA8" w:rsidRDefault="00763EF5" w:rsidP="00A35429">
            <w:pPr>
              <w:jc w:val="center"/>
              <w:rPr>
                <w:b/>
                <w:sz w:val="18"/>
              </w:rPr>
            </w:pPr>
            <w:r w:rsidRPr="00705BA8">
              <w:rPr>
                <w:b/>
                <w:sz w:val="18"/>
              </w:rPr>
              <w:t>+</w:t>
            </w:r>
            <w:r w:rsidR="00F36329">
              <w:rPr>
                <w:b/>
                <w:sz w:val="18"/>
              </w:rPr>
              <w:t>2.0</w:t>
            </w:r>
          </w:p>
        </w:tc>
        <w:tc>
          <w:tcPr>
            <w:tcW w:w="0" w:type="auto"/>
            <w:gridSpan w:val="2"/>
            <w:vAlign w:val="center"/>
          </w:tcPr>
          <w:p w14:paraId="3F94DF2C" w14:textId="5E1EA0FD" w:rsidR="00763EF5" w:rsidRPr="00705BA8" w:rsidRDefault="00763EF5" w:rsidP="00A35429">
            <w:pPr>
              <w:jc w:val="center"/>
              <w:rPr>
                <w:b/>
                <w:sz w:val="18"/>
              </w:rPr>
            </w:pPr>
            <w:r w:rsidRPr="00705BA8">
              <w:rPr>
                <w:b/>
                <w:sz w:val="18"/>
              </w:rPr>
              <w:t>+</w:t>
            </w:r>
            <w:r w:rsidR="00F36329">
              <w:rPr>
                <w:b/>
                <w:sz w:val="18"/>
              </w:rPr>
              <w:t>0.2</w:t>
            </w:r>
          </w:p>
        </w:tc>
      </w:tr>
    </w:tbl>
    <w:p w14:paraId="344603ED" w14:textId="2B998C2D" w:rsidR="00763EF5" w:rsidRPr="005D399A" w:rsidRDefault="00074136" w:rsidP="00705BA8">
      <w:pPr>
        <w:pStyle w:val="Caption"/>
      </w:pPr>
      <w:r w:rsidRPr="005D399A">
        <w:t>Preferred fee option</w:t>
      </w:r>
    </w:p>
    <w:p w14:paraId="68E088E2" w14:textId="142FFC58" w:rsidR="006715B3" w:rsidRPr="005D399A" w:rsidRDefault="00763EF5" w:rsidP="00705BA8">
      <w:pPr>
        <w:pStyle w:val="PwCNormal"/>
        <w:numPr>
          <w:ilvl w:val="0"/>
          <w:numId w:val="0"/>
        </w:numPr>
      </w:pPr>
      <w:r w:rsidRPr="005D399A">
        <w:t xml:space="preserve">The </w:t>
      </w:r>
      <w:r w:rsidR="00427944" w:rsidRPr="005D399A">
        <w:t xml:space="preserve">fee </w:t>
      </w:r>
      <w:r w:rsidRPr="005D399A">
        <w:t xml:space="preserve">options analysis indicates that </w:t>
      </w:r>
      <w:r w:rsidR="00276AFD" w:rsidRPr="005D399A">
        <w:t>F</w:t>
      </w:r>
      <w:r w:rsidRPr="005D399A">
        <w:t xml:space="preserve">ee </w:t>
      </w:r>
      <w:r w:rsidR="00276AFD" w:rsidRPr="005D399A">
        <w:t>O</w:t>
      </w:r>
      <w:r w:rsidR="00FC42E4" w:rsidRPr="005D399A">
        <w:t>ption 2 has the highest score and is therefore preferred</w:t>
      </w:r>
      <w:r w:rsidRPr="005D399A">
        <w:t xml:space="preserve">. This is primarily because </w:t>
      </w:r>
      <w:r w:rsidR="00276AFD" w:rsidRPr="005D399A">
        <w:t>F</w:t>
      </w:r>
      <w:r w:rsidRPr="005D399A">
        <w:t xml:space="preserve">ee </w:t>
      </w:r>
      <w:r w:rsidR="00276AFD" w:rsidRPr="005D399A">
        <w:t>O</w:t>
      </w:r>
      <w:r w:rsidRPr="005D399A">
        <w:t xml:space="preserve">ption 2 uses updated data on cost recovery activities to re-estimate fees levels, while minimising the level of induced demand changes, and maintaining the more simple structure of </w:t>
      </w:r>
      <w:r w:rsidR="00276AFD" w:rsidRPr="005D399A">
        <w:t>F</w:t>
      </w:r>
      <w:r w:rsidRPr="005D399A">
        <w:t xml:space="preserve">ee </w:t>
      </w:r>
      <w:r w:rsidR="00276AFD" w:rsidRPr="005D399A">
        <w:t>O</w:t>
      </w:r>
      <w:r w:rsidRPr="005D399A">
        <w:t>ption 1</w:t>
      </w:r>
      <w:r w:rsidR="00670320">
        <w:t xml:space="preserve"> (compared with Fee Option 3)</w:t>
      </w:r>
      <w:r w:rsidRPr="005D399A">
        <w:t xml:space="preserve">. </w:t>
      </w:r>
    </w:p>
    <w:p w14:paraId="2803EA1C" w14:textId="758FFA93" w:rsidR="00427944" w:rsidRDefault="00427944" w:rsidP="00705BA8">
      <w:pPr>
        <w:pStyle w:val="PwCNormal"/>
        <w:numPr>
          <w:ilvl w:val="0"/>
          <w:numId w:val="0"/>
        </w:numPr>
      </w:pPr>
      <w:r w:rsidRPr="005D399A">
        <w:t xml:space="preserve">Fee </w:t>
      </w:r>
      <w:r w:rsidR="00276AFD" w:rsidRPr="005D399A">
        <w:t>O</w:t>
      </w:r>
      <w:r w:rsidRPr="005D399A">
        <w:t xml:space="preserve">ption 2 involves </w:t>
      </w:r>
      <w:r w:rsidR="00FC42E4" w:rsidRPr="005D399A">
        <w:t>re-making the Regulations using a single set of fees based on weighted average cost recovery.</w:t>
      </w:r>
      <w:r w:rsidR="0092051D">
        <w:t xml:space="preserve"> Fee Option 2 results in estimated annual revenue of approximately </w:t>
      </w:r>
      <w:r w:rsidR="000C4757">
        <w:t xml:space="preserve">$1.6 million </w:t>
      </w:r>
      <w:r w:rsidR="0092051D">
        <w:t xml:space="preserve">for Government and $300,000 for RAPs. </w:t>
      </w:r>
      <w:r w:rsidR="000C4757">
        <w:t>These estimates equate to $13.6</w:t>
      </w:r>
      <w:r w:rsidR="00F4225F">
        <w:t> </w:t>
      </w:r>
      <w:r w:rsidR="000C4757">
        <w:t>million and $2.6 million respectively over 10 years in NPV terms.</w:t>
      </w:r>
      <w:r w:rsidR="000C4757">
        <w:rPr>
          <w:rStyle w:val="FootnoteReference"/>
        </w:rPr>
        <w:footnoteReference w:id="17"/>
      </w:r>
    </w:p>
    <w:p w14:paraId="02DB297F" w14:textId="77777777" w:rsidR="00E5103C" w:rsidRDefault="00E5103C" w:rsidP="00705BA8">
      <w:pPr>
        <w:pStyle w:val="ListBullet"/>
        <w:numPr>
          <w:ilvl w:val="0"/>
          <w:numId w:val="0"/>
        </w:numPr>
      </w:pPr>
    </w:p>
    <w:p w14:paraId="485716A6" w14:textId="77777777" w:rsidR="00F36329" w:rsidRDefault="00F36329" w:rsidP="00705BA8">
      <w:pPr>
        <w:pStyle w:val="ListBullet"/>
        <w:numPr>
          <w:ilvl w:val="0"/>
          <w:numId w:val="0"/>
        </w:numPr>
        <w:sectPr w:rsidR="00F36329" w:rsidSect="00C54A4F">
          <w:headerReference w:type="even" r:id="rId15"/>
          <w:headerReference w:type="default" r:id="rId16"/>
          <w:footerReference w:type="even" r:id="rId17"/>
          <w:footerReference w:type="default" r:id="rId18"/>
          <w:headerReference w:type="first" r:id="rId19"/>
          <w:footerReference w:type="first" r:id="rId20"/>
          <w:type w:val="oddPage"/>
          <w:pgSz w:w="11907" w:h="16840" w:code="9"/>
          <w:pgMar w:top="1588" w:right="1843" w:bottom="1418" w:left="1843" w:header="567" w:footer="567" w:gutter="0"/>
          <w:pgNumType w:fmt="lowerRoman" w:start="1"/>
          <w:cols w:space="227"/>
          <w:titlePg/>
          <w:docGrid w:linePitch="286"/>
        </w:sectPr>
      </w:pPr>
    </w:p>
    <w:bookmarkEnd w:id="16"/>
    <w:p w14:paraId="605890DE" w14:textId="77777777" w:rsidR="004F0878" w:rsidRPr="004F0878" w:rsidRDefault="004F0878" w:rsidP="004F0878">
      <w:pPr>
        <w:pStyle w:val="TOCtitle"/>
      </w:pPr>
      <w:r w:rsidRPr="00FC2C77">
        <w:t>Conten</w:t>
      </w:r>
      <w:bookmarkStart w:id="27" w:name="TOC"/>
      <w:bookmarkEnd w:id="27"/>
      <w:r w:rsidRPr="00FC2C77">
        <w:t>ts</w:t>
      </w:r>
      <w:bookmarkStart w:id="28" w:name="SmallDoc"/>
      <w:bookmarkEnd w:id="28"/>
    </w:p>
    <w:p w14:paraId="2CB7EF92" w14:textId="77777777" w:rsidR="00587855" w:rsidRPr="00D07ABD" w:rsidRDefault="00C54A4F">
      <w:pPr>
        <w:pStyle w:val="TOC2"/>
        <w:rPr>
          <w:noProof/>
        </w:rPr>
      </w:pPr>
      <w:r>
        <w:fldChar w:fldCharType="begin"/>
      </w:r>
      <w:r>
        <w:instrText xml:space="preserve"> TOC \h \t "Heading 1,1,Heading 2 No spacing,2,Heading 2,2,Heading 3,3,Heading 4,4,Preface Title,2" \*Charformat </w:instrText>
      </w:r>
      <w:r>
        <w:fldChar w:fldCharType="separate"/>
      </w:r>
      <w:hyperlink w:anchor="_Toc507761444" w:history="1">
        <w:r w:rsidR="00587855" w:rsidRPr="00D07ABD">
          <w:rPr>
            <w:noProof/>
          </w:rPr>
          <w:t>Disclaimer</w:t>
        </w:r>
        <w:r w:rsidR="00587855">
          <w:rPr>
            <w:noProof/>
          </w:rPr>
          <w:tab/>
        </w:r>
        <w:r w:rsidR="00587855">
          <w:rPr>
            <w:noProof/>
          </w:rPr>
          <w:fldChar w:fldCharType="begin"/>
        </w:r>
        <w:r w:rsidR="00587855">
          <w:rPr>
            <w:noProof/>
          </w:rPr>
          <w:instrText xml:space="preserve"> PAGEREF _Toc507761444 \h </w:instrText>
        </w:r>
        <w:r w:rsidR="00587855">
          <w:rPr>
            <w:noProof/>
          </w:rPr>
        </w:r>
        <w:r w:rsidR="00587855">
          <w:rPr>
            <w:noProof/>
          </w:rPr>
          <w:fldChar w:fldCharType="separate"/>
        </w:r>
        <w:r w:rsidR="000369A1">
          <w:rPr>
            <w:noProof/>
          </w:rPr>
          <w:t>i</w:t>
        </w:r>
        <w:r w:rsidR="00587855">
          <w:rPr>
            <w:noProof/>
          </w:rPr>
          <w:fldChar w:fldCharType="end"/>
        </w:r>
      </w:hyperlink>
    </w:p>
    <w:p w14:paraId="276E826A" w14:textId="77777777" w:rsidR="00587855" w:rsidRPr="00D07ABD" w:rsidRDefault="00B47FE6">
      <w:pPr>
        <w:pStyle w:val="TOC2"/>
        <w:rPr>
          <w:noProof/>
        </w:rPr>
      </w:pPr>
      <w:hyperlink w:anchor="_Toc507761445" w:history="1">
        <w:r w:rsidR="00587855" w:rsidRPr="00D07ABD">
          <w:rPr>
            <w:noProof/>
          </w:rPr>
          <w:t>Abbreviations and terms</w:t>
        </w:r>
        <w:r w:rsidR="00587855">
          <w:rPr>
            <w:noProof/>
          </w:rPr>
          <w:tab/>
        </w:r>
        <w:r w:rsidR="00587855">
          <w:rPr>
            <w:noProof/>
          </w:rPr>
          <w:fldChar w:fldCharType="begin"/>
        </w:r>
        <w:r w:rsidR="00587855">
          <w:rPr>
            <w:noProof/>
          </w:rPr>
          <w:instrText xml:space="preserve"> PAGEREF _Toc507761445 \h </w:instrText>
        </w:r>
        <w:r w:rsidR="00587855">
          <w:rPr>
            <w:noProof/>
          </w:rPr>
        </w:r>
        <w:r w:rsidR="00587855">
          <w:rPr>
            <w:noProof/>
          </w:rPr>
          <w:fldChar w:fldCharType="separate"/>
        </w:r>
        <w:r w:rsidR="000369A1">
          <w:rPr>
            <w:noProof/>
          </w:rPr>
          <w:t>ii</w:t>
        </w:r>
        <w:r w:rsidR="00587855">
          <w:rPr>
            <w:noProof/>
          </w:rPr>
          <w:fldChar w:fldCharType="end"/>
        </w:r>
      </w:hyperlink>
    </w:p>
    <w:p w14:paraId="558DF632" w14:textId="77777777" w:rsidR="00587855" w:rsidRPr="00D07ABD" w:rsidRDefault="00B47FE6">
      <w:pPr>
        <w:pStyle w:val="TOC2"/>
        <w:rPr>
          <w:noProof/>
        </w:rPr>
      </w:pPr>
      <w:hyperlink w:anchor="_Toc507761446" w:history="1">
        <w:r w:rsidR="00587855" w:rsidRPr="00D07ABD">
          <w:rPr>
            <w:noProof/>
          </w:rPr>
          <w:t>Executive summary</w:t>
        </w:r>
        <w:r w:rsidR="00587855">
          <w:rPr>
            <w:noProof/>
          </w:rPr>
          <w:tab/>
        </w:r>
        <w:r w:rsidR="00587855">
          <w:rPr>
            <w:noProof/>
          </w:rPr>
          <w:fldChar w:fldCharType="begin"/>
        </w:r>
        <w:r w:rsidR="00587855">
          <w:rPr>
            <w:noProof/>
          </w:rPr>
          <w:instrText xml:space="preserve"> PAGEREF _Toc507761446 \h </w:instrText>
        </w:r>
        <w:r w:rsidR="00587855">
          <w:rPr>
            <w:noProof/>
          </w:rPr>
        </w:r>
        <w:r w:rsidR="00587855">
          <w:rPr>
            <w:noProof/>
          </w:rPr>
          <w:fldChar w:fldCharType="separate"/>
        </w:r>
        <w:r w:rsidR="000369A1">
          <w:rPr>
            <w:noProof/>
          </w:rPr>
          <w:t>iii</w:t>
        </w:r>
        <w:r w:rsidR="00587855">
          <w:rPr>
            <w:noProof/>
          </w:rPr>
          <w:fldChar w:fldCharType="end"/>
        </w:r>
      </w:hyperlink>
    </w:p>
    <w:p w14:paraId="422AC643" w14:textId="77777777" w:rsidR="00587855" w:rsidRPr="00D07ABD" w:rsidRDefault="00B47FE6">
      <w:pPr>
        <w:pStyle w:val="TOC2"/>
        <w:rPr>
          <w:noProof/>
        </w:rPr>
      </w:pPr>
      <w:hyperlink w:anchor="_Toc507761447" w:history="1">
        <w:r w:rsidR="00587855" w:rsidRPr="00D07ABD">
          <w:rPr>
            <w:noProof/>
          </w:rPr>
          <w:t>2</w:t>
        </w:r>
        <w:r w:rsidR="00587855" w:rsidRPr="00D07ABD">
          <w:rPr>
            <w:noProof/>
          </w:rPr>
          <w:tab/>
          <w:t>Introduction</w:t>
        </w:r>
        <w:r w:rsidR="00587855">
          <w:rPr>
            <w:noProof/>
          </w:rPr>
          <w:tab/>
        </w:r>
        <w:r w:rsidR="00587855">
          <w:rPr>
            <w:noProof/>
          </w:rPr>
          <w:fldChar w:fldCharType="begin"/>
        </w:r>
        <w:r w:rsidR="00587855">
          <w:rPr>
            <w:noProof/>
          </w:rPr>
          <w:instrText xml:space="preserve"> PAGEREF _Toc507761447 \h </w:instrText>
        </w:r>
        <w:r w:rsidR="00587855">
          <w:rPr>
            <w:noProof/>
          </w:rPr>
        </w:r>
        <w:r w:rsidR="00587855">
          <w:rPr>
            <w:noProof/>
          </w:rPr>
          <w:fldChar w:fldCharType="separate"/>
        </w:r>
        <w:r w:rsidR="000369A1">
          <w:rPr>
            <w:noProof/>
          </w:rPr>
          <w:t>3</w:t>
        </w:r>
        <w:r w:rsidR="00587855">
          <w:rPr>
            <w:noProof/>
          </w:rPr>
          <w:fldChar w:fldCharType="end"/>
        </w:r>
      </w:hyperlink>
    </w:p>
    <w:p w14:paraId="7E04D9F8" w14:textId="77777777" w:rsidR="00587855" w:rsidRPr="00D07ABD" w:rsidRDefault="00B47FE6">
      <w:pPr>
        <w:pStyle w:val="TOC2"/>
        <w:rPr>
          <w:noProof/>
        </w:rPr>
      </w:pPr>
      <w:hyperlink w:anchor="_Toc507761448" w:history="1">
        <w:r w:rsidR="00587855" w:rsidRPr="00D07ABD">
          <w:rPr>
            <w:noProof/>
          </w:rPr>
          <w:t>3</w:t>
        </w:r>
        <w:r w:rsidR="00587855" w:rsidRPr="00D07ABD">
          <w:rPr>
            <w:noProof/>
          </w:rPr>
          <w:tab/>
          <w:t>Nature and extent of the problem</w:t>
        </w:r>
        <w:r w:rsidR="00587855">
          <w:rPr>
            <w:noProof/>
          </w:rPr>
          <w:tab/>
        </w:r>
        <w:r w:rsidR="00587855">
          <w:rPr>
            <w:noProof/>
          </w:rPr>
          <w:fldChar w:fldCharType="begin"/>
        </w:r>
        <w:r w:rsidR="00587855">
          <w:rPr>
            <w:noProof/>
          </w:rPr>
          <w:instrText xml:space="preserve"> PAGEREF _Toc507761448 \h </w:instrText>
        </w:r>
        <w:r w:rsidR="00587855">
          <w:rPr>
            <w:noProof/>
          </w:rPr>
        </w:r>
        <w:r w:rsidR="00587855">
          <w:rPr>
            <w:noProof/>
          </w:rPr>
          <w:fldChar w:fldCharType="separate"/>
        </w:r>
        <w:r w:rsidR="000369A1">
          <w:rPr>
            <w:noProof/>
          </w:rPr>
          <w:t>16</w:t>
        </w:r>
        <w:r w:rsidR="00587855">
          <w:rPr>
            <w:noProof/>
          </w:rPr>
          <w:fldChar w:fldCharType="end"/>
        </w:r>
      </w:hyperlink>
    </w:p>
    <w:p w14:paraId="1B2AF2EF" w14:textId="77777777" w:rsidR="00587855" w:rsidRPr="00D07ABD" w:rsidRDefault="00B47FE6">
      <w:pPr>
        <w:pStyle w:val="TOC2"/>
        <w:rPr>
          <w:noProof/>
        </w:rPr>
      </w:pPr>
      <w:hyperlink w:anchor="_Toc507761449" w:history="1">
        <w:r w:rsidR="00587855" w:rsidRPr="00D07ABD">
          <w:rPr>
            <w:noProof/>
          </w:rPr>
          <w:t>4</w:t>
        </w:r>
        <w:r w:rsidR="00587855" w:rsidRPr="00D07ABD">
          <w:rPr>
            <w:noProof/>
          </w:rPr>
          <w:tab/>
          <w:t>Objectives</w:t>
        </w:r>
        <w:r w:rsidR="00587855">
          <w:rPr>
            <w:noProof/>
          </w:rPr>
          <w:tab/>
        </w:r>
        <w:r w:rsidR="00587855">
          <w:rPr>
            <w:noProof/>
          </w:rPr>
          <w:fldChar w:fldCharType="begin"/>
        </w:r>
        <w:r w:rsidR="00587855">
          <w:rPr>
            <w:noProof/>
          </w:rPr>
          <w:instrText xml:space="preserve"> PAGEREF _Toc507761449 \h </w:instrText>
        </w:r>
        <w:r w:rsidR="00587855">
          <w:rPr>
            <w:noProof/>
          </w:rPr>
        </w:r>
        <w:r w:rsidR="00587855">
          <w:rPr>
            <w:noProof/>
          </w:rPr>
          <w:fldChar w:fldCharType="separate"/>
        </w:r>
        <w:r w:rsidR="000369A1">
          <w:rPr>
            <w:noProof/>
          </w:rPr>
          <w:t>23</w:t>
        </w:r>
        <w:r w:rsidR="00587855">
          <w:rPr>
            <w:noProof/>
          </w:rPr>
          <w:fldChar w:fldCharType="end"/>
        </w:r>
      </w:hyperlink>
    </w:p>
    <w:p w14:paraId="59B68DC5" w14:textId="77777777" w:rsidR="00587855" w:rsidRPr="00D07ABD" w:rsidRDefault="00B47FE6">
      <w:pPr>
        <w:pStyle w:val="TOC2"/>
        <w:rPr>
          <w:noProof/>
        </w:rPr>
      </w:pPr>
      <w:hyperlink w:anchor="_Toc507761452" w:history="1">
        <w:r w:rsidR="00587855" w:rsidRPr="00D07ABD">
          <w:rPr>
            <w:noProof/>
          </w:rPr>
          <w:t>5</w:t>
        </w:r>
        <w:r w:rsidR="00587855" w:rsidRPr="00D07ABD">
          <w:rPr>
            <w:noProof/>
          </w:rPr>
          <w:tab/>
          <w:t>Options</w:t>
        </w:r>
        <w:r w:rsidR="00587855">
          <w:rPr>
            <w:noProof/>
          </w:rPr>
          <w:tab/>
        </w:r>
        <w:r w:rsidR="00587855">
          <w:rPr>
            <w:noProof/>
          </w:rPr>
          <w:fldChar w:fldCharType="begin"/>
        </w:r>
        <w:r w:rsidR="00587855">
          <w:rPr>
            <w:noProof/>
          </w:rPr>
          <w:instrText xml:space="preserve"> PAGEREF _Toc507761452 \h </w:instrText>
        </w:r>
        <w:r w:rsidR="00587855">
          <w:rPr>
            <w:noProof/>
          </w:rPr>
        </w:r>
        <w:r w:rsidR="00587855">
          <w:rPr>
            <w:noProof/>
          </w:rPr>
          <w:fldChar w:fldCharType="separate"/>
        </w:r>
        <w:r w:rsidR="000369A1">
          <w:rPr>
            <w:noProof/>
          </w:rPr>
          <w:t>24</w:t>
        </w:r>
        <w:r w:rsidR="00587855">
          <w:rPr>
            <w:noProof/>
          </w:rPr>
          <w:fldChar w:fldCharType="end"/>
        </w:r>
      </w:hyperlink>
    </w:p>
    <w:p w14:paraId="4B699B54" w14:textId="2E5D7BC2" w:rsidR="00587855" w:rsidRPr="00D07ABD" w:rsidRDefault="00B47FE6">
      <w:pPr>
        <w:pStyle w:val="TOC2"/>
        <w:rPr>
          <w:noProof/>
        </w:rPr>
      </w:pPr>
      <w:hyperlink w:anchor="_Toc507761453" w:history="1">
        <w:r w:rsidR="00587855" w:rsidRPr="00D07ABD">
          <w:rPr>
            <w:noProof/>
          </w:rPr>
          <w:t>6</w:t>
        </w:r>
        <w:r w:rsidR="00587855" w:rsidRPr="00D07ABD">
          <w:rPr>
            <w:noProof/>
          </w:rPr>
          <w:tab/>
          <w:t>Analysis</w:t>
        </w:r>
        <w:r w:rsidR="00587855">
          <w:rPr>
            <w:noProof/>
          </w:rPr>
          <w:tab/>
        </w:r>
        <w:r w:rsidR="00587855">
          <w:rPr>
            <w:noProof/>
          </w:rPr>
          <w:fldChar w:fldCharType="begin"/>
        </w:r>
        <w:r w:rsidR="00587855">
          <w:rPr>
            <w:noProof/>
          </w:rPr>
          <w:instrText xml:space="preserve"> PAGEREF _Toc507761453 \h </w:instrText>
        </w:r>
        <w:r w:rsidR="00587855">
          <w:rPr>
            <w:noProof/>
          </w:rPr>
        </w:r>
        <w:r w:rsidR="00587855">
          <w:rPr>
            <w:noProof/>
          </w:rPr>
          <w:fldChar w:fldCharType="separate"/>
        </w:r>
        <w:r w:rsidR="000369A1">
          <w:rPr>
            <w:noProof/>
          </w:rPr>
          <w:t>33</w:t>
        </w:r>
        <w:r w:rsidR="00587855">
          <w:rPr>
            <w:noProof/>
          </w:rPr>
          <w:fldChar w:fldCharType="end"/>
        </w:r>
      </w:hyperlink>
    </w:p>
    <w:p w14:paraId="2D78BA69" w14:textId="53618908" w:rsidR="00587855" w:rsidRPr="00D07ABD" w:rsidRDefault="00B47FE6">
      <w:pPr>
        <w:pStyle w:val="TOC2"/>
        <w:rPr>
          <w:noProof/>
        </w:rPr>
      </w:pPr>
      <w:hyperlink w:anchor="_Toc507761454" w:history="1">
        <w:r w:rsidR="00587855" w:rsidRPr="00D07ABD">
          <w:rPr>
            <w:noProof/>
          </w:rPr>
          <w:t>7</w:t>
        </w:r>
        <w:r w:rsidR="00587855" w:rsidRPr="00D07ABD">
          <w:rPr>
            <w:noProof/>
          </w:rPr>
          <w:tab/>
          <w:t>Preferred option</w:t>
        </w:r>
        <w:r w:rsidR="00587855">
          <w:rPr>
            <w:noProof/>
          </w:rPr>
          <w:tab/>
        </w:r>
        <w:r w:rsidR="00587855">
          <w:rPr>
            <w:noProof/>
          </w:rPr>
          <w:fldChar w:fldCharType="begin"/>
        </w:r>
        <w:r w:rsidR="00587855">
          <w:rPr>
            <w:noProof/>
          </w:rPr>
          <w:instrText xml:space="preserve"> PAGEREF _Toc507761454 \h </w:instrText>
        </w:r>
        <w:r w:rsidR="00587855">
          <w:rPr>
            <w:noProof/>
          </w:rPr>
        </w:r>
        <w:r w:rsidR="00587855">
          <w:rPr>
            <w:noProof/>
          </w:rPr>
          <w:fldChar w:fldCharType="separate"/>
        </w:r>
        <w:r w:rsidR="000369A1">
          <w:rPr>
            <w:noProof/>
          </w:rPr>
          <w:t>54</w:t>
        </w:r>
        <w:r w:rsidR="00587855">
          <w:rPr>
            <w:noProof/>
          </w:rPr>
          <w:fldChar w:fldCharType="end"/>
        </w:r>
      </w:hyperlink>
    </w:p>
    <w:p w14:paraId="0B942045" w14:textId="5FD2E3A7" w:rsidR="00587855" w:rsidRPr="00D07ABD" w:rsidRDefault="00B47FE6">
      <w:pPr>
        <w:pStyle w:val="TOC2"/>
        <w:rPr>
          <w:noProof/>
        </w:rPr>
      </w:pPr>
      <w:hyperlink w:anchor="_Toc507761455" w:history="1">
        <w:r w:rsidR="00587855" w:rsidRPr="00D07ABD">
          <w:rPr>
            <w:noProof/>
          </w:rPr>
          <w:t>8</w:t>
        </w:r>
        <w:r w:rsidR="00587855" w:rsidRPr="00D07ABD">
          <w:rPr>
            <w:noProof/>
          </w:rPr>
          <w:tab/>
          <w:t>Analysis of fees</w:t>
        </w:r>
        <w:r w:rsidR="00587855">
          <w:rPr>
            <w:noProof/>
          </w:rPr>
          <w:tab/>
        </w:r>
        <w:r w:rsidR="00587855">
          <w:rPr>
            <w:noProof/>
          </w:rPr>
          <w:fldChar w:fldCharType="begin"/>
        </w:r>
        <w:r w:rsidR="00587855">
          <w:rPr>
            <w:noProof/>
          </w:rPr>
          <w:instrText xml:space="preserve"> PAGEREF _Toc507761455 \h </w:instrText>
        </w:r>
        <w:r w:rsidR="00587855">
          <w:rPr>
            <w:noProof/>
          </w:rPr>
        </w:r>
        <w:r w:rsidR="00587855">
          <w:rPr>
            <w:noProof/>
          </w:rPr>
          <w:fldChar w:fldCharType="separate"/>
        </w:r>
        <w:r w:rsidR="000369A1">
          <w:rPr>
            <w:noProof/>
          </w:rPr>
          <w:t>62</w:t>
        </w:r>
        <w:r w:rsidR="00587855">
          <w:rPr>
            <w:noProof/>
          </w:rPr>
          <w:fldChar w:fldCharType="end"/>
        </w:r>
      </w:hyperlink>
    </w:p>
    <w:p w14:paraId="4CA6AD8A" w14:textId="38745F27" w:rsidR="00587855" w:rsidRPr="00D07ABD" w:rsidRDefault="00B47FE6">
      <w:pPr>
        <w:pStyle w:val="TOC4"/>
        <w:rPr>
          <w:noProof/>
        </w:rPr>
      </w:pPr>
      <w:hyperlink w:anchor="_Toc507761456" w:history="1">
        <w:r w:rsidR="00587855" w:rsidRPr="00D07ABD">
          <w:rPr>
            <w:noProof/>
          </w:rPr>
          <w:t>Appendix B</w:t>
        </w:r>
        <w:r w:rsidR="00587855" w:rsidRPr="00D07ABD">
          <w:rPr>
            <w:noProof/>
          </w:rPr>
          <w:tab/>
          <w:t>Consultation summary</w:t>
        </w:r>
        <w:r w:rsidR="00587855">
          <w:rPr>
            <w:noProof/>
          </w:rPr>
          <w:tab/>
        </w:r>
        <w:r w:rsidR="00587855">
          <w:rPr>
            <w:noProof/>
          </w:rPr>
          <w:fldChar w:fldCharType="begin"/>
        </w:r>
        <w:r w:rsidR="00587855">
          <w:rPr>
            <w:noProof/>
          </w:rPr>
          <w:instrText xml:space="preserve"> PAGEREF _Toc507761456 \h </w:instrText>
        </w:r>
        <w:r w:rsidR="00587855">
          <w:rPr>
            <w:noProof/>
          </w:rPr>
        </w:r>
        <w:r w:rsidR="00587855">
          <w:rPr>
            <w:noProof/>
          </w:rPr>
          <w:fldChar w:fldCharType="separate"/>
        </w:r>
        <w:r w:rsidR="000369A1">
          <w:rPr>
            <w:noProof/>
          </w:rPr>
          <w:t>80</w:t>
        </w:r>
        <w:r w:rsidR="00587855">
          <w:rPr>
            <w:noProof/>
          </w:rPr>
          <w:fldChar w:fldCharType="end"/>
        </w:r>
      </w:hyperlink>
    </w:p>
    <w:p w14:paraId="315C62FF" w14:textId="63731AB5" w:rsidR="00587855" w:rsidRPr="00D07ABD" w:rsidRDefault="00B47FE6">
      <w:pPr>
        <w:pStyle w:val="TOC4"/>
        <w:rPr>
          <w:noProof/>
        </w:rPr>
      </w:pPr>
      <w:hyperlink w:anchor="_Toc507761457" w:history="1">
        <w:r w:rsidR="00587855" w:rsidRPr="00D07ABD">
          <w:rPr>
            <w:noProof/>
          </w:rPr>
          <w:t>Appendix C</w:t>
        </w:r>
        <w:r w:rsidR="00587855" w:rsidRPr="00D07ABD">
          <w:rPr>
            <w:noProof/>
          </w:rPr>
          <w:tab/>
          <w:t>Further background</w:t>
        </w:r>
        <w:r w:rsidR="00587855">
          <w:rPr>
            <w:noProof/>
          </w:rPr>
          <w:tab/>
        </w:r>
        <w:r w:rsidR="00587855">
          <w:rPr>
            <w:noProof/>
          </w:rPr>
          <w:fldChar w:fldCharType="begin"/>
        </w:r>
        <w:r w:rsidR="00587855">
          <w:rPr>
            <w:noProof/>
          </w:rPr>
          <w:instrText xml:space="preserve"> PAGEREF _Toc507761457 \h </w:instrText>
        </w:r>
        <w:r w:rsidR="00587855">
          <w:rPr>
            <w:noProof/>
          </w:rPr>
        </w:r>
        <w:r w:rsidR="00587855">
          <w:rPr>
            <w:noProof/>
          </w:rPr>
          <w:fldChar w:fldCharType="separate"/>
        </w:r>
        <w:r w:rsidR="000369A1">
          <w:rPr>
            <w:noProof/>
          </w:rPr>
          <w:t>87</w:t>
        </w:r>
        <w:r w:rsidR="00587855">
          <w:rPr>
            <w:noProof/>
          </w:rPr>
          <w:fldChar w:fldCharType="end"/>
        </w:r>
      </w:hyperlink>
    </w:p>
    <w:p w14:paraId="404E9EA3" w14:textId="51D46CCB" w:rsidR="00587855" w:rsidRPr="00D07ABD" w:rsidRDefault="00B47FE6">
      <w:pPr>
        <w:pStyle w:val="TOC4"/>
        <w:rPr>
          <w:noProof/>
        </w:rPr>
      </w:pPr>
      <w:hyperlink w:anchor="_Toc507761458" w:history="1">
        <w:r w:rsidR="00587855" w:rsidRPr="00D07ABD">
          <w:rPr>
            <w:noProof/>
          </w:rPr>
          <w:t>Appendix D</w:t>
        </w:r>
        <w:r w:rsidR="00587855" w:rsidRPr="00D07ABD">
          <w:rPr>
            <w:noProof/>
          </w:rPr>
          <w:tab/>
          <w:t>Estimating quantifiable benefits</w:t>
        </w:r>
        <w:r w:rsidR="00587855">
          <w:rPr>
            <w:noProof/>
          </w:rPr>
          <w:tab/>
        </w:r>
        <w:r w:rsidR="00587855">
          <w:rPr>
            <w:noProof/>
          </w:rPr>
          <w:fldChar w:fldCharType="begin"/>
        </w:r>
        <w:r w:rsidR="00587855">
          <w:rPr>
            <w:noProof/>
          </w:rPr>
          <w:instrText xml:space="preserve"> PAGEREF _Toc507761458 \h </w:instrText>
        </w:r>
        <w:r w:rsidR="00587855">
          <w:rPr>
            <w:noProof/>
          </w:rPr>
        </w:r>
        <w:r w:rsidR="00587855">
          <w:rPr>
            <w:noProof/>
          </w:rPr>
          <w:fldChar w:fldCharType="separate"/>
        </w:r>
        <w:r w:rsidR="000369A1">
          <w:rPr>
            <w:noProof/>
          </w:rPr>
          <w:t>92</w:t>
        </w:r>
        <w:r w:rsidR="00587855">
          <w:rPr>
            <w:noProof/>
          </w:rPr>
          <w:fldChar w:fldCharType="end"/>
        </w:r>
      </w:hyperlink>
    </w:p>
    <w:p w14:paraId="52FE0A27" w14:textId="77777777" w:rsidR="004F0878" w:rsidRDefault="00C54A4F" w:rsidP="00245C02">
      <w:pPr>
        <w:pStyle w:val="PwCNormal"/>
        <w:numPr>
          <w:ilvl w:val="0"/>
          <w:numId w:val="0"/>
        </w:numPr>
        <w:kinsoku/>
        <w:overflowPunct/>
        <w:autoSpaceDE/>
        <w:autoSpaceDN/>
        <w:adjustRightInd/>
        <w:snapToGrid/>
      </w:pPr>
      <w:r>
        <w:fldChar w:fldCharType="end"/>
      </w:r>
    </w:p>
    <w:p w14:paraId="76D84910" w14:textId="77777777" w:rsidR="00245C02" w:rsidRDefault="00245C02" w:rsidP="00245C02">
      <w:pPr>
        <w:pStyle w:val="PwCNormal"/>
        <w:numPr>
          <w:ilvl w:val="0"/>
          <w:numId w:val="0"/>
        </w:numPr>
        <w:kinsoku/>
        <w:overflowPunct/>
        <w:autoSpaceDE/>
        <w:autoSpaceDN/>
        <w:adjustRightInd/>
        <w:snapToGrid/>
      </w:pPr>
    </w:p>
    <w:p w14:paraId="6277F547" w14:textId="77777777" w:rsidR="004F0878" w:rsidRPr="00FC2C77" w:rsidRDefault="004F0878" w:rsidP="007625E6">
      <w:pPr>
        <w:pStyle w:val="Coverpulloutframe"/>
        <w:framePr w:wrap="notBeside"/>
        <w:sectPr w:rsidR="004F0878" w:rsidRPr="00FC2C77" w:rsidSect="00C54A4F">
          <w:headerReference w:type="even" r:id="rId21"/>
          <w:headerReference w:type="default" r:id="rId22"/>
          <w:footerReference w:type="even" r:id="rId23"/>
          <w:footerReference w:type="default" r:id="rId24"/>
          <w:headerReference w:type="first" r:id="rId25"/>
          <w:footerReference w:type="first" r:id="rId26"/>
          <w:type w:val="oddPage"/>
          <w:pgSz w:w="11907" w:h="16840" w:code="9"/>
          <w:pgMar w:top="1588" w:right="1843" w:bottom="1418" w:left="1843" w:header="567" w:footer="567" w:gutter="0"/>
          <w:pgNumType w:fmt="lowerRoman" w:start="1"/>
          <w:cols w:space="720"/>
          <w:titlePg/>
          <w:docGrid w:linePitch="286"/>
        </w:sectPr>
      </w:pPr>
    </w:p>
    <w:p w14:paraId="2F099869" w14:textId="77777777" w:rsidR="00247954" w:rsidRDefault="00476CCE" w:rsidP="00930AB8">
      <w:pPr>
        <w:pStyle w:val="Heading2"/>
      </w:pPr>
      <w:bookmarkStart w:id="29" w:name="_Toc507761447"/>
      <w:r>
        <w:t>Introduction</w:t>
      </w:r>
      <w:bookmarkEnd w:id="29"/>
    </w:p>
    <w:p w14:paraId="1E28B20A" w14:textId="77777777" w:rsidR="001721D4" w:rsidRDefault="001721D4" w:rsidP="00476CCE">
      <w:pPr>
        <w:pStyle w:val="Heading6"/>
        <w:spacing w:before="240" w:after="120"/>
      </w:pPr>
      <w:r>
        <w:t>Scope of this RIS</w:t>
      </w:r>
    </w:p>
    <w:p w14:paraId="1A42DE76" w14:textId="52275BD1" w:rsidR="001721D4" w:rsidRDefault="00435411" w:rsidP="001721D4">
      <w:pPr>
        <w:pStyle w:val="PwCNormal"/>
        <w:numPr>
          <w:ilvl w:val="0"/>
          <w:numId w:val="0"/>
        </w:numPr>
      </w:pPr>
      <w:r>
        <w:t xml:space="preserve">This Regulatory Impact Statement (RIS) analyses the regulatory framework for the identification and protection of Aboriginal cultural heritage in Victoria, and proposes the re-making of the </w:t>
      </w:r>
      <w:r w:rsidRPr="00705BA8">
        <w:t>Aboriginal Heritage Regulations 2007</w:t>
      </w:r>
      <w:r>
        <w:t xml:space="preserve"> (“the Regulations”) with some amendments.</w:t>
      </w:r>
    </w:p>
    <w:p w14:paraId="125D0A85" w14:textId="7D487BE3" w:rsidR="001721D4" w:rsidRDefault="00435411" w:rsidP="001721D4">
      <w:pPr>
        <w:pStyle w:val="PwCNormal"/>
        <w:numPr>
          <w:ilvl w:val="0"/>
          <w:numId w:val="0"/>
        </w:numPr>
      </w:pPr>
      <w:r>
        <w:t>The purpose of this RIS is to:</w:t>
      </w:r>
    </w:p>
    <w:p w14:paraId="05C7D411" w14:textId="0E7AA044" w:rsidR="00140798" w:rsidRDefault="00140798" w:rsidP="00140798">
      <w:pPr>
        <w:pStyle w:val="ListBullet"/>
      </w:pPr>
      <w:r>
        <w:t>establish the nature and extent of the problems that would exist in the absence of the Regulations</w:t>
      </w:r>
    </w:p>
    <w:p w14:paraId="5E1F40BA" w14:textId="1DD533B2" w:rsidR="00140798" w:rsidRDefault="00140798" w:rsidP="00140798">
      <w:pPr>
        <w:pStyle w:val="ListBullet"/>
      </w:pPr>
      <w:r>
        <w:t>articulate the desired objectives of addressing the identified problem</w:t>
      </w:r>
    </w:p>
    <w:p w14:paraId="70031462" w14:textId="0BCAA58C" w:rsidR="00140798" w:rsidRDefault="00140798" w:rsidP="00140798">
      <w:pPr>
        <w:pStyle w:val="ListBullet"/>
      </w:pPr>
      <w:r>
        <w:t>identify a set of viable options to address the established problem</w:t>
      </w:r>
    </w:p>
    <w:p w14:paraId="2FA8CE1B" w14:textId="153818D6" w:rsidR="00140798" w:rsidRDefault="00140798" w:rsidP="00140798">
      <w:pPr>
        <w:pStyle w:val="ListBullet"/>
      </w:pPr>
      <w:r>
        <w:t>assess the costs and benefits of these options, and the expected effectiveness of each option in addressing the problem</w:t>
      </w:r>
    </w:p>
    <w:p w14:paraId="79F7AB63" w14:textId="1CE621A9" w:rsidR="00140798" w:rsidRDefault="00140798" w:rsidP="00140798">
      <w:pPr>
        <w:pStyle w:val="ListBullet"/>
      </w:pPr>
      <w:r>
        <w:t>identify and describe a preferred option to achieve the desired objectives</w:t>
      </w:r>
    </w:p>
    <w:p w14:paraId="2D76DD0B" w14:textId="56678BB9" w:rsidR="00140798" w:rsidRDefault="00140798" w:rsidP="00140798">
      <w:pPr>
        <w:pStyle w:val="ListBullet"/>
      </w:pPr>
      <w:r>
        <w:t>develop an implementation and review strategy for the preferred option.</w:t>
      </w:r>
    </w:p>
    <w:p w14:paraId="0AF42F31" w14:textId="2798BFE6" w:rsidR="00140798" w:rsidRPr="00140798" w:rsidRDefault="00140798" w:rsidP="00140798">
      <w:pPr>
        <w:pStyle w:val="PwCNormal"/>
      </w:pPr>
      <w:r w:rsidRPr="00140798">
        <w:t xml:space="preserve">In accordance with Section 5 of the </w:t>
      </w:r>
      <w:r w:rsidRPr="00941610">
        <w:rPr>
          <w:i/>
        </w:rPr>
        <w:t>Subordinate Legislation Act 1994</w:t>
      </w:r>
      <w:r w:rsidRPr="00140798">
        <w:t>, there is an automatic</w:t>
      </w:r>
      <w:r>
        <w:t xml:space="preserve"> </w:t>
      </w:r>
      <w:r w:rsidRPr="00140798">
        <w:t>revocation of statutory rules ten years after they are made. The Regulations were due to</w:t>
      </w:r>
      <w:r>
        <w:t xml:space="preserve"> </w:t>
      </w:r>
      <w:r w:rsidRPr="00140798">
        <w:t xml:space="preserve">sunset on </w:t>
      </w:r>
      <w:r>
        <w:t>25 May 201</w:t>
      </w:r>
      <w:r w:rsidR="005B29B5">
        <w:t>7</w:t>
      </w:r>
      <w:r w:rsidRPr="00140798">
        <w:t xml:space="preserve">, but have been extended for 12 months until </w:t>
      </w:r>
      <w:r>
        <w:t>25 May 2018</w:t>
      </w:r>
      <w:r w:rsidRPr="00140798">
        <w:t>. After this date, the Regulations will expire and its provisions will no longer apply.</w:t>
      </w:r>
    </w:p>
    <w:p w14:paraId="4AFA3ED0" w14:textId="04702B9E" w:rsidR="00435411" w:rsidRPr="00140798" w:rsidRDefault="00140798" w:rsidP="00140798">
      <w:pPr>
        <w:pStyle w:val="PwCNormal"/>
      </w:pPr>
      <w:r w:rsidRPr="00140798">
        <w:t>This RIS is prepared in accordance with the Victorian Guide to Regulation (2016), which</w:t>
      </w:r>
      <w:r>
        <w:t xml:space="preserve"> </w:t>
      </w:r>
      <w:r w:rsidRPr="00140798">
        <w:t>provides a step-by-step guide to preparing RISs.</w:t>
      </w:r>
    </w:p>
    <w:p w14:paraId="40B03B33" w14:textId="77777777" w:rsidR="00476CCE" w:rsidRDefault="00476CCE" w:rsidP="00476CCE">
      <w:pPr>
        <w:pStyle w:val="Heading6"/>
        <w:spacing w:before="240" w:after="120"/>
      </w:pPr>
      <w:r>
        <w:t>Aboriginal cultural heritage</w:t>
      </w:r>
    </w:p>
    <w:p w14:paraId="43DBEC3E" w14:textId="77777777" w:rsidR="00476CCE" w:rsidRPr="00C345AF" w:rsidRDefault="00476CCE" w:rsidP="00476CCE">
      <w:pPr>
        <w:pStyle w:val="PwCNormal"/>
        <w:spacing w:before="120" w:after="120"/>
        <w:rPr>
          <w:lang w:val="en-GB"/>
        </w:rPr>
      </w:pPr>
      <w:r w:rsidRPr="00C345AF">
        <w:rPr>
          <w:lang w:val="en-GB"/>
        </w:rPr>
        <w:t xml:space="preserve">Throughout Victoria, even in the most intensively developed regions, the landscape holds the imprint of thousands of generations of Aboriginal people. Each </w:t>
      </w:r>
      <w:r>
        <w:rPr>
          <w:lang w:val="en-GB"/>
        </w:rPr>
        <w:t>region</w:t>
      </w:r>
      <w:r w:rsidRPr="00C345AF">
        <w:rPr>
          <w:lang w:val="en-GB"/>
        </w:rPr>
        <w:t xml:space="preserve"> of Victoria</w:t>
      </w:r>
      <w:r>
        <w:rPr>
          <w:lang w:val="en-GB"/>
        </w:rPr>
        <w:t xml:space="preserve"> </w:t>
      </w:r>
      <w:r w:rsidRPr="00C345AF">
        <w:rPr>
          <w:lang w:val="en-GB"/>
        </w:rPr>
        <w:t xml:space="preserve">has </w:t>
      </w:r>
      <w:r>
        <w:rPr>
          <w:lang w:val="en-GB"/>
        </w:rPr>
        <w:t xml:space="preserve">significant </w:t>
      </w:r>
      <w:r w:rsidRPr="00C345AF">
        <w:rPr>
          <w:lang w:val="en-GB"/>
        </w:rPr>
        <w:t>place</w:t>
      </w:r>
      <w:r>
        <w:rPr>
          <w:lang w:val="en-GB"/>
        </w:rPr>
        <w:t>s where Aboriginal people lived. In these places, they obtained sustenance, expressed</w:t>
      </w:r>
      <w:r w:rsidRPr="00C345AF">
        <w:rPr>
          <w:lang w:val="en-GB"/>
        </w:rPr>
        <w:t xml:space="preserve"> </w:t>
      </w:r>
      <w:r>
        <w:rPr>
          <w:lang w:val="en-GB"/>
        </w:rPr>
        <w:t>themselves artistically, passed</w:t>
      </w:r>
      <w:r w:rsidRPr="00C345AF">
        <w:rPr>
          <w:lang w:val="en-GB"/>
        </w:rPr>
        <w:t xml:space="preserve"> on creation stori</w:t>
      </w:r>
      <w:r>
        <w:rPr>
          <w:lang w:val="en-GB"/>
        </w:rPr>
        <w:t>es and cultural values, engaged in conflict, established</w:t>
      </w:r>
      <w:r w:rsidRPr="00C345AF">
        <w:rPr>
          <w:lang w:val="en-GB"/>
        </w:rPr>
        <w:t xml:space="preserve"> alliances and </w:t>
      </w:r>
      <w:r>
        <w:rPr>
          <w:lang w:val="en-GB"/>
        </w:rPr>
        <w:t>social networks, traded goods, celebrated rites of passage and committed</w:t>
      </w:r>
      <w:r w:rsidRPr="00C345AF">
        <w:rPr>
          <w:lang w:val="en-GB"/>
        </w:rPr>
        <w:t xml:space="preserve"> the departed to their final resting places.</w:t>
      </w:r>
    </w:p>
    <w:p w14:paraId="6702E2C2" w14:textId="77777777" w:rsidR="00476CCE" w:rsidRPr="00C345AF" w:rsidRDefault="00476CCE" w:rsidP="00476CCE">
      <w:pPr>
        <w:pStyle w:val="PwCNormal"/>
        <w:spacing w:before="120" w:after="120"/>
        <w:rPr>
          <w:lang w:val="en-GB"/>
        </w:rPr>
      </w:pPr>
      <w:r w:rsidRPr="00C345AF">
        <w:rPr>
          <w:lang w:val="en-GB"/>
        </w:rPr>
        <w:t xml:space="preserve">Underpinning these material aspects of Aboriginal cultural heritage are places where there may be no physical evidence of past cultural activities. These include places of spiritual or ceremonial significance, places where traditional plant or mineral resources occur, or trade and travel routes. Information about such places may be passed down from one generation to the next or may survive in nineteenth century </w:t>
      </w:r>
      <w:r>
        <w:rPr>
          <w:lang w:val="en-GB"/>
        </w:rPr>
        <w:t xml:space="preserve">colonial </w:t>
      </w:r>
      <w:r w:rsidRPr="00C345AF">
        <w:rPr>
          <w:lang w:val="en-GB"/>
        </w:rPr>
        <w:t>documents and records.</w:t>
      </w:r>
    </w:p>
    <w:p w14:paraId="11A1ED49" w14:textId="2FA04822" w:rsidR="00276AFD" w:rsidRDefault="00476CCE" w:rsidP="00476CCE">
      <w:pPr>
        <w:pStyle w:val="PwCNormal"/>
        <w:spacing w:before="120" w:after="120"/>
      </w:pPr>
      <w:r w:rsidRPr="005F3BB0">
        <w:t>Aboriginal cultural heritage includes ‘Aborigina</w:t>
      </w:r>
      <w:r>
        <w:t>l places’, ‘Aboriginal objects’</w:t>
      </w:r>
      <w:r w:rsidR="00276AFD">
        <w:t xml:space="preserve"> and</w:t>
      </w:r>
      <w:r>
        <w:t xml:space="preserve"> </w:t>
      </w:r>
      <w:r w:rsidRPr="005F3BB0">
        <w:t xml:space="preserve">‘Aboriginal </w:t>
      </w:r>
      <w:r w:rsidR="00276AFD">
        <w:t>Ancestral</w:t>
      </w:r>
      <w:r w:rsidR="00276AFD" w:rsidRPr="005F3BB0">
        <w:t xml:space="preserve"> </w:t>
      </w:r>
      <w:r w:rsidR="00276AFD">
        <w:t>R</w:t>
      </w:r>
      <w:r w:rsidRPr="005F3BB0">
        <w:t xml:space="preserve">emains’. </w:t>
      </w:r>
    </w:p>
    <w:p w14:paraId="74C21D51" w14:textId="0C18B19C" w:rsidR="00476CCE" w:rsidRPr="005F3BB0" w:rsidRDefault="00476CCE" w:rsidP="00476CCE">
      <w:pPr>
        <w:pStyle w:val="PwCNormal"/>
        <w:spacing w:before="120" w:after="120"/>
      </w:pPr>
      <w:r w:rsidRPr="005F3BB0">
        <w:t>An Aboriginal object may be either:</w:t>
      </w:r>
    </w:p>
    <w:p w14:paraId="55EB9B65" w14:textId="4BC7C493" w:rsidR="00476CCE" w:rsidRPr="005F3BB0" w:rsidRDefault="00476CCE" w:rsidP="00A006F3">
      <w:pPr>
        <w:pStyle w:val="PwCNormal"/>
        <w:numPr>
          <w:ilvl w:val="0"/>
          <w:numId w:val="29"/>
        </w:numPr>
        <w:spacing w:before="120" w:after="120"/>
      </w:pPr>
      <w:r w:rsidRPr="002A6384">
        <w:t>an object in Victoria or the coastal waters of Victoria that relates to the Aboriginal occupation of any part of Australia</w:t>
      </w:r>
      <w:r w:rsidR="00276AFD">
        <w:t>;</w:t>
      </w:r>
      <w:r w:rsidRPr="002A6384">
        <w:t xml:space="preserve"> whether or not the object existed prior to the occupation of that part of Australia by people of non-Aboriginal descent and is of cultural heritage significance to Aboriginal people</w:t>
      </w:r>
      <w:r w:rsidR="00BF4AA8">
        <w:t>; or</w:t>
      </w:r>
    </w:p>
    <w:p w14:paraId="4AB54BFB" w14:textId="3A02D58C" w:rsidR="00476CCE" w:rsidRPr="005F3BB0" w:rsidRDefault="00476CCE" w:rsidP="00A006F3">
      <w:pPr>
        <w:pStyle w:val="PwCNormal"/>
        <w:numPr>
          <w:ilvl w:val="0"/>
          <w:numId w:val="29"/>
        </w:numPr>
        <w:spacing w:before="120" w:after="120"/>
      </w:pPr>
      <w:r w:rsidRPr="002A6384">
        <w:t>an object, material or thing in Victoria or the coastal waters of Victoria that is removed or excavated from an Aboriginal place, and is of cultural heritage significance to Aboriginal people.</w:t>
      </w:r>
    </w:p>
    <w:p w14:paraId="2830B14E" w14:textId="42202344" w:rsidR="00476CCE" w:rsidRPr="005F3BB0" w:rsidRDefault="00476CCE" w:rsidP="00476CCE">
      <w:pPr>
        <w:pStyle w:val="PwCNormal"/>
        <w:spacing w:before="120" w:after="120"/>
      </w:pPr>
      <w:r w:rsidRPr="005F3BB0">
        <w:t xml:space="preserve">An Aboriginal place is an area </w:t>
      </w:r>
      <w:r w:rsidR="00276AFD">
        <w:t xml:space="preserve">in Victoria </w:t>
      </w:r>
      <w:r w:rsidRPr="005F3BB0">
        <w:t xml:space="preserve">that is of cultural heritage significance to Aboriginal people. An area includes – an area of land; an expanse of water; a natural feature, formation or landscape; an archaeological site, feature or deposit; the area immediately surrounding any of these things; land set aside for the purpose of enabling Aboriginal </w:t>
      </w:r>
      <w:r w:rsidR="00276AFD">
        <w:t>Ancestral</w:t>
      </w:r>
      <w:r w:rsidR="00276AFD" w:rsidRPr="005F3BB0">
        <w:t xml:space="preserve"> </w:t>
      </w:r>
      <w:r w:rsidR="00276AFD">
        <w:t>R</w:t>
      </w:r>
      <w:r w:rsidRPr="005F3BB0">
        <w:t>emains to be re-interred; and a building or structure.</w:t>
      </w:r>
    </w:p>
    <w:p w14:paraId="6F0EBDFF" w14:textId="77777777" w:rsidR="00476CCE" w:rsidRPr="00FD5C52" w:rsidRDefault="00476CCE" w:rsidP="00476CCE">
      <w:pPr>
        <w:pStyle w:val="PwCNormal"/>
        <w:spacing w:before="120" w:after="120"/>
      </w:pPr>
      <w:r w:rsidRPr="002A6384">
        <w:t>Cultural heritage significance includes archaeological, anthropological, contemporary, historical, scientific, social or spiritual significance, and significance in accordance with Aboriginal tradition.</w:t>
      </w:r>
    </w:p>
    <w:p w14:paraId="239BD67A" w14:textId="77777777" w:rsidR="00476CCE" w:rsidRDefault="00476CCE" w:rsidP="00476CCE">
      <w:pPr>
        <w:pStyle w:val="Heading6"/>
        <w:spacing w:before="360" w:after="240" w:line="380" w:lineRule="atLeast"/>
      </w:pPr>
      <w:r>
        <w:t>Previous legislation</w:t>
      </w:r>
    </w:p>
    <w:p w14:paraId="18E72182" w14:textId="050046A7" w:rsidR="008C268D" w:rsidRDefault="008C268D" w:rsidP="008C268D">
      <w:pPr>
        <w:pStyle w:val="PwCNormal"/>
        <w:numPr>
          <w:ilvl w:val="0"/>
          <w:numId w:val="0"/>
        </w:numPr>
      </w:pPr>
      <w:r>
        <w:t xml:space="preserve">The main previous legislation relating to Aboriginal cultural heritage protection </w:t>
      </w:r>
      <w:r w:rsidR="006B4926">
        <w:t>in Victoria</w:t>
      </w:r>
      <w:r w:rsidR="00941610">
        <w:t xml:space="preserve"> </w:t>
      </w:r>
      <w:r>
        <w:t>are:</w:t>
      </w:r>
    </w:p>
    <w:p w14:paraId="24606CEF" w14:textId="0CDD1BB7" w:rsidR="008C268D" w:rsidRDefault="008C268D" w:rsidP="008C268D">
      <w:pPr>
        <w:pStyle w:val="ListBullet"/>
      </w:pPr>
      <w:r>
        <w:t xml:space="preserve">the </w:t>
      </w:r>
      <w:r w:rsidRPr="00D07ABD">
        <w:rPr>
          <w:i/>
        </w:rPr>
        <w:t>Victorian Archaeological and Aboriginal Relics Preservation Act 1972</w:t>
      </w:r>
    </w:p>
    <w:p w14:paraId="4F5B1456" w14:textId="6CD90208" w:rsidR="008C268D" w:rsidRDefault="008C268D" w:rsidP="008C268D">
      <w:pPr>
        <w:pStyle w:val="ListBullet"/>
      </w:pPr>
      <w:r>
        <w:t xml:space="preserve">Part 2A of the Commonwealth </w:t>
      </w:r>
      <w:r w:rsidRPr="00D07ABD">
        <w:rPr>
          <w:i/>
        </w:rPr>
        <w:t>Aboriginal and Torres Strait Islander Heritage Protection Act 1984</w:t>
      </w:r>
      <w:r>
        <w:t>.</w:t>
      </w:r>
    </w:p>
    <w:p w14:paraId="4AE27616" w14:textId="5D5E75D2" w:rsidR="008C268D" w:rsidRPr="008C268D" w:rsidRDefault="008C268D" w:rsidP="008C268D">
      <w:pPr>
        <w:pStyle w:val="ListBullet"/>
        <w:numPr>
          <w:ilvl w:val="0"/>
          <w:numId w:val="0"/>
        </w:numPr>
      </w:pPr>
      <w:r>
        <w:t xml:space="preserve">The </w:t>
      </w:r>
      <w:r w:rsidRPr="00705BA8">
        <w:rPr>
          <w:i/>
        </w:rPr>
        <w:t>Aboriginal Heritage Act 2006</w:t>
      </w:r>
      <w:r>
        <w:t xml:space="preserve"> and Aboriginal Heritage Regulations 2007</w:t>
      </w:r>
      <w:r w:rsidR="001F1BE5">
        <w:t xml:space="preserve"> largely</w:t>
      </w:r>
      <w:r>
        <w:t xml:space="preserve"> superseded this legislation.</w:t>
      </w:r>
      <w:r w:rsidR="001F1BE5">
        <w:rPr>
          <w:rStyle w:val="FootnoteReference"/>
        </w:rPr>
        <w:footnoteReference w:id="18"/>
      </w:r>
      <w:r>
        <w:t xml:space="preserve"> More detail on the previous legislation can be found in</w:t>
      </w:r>
      <w:r w:rsidR="00677865">
        <w:t xml:space="preserve"> </w:t>
      </w:r>
      <w:r w:rsidR="005B29B5">
        <w:fldChar w:fldCharType="begin"/>
      </w:r>
      <w:r w:rsidR="005B29B5">
        <w:instrText xml:space="preserve"> REF _Ref503454770 \n \h </w:instrText>
      </w:r>
      <w:r w:rsidR="005B29B5">
        <w:fldChar w:fldCharType="separate"/>
      </w:r>
      <w:r w:rsidR="000369A1">
        <w:t>Appendix B</w:t>
      </w:r>
      <w:r w:rsidR="005B29B5">
        <w:fldChar w:fldCharType="end"/>
      </w:r>
      <w:r>
        <w:t>.</w:t>
      </w:r>
    </w:p>
    <w:p w14:paraId="09CEF3F8" w14:textId="77777777" w:rsidR="00476CCE" w:rsidRDefault="001721D4" w:rsidP="00476CCE">
      <w:pPr>
        <w:pStyle w:val="Heading6"/>
        <w:spacing w:before="360" w:after="240" w:line="380" w:lineRule="atLeast"/>
      </w:pPr>
      <w:r>
        <w:t>Existing legislative framework</w:t>
      </w:r>
    </w:p>
    <w:p w14:paraId="637217C1" w14:textId="77777777" w:rsidR="001721D4" w:rsidRPr="001721D4" w:rsidRDefault="001721D4" w:rsidP="001721D4">
      <w:pPr>
        <w:pStyle w:val="Heading7"/>
      </w:pPr>
      <w:bookmarkStart w:id="30" w:name="_Ref503537202"/>
      <w:r w:rsidRPr="001721D4">
        <w:rPr>
          <w:i w:val="0"/>
        </w:rPr>
        <w:t>The</w:t>
      </w:r>
      <w:r w:rsidRPr="00D80F95">
        <w:t xml:space="preserve"> </w:t>
      </w:r>
      <w:r w:rsidRPr="001721D4">
        <w:t>Aboriginal Heritage Act 2006</w:t>
      </w:r>
      <w:bookmarkEnd w:id="30"/>
    </w:p>
    <w:p w14:paraId="3C51DA16" w14:textId="178A5829" w:rsidR="00311651" w:rsidRPr="0027372A" w:rsidRDefault="00311651" w:rsidP="0027372A">
      <w:pPr>
        <w:pStyle w:val="PwCNormal"/>
        <w:rPr>
          <w:rFonts w:asciiTheme="majorHAnsi" w:hAnsiTheme="majorHAnsi"/>
        </w:rPr>
      </w:pPr>
      <w:r w:rsidRPr="0027372A">
        <w:rPr>
          <w:rFonts w:asciiTheme="majorHAnsi" w:hAnsiTheme="majorHAnsi"/>
        </w:rPr>
        <w:t xml:space="preserve">The </w:t>
      </w:r>
      <w:r w:rsidRPr="00705BA8">
        <w:rPr>
          <w:rFonts w:asciiTheme="majorHAnsi" w:hAnsiTheme="majorHAnsi"/>
          <w:i/>
        </w:rPr>
        <w:t>Aboriginal Heritage Act 2006</w:t>
      </w:r>
      <w:r w:rsidRPr="0027372A">
        <w:rPr>
          <w:rFonts w:asciiTheme="majorHAnsi" w:hAnsiTheme="majorHAnsi"/>
        </w:rPr>
        <w:t xml:space="preserve"> </w:t>
      </w:r>
      <w:r w:rsidR="00BF4AA8">
        <w:rPr>
          <w:rFonts w:asciiTheme="majorHAnsi" w:hAnsiTheme="majorHAnsi"/>
        </w:rPr>
        <w:t xml:space="preserve">(the Act) </w:t>
      </w:r>
      <w:r w:rsidRPr="0027372A">
        <w:rPr>
          <w:rFonts w:asciiTheme="majorHAnsi" w:hAnsiTheme="majorHAnsi"/>
        </w:rPr>
        <w:t>is Victoria’s principal legislation for the protection of Aboriginal cultural heritage, and the management of Aboriginal cultural heritage during development</w:t>
      </w:r>
      <w:r w:rsidR="00BF4AA8">
        <w:rPr>
          <w:rFonts w:asciiTheme="majorHAnsi" w:hAnsiTheme="majorHAnsi"/>
        </w:rPr>
        <w:t xml:space="preserve"> and land use</w:t>
      </w:r>
      <w:r w:rsidRPr="0027372A">
        <w:rPr>
          <w:rFonts w:asciiTheme="majorHAnsi" w:hAnsiTheme="majorHAnsi"/>
        </w:rPr>
        <w:t xml:space="preserve"> activities. The Act protects all Aboriginal cultural heritage in Victoria, and prescribes significant penalties to ensure Aboriginal cultural heritage is protected from harm.</w:t>
      </w:r>
    </w:p>
    <w:p w14:paraId="2B285C41" w14:textId="7C7571B7" w:rsidR="00311651" w:rsidRDefault="00311651" w:rsidP="00311651">
      <w:pPr>
        <w:pStyle w:val="PwCNormal"/>
        <w:rPr>
          <w:rFonts w:asciiTheme="majorHAnsi" w:hAnsiTheme="majorHAnsi"/>
        </w:rPr>
      </w:pPr>
      <w:r w:rsidRPr="00405709">
        <w:rPr>
          <w:rFonts w:asciiTheme="majorHAnsi" w:hAnsiTheme="majorHAnsi"/>
        </w:rPr>
        <w:t xml:space="preserve">The Act legislates a central role for Aboriginal people in identifying, managing and protecting their cultural heritage. It does this by establishing registered Aboriginal parties (RAPs) – organisations with statutory decision-making responsibilities for protecting Aboriginal cultural heritage in their </w:t>
      </w:r>
      <w:r w:rsidR="00395ED9">
        <w:rPr>
          <w:rFonts w:asciiTheme="majorHAnsi" w:hAnsiTheme="majorHAnsi"/>
        </w:rPr>
        <w:t>appointed</w:t>
      </w:r>
      <w:r w:rsidR="00395ED9" w:rsidRPr="00405709">
        <w:rPr>
          <w:rFonts w:asciiTheme="majorHAnsi" w:hAnsiTheme="majorHAnsi"/>
        </w:rPr>
        <w:t xml:space="preserve"> </w:t>
      </w:r>
      <w:r w:rsidRPr="00405709">
        <w:rPr>
          <w:rFonts w:asciiTheme="majorHAnsi" w:hAnsiTheme="majorHAnsi"/>
        </w:rPr>
        <w:t xml:space="preserve">area. The responsibilities include </w:t>
      </w:r>
      <w:r w:rsidR="00395ED9">
        <w:rPr>
          <w:rFonts w:asciiTheme="majorHAnsi" w:hAnsiTheme="majorHAnsi"/>
        </w:rPr>
        <w:t>the evaluation</w:t>
      </w:r>
      <w:r w:rsidRPr="00405709">
        <w:rPr>
          <w:rFonts w:asciiTheme="majorHAnsi" w:hAnsiTheme="majorHAnsi"/>
        </w:rPr>
        <w:t xml:space="preserve"> of Cultural Heritage Management Plans</w:t>
      </w:r>
      <w:r w:rsidR="00395ED9">
        <w:rPr>
          <w:rFonts w:asciiTheme="majorHAnsi" w:hAnsiTheme="majorHAnsi"/>
        </w:rPr>
        <w:t xml:space="preserve"> (CHMPs)</w:t>
      </w:r>
      <w:r w:rsidRPr="00405709">
        <w:rPr>
          <w:rFonts w:asciiTheme="majorHAnsi" w:hAnsiTheme="majorHAnsi"/>
        </w:rPr>
        <w:t xml:space="preserve">, </w:t>
      </w:r>
      <w:r w:rsidR="00395ED9">
        <w:rPr>
          <w:rFonts w:asciiTheme="majorHAnsi" w:hAnsiTheme="majorHAnsi"/>
        </w:rPr>
        <w:t>determining</w:t>
      </w:r>
      <w:r w:rsidR="00395ED9" w:rsidRPr="00405709">
        <w:rPr>
          <w:rFonts w:asciiTheme="majorHAnsi" w:hAnsiTheme="majorHAnsi"/>
        </w:rPr>
        <w:t xml:space="preserve"> </w:t>
      </w:r>
      <w:r w:rsidRPr="00405709">
        <w:rPr>
          <w:rFonts w:asciiTheme="majorHAnsi" w:hAnsiTheme="majorHAnsi"/>
        </w:rPr>
        <w:t>Cultural Heritage Permits</w:t>
      </w:r>
      <w:r w:rsidR="00395ED9">
        <w:rPr>
          <w:rFonts w:asciiTheme="majorHAnsi" w:hAnsiTheme="majorHAnsi"/>
        </w:rPr>
        <w:t xml:space="preserve"> (CHPs)</w:t>
      </w:r>
      <w:r w:rsidRPr="00405709">
        <w:rPr>
          <w:rFonts w:asciiTheme="majorHAnsi" w:hAnsiTheme="majorHAnsi"/>
        </w:rPr>
        <w:t xml:space="preserve">, advising Government </w:t>
      </w:r>
      <w:r w:rsidR="00395ED9">
        <w:rPr>
          <w:rFonts w:asciiTheme="majorHAnsi" w:hAnsiTheme="majorHAnsi"/>
        </w:rPr>
        <w:t>on matters relating to Aboriginal</w:t>
      </w:r>
      <w:r w:rsidRPr="00405709">
        <w:rPr>
          <w:rFonts w:asciiTheme="majorHAnsi" w:hAnsiTheme="majorHAnsi"/>
        </w:rPr>
        <w:t xml:space="preserve"> cultural heritage</w:t>
      </w:r>
      <w:r w:rsidR="00395ED9">
        <w:rPr>
          <w:rFonts w:asciiTheme="majorHAnsi" w:hAnsiTheme="majorHAnsi"/>
        </w:rPr>
        <w:t xml:space="preserve"> in their appointed area</w:t>
      </w:r>
      <w:r w:rsidRPr="00405709">
        <w:rPr>
          <w:rFonts w:asciiTheme="majorHAnsi" w:hAnsiTheme="majorHAnsi"/>
        </w:rPr>
        <w:t>, and carrying out compliance and enforcement activities.</w:t>
      </w:r>
    </w:p>
    <w:p w14:paraId="29585234" w14:textId="77777777" w:rsidR="00476CCE" w:rsidRPr="009B3022" w:rsidRDefault="00476CCE" w:rsidP="00476CCE">
      <w:pPr>
        <w:pStyle w:val="PwCNormal"/>
        <w:spacing w:before="120" w:after="120"/>
      </w:pPr>
      <w:r w:rsidRPr="009B3022">
        <w:t>The Act sets out several key objectives including to:</w:t>
      </w:r>
    </w:p>
    <w:p w14:paraId="3C566FC7" w14:textId="77777777" w:rsidR="00476CCE" w:rsidRPr="00C411EA" w:rsidRDefault="00476CCE" w:rsidP="00476CCE">
      <w:pPr>
        <w:pStyle w:val="ListBullet"/>
        <w:spacing w:before="120" w:after="120"/>
      </w:pPr>
      <w:r w:rsidRPr="00913778">
        <w:t>recognise, protect and conserve Aboriginal cultural heritage in Victoria in ways that are based on respect for Aboriginal knowledge and cultural and traditional practices</w:t>
      </w:r>
    </w:p>
    <w:p w14:paraId="5B0B0BCB" w14:textId="77777777" w:rsidR="00476CCE" w:rsidRPr="00D80F95" w:rsidRDefault="00476CCE" w:rsidP="00476CCE">
      <w:pPr>
        <w:pStyle w:val="ListBullet"/>
        <w:spacing w:before="120" w:after="120"/>
      </w:pPr>
      <w:r w:rsidRPr="00D80F95">
        <w:t>recognise Aboriginal people as the primary guardians, keepers and knowledge holders of Aboriginal cultural heritage and accord appropriate status to Aboriginal people with traditional or familial links with Aboriginal cultural heritage in protecting that heritage</w:t>
      </w:r>
    </w:p>
    <w:p w14:paraId="51D0572B" w14:textId="77777777" w:rsidR="00476CCE" w:rsidRPr="00D80F95" w:rsidRDefault="00476CCE" w:rsidP="00476CCE">
      <w:pPr>
        <w:pStyle w:val="ListBullet"/>
        <w:spacing w:before="120" w:after="120"/>
      </w:pPr>
      <w:r w:rsidRPr="00D80F95">
        <w:t>promote the management of Aboriginal cultural heritage as an integral part of land and natural resource management and promote public awareness and understanding of Aboriginal cultural heritage in Victoria</w:t>
      </w:r>
    </w:p>
    <w:p w14:paraId="40ACE017" w14:textId="77777777" w:rsidR="00476CCE" w:rsidRPr="00C411EA" w:rsidRDefault="00476CCE" w:rsidP="00476CCE">
      <w:pPr>
        <w:pStyle w:val="ListBullet"/>
        <w:spacing w:before="120" w:after="120"/>
      </w:pPr>
      <w:r w:rsidRPr="00913778">
        <w:t>establish an Aboriginal cultural heritage register to record Aboriginal cultural heritage</w:t>
      </w:r>
    </w:p>
    <w:p w14:paraId="431DB988" w14:textId="77777777" w:rsidR="00476CCE" w:rsidRPr="00C411EA" w:rsidRDefault="00476CCE" w:rsidP="00476CCE">
      <w:pPr>
        <w:pStyle w:val="ListBullet"/>
        <w:spacing w:before="120" w:after="120"/>
      </w:pPr>
      <w:r w:rsidRPr="00913778">
        <w:t>establish processes for the timely and efficient assessment of activities that have the potential to harm Aboriginal cultural heritage</w:t>
      </w:r>
    </w:p>
    <w:p w14:paraId="666374D0" w14:textId="77777777" w:rsidR="00476CCE" w:rsidRPr="00C411EA" w:rsidRDefault="00476CCE" w:rsidP="00476CCE">
      <w:pPr>
        <w:pStyle w:val="ListBullet"/>
        <w:spacing w:before="120" w:after="120"/>
      </w:pPr>
      <w:r w:rsidRPr="00913778">
        <w:t>promote the use of agreements that provide for the management and protection of Aboriginal cultural heritage</w:t>
      </w:r>
    </w:p>
    <w:p w14:paraId="10854AAC" w14:textId="77777777" w:rsidR="00476CCE" w:rsidRPr="00C411EA" w:rsidRDefault="00476CCE" w:rsidP="00476CCE">
      <w:pPr>
        <w:pStyle w:val="ListBullet"/>
        <w:spacing w:before="120" w:after="120"/>
      </w:pPr>
      <w:r w:rsidRPr="00913778">
        <w:t>establish mechanisms that enable the resolution of disputes relating to the protection of Aboriginal cultural heritage</w:t>
      </w:r>
    </w:p>
    <w:p w14:paraId="648E6CAB" w14:textId="77777777" w:rsidR="00476CCE" w:rsidRPr="00C411EA" w:rsidRDefault="00476CCE" w:rsidP="00476CCE">
      <w:pPr>
        <w:pStyle w:val="ListBullet"/>
        <w:spacing w:before="120" w:after="120"/>
      </w:pPr>
      <w:r w:rsidRPr="00913778">
        <w:t>provide appropriate sanctions and penalties to prevent harm to Aboriginal cultural heritage.</w:t>
      </w:r>
    </w:p>
    <w:p w14:paraId="46EBC133" w14:textId="666F18D0" w:rsidR="00476CCE" w:rsidRDefault="00476CCE" w:rsidP="00476CCE">
      <w:pPr>
        <w:pStyle w:val="PwCNormal"/>
        <w:spacing w:before="180" w:after="180"/>
        <w:rPr>
          <w:rFonts w:asciiTheme="majorHAnsi" w:hAnsiTheme="majorHAnsi"/>
        </w:rPr>
      </w:pPr>
      <w:r>
        <w:fldChar w:fldCharType="begin"/>
      </w:r>
      <w:r>
        <w:instrText xml:space="preserve"> REF _Ref311133543 \h  \* MERGEFORMAT </w:instrText>
      </w:r>
      <w:r>
        <w:fldChar w:fldCharType="separate"/>
      </w:r>
      <w:r w:rsidR="000369A1" w:rsidRPr="009B3022">
        <w:t xml:space="preserve">Box </w:t>
      </w:r>
      <w:r w:rsidR="000369A1">
        <w:t>1</w:t>
      </w:r>
      <w:r>
        <w:fldChar w:fldCharType="end"/>
      </w:r>
      <w:r w:rsidRPr="00913778">
        <w:rPr>
          <w:rFonts w:asciiTheme="majorHAnsi" w:hAnsiTheme="majorHAnsi"/>
        </w:rPr>
        <w:t xml:space="preserve"> outlines the key features of the Act.</w:t>
      </w:r>
    </w:p>
    <w:tbl>
      <w:tblPr>
        <w:tblStyle w:val="LightShading-Accent12"/>
        <w:tblW w:w="0" w:type="auto"/>
        <w:tblBorders>
          <w:top w:val="none" w:sz="0" w:space="0" w:color="auto"/>
          <w:bottom w:val="none" w:sz="0" w:space="0" w:color="auto"/>
        </w:tblBorders>
        <w:tblLook w:val="0600" w:firstRow="0" w:lastRow="0" w:firstColumn="0" w:lastColumn="0" w:noHBand="1" w:noVBand="1"/>
      </w:tblPr>
      <w:tblGrid>
        <w:gridCol w:w="8437"/>
      </w:tblGrid>
      <w:tr w:rsidR="00476CCE" w:rsidRPr="00DB08E5" w14:paraId="0D2F95A9" w14:textId="77777777" w:rsidTr="001721D4">
        <w:tc>
          <w:tcPr>
            <w:tcW w:w="9039" w:type="dxa"/>
            <w:shd w:val="clear" w:color="auto" w:fill="F4CACA" w:themeFill="text2" w:themeFillTint="33"/>
          </w:tcPr>
          <w:p w14:paraId="5D5F9CA4" w14:textId="77777777" w:rsidR="00476CCE" w:rsidRPr="009B3022" w:rsidRDefault="00476CCE" w:rsidP="001721D4">
            <w:pPr>
              <w:pStyle w:val="Caption"/>
              <w:keepNext w:val="0"/>
              <w:spacing w:before="80" w:after="80"/>
              <w:rPr>
                <w:color w:val="auto"/>
                <w:sz w:val="20"/>
              </w:rPr>
            </w:pPr>
            <w:bookmarkStart w:id="31" w:name="_Ref311133543"/>
            <w:r w:rsidRPr="009B3022">
              <w:rPr>
                <w:color w:val="auto"/>
                <w:sz w:val="20"/>
              </w:rPr>
              <w:t xml:space="preserve">Box </w:t>
            </w:r>
            <w:r w:rsidR="00193EDA">
              <w:rPr>
                <w:color w:val="auto"/>
              </w:rPr>
              <w:fldChar w:fldCharType="begin"/>
            </w:r>
            <w:r w:rsidR="00193EDA">
              <w:rPr>
                <w:color w:val="auto"/>
                <w:sz w:val="20"/>
              </w:rPr>
              <w:instrText xml:space="preserve"> SEQ Box \* ARABIC </w:instrText>
            </w:r>
            <w:r w:rsidR="00193EDA">
              <w:rPr>
                <w:color w:val="auto"/>
              </w:rPr>
              <w:fldChar w:fldCharType="separate"/>
            </w:r>
            <w:r w:rsidR="000369A1">
              <w:rPr>
                <w:noProof/>
                <w:color w:val="auto"/>
                <w:sz w:val="20"/>
              </w:rPr>
              <w:t>1</w:t>
            </w:r>
            <w:r w:rsidR="00193EDA">
              <w:rPr>
                <w:color w:val="auto"/>
              </w:rPr>
              <w:fldChar w:fldCharType="end"/>
            </w:r>
            <w:bookmarkEnd w:id="31"/>
            <w:r w:rsidRPr="009B3022">
              <w:rPr>
                <w:color w:val="auto"/>
                <w:sz w:val="20"/>
              </w:rPr>
              <w:t>: Key features of the Act</w:t>
            </w:r>
          </w:p>
          <w:p w14:paraId="3809149F" w14:textId="33171892" w:rsidR="00476CCE" w:rsidRPr="00D11C03" w:rsidRDefault="00476CCE" w:rsidP="001721D4">
            <w:pPr>
              <w:pStyle w:val="Minorheading3"/>
              <w:keepNext w:val="0"/>
              <w:keepLines w:val="0"/>
              <w:widowControl w:val="0"/>
              <w:spacing w:before="80" w:after="80"/>
              <w:rPr>
                <w:i w:val="0"/>
                <w:color w:val="auto"/>
                <w:szCs w:val="18"/>
              </w:rPr>
            </w:pPr>
            <w:r>
              <w:rPr>
                <w:i w:val="0"/>
                <w:color w:val="auto"/>
                <w:szCs w:val="18"/>
              </w:rPr>
              <w:t xml:space="preserve">The </w:t>
            </w:r>
            <w:r w:rsidR="00311651">
              <w:rPr>
                <w:i w:val="0"/>
                <w:color w:val="auto"/>
                <w:szCs w:val="18"/>
              </w:rPr>
              <w:t xml:space="preserve">Victorian </w:t>
            </w:r>
            <w:r>
              <w:rPr>
                <w:i w:val="0"/>
                <w:color w:val="auto"/>
                <w:szCs w:val="18"/>
              </w:rPr>
              <w:t xml:space="preserve">Aboriginal Heritage </w:t>
            </w:r>
            <w:r w:rsidRPr="00D11C03">
              <w:rPr>
                <w:i w:val="0"/>
                <w:color w:val="auto"/>
                <w:szCs w:val="18"/>
              </w:rPr>
              <w:t>Council</w:t>
            </w:r>
            <w:r w:rsidR="00395ED9">
              <w:rPr>
                <w:i w:val="0"/>
                <w:color w:val="auto"/>
                <w:szCs w:val="18"/>
              </w:rPr>
              <w:t xml:space="preserve"> (VAHC)</w:t>
            </w:r>
            <w:r w:rsidRPr="00D11C03">
              <w:rPr>
                <w:i w:val="0"/>
                <w:color w:val="auto"/>
                <w:szCs w:val="18"/>
              </w:rPr>
              <w:t xml:space="preserve"> – the Act establishes the </w:t>
            </w:r>
            <w:r w:rsidR="00311651">
              <w:rPr>
                <w:i w:val="0"/>
                <w:color w:val="auto"/>
                <w:szCs w:val="18"/>
              </w:rPr>
              <w:t>VAHC</w:t>
            </w:r>
            <w:r w:rsidRPr="00D11C03">
              <w:rPr>
                <w:i w:val="0"/>
                <w:color w:val="auto"/>
                <w:szCs w:val="18"/>
              </w:rPr>
              <w:t xml:space="preserve">, </w:t>
            </w:r>
            <w:r w:rsidR="00395ED9">
              <w:rPr>
                <w:i w:val="0"/>
                <w:color w:val="auto"/>
                <w:szCs w:val="18"/>
              </w:rPr>
              <w:t xml:space="preserve">a </w:t>
            </w:r>
            <w:r w:rsidR="00311651">
              <w:rPr>
                <w:i w:val="0"/>
                <w:color w:val="auto"/>
                <w:szCs w:val="18"/>
              </w:rPr>
              <w:t xml:space="preserve">council of </w:t>
            </w:r>
            <w:r w:rsidR="00395ED9">
              <w:rPr>
                <w:i w:val="0"/>
                <w:color w:val="auto"/>
                <w:szCs w:val="18"/>
              </w:rPr>
              <w:t>up t</w:t>
            </w:r>
            <w:r w:rsidR="00BF4AA8">
              <w:rPr>
                <w:i w:val="0"/>
                <w:color w:val="auto"/>
                <w:szCs w:val="18"/>
              </w:rPr>
              <w:t>o</w:t>
            </w:r>
            <w:r w:rsidR="00395ED9">
              <w:rPr>
                <w:i w:val="0"/>
                <w:color w:val="auto"/>
                <w:szCs w:val="18"/>
              </w:rPr>
              <w:t xml:space="preserve"> </w:t>
            </w:r>
            <w:r w:rsidR="00311651">
              <w:rPr>
                <w:i w:val="0"/>
                <w:color w:val="auto"/>
                <w:szCs w:val="18"/>
              </w:rPr>
              <w:t xml:space="preserve">11 Traditional Owners with extensive knowledge and experience in cultural heritage management. VAHC </w:t>
            </w:r>
            <w:r w:rsidRPr="00D11C03">
              <w:rPr>
                <w:i w:val="0"/>
                <w:color w:val="auto"/>
                <w:szCs w:val="18"/>
              </w:rPr>
              <w:t xml:space="preserve">members are Victorian Traditional Owners appointed by the Minister for Aboriginal Affairs. The </w:t>
            </w:r>
            <w:r w:rsidR="00311651">
              <w:rPr>
                <w:i w:val="0"/>
                <w:color w:val="auto"/>
                <w:szCs w:val="18"/>
              </w:rPr>
              <w:t>VAHC’s</w:t>
            </w:r>
            <w:r w:rsidR="00311651" w:rsidRPr="00D11C03">
              <w:rPr>
                <w:i w:val="0"/>
                <w:color w:val="auto"/>
                <w:szCs w:val="18"/>
              </w:rPr>
              <w:t xml:space="preserve"> </w:t>
            </w:r>
            <w:r w:rsidRPr="00D11C03">
              <w:rPr>
                <w:i w:val="0"/>
                <w:color w:val="auto"/>
                <w:szCs w:val="18"/>
              </w:rPr>
              <w:t xml:space="preserve">main roles are to appoint RAPs as cultural heritage decision makers for areas in Victoria, advise the Minister for Aboriginal Affairs </w:t>
            </w:r>
            <w:r w:rsidR="00BF4AA8">
              <w:rPr>
                <w:i w:val="0"/>
                <w:color w:val="auto"/>
                <w:szCs w:val="18"/>
              </w:rPr>
              <w:t xml:space="preserve">(the Minister) </w:t>
            </w:r>
            <w:r w:rsidRPr="00D11C03">
              <w:rPr>
                <w:i w:val="0"/>
                <w:color w:val="auto"/>
                <w:szCs w:val="18"/>
              </w:rPr>
              <w:t>about the exercise of powers under the Act and the protection of Aboriginal cultural heritage</w:t>
            </w:r>
            <w:r w:rsidR="00F4328A">
              <w:rPr>
                <w:i w:val="0"/>
                <w:color w:val="auto"/>
                <w:szCs w:val="18"/>
              </w:rPr>
              <w:t>,</w:t>
            </w:r>
            <w:r w:rsidRPr="00D11C03">
              <w:rPr>
                <w:i w:val="0"/>
                <w:color w:val="auto"/>
                <w:szCs w:val="18"/>
              </w:rPr>
              <w:t xml:space="preserve"> and </w:t>
            </w:r>
            <w:r w:rsidR="00BF4AA8">
              <w:rPr>
                <w:i w:val="0"/>
                <w:color w:val="auto"/>
                <w:szCs w:val="18"/>
              </w:rPr>
              <w:t>evaluates</w:t>
            </w:r>
            <w:r w:rsidR="00BF4AA8" w:rsidRPr="00D11C03">
              <w:rPr>
                <w:i w:val="0"/>
                <w:color w:val="auto"/>
                <w:szCs w:val="18"/>
              </w:rPr>
              <w:t xml:space="preserve"> </w:t>
            </w:r>
            <w:r w:rsidRPr="00D11C03">
              <w:rPr>
                <w:i w:val="0"/>
                <w:color w:val="auto"/>
                <w:szCs w:val="18"/>
              </w:rPr>
              <w:t xml:space="preserve">CHMPs when </w:t>
            </w:r>
            <w:r w:rsidR="00311651">
              <w:rPr>
                <w:i w:val="0"/>
                <w:color w:val="auto"/>
                <w:szCs w:val="18"/>
              </w:rPr>
              <w:t>a RAP</w:t>
            </w:r>
            <w:r w:rsidRPr="00D11C03">
              <w:rPr>
                <w:i w:val="0"/>
                <w:color w:val="auto"/>
                <w:szCs w:val="18"/>
              </w:rPr>
              <w:t xml:space="preserve"> is the sponsor. The </w:t>
            </w:r>
            <w:r w:rsidR="00311651">
              <w:rPr>
                <w:i w:val="0"/>
                <w:color w:val="auto"/>
                <w:szCs w:val="18"/>
              </w:rPr>
              <w:t>VAHC</w:t>
            </w:r>
            <w:r w:rsidR="00311651" w:rsidRPr="00D11C03">
              <w:rPr>
                <w:i w:val="0"/>
                <w:color w:val="auto"/>
                <w:szCs w:val="18"/>
              </w:rPr>
              <w:t xml:space="preserve"> </w:t>
            </w:r>
            <w:r w:rsidRPr="00D11C03">
              <w:rPr>
                <w:i w:val="0"/>
                <w:color w:val="auto"/>
                <w:szCs w:val="18"/>
              </w:rPr>
              <w:t>also has a role in educating Victorians about the importance of Aboriginal cultural heritage and how it can be protected and preserved.</w:t>
            </w:r>
          </w:p>
          <w:p w14:paraId="4F68F7D2" w14:textId="05AD3E8F" w:rsidR="00476CCE" w:rsidRPr="00D11C03" w:rsidRDefault="00476CCE" w:rsidP="001721D4">
            <w:pPr>
              <w:pStyle w:val="Minorheading3"/>
              <w:keepNext w:val="0"/>
              <w:keepLines w:val="0"/>
              <w:widowControl w:val="0"/>
              <w:spacing w:before="80" w:after="80"/>
              <w:rPr>
                <w:i w:val="0"/>
                <w:color w:val="auto"/>
                <w:szCs w:val="18"/>
              </w:rPr>
            </w:pPr>
            <w:r>
              <w:rPr>
                <w:i w:val="0"/>
                <w:color w:val="auto"/>
                <w:szCs w:val="18"/>
              </w:rPr>
              <w:t>Registered Aboriginal Parties (</w:t>
            </w:r>
            <w:r w:rsidRPr="00D11C03">
              <w:rPr>
                <w:i w:val="0"/>
                <w:color w:val="auto"/>
                <w:szCs w:val="18"/>
              </w:rPr>
              <w:t>RAPs</w:t>
            </w:r>
            <w:r>
              <w:rPr>
                <w:i w:val="0"/>
                <w:color w:val="auto"/>
                <w:szCs w:val="18"/>
              </w:rPr>
              <w:t>)</w:t>
            </w:r>
            <w:r w:rsidRPr="00D11C03">
              <w:rPr>
                <w:i w:val="0"/>
                <w:color w:val="auto"/>
                <w:szCs w:val="18"/>
              </w:rPr>
              <w:t xml:space="preserve"> – the Act establishes RAPs as incorporated Aboriginal groups </w:t>
            </w:r>
            <w:r w:rsidR="00395ED9">
              <w:rPr>
                <w:i w:val="0"/>
                <w:color w:val="auto"/>
                <w:szCs w:val="18"/>
              </w:rPr>
              <w:t>appointed</w:t>
            </w:r>
            <w:r w:rsidR="00395ED9" w:rsidRPr="00D11C03">
              <w:rPr>
                <w:i w:val="0"/>
                <w:color w:val="auto"/>
                <w:szCs w:val="18"/>
              </w:rPr>
              <w:t xml:space="preserve"> </w:t>
            </w:r>
            <w:r w:rsidRPr="00D11C03">
              <w:rPr>
                <w:i w:val="0"/>
                <w:color w:val="auto"/>
                <w:szCs w:val="18"/>
              </w:rPr>
              <w:t xml:space="preserve">by the </w:t>
            </w:r>
            <w:r w:rsidR="00311651">
              <w:rPr>
                <w:i w:val="0"/>
                <w:color w:val="auto"/>
                <w:szCs w:val="18"/>
              </w:rPr>
              <w:t>VAHC</w:t>
            </w:r>
            <w:r w:rsidR="00311651" w:rsidRPr="00D11C03">
              <w:rPr>
                <w:i w:val="0"/>
                <w:color w:val="auto"/>
                <w:szCs w:val="18"/>
              </w:rPr>
              <w:t xml:space="preserve"> </w:t>
            </w:r>
            <w:r w:rsidR="00395ED9">
              <w:rPr>
                <w:i w:val="0"/>
                <w:color w:val="auto"/>
                <w:szCs w:val="18"/>
              </w:rPr>
              <w:t>to be</w:t>
            </w:r>
            <w:r w:rsidR="00395ED9" w:rsidRPr="00D11C03">
              <w:rPr>
                <w:i w:val="0"/>
                <w:color w:val="auto"/>
                <w:szCs w:val="18"/>
              </w:rPr>
              <w:t xml:space="preserve"> </w:t>
            </w:r>
            <w:r w:rsidRPr="00D11C03">
              <w:rPr>
                <w:i w:val="0"/>
                <w:color w:val="auto"/>
                <w:szCs w:val="18"/>
              </w:rPr>
              <w:t>the primary guardians, keepers and knowledge holders of Aboriginal cultural heritage</w:t>
            </w:r>
            <w:r w:rsidR="00395ED9">
              <w:rPr>
                <w:i w:val="0"/>
                <w:color w:val="auto"/>
                <w:szCs w:val="18"/>
              </w:rPr>
              <w:t xml:space="preserve"> relevant to their appointed area</w:t>
            </w:r>
            <w:r w:rsidRPr="00D11C03">
              <w:rPr>
                <w:i w:val="0"/>
                <w:color w:val="auto"/>
                <w:szCs w:val="18"/>
              </w:rPr>
              <w:t xml:space="preserve">. RAPs act as a source of advice and knowledge for the Minister, </w:t>
            </w:r>
            <w:r w:rsidR="00BF4AA8">
              <w:rPr>
                <w:i w:val="0"/>
                <w:color w:val="auto"/>
                <w:szCs w:val="18"/>
              </w:rPr>
              <w:t xml:space="preserve">the Secretary to the Department of Premier and Cabinet (the </w:t>
            </w:r>
            <w:r w:rsidRPr="00D11C03">
              <w:rPr>
                <w:i w:val="0"/>
                <w:color w:val="auto"/>
                <w:szCs w:val="18"/>
              </w:rPr>
              <w:t>Secretary</w:t>
            </w:r>
            <w:r w:rsidR="00BF4AA8">
              <w:rPr>
                <w:i w:val="0"/>
                <w:color w:val="auto"/>
                <w:szCs w:val="18"/>
              </w:rPr>
              <w:t>)</w:t>
            </w:r>
            <w:r w:rsidRPr="00D11C03">
              <w:rPr>
                <w:i w:val="0"/>
                <w:color w:val="auto"/>
                <w:szCs w:val="18"/>
              </w:rPr>
              <w:t xml:space="preserve"> and </w:t>
            </w:r>
            <w:r w:rsidR="00311651">
              <w:rPr>
                <w:i w:val="0"/>
                <w:color w:val="auto"/>
                <w:szCs w:val="18"/>
              </w:rPr>
              <w:t xml:space="preserve">VAHC </w:t>
            </w:r>
            <w:r w:rsidRPr="00D11C03">
              <w:rPr>
                <w:i w:val="0"/>
                <w:color w:val="auto"/>
                <w:szCs w:val="18"/>
              </w:rPr>
              <w:t xml:space="preserve">on Aboriginal cultural heritage for their </w:t>
            </w:r>
            <w:r w:rsidR="00395ED9">
              <w:rPr>
                <w:i w:val="0"/>
                <w:color w:val="auto"/>
                <w:szCs w:val="18"/>
              </w:rPr>
              <w:t>appointed</w:t>
            </w:r>
            <w:r w:rsidR="00395ED9" w:rsidRPr="00D11C03">
              <w:rPr>
                <w:i w:val="0"/>
                <w:color w:val="auto"/>
                <w:szCs w:val="18"/>
              </w:rPr>
              <w:t xml:space="preserve"> </w:t>
            </w:r>
            <w:r w:rsidRPr="00D11C03">
              <w:rPr>
                <w:i w:val="0"/>
                <w:color w:val="auto"/>
                <w:szCs w:val="18"/>
              </w:rPr>
              <w:t xml:space="preserve">area, evaluate CHMPs, </w:t>
            </w:r>
            <w:r w:rsidR="00395ED9">
              <w:rPr>
                <w:i w:val="0"/>
                <w:color w:val="auto"/>
                <w:szCs w:val="18"/>
              </w:rPr>
              <w:t>enter into</w:t>
            </w:r>
            <w:r w:rsidR="00395ED9" w:rsidRPr="00D11C03">
              <w:rPr>
                <w:i w:val="0"/>
                <w:color w:val="auto"/>
                <w:szCs w:val="18"/>
              </w:rPr>
              <w:t xml:space="preserve"> </w:t>
            </w:r>
            <w:r w:rsidRPr="00D11C03">
              <w:rPr>
                <w:i w:val="0"/>
                <w:color w:val="auto"/>
                <w:szCs w:val="18"/>
              </w:rPr>
              <w:t>cultural heritage agreements</w:t>
            </w:r>
            <w:r w:rsidR="00395ED9">
              <w:rPr>
                <w:i w:val="0"/>
                <w:color w:val="auto"/>
                <w:szCs w:val="18"/>
              </w:rPr>
              <w:t xml:space="preserve"> and Aboriginal cultural heritage land management agreements</w:t>
            </w:r>
            <w:r w:rsidRPr="00D11C03">
              <w:rPr>
                <w:i w:val="0"/>
                <w:color w:val="auto"/>
                <w:szCs w:val="18"/>
              </w:rPr>
              <w:t xml:space="preserve">, </w:t>
            </w:r>
            <w:r w:rsidR="00395ED9">
              <w:rPr>
                <w:i w:val="0"/>
                <w:color w:val="auto"/>
                <w:szCs w:val="18"/>
              </w:rPr>
              <w:t xml:space="preserve">determine </w:t>
            </w:r>
            <w:r w:rsidRPr="00D11C03">
              <w:rPr>
                <w:i w:val="0"/>
                <w:color w:val="auto"/>
                <w:szCs w:val="18"/>
              </w:rPr>
              <w:t>cultural heritage permit</w:t>
            </w:r>
            <w:r w:rsidR="007130D2">
              <w:rPr>
                <w:i w:val="0"/>
                <w:color w:val="auto"/>
                <w:szCs w:val="18"/>
              </w:rPr>
              <w:t xml:space="preserve"> applications</w:t>
            </w:r>
            <w:r w:rsidRPr="00D11C03">
              <w:rPr>
                <w:i w:val="0"/>
                <w:color w:val="auto"/>
                <w:szCs w:val="18"/>
              </w:rPr>
              <w:t>, protection declarations and the repatriation of Aboriginal cultural heritage.</w:t>
            </w:r>
          </w:p>
          <w:p w14:paraId="08F807E3" w14:textId="26572536" w:rsidR="00476CCE" w:rsidRDefault="00476CCE" w:rsidP="001721D4">
            <w:pPr>
              <w:pStyle w:val="Minorheading3"/>
              <w:keepNext w:val="0"/>
              <w:keepLines w:val="0"/>
              <w:widowControl w:val="0"/>
              <w:spacing w:before="80" w:after="80"/>
              <w:rPr>
                <w:i w:val="0"/>
                <w:color w:val="auto"/>
                <w:szCs w:val="18"/>
              </w:rPr>
            </w:pPr>
            <w:r>
              <w:rPr>
                <w:i w:val="0"/>
                <w:color w:val="auto"/>
                <w:szCs w:val="18"/>
              </w:rPr>
              <w:t>Cultural Heritage Management Plans (</w:t>
            </w:r>
            <w:r w:rsidRPr="00D11C03">
              <w:rPr>
                <w:i w:val="0"/>
                <w:color w:val="auto"/>
                <w:szCs w:val="18"/>
              </w:rPr>
              <w:t>CHMPs</w:t>
            </w:r>
            <w:r>
              <w:rPr>
                <w:i w:val="0"/>
                <w:color w:val="auto"/>
                <w:szCs w:val="18"/>
              </w:rPr>
              <w:t>)</w:t>
            </w:r>
            <w:r w:rsidRPr="00D11C03">
              <w:rPr>
                <w:i w:val="0"/>
                <w:color w:val="auto"/>
                <w:szCs w:val="18"/>
              </w:rPr>
              <w:t xml:space="preserve"> – the Act creates a regulated process for managing </w:t>
            </w:r>
            <w:r w:rsidR="00395ED9">
              <w:rPr>
                <w:i w:val="0"/>
                <w:color w:val="auto"/>
                <w:szCs w:val="18"/>
              </w:rPr>
              <w:t xml:space="preserve">Aboriginal </w:t>
            </w:r>
            <w:r w:rsidRPr="00D11C03">
              <w:rPr>
                <w:i w:val="0"/>
                <w:color w:val="auto"/>
                <w:szCs w:val="18"/>
              </w:rPr>
              <w:t>cultural heritage</w:t>
            </w:r>
            <w:r w:rsidR="00BF4AA8">
              <w:rPr>
                <w:i w:val="0"/>
                <w:color w:val="auto"/>
                <w:szCs w:val="18"/>
              </w:rPr>
              <w:t xml:space="preserve"> during land use and development activities</w:t>
            </w:r>
            <w:r w:rsidRPr="00D11C03">
              <w:rPr>
                <w:i w:val="0"/>
                <w:color w:val="auto"/>
                <w:szCs w:val="18"/>
              </w:rPr>
              <w:t>. CHMPs must be prepared by a sponsor (for example, a developer) where a high impact activity is proposed in an area of cultural heritage sensitivity as prescribed in the Regulations. A CHMP identifies and assesses the potential impacts of a proposed development</w:t>
            </w:r>
            <w:r w:rsidR="007C6AF0">
              <w:rPr>
                <w:i w:val="0"/>
                <w:color w:val="auto"/>
                <w:szCs w:val="18"/>
              </w:rPr>
              <w:t xml:space="preserve"> or land use activity on </w:t>
            </w:r>
            <w:r w:rsidR="007C6AF0" w:rsidRPr="00D11C03">
              <w:rPr>
                <w:i w:val="0"/>
                <w:color w:val="auto"/>
                <w:szCs w:val="18"/>
              </w:rPr>
              <w:t>Aboriginal cultural heritage</w:t>
            </w:r>
            <w:r w:rsidRPr="00D11C03">
              <w:rPr>
                <w:i w:val="0"/>
                <w:color w:val="auto"/>
                <w:szCs w:val="18"/>
              </w:rPr>
              <w:t xml:space="preserve"> and makes recommendations about actions to be taken before, during and after the </w:t>
            </w:r>
            <w:r w:rsidR="007C6AF0">
              <w:rPr>
                <w:i w:val="0"/>
                <w:color w:val="auto"/>
                <w:szCs w:val="18"/>
              </w:rPr>
              <w:t>activity</w:t>
            </w:r>
            <w:r w:rsidRPr="00D11C03">
              <w:rPr>
                <w:i w:val="0"/>
                <w:color w:val="auto"/>
                <w:szCs w:val="18"/>
              </w:rPr>
              <w:t xml:space="preserve"> to manage and protect Aboriginal cultural heritage. Where a CHMP is required by the Regulations, it must be approved prior to a planning permit being issued.</w:t>
            </w:r>
          </w:p>
          <w:p w14:paraId="4CB55CDF" w14:textId="0B9D025E" w:rsidR="00311651" w:rsidRPr="00D11C03" w:rsidRDefault="00311651" w:rsidP="00311651">
            <w:pPr>
              <w:pStyle w:val="Minorheading3"/>
              <w:keepNext w:val="0"/>
              <w:keepLines w:val="0"/>
              <w:widowControl w:val="0"/>
              <w:spacing w:before="80" w:after="80"/>
              <w:rPr>
                <w:i w:val="0"/>
                <w:color w:val="auto"/>
                <w:szCs w:val="18"/>
              </w:rPr>
            </w:pPr>
            <w:r>
              <w:rPr>
                <w:i w:val="0"/>
                <w:color w:val="auto"/>
                <w:szCs w:val="18"/>
              </w:rPr>
              <w:t>Preliminary Aboriginal Heritage Tests (PAHTs) – A PAHT is a voluntary process for sponsors to apply to the Secretary for confirmation as to whether a CHMP is required for a proposed development.</w:t>
            </w:r>
            <w:r w:rsidR="00726620">
              <w:rPr>
                <w:i w:val="0"/>
                <w:color w:val="auto"/>
                <w:szCs w:val="18"/>
              </w:rPr>
              <w:t xml:space="preserve"> </w:t>
            </w:r>
            <w:r>
              <w:rPr>
                <w:i w:val="0"/>
                <w:color w:val="auto"/>
                <w:szCs w:val="18"/>
              </w:rPr>
              <w:t xml:space="preserve"> A certified PAHT can be provided to the relevant statutory authority to support a planning permit application. </w:t>
            </w:r>
          </w:p>
          <w:p w14:paraId="2E5345B7" w14:textId="344D15C9" w:rsidR="00476CCE" w:rsidRPr="00D11C03" w:rsidRDefault="00476CCE" w:rsidP="001721D4">
            <w:pPr>
              <w:pStyle w:val="Minorheading3"/>
              <w:keepNext w:val="0"/>
              <w:keepLines w:val="0"/>
              <w:widowControl w:val="0"/>
              <w:spacing w:before="80" w:after="80"/>
              <w:rPr>
                <w:i w:val="0"/>
                <w:color w:val="auto"/>
                <w:szCs w:val="18"/>
              </w:rPr>
            </w:pPr>
            <w:r w:rsidRPr="00D11C03">
              <w:rPr>
                <w:i w:val="0"/>
                <w:color w:val="auto"/>
                <w:szCs w:val="18"/>
              </w:rPr>
              <w:t xml:space="preserve">Cultural Heritage Permits – the Act creates a regulated </w:t>
            </w:r>
            <w:r w:rsidR="00395ED9">
              <w:rPr>
                <w:i w:val="0"/>
                <w:color w:val="auto"/>
                <w:szCs w:val="18"/>
              </w:rPr>
              <w:t>application and authorisation</w:t>
            </w:r>
            <w:r w:rsidRPr="00D11C03">
              <w:rPr>
                <w:i w:val="0"/>
                <w:color w:val="auto"/>
                <w:szCs w:val="18"/>
              </w:rPr>
              <w:t xml:space="preserve"> process for excavation, research, harm,  selling or removing </w:t>
            </w:r>
            <w:r w:rsidR="00395ED9">
              <w:rPr>
                <w:i w:val="0"/>
                <w:color w:val="auto"/>
                <w:szCs w:val="18"/>
              </w:rPr>
              <w:t xml:space="preserve">Aboriginal </w:t>
            </w:r>
            <w:r w:rsidRPr="00D11C03">
              <w:rPr>
                <w:i w:val="0"/>
                <w:color w:val="auto"/>
                <w:szCs w:val="18"/>
              </w:rPr>
              <w:t xml:space="preserve">objects from Victoria. Cultural heritage permits to </w:t>
            </w:r>
            <w:r w:rsidR="00395ED9">
              <w:rPr>
                <w:i w:val="0"/>
                <w:color w:val="auto"/>
                <w:szCs w:val="18"/>
              </w:rPr>
              <w:t>undertake an activity that will, or is likely to harm, Aboriginal cultural heritage</w:t>
            </w:r>
            <w:r w:rsidRPr="00D11C03">
              <w:rPr>
                <w:i w:val="0"/>
                <w:color w:val="auto"/>
                <w:szCs w:val="18"/>
              </w:rPr>
              <w:t xml:space="preserve"> are the most common type of permit </w:t>
            </w:r>
            <w:r w:rsidR="00395ED9">
              <w:rPr>
                <w:i w:val="0"/>
                <w:color w:val="auto"/>
                <w:szCs w:val="18"/>
              </w:rPr>
              <w:t>applied for</w:t>
            </w:r>
            <w:r w:rsidRPr="00D11C03">
              <w:rPr>
                <w:i w:val="0"/>
                <w:color w:val="auto"/>
                <w:szCs w:val="18"/>
              </w:rPr>
              <w:t xml:space="preserve">, often for </w:t>
            </w:r>
            <w:r w:rsidR="00395ED9">
              <w:rPr>
                <w:i w:val="0"/>
                <w:color w:val="auto"/>
                <w:szCs w:val="18"/>
              </w:rPr>
              <w:t>discrete</w:t>
            </w:r>
            <w:r w:rsidRPr="00D11C03">
              <w:rPr>
                <w:i w:val="0"/>
                <w:color w:val="auto"/>
                <w:szCs w:val="18"/>
              </w:rPr>
              <w:t xml:space="preserve"> works in an area where</w:t>
            </w:r>
            <w:r w:rsidR="00C820DF">
              <w:rPr>
                <w:i w:val="0"/>
                <w:color w:val="auto"/>
                <w:szCs w:val="18"/>
              </w:rPr>
              <w:t xml:space="preserve"> Aboriginal </w:t>
            </w:r>
            <w:r w:rsidRPr="00D11C03">
              <w:rPr>
                <w:i w:val="0"/>
                <w:color w:val="auto"/>
                <w:szCs w:val="18"/>
              </w:rPr>
              <w:t>cultural heritage is known to be present.</w:t>
            </w:r>
          </w:p>
          <w:p w14:paraId="4BA64470" w14:textId="0C4988EE" w:rsidR="00476CCE" w:rsidRDefault="00476CCE" w:rsidP="001721D4">
            <w:pPr>
              <w:pStyle w:val="Minorheading3"/>
              <w:keepNext w:val="0"/>
              <w:keepLines w:val="0"/>
              <w:widowControl w:val="0"/>
              <w:spacing w:before="80" w:after="80"/>
              <w:rPr>
                <w:i w:val="0"/>
                <w:color w:val="auto"/>
                <w:szCs w:val="18"/>
              </w:rPr>
            </w:pPr>
            <w:r w:rsidRPr="00D11C03">
              <w:rPr>
                <w:i w:val="0"/>
                <w:color w:val="auto"/>
                <w:szCs w:val="18"/>
              </w:rPr>
              <w:t>Cultural Heritage Agreements</w:t>
            </w:r>
            <w:r w:rsidR="003C540E">
              <w:rPr>
                <w:i w:val="0"/>
                <w:color w:val="auto"/>
                <w:szCs w:val="18"/>
              </w:rPr>
              <w:t xml:space="preserve"> (CHAs)</w:t>
            </w:r>
            <w:r w:rsidRPr="00D11C03">
              <w:rPr>
                <w:i w:val="0"/>
                <w:color w:val="auto"/>
                <w:szCs w:val="18"/>
              </w:rPr>
              <w:t xml:space="preserve"> – </w:t>
            </w:r>
            <w:r w:rsidR="003C540E">
              <w:rPr>
                <w:i w:val="0"/>
                <w:color w:val="auto"/>
                <w:szCs w:val="18"/>
              </w:rPr>
              <w:t>CHA</w:t>
            </w:r>
            <w:r w:rsidR="00BA1C8F">
              <w:rPr>
                <w:i w:val="0"/>
                <w:color w:val="auto"/>
                <w:szCs w:val="18"/>
              </w:rPr>
              <w:t xml:space="preserve"> </w:t>
            </w:r>
            <w:r w:rsidRPr="00D11C03">
              <w:rPr>
                <w:i w:val="0"/>
                <w:color w:val="auto"/>
                <w:szCs w:val="18"/>
              </w:rPr>
              <w:t>s are negotiated between landowners and the relevant RAP to manage and protect Aboriginal cultural heritage. Examples include rights of access and</w:t>
            </w:r>
            <w:r w:rsidR="00395ED9">
              <w:rPr>
                <w:i w:val="0"/>
                <w:color w:val="auto"/>
                <w:szCs w:val="18"/>
              </w:rPr>
              <w:t xml:space="preserve"> the</w:t>
            </w:r>
            <w:r w:rsidRPr="00D11C03">
              <w:rPr>
                <w:i w:val="0"/>
                <w:color w:val="auto"/>
                <w:szCs w:val="18"/>
              </w:rPr>
              <w:t xml:space="preserve"> rehabilitation of</w:t>
            </w:r>
            <w:r w:rsidR="00BA1C8F">
              <w:rPr>
                <w:i w:val="0"/>
                <w:color w:val="auto"/>
                <w:szCs w:val="18"/>
              </w:rPr>
              <w:t xml:space="preserve"> Aboriginal</w:t>
            </w:r>
            <w:r w:rsidRPr="00D11C03">
              <w:rPr>
                <w:i w:val="0"/>
                <w:color w:val="auto"/>
                <w:szCs w:val="18"/>
              </w:rPr>
              <w:t xml:space="preserve"> objects and places. </w:t>
            </w:r>
          </w:p>
          <w:p w14:paraId="29DAADF3" w14:textId="0F304B52" w:rsidR="00311651" w:rsidRDefault="00311651" w:rsidP="00311651">
            <w:pPr>
              <w:pStyle w:val="Minorheading3"/>
              <w:keepNext w:val="0"/>
              <w:keepLines w:val="0"/>
              <w:widowControl w:val="0"/>
              <w:spacing w:before="80" w:after="80"/>
              <w:rPr>
                <w:i w:val="0"/>
                <w:color w:val="auto"/>
                <w:szCs w:val="18"/>
              </w:rPr>
            </w:pPr>
            <w:r>
              <w:rPr>
                <w:i w:val="0"/>
                <w:color w:val="auto"/>
                <w:szCs w:val="18"/>
              </w:rPr>
              <w:t xml:space="preserve">Aboriginal Cultural Heritage Land Management Agreements (ACHLMAs) – </w:t>
            </w:r>
            <w:r w:rsidR="00AA73D5">
              <w:rPr>
                <w:i w:val="0"/>
                <w:color w:val="auto"/>
                <w:szCs w:val="18"/>
              </w:rPr>
              <w:t>A voluntary</w:t>
            </w:r>
            <w:r>
              <w:rPr>
                <w:i w:val="0"/>
                <w:color w:val="auto"/>
                <w:szCs w:val="18"/>
              </w:rPr>
              <w:t xml:space="preserve"> agreement between a public land manager and a RAP for the purpose of managing and protecting Aboriginal cultural heritage during </w:t>
            </w:r>
            <w:r w:rsidR="00395ED9">
              <w:rPr>
                <w:i w:val="0"/>
                <w:color w:val="auto"/>
                <w:szCs w:val="18"/>
              </w:rPr>
              <w:t>routine</w:t>
            </w:r>
            <w:r>
              <w:rPr>
                <w:i w:val="0"/>
                <w:color w:val="auto"/>
                <w:szCs w:val="18"/>
              </w:rPr>
              <w:t xml:space="preserve"> land management activities.</w:t>
            </w:r>
            <w:r w:rsidR="00882D32">
              <w:rPr>
                <w:i w:val="0"/>
                <w:color w:val="auto"/>
                <w:szCs w:val="18"/>
              </w:rPr>
              <w:t xml:space="preserve"> An ACHLMA may allow specified activities to proceed while removing the requirement to apply for CHPs for each activity in each instance.</w:t>
            </w:r>
          </w:p>
          <w:p w14:paraId="45501553" w14:textId="4AC64F25" w:rsidR="00311651" w:rsidRPr="00D11C03" w:rsidRDefault="00311651" w:rsidP="00311651">
            <w:pPr>
              <w:pStyle w:val="Minorheading3"/>
              <w:keepNext w:val="0"/>
              <w:keepLines w:val="0"/>
              <w:widowControl w:val="0"/>
              <w:spacing w:before="80" w:after="80"/>
              <w:rPr>
                <w:i w:val="0"/>
                <w:color w:val="auto"/>
                <w:szCs w:val="18"/>
              </w:rPr>
            </w:pPr>
            <w:r>
              <w:rPr>
                <w:i w:val="0"/>
                <w:color w:val="auto"/>
                <w:szCs w:val="18"/>
              </w:rPr>
              <w:t>Aboriginal Intangible Heritage and Aboriginal Intangible Heritage Agreements – A RAP can apply to have its Aboriginal Intangible Heritage registered on the Victorian Aboriginal Heritage Register (VAHR).  Once included on the VAHR a person must make an agreement with the RAP for any commercial application of the Aboriginal Intangible Heritage.</w:t>
            </w:r>
          </w:p>
          <w:p w14:paraId="449C570D" w14:textId="3E044EB6" w:rsidR="00476CCE" w:rsidRPr="00D11C03" w:rsidRDefault="00476CCE" w:rsidP="001721D4">
            <w:pPr>
              <w:pStyle w:val="Minorheading3"/>
              <w:keepNext w:val="0"/>
              <w:keepLines w:val="0"/>
              <w:widowControl w:val="0"/>
              <w:spacing w:before="80" w:after="80"/>
              <w:rPr>
                <w:i w:val="0"/>
                <w:color w:val="auto"/>
                <w:szCs w:val="18"/>
              </w:rPr>
            </w:pPr>
            <w:r w:rsidRPr="00D11C03">
              <w:rPr>
                <w:i w:val="0"/>
                <w:color w:val="auto"/>
                <w:szCs w:val="18"/>
              </w:rPr>
              <w:t xml:space="preserve">Dispute resolution mechanisms – the Act grants the Victorian Civil and Administrative Tribunal the power to review the decision made by the RAP to refuse a CHMP if requested by the sponsor. If the Tribunal decides to approve the CHMP, the Act requires that it be satisfied that the CHMP makes sufficient provision to avoid or minimise harm to Aboriginal cultural heritage. The </w:t>
            </w:r>
            <w:r w:rsidR="002851E2">
              <w:rPr>
                <w:i w:val="0"/>
                <w:color w:val="auto"/>
                <w:szCs w:val="18"/>
              </w:rPr>
              <w:t>VAHC</w:t>
            </w:r>
            <w:r w:rsidR="002851E2" w:rsidRPr="00D11C03">
              <w:rPr>
                <w:i w:val="0"/>
                <w:color w:val="auto"/>
                <w:szCs w:val="18"/>
              </w:rPr>
              <w:t xml:space="preserve"> </w:t>
            </w:r>
            <w:r w:rsidRPr="00D11C03">
              <w:rPr>
                <w:i w:val="0"/>
                <w:color w:val="auto"/>
                <w:szCs w:val="18"/>
              </w:rPr>
              <w:t>has a dispute resolution role where there is no agreement around the approval of a CHMP between RAPs</w:t>
            </w:r>
            <w:r w:rsidR="002851E2">
              <w:rPr>
                <w:i w:val="0"/>
                <w:color w:val="auto"/>
                <w:szCs w:val="18"/>
              </w:rPr>
              <w:t xml:space="preserve"> appointed over the same area</w:t>
            </w:r>
            <w:r w:rsidRPr="00D11C03">
              <w:rPr>
                <w:i w:val="0"/>
                <w:color w:val="auto"/>
                <w:szCs w:val="18"/>
              </w:rPr>
              <w:t xml:space="preserve">. </w:t>
            </w:r>
          </w:p>
          <w:p w14:paraId="3CC469CF" w14:textId="2A058C62" w:rsidR="00476CCE" w:rsidRPr="00D11C03" w:rsidRDefault="00476CCE" w:rsidP="001721D4">
            <w:pPr>
              <w:pStyle w:val="Minorheading3"/>
              <w:keepNext w:val="0"/>
              <w:keepLines w:val="0"/>
              <w:widowControl w:val="0"/>
              <w:spacing w:before="80" w:after="80"/>
              <w:rPr>
                <w:i w:val="0"/>
                <w:color w:val="auto"/>
                <w:szCs w:val="18"/>
              </w:rPr>
            </w:pPr>
            <w:r w:rsidRPr="00D11C03">
              <w:rPr>
                <w:i w:val="0"/>
                <w:color w:val="auto"/>
                <w:szCs w:val="18"/>
              </w:rPr>
              <w:t>Penalties and enforcement – the Act sets penalties for harming Aboriginal cultural heritage</w:t>
            </w:r>
            <w:r w:rsidR="0073296A">
              <w:rPr>
                <w:i w:val="0"/>
                <w:color w:val="auto"/>
                <w:szCs w:val="18"/>
              </w:rPr>
              <w:t xml:space="preserve"> without appropriate authorisation</w:t>
            </w:r>
            <w:r w:rsidR="00311651">
              <w:rPr>
                <w:i w:val="0"/>
                <w:color w:val="auto"/>
                <w:szCs w:val="18"/>
              </w:rPr>
              <w:t>, and for non-compliance with</w:t>
            </w:r>
            <w:r w:rsidR="0073296A">
              <w:rPr>
                <w:i w:val="0"/>
                <w:color w:val="auto"/>
                <w:szCs w:val="18"/>
              </w:rPr>
              <w:t xml:space="preserve"> </w:t>
            </w:r>
            <w:r w:rsidR="00311651">
              <w:rPr>
                <w:i w:val="0"/>
                <w:color w:val="auto"/>
                <w:szCs w:val="18"/>
              </w:rPr>
              <w:t>the Act</w:t>
            </w:r>
            <w:r w:rsidRPr="00D11C03">
              <w:rPr>
                <w:i w:val="0"/>
                <w:color w:val="auto"/>
                <w:szCs w:val="18"/>
              </w:rPr>
              <w:t>. There are a range of enforcement tools (stop orders, protection orders, audits), some new</w:t>
            </w:r>
            <w:r w:rsidR="00F64C2B">
              <w:rPr>
                <w:i w:val="0"/>
                <w:color w:val="auto"/>
                <w:szCs w:val="18"/>
              </w:rPr>
              <w:t xml:space="preserve"> and</w:t>
            </w:r>
            <w:r w:rsidRPr="00D11C03">
              <w:rPr>
                <w:i w:val="0"/>
                <w:color w:val="auto"/>
                <w:szCs w:val="18"/>
              </w:rPr>
              <w:t xml:space="preserve"> some adapted from previous legislation. </w:t>
            </w:r>
          </w:p>
          <w:p w14:paraId="0900BA2C" w14:textId="4CF57EC7" w:rsidR="00476CCE" w:rsidRDefault="00476CCE" w:rsidP="001721D4">
            <w:pPr>
              <w:pStyle w:val="Minorheading3"/>
              <w:keepNext w:val="0"/>
              <w:keepLines w:val="0"/>
              <w:widowControl w:val="0"/>
              <w:spacing w:before="80" w:after="80"/>
              <w:rPr>
                <w:i w:val="0"/>
                <w:color w:val="auto"/>
                <w:szCs w:val="18"/>
              </w:rPr>
            </w:pPr>
            <w:r w:rsidRPr="00D11C03">
              <w:rPr>
                <w:i w:val="0"/>
                <w:color w:val="auto"/>
                <w:szCs w:val="18"/>
              </w:rPr>
              <w:t xml:space="preserve">The </w:t>
            </w:r>
            <w:r w:rsidR="00311651">
              <w:rPr>
                <w:i w:val="0"/>
                <w:color w:val="auto"/>
                <w:szCs w:val="18"/>
              </w:rPr>
              <w:t xml:space="preserve">Victorian Aboriginal Heritage </w:t>
            </w:r>
            <w:r w:rsidRPr="00D11C03">
              <w:rPr>
                <w:i w:val="0"/>
                <w:color w:val="auto"/>
                <w:szCs w:val="18"/>
              </w:rPr>
              <w:t xml:space="preserve">Register </w:t>
            </w:r>
            <w:r w:rsidR="00311651">
              <w:rPr>
                <w:i w:val="0"/>
                <w:color w:val="auto"/>
                <w:szCs w:val="18"/>
              </w:rPr>
              <w:t xml:space="preserve">(VAHR) </w:t>
            </w:r>
            <w:r w:rsidRPr="00D11C03">
              <w:rPr>
                <w:i w:val="0"/>
                <w:color w:val="auto"/>
                <w:szCs w:val="18"/>
              </w:rPr>
              <w:t xml:space="preserve">– the Act creates an ongoing requirement for the </w:t>
            </w:r>
            <w:r w:rsidR="00311651">
              <w:rPr>
                <w:i w:val="0"/>
                <w:color w:val="auto"/>
                <w:szCs w:val="18"/>
              </w:rPr>
              <w:t>VAHR</w:t>
            </w:r>
            <w:r>
              <w:rPr>
                <w:i w:val="0"/>
                <w:color w:val="auto"/>
                <w:szCs w:val="18"/>
              </w:rPr>
              <w:t>,</w:t>
            </w:r>
            <w:r w:rsidRPr="00D11C03">
              <w:rPr>
                <w:i w:val="0"/>
                <w:color w:val="auto"/>
                <w:szCs w:val="18"/>
              </w:rPr>
              <w:t xml:space="preserve"> which records known Aboriginal cultural heritage in Victoria.</w:t>
            </w:r>
          </w:p>
          <w:p w14:paraId="59193B3F" w14:textId="31E751D0" w:rsidR="00677865" w:rsidRDefault="00677865" w:rsidP="001721D4">
            <w:pPr>
              <w:pStyle w:val="Minorheading3"/>
              <w:keepNext w:val="0"/>
              <w:keepLines w:val="0"/>
              <w:widowControl w:val="0"/>
              <w:spacing w:before="80" w:after="80"/>
              <w:rPr>
                <w:i w:val="0"/>
                <w:color w:val="auto"/>
                <w:szCs w:val="18"/>
              </w:rPr>
            </w:pPr>
            <w:r>
              <w:rPr>
                <w:i w:val="0"/>
                <w:color w:val="auto"/>
                <w:szCs w:val="18"/>
              </w:rPr>
              <w:t xml:space="preserve">Fees – the Act gives the power for </w:t>
            </w:r>
            <w:r w:rsidR="00311651">
              <w:rPr>
                <w:i w:val="0"/>
                <w:color w:val="auto"/>
                <w:szCs w:val="18"/>
              </w:rPr>
              <w:t>G</w:t>
            </w:r>
            <w:r>
              <w:rPr>
                <w:i w:val="0"/>
                <w:color w:val="auto"/>
                <w:szCs w:val="18"/>
              </w:rPr>
              <w:t xml:space="preserve">overnment and RAPs to charge fees for </w:t>
            </w:r>
            <w:r w:rsidR="005414A9">
              <w:rPr>
                <w:i w:val="0"/>
                <w:color w:val="auto"/>
                <w:szCs w:val="18"/>
              </w:rPr>
              <w:t>evaluations of particular applications</w:t>
            </w:r>
            <w:r>
              <w:rPr>
                <w:i w:val="0"/>
                <w:color w:val="auto"/>
                <w:szCs w:val="18"/>
              </w:rPr>
              <w:t>.</w:t>
            </w:r>
          </w:p>
          <w:p w14:paraId="561C0D1B" w14:textId="2E122C47" w:rsidR="00311651" w:rsidRPr="00D11C03" w:rsidRDefault="00311651" w:rsidP="00F64C2B">
            <w:pPr>
              <w:pStyle w:val="Minorheading3"/>
              <w:keepNext w:val="0"/>
              <w:keepLines w:val="0"/>
              <w:widowControl w:val="0"/>
              <w:spacing w:before="80" w:after="80"/>
              <w:rPr>
                <w:bCs/>
                <w:color w:val="auto"/>
                <w:szCs w:val="18"/>
              </w:rPr>
            </w:pPr>
            <w:r>
              <w:rPr>
                <w:i w:val="0"/>
                <w:color w:val="auto"/>
                <w:szCs w:val="18"/>
              </w:rPr>
              <w:t xml:space="preserve">Aboriginal Cultural Heritage Fund - </w:t>
            </w:r>
            <w:r w:rsidRPr="00A70D19">
              <w:rPr>
                <w:i w:val="0"/>
                <w:color w:val="auto"/>
                <w:szCs w:val="18"/>
              </w:rPr>
              <w:t>Fees and charges collected under the Act , additional gifts and interest earned on investments, to go into an Aboriginal Cultural Heritage Fund, to be managed by the VAHC. On the VAHC’s recommendation, funds will be used to facilitate Aboriginal cultural heritage management and protection projects. The fund also partially resources RAP operational costs.</w:t>
            </w:r>
          </w:p>
        </w:tc>
      </w:tr>
    </w:tbl>
    <w:p w14:paraId="758D277E" w14:textId="1E608DA6" w:rsidR="00476CCE" w:rsidRDefault="00476CCE" w:rsidP="00476CCE">
      <w:pPr>
        <w:pStyle w:val="Minorheading3"/>
        <w:keepNext w:val="0"/>
        <w:spacing w:before="60" w:after="0"/>
        <w:rPr>
          <w:i w:val="0"/>
          <w:sz w:val="16"/>
          <w:szCs w:val="16"/>
        </w:rPr>
      </w:pPr>
      <w:r w:rsidRPr="00B62BBC">
        <w:rPr>
          <w:i w:val="0"/>
          <w:sz w:val="16"/>
          <w:szCs w:val="16"/>
        </w:rPr>
        <w:t xml:space="preserve">Source: </w:t>
      </w:r>
      <w:hyperlink r:id="rId27" w:history="1">
        <w:r w:rsidR="00311651" w:rsidRPr="0076107E">
          <w:rPr>
            <w:rStyle w:val="Hyperlink"/>
            <w:i w:val="0"/>
            <w:sz w:val="16"/>
            <w:szCs w:val="16"/>
          </w:rPr>
          <w:t>https://www.vic.gov.au/aboriginalvictoria/heritage/</w:t>
        </w:r>
      </w:hyperlink>
      <w:r w:rsidR="00311651">
        <w:rPr>
          <w:i w:val="0"/>
          <w:sz w:val="16"/>
          <w:szCs w:val="16"/>
        </w:rPr>
        <w:t xml:space="preserve">, material provided by AV, </w:t>
      </w:r>
      <w:r w:rsidR="00311651" w:rsidRPr="00311651">
        <w:rPr>
          <w:i w:val="0"/>
          <w:sz w:val="16"/>
          <w:szCs w:val="16"/>
        </w:rPr>
        <w:t>The Allen Consulting Group, ‘RIS on Aboriginal Heritage Regulations’, 2007.</w:t>
      </w:r>
    </w:p>
    <w:p w14:paraId="7A257B11" w14:textId="77777777" w:rsidR="00426121" w:rsidRDefault="00426121" w:rsidP="00426121">
      <w:pPr>
        <w:pStyle w:val="Heading7"/>
        <w:spacing w:before="240" w:after="120"/>
        <w:rPr>
          <w:rFonts w:eastAsia="Calibri"/>
        </w:rPr>
      </w:pPr>
      <w:r w:rsidRPr="009B780F">
        <w:rPr>
          <w:rFonts w:eastAsia="Calibri"/>
        </w:rPr>
        <w:t>Aboriginal Heritage Amendment Act 2016</w:t>
      </w:r>
    </w:p>
    <w:p w14:paraId="0A7F8A2C" w14:textId="65770435" w:rsidR="000C2346" w:rsidRPr="000A3FD9" w:rsidRDefault="00426121" w:rsidP="00353F0A">
      <w:pPr>
        <w:pStyle w:val="PwCNormal"/>
        <w:spacing w:before="120" w:after="120"/>
        <w:rPr>
          <w:rFonts w:eastAsia="Calibri"/>
          <w:bCs/>
        </w:rPr>
      </w:pPr>
      <w:r w:rsidRPr="00677865">
        <w:rPr>
          <w:rFonts w:eastAsia="Calibri"/>
        </w:rPr>
        <w:t xml:space="preserve">The </w:t>
      </w:r>
      <w:r w:rsidRPr="001F1BE5">
        <w:rPr>
          <w:rFonts w:eastAsia="Calibri"/>
          <w:i/>
        </w:rPr>
        <w:t>Aboriginal Heritage Amendment Act 2016</w:t>
      </w:r>
      <w:r w:rsidRPr="00677865">
        <w:rPr>
          <w:rFonts w:eastAsia="Calibri"/>
        </w:rPr>
        <w:t xml:space="preserve"> (the Amendment Act) establishe</w:t>
      </w:r>
      <w:r w:rsidR="00311651">
        <w:rPr>
          <w:rFonts w:eastAsia="Calibri"/>
        </w:rPr>
        <w:t>d</w:t>
      </w:r>
      <w:r w:rsidRPr="00677865">
        <w:rPr>
          <w:rFonts w:eastAsia="Calibri"/>
        </w:rPr>
        <w:t xml:space="preserve"> new provisions and changes to the </w:t>
      </w:r>
      <w:r w:rsidRPr="00677865">
        <w:rPr>
          <w:rFonts w:eastAsia="Calibri"/>
          <w:i/>
        </w:rPr>
        <w:t>Aboriginal Heritage Act 2006</w:t>
      </w:r>
      <w:r w:rsidRPr="00677865">
        <w:rPr>
          <w:rFonts w:eastAsia="Calibri"/>
        </w:rPr>
        <w:t xml:space="preserve">. The Amendment Act </w:t>
      </w:r>
      <w:r w:rsidR="00311651">
        <w:rPr>
          <w:rFonts w:eastAsia="Calibri"/>
        </w:rPr>
        <w:t>was</w:t>
      </w:r>
      <w:r w:rsidRPr="00677865">
        <w:rPr>
          <w:rFonts w:eastAsia="Calibri"/>
        </w:rPr>
        <w:t xml:space="preserve"> informed by the Victorian Government Response to the </w:t>
      </w:r>
      <w:r w:rsidRPr="00677865">
        <w:rPr>
          <w:rFonts w:eastAsia="Calibri"/>
          <w:i/>
        </w:rPr>
        <w:t>Review of the Aboriginal Heritage Act 2006</w:t>
      </w:r>
      <w:r w:rsidRPr="00677865">
        <w:rPr>
          <w:rFonts w:eastAsia="Calibri"/>
        </w:rPr>
        <w:t xml:space="preserve">, the </w:t>
      </w:r>
      <w:r w:rsidRPr="00677865">
        <w:rPr>
          <w:rFonts w:eastAsia="Calibri"/>
          <w:i/>
        </w:rPr>
        <w:t>Parliamentary Inquiry into the Establishment and Effectiveness of Registered Aboriginal Parties</w:t>
      </w:r>
      <w:r w:rsidRPr="00677865">
        <w:rPr>
          <w:rFonts w:eastAsia="Calibri"/>
        </w:rPr>
        <w:t xml:space="preserve">, the release of an </w:t>
      </w:r>
      <w:r w:rsidRPr="00677865">
        <w:rPr>
          <w:rFonts w:eastAsia="Calibri"/>
          <w:i/>
        </w:rPr>
        <w:t>Aboriginal Heritage Amendment Bill Exposure Draft</w:t>
      </w:r>
      <w:r w:rsidRPr="00677865">
        <w:rPr>
          <w:rFonts w:eastAsia="Calibri"/>
        </w:rPr>
        <w:t xml:space="preserve">, and widespread consultation with Traditional Owners, industry groups, local Government, State and Commonwealth Government and cultural </w:t>
      </w:r>
      <w:r w:rsidR="00F64C2B">
        <w:rPr>
          <w:rFonts w:eastAsia="Calibri"/>
        </w:rPr>
        <w:t xml:space="preserve">industry </w:t>
      </w:r>
      <w:r w:rsidRPr="00677865">
        <w:rPr>
          <w:rFonts w:eastAsia="Calibri"/>
        </w:rPr>
        <w:t>heritage professionals.</w:t>
      </w:r>
      <w:r w:rsidR="00677865">
        <w:rPr>
          <w:rFonts w:eastAsia="Calibri"/>
        </w:rPr>
        <w:t xml:space="preserve"> </w:t>
      </w:r>
    </w:p>
    <w:p w14:paraId="582F37DB" w14:textId="0A396122" w:rsidR="000C2346" w:rsidRPr="000A3FD9" w:rsidRDefault="00677865" w:rsidP="000C2346">
      <w:pPr>
        <w:pStyle w:val="PwCNormal"/>
        <w:rPr>
          <w:rFonts w:eastAsia="Calibri"/>
          <w:bCs/>
        </w:rPr>
      </w:pPr>
      <w:r>
        <w:rPr>
          <w:rFonts w:eastAsia="Calibri"/>
        </w:rPr>
        <w:t xml:space="preserve">The </w:t>
      </w:r>
      <w:r w:rsidR="00426121" w:rsidRPr="00677865">
        <w:rPr>
          <w:rFonts w:eastAsia="Calibri"/>
        </w:rPr>
        <w:t>Amendment Act</w:t>
      </w:r>
      <w:r>
        <w:rPr>
          <w:rFonts w:eastAsia="Calibri"/>
        </w:rPr>
        <w:t xml:space="preserve"> include</w:t>
      </w:r>
      <w:r w:rsidR="005763C3">
        <w:rPr>
          <w:rFonts w:eastAsia="Calibri"/>
        </w:rPr>
        <w:t>d new provisions into the principal Act, including those relating to Aboriginal Intangible Heritage, PAHTs, ACHLMAs, and the Aboriginal Cultural Management Fund.</w:t>
      </w:r>
      <w:r w:rsidR="003C47D8">
        <w:rPr>
          <w:rFonts w:eastAsia="Calibri"/>
        </w:rPr>
        <w:t xml:space="preserve"> </w:t>
      </w:r>
      <w:r w:rsidR="000C2346">
        <w:rPr>
          <w:rFonts w:eastAsia="Calibri"/>
        </w:rPr>
        <w:t>The Amendment Act required the introduction in the Regulations of:</w:t>
      </w:r>
    </w:p>
    <w:p w14:paraId="2A3F3121" w14:textId="59AE64D2" w:rsidR="000C2346" w:rsidRDefault="000C2346" w:rsidP="00705BA8">
      <w:pPr>
        <w:pStyle w:val="ListBullet"/>
        <w:rPr>
          <w:rFonts w:eastAsia="Calibri"/>
        </w:rPr>
      </w:pPr>
      <w:r>
        <w:rPr>
          <w:rFonts w:eastAsia="Calibri"/>
        </w:rPr>
        <w:t>new prescribed forms (</w:t>
      </w:r>
      <w:r w:rsidR="00501F85">
        <w:rPr>
          <w:rFonts w:eastAsia="Calibri"/>
        </w:rPr>
        <w:t>e.g.</w:t>
      </w:r>
      <w:r w:rsidRPr="000C2346">
        <w:rPr>
          <w:rFonts w:eastAsia="Calibri"/>
        </w:rPr>
        <w:t xml:space="preserve"> pre</w:t>
      </w:r>
      <w:r>
        <w:rPr>
          <w:rFonts w:eastAsia="Calibri"/>
        </w:rPr>
        <w:t xml:space="preserve">scribed standards for an ACHLMA and the </w:t>
      </w:r>
      <w:r w:rsidRPr="000C2346">
        <w:rPr>
          <w:rFonts w:eastAsia="Calibri"/>
        </w:rPr>
        <w:t>prescribed form for an application t</w:t>
      </w:r>
      <w:r>
        <w:rPr>
          <w:rFonts w:eastAsia="Calibri"/>
        </w:rPr>
        <w:t>o register</w:t>
      </w:r>
      <w:r w:rsidR="00296321">
        <w:rPr>
          <w:rFonts w:eastAsia="Calibri"/>
        </w:rPr>
        <w:t xml:space="preserve"> Aboriginal </w:t>
      </w:r>
      <w:r>
        <w:rPr>
          <w:rFonts w:eastAsia="Calibri"/>
        </w:rPr>
        <w:t xml:space="preserve"> intangible heritage)</w:t>
      </w:r>
    </w:p>
    <w:p w14:paraId="054D2C92" w14:textId="125EB976" w:rsidR="000C2346" w:rsidRPr="000C2346" w:rsidRDefault="000C2346" w:rsidP="00705BA8">
      <w:pPr>
        <w:pStyle w:val="ListBullet"/>
        <w:rPr>
          <w:rFonts w:eastAsia="Calibri"/>
        </w:rPr>
      </w:pPr>
      <w:r>
        <w:rPr>
          <w:rFonts w:eastAsia="Calibri"/>
        </w:rPr>
        <w:t xml:space="preserve">new </w:t>
      </w:r>
      <w:r w:rsidRPr="000C2346">
        <w:rPr>
          <w:rFonts w:eastAsia="Calibri"/>
        </w:rPr>
        <w:t>fees (</w:t>
      </w:r>
      <w:r w:rsidR="00501F85">
        <w:rPr>
          <w:rFonts w:eastAsia="Calibri"/>
        </w:rPr>
        <w:t>e.g.</w:t>
      </w:r>
      <w:r w:rsidRPr="000C2346">
        <w:rPr>
          <w:rFonts w:eastAsia="Calibri"/>
        </w:rPr>
        <w:t xml:space="preserve"> </w:t>
      </w:r>
      <w:r>
        <w:rPr>
          <w:rFonts w:eastAsia="Calibri"/>
        </w:rPr>
        <w:t xml:space="preserve">the </w:t>
      </w:r>
      <w:r w:rsidRPr="000C2346">
        <w:rPr>
          <w:rFonts w:eastAsia="Calibri"/>
        </w:rPr>
        <w:t>fee to accompany a NOI to prepare a CHMP)</w:t>
      </w:r>
    </w:p>
    <w:p w14:paraId="406A86DB" w14:textId="60D4C953" w:rsidR="000C2346" w:rsidRPr="000A3FD9" w:rsidRDefault="000C2346" w:rsidP="00705BA8">
      <w:pPr>
        <w:pStyle w:val="ListBullet"/>
        <w:rPr>
          <w:rFonts w:eastAsia="Calibri"/>
        </w:rPr>
      </w:pPr>
      <w:r>
        <w:rPr>
          <w:rFonts w:eastAsia="Calibri"/>
        </w:rPr>
        <w:t xml:space="preserve">new and clarified definitions to be </w:t>
      </w:r>
      <w:r w:rsidRPr="000C2346">
        <w:rPr>
          <w:rFonts w:eastAsia="Calibri"/>
        </w:rPr>
        <w:t>consistent with provisions of the Amendment Act.</w:t>
      </w:r>
    </w:p>
    <w:p w14:paraId="1416C8D2" w14:textId="006655BD" w:rsidR="00426121" w:rsidRPr="00677865" w:rsidRDefault="003C47D8" w:rsidP="000C2346">
      <w:pPr>
        <w:pStyle w:val="PwCNormal"/>
        <w:rPr>
          <w:rFonts w:eastAsia="Calibri"/>
        </w:rPr>
      </w:pPr>
      <w:r>
        <w:rPr>
          <w:rFonts w:eastAsia="Calibri"/>
        </w:rPr>
        <w:t xml:space="preserve">Details of the changes included in the Amendment Act can be found in </w:t>
      </w:r>
      <w:r>
        <w:rPr>
          <w:rFonts w:eastAsia="Calibri"/>
        </w:rPr>
        <w:fldChar w:fldCharType="begin"/>
      </w:r>
      <w:r>
        <w:rPr>
          <w:rFonts w:eastAsia="Calibri"/>
        </w:rPr>
        <w:instrText xml:space="preserve"> REF _Ref503455456 \n \h </w:instrText>
      </w:r>
      <w:r>
        <w:rPr>
          <w:rFonts w:eastAsia="Calibri"/>
        </w:rPr>
      </w:r>
      <w:r>
        <w:rPr>
          <w:rFonts w:eastAsia="Calibri"/>
        </w:rPr>
        <w:fldChar w:fldCharType="separate"/>
      </w:r>
      <w:r w:rsidR="000369A1">
        <w:rPr>
          <w:rFonts w:eastAsia="Calibri"/>
        </w:rPr>
        <w:t>Appendix B</w:t>
      </w:r>
      <w:r>
        <w:rPr>
          <w:rFonts w:eastAsia="Calibri"/>
        </w:rPr>
        <w:fldChar w:fldCharType="end"/>
      </w:r>
      <w:r>
        <w:rPr>
          <w:rFonts w:eastAsia="Calibri"/>
        </w:rPr>
        <w:t>.</w:t>
      </w:r>
    </w:p>
    <w:p w14:paraId="69621395" w14:textId="74575F5B" w:rsidR="00C90DD6" w:rsidRDefault="00C90DD6" w:rsidP="00C90DD6">
      <w:pPr>
        <w:pStyle w:val="Heading6"/>
        <w:spacing w:before="240" w:after="120"/>
      </w:pPr>
      <w:bookmarkStart w:id="32" w:name="_Ref500692843"/>
      <w:r>
        <w:t>Current Regulations</w:t>
      </w:r>
      <w:bookmarkEnd w:id="32"/>
    </w:p>
    <w:p w14:paraId="72962872" w14:textId="6FEC168E" w:rsidR="00C90DD6" w:rsidRDefault="00C90DD6" w:rsidP="00C90DD6">
      <w:pPr>
        <w:pStyle w:val="PwCNormal"/>
        <w:spacing w:before="120" w:after="120"/>
        <w:rPr>
          <w:lang w:val="en-US"/>
        </w:rPr>
      </w:pPr>
      <w:r w:rsidRPr="002709AB">
        <w:rPr>
          <w:lang w:val="en-US"/>
        </w:rPr>
        <w:t xml:space="preserve">The </w:t>
      </w:r>
      <w:r>
        <w:rPr>
          <w:lang w:val="en-US"/>
        </w:rPr>
        <w:t>existing</w:t>
      </w:r>
      <w:r w:rsidRPr="002709AB">
        <w:rPr>
          <w:lang w:val="en-US"/>
        </w:rPr>
        <w:t xml:space="preserve"> </w:t>
      </w:r>
      <w:r w:rsidR="00D1628E" w:rsidRPr="00705BA8">
        <w:rPr>
          <w:lang w:val="en-US"/>
        </w:rPr>
        <w:t xml:space="preserve">Aboriginal Heritage </w:t>
      </w:r>
      <w:r w:rsidRPr="00705BA8">
        <w:rPr>
          <w:lang w:val="en-US"/>
        </w:rPr>
        <w:t>Regulation</w:t>
      </w:r>
      <w:r w:rsidR="00D1628E" w:rsidRPr="00705BA8">
        <w:rPr>
          <w:lang w:val="en-US"/>
        </w:rPr>
        <w:t>s 2007</w:t>
      </w:r>
      <w:r w:rsidRPr="002709AB">
        <w:rPr>
          <w:lang w:val="en-US"/>
        </w:rPr>
        <w:t xml:space="preserve"> </w:t>
      </w:r>
      <w:r w:rsidR="007B2E94">
        <w:rPr>
          <w:lang w:val="en-US"/>
        </w:rPr>
        <w:t xml:space="preserve">(the Regulations) </w:t>
      </w:r>
      <w:r w:rsidRPr="002709AB">
        <w:rPr>
          <w:lang w:val="en-US"/>
        </w:rPr>
        <w:t xml:space="preserve">are made under sections 47 and 194 of the </w:t>
      </w:r>
      <w:r w:rsidR="007B2E94">
        <w:rPr>
          <w:iCs/>
          <w:lang w:val="en-US"/>
        </w:rPr>
        <w:t>Act</w:t>
      </w:r>
      <w:r w:rsidR="00677865">
        <w:rPr>
          <w:iCs/>
          <w:lang w:val="en-US"/>
        </w:rPr>
        <w:t xml:space="preserve">, and were amended in conjunction with the </w:t>
      </w:r>
      <w:r w:rsidR="005763C3">
        <w:rPr>
          <w:iCs/>
          <w:lang w:val="en-US"/>
        </w:rPr>
        <w:t xml:space="preserve">2016 </w:t>
      </w:r>
      <w:r w:rsidR="00677865">
        <w:rPr>
          <w:iCs/>
          <w:lang w:val="en-US"/>
        </w:rPr>
        <w:t>amendments to the Act</w:t>
      </w:r>
      <w:r>
        <w:rPr>
          <w:lang w:val="en-US"/>
        </w:rPr>
        <w:t xml:space="preserve">. </w:t>
      </w:r>
      <w:r w:rsidR="00D1628E">
        <w:rPr>
          <w:lang w:val="en-US"/>
        </w:rPr>
        <w:t>T</w:t>
      </w:r>
      <w:r w:rsidRPr="002709AB">
        <w:rPr>
          <w:lang w:val="en-US"/>
        </w:rPr>
        <w:t xml:space="preserve">he Regulations specify the circumstances in which a </w:t>
      </w:r>
      <w:r w:rsidR="007B2E94">
        <w:rPr>
          <w:lang w:val="en-US"/>
        </w:rPr>
        <w:t>CHMP</w:t>
      </w:r>
      <w:r w:rsidRPr="002709AB">
        <w:rPr>
          <w:lang w:val="en-US"/>
        </w:rPr>
        <w:t xml:space="preserve"> is required, prescribe standards for the preparation of </w:t>
      </w:r>
      <w:r w:rsidR="007B2E94">
        <w:rPr>
          <w:lang w:val="en-US"/>
        </w:rPr>
        <w:t>CHMPs</w:t>
      </w:r>
      <w:r w:rsidRPr="002709AB">
        <w:rPr>
          <w:lang w:val="en-US"/>
        </w:rPr>
        <w:t xml:space="preserve"> and agreements, and prescribe a range of fees</w:t>
      </w:r>
      <w:r w:rsidR="001F3DA1">
        <w:rPr>
          <w:lang w:val="en-US"/>
        </w:rPr>
        <w:t xml:space="preserve"> and forms</w:t>
      </w:r>
      <w:r w:rsidRPr="002709AB">
        <w:rPr>
          <w:lang w:val="en-US"/>
        </w:rPr>
        <w:t xml:space="preserve">. </w:t>
      </w:r>
    </w:p>
    <w:p w14:paraId="23D4D896" w14:textId="1848F4D1" w:rsidR="00616935" w:rsidRPr="00616935" w:rsidRDefault="00616935" w:rsidP="00353F0A">
      <w:pPr>
        <w:pStyle w:val="PwCNormal"/>
      </w:pPr>
      <w:r w:rsidRPr="00616935">
        <w:rPr>
          <w:rFonts w:eastAsia="Calibri"/>
        </w:rPr>
        <w:t xml:space="preserve">On 25 May 2017 the Regulations sunset after 10 years of operation. The Subordinate Legislation (Aboriginal Heritage Regulations 2007) Extension Regulations 2017 came into effect on 25 May 2017 and will extend the operation of the Regulations </w:t>
      </w:r>
      <w:r w:rsidR="007B2E94">
        <w:rPr>
          <w:rFonts w:eastAsia="Calibri"/>
        </w:rPr>
        <w:t>f</w:t>
      </w:r>
      <w:r w:rsidRPr="00616935">
        <w:rPr>
          <w:rFonts w:eastAsia="Calibri"/>
        </w:rPr>
        <w:t>or 12 months.</w:t>
      </w:r>
      <w:r>
        <w:rPr>
          <w:rFonts w:eastAsia="Calibri"/>
        </w:rPr>
        <w:t xml:space="preserve"> </w:t>
      </w:r>
      <w:r w:rsidRPr="00616935">
        <w:rPr>
          <w:rFonts w:eastAsia="Calibri"/>
        </w:rPr>
        <w:t xml:space="preserve">AV is reviewing the operation of the </w:t>
      </w:r>
      <w:r>
        <w:rPr>
          <w:rFonts w:eastAsia="Calibri"/>
        </w:rPr>
        <w:t xml:space="preserve">Regulations and released a discussion paper in August 2017. </w:t>
      </w:r>
      <w:r w:rsidR="005763C3">
        <w:rPr>
          <w:rFonts w:eastAsia="Calibri"/>
        </w:rPr>
        <w:t>The discussion paper</w:t>
      </w:r>
      <w:r>
        <w:rPr>
          <w:rFonts w:eastAsia="Calibri"/>
        </w:rPr>
        <w:t xml:space="preserve"> </w:t>
      </w:r>
      <w:r w:rsidR="00CC3EFE">
        <w:rPr>
          <w:rFonts w:eastAsia="Calibri"/>
        </w:rPr>
        <w:t>wa</w:t>
      </w:r>
      <w:r w:rsidRPr="00616935">
        <w:rPr>
          <w:rFonts w:eastAsia="Calibri"/>
        </w:rPr>
        <w:t xml:space="preserve">s designed to help stakeholders have their say on the operation of the Aboriginal Heritage Regulations 2007 and to </w:t>
      </w:r>
      <w:r w:rsidR="007B2E94">
        <w:rPr>
          <w:rFonts w:eastAsia="Calibri"/>
        </w:rPr>
        <w:t>guide</w:t>
      </w:r>
      <w:r w:rsidRPr="00616935">
        <w:rPr>
          <w:rFonts w:eastAsia="Calibri"/>
        </w:rPr>
        <w:t xml:space="preserve"> submissions for the review.</w:t>
      </w:r>
    </w:p>
    <w:p w14:paraId="059A9E25" w14:textId="7A2CCC46" w:rsidR="00C90DD6" w:rsidRPr="00323457" w:rsidRDefault="005763C3" w:rsidP="00C90DD6">
      <w:pPr>
        <w:pStyle w:val="Heading7"/>
      </w:pPr>
      <w:r>
        <w:t>Cultural Heritage Management Plans</w:t>
      </w:r>
    </w:p>
    <w:p w14:paraId="17B1A751" w14:textId="53F2F72A" w:rsidR="00C90DD6" w:rsidRPr="002709AB" w:rsidRDefault="00C90DD6" w:rsidP="00C90DD6">
      <w:pPr>
        <w:pStyle w:val="Caption"/>
        <w:rPr>
          <w:lang w:val="en-US"/>
        </w:rPr>
      </w:pPr>
      <w:r w:rsidRPr="002709AB">
        <w:rPr>
          <w:lang w:val="en-US"/>
        </w:rPr>
        <w:t xml:space="preserve">Circumstances in which a </w:t>
      </w:r>
      <w:r w:rsidR="000E23B6">
        <w:rPr>
          <w:lang w:val="en-US"/>
        </w:rPr>
        <w:t>CHMP</w:t>
      </w:r>
      <w:r w:rsidRPr="002709AB">
        <w:rPr>
          <w:lang w:val="en-US"/>
        </w:rPr>
        <w:t xml:space="preserve"> must be prepared </w:t>
      </w:r>
    </w:p>
    <w:p w14:paraId="156C98E8" w14:textId="23A5960A" w:rsidR="00C90DD6" w:rsidRPr="002709AB" w:rsidRDefault="00C90DD6" w:rsidP="00C90DD6">
      <w:pPr>
        <w:pStyle w:val="PwCNormal"/>
        <w:spacing w:before="120" w:after="120"/>
        <w:rPr>
          <w:lang w:val="en-US"/>
        </w:rPr>
      </w:pPr>
      <w:r w:rsidRPr="002709AB">
        <w:rPr>
          <w:lang w:val="en-US"/>
        </w:rPr>
        <w:t xml:space="preserve">A </w:t>
      </w:r>
      <w:r w:rsidR="005763C3">
        <w:rPr>
          <w:lang w:val="en-US"/>
        </w:rPr>
        <w:t xml:space="preserve">Cultural Heritage Management Plan (CHMP) </w:t>
      </w:r>
      <w:r w:rsidRPr="002709AB">
        <w:rPr>
          <w:lang w:val="en-US"/>
        </w:rPr>
        <w:t xml:space="preserve">is required for an activity if: </w:t>
      </w:r>
    </w:p>
    <w:p w14:paraId="52E4C1E0" w14:textId="71A1953A" w:rsidR="00D1628E" w:rsidRDefault="00D1628E" w:rsidP="00A006F3">
      <w:pPr>
        <w:pStyle w:val="PwCNormal"/>
        <w:numPr>
          <w:ilvl w:val="0"/>
          <w:numId w:val="34"/>
        </w:numPr>
        <w:spacing w:before="120" w:after="120"/>
        <w:rPr>
          <w:lang w:val="en-US"/>
        </w:rPr>
      </w:pPr>
      <w:r w:rsidRPr="002709AB">
        <w:rPr>
          <w:lang w:val="en-US"/>
        </w:rPr>
        <w:t>all or part of the activity is a high impact activity</w:t>
      </w:r>
      <w:r>
        <w:rPr>
          <w:lang w:val="en-US"/>
        </w:rPr>
        <w:t>; and</w:t>
      </w:r>
    </w:p>
    <w:p w14:paraId="70B812AD" w14:textId="31F3CC30" w:rsidR="00C90DD6" w:rsidRPr="00D1628E" w:rsidRDefault="00C90DD6" w:rsidP="00A006F3">
      <w:pPr>
        <w:pStyle w:val="PwCNormal"/>
        <w:numPr>
          <w:ilvl w:val="0"/>
          <w:numId w:val="34"/>
        </w:numPr>
        <w:spacing w:before="120" w:after="120"/>
        <w:rPr>
          <w:lang w:val="en-US"/>
        </w:rPr>
      </w:pPr>
      <w:r w:rsidRPr="002709AB">
        <w:rPr>
          <w:lang w:val="en-US"/>
        </w:rPr>
        <w:t>all or part of the activity area for the activity is in an area of cultural heritage sensitivity that has not previously be</w:t>
      </w:r>
      <w:r w:rsidR="00D1628E">
        <w:rPr>
          <w:lang w:val="en-US"/>
        </w:rPr>
        <w:t xml:space="preserve">en </w:t>
      </w:r>
      <w:r w:rsidR="005763C3">
        <w:rPr>
          <w:lang w:val="en-US"/>
        </w:rPr>
        <w:t xml:space="preserve">subject to </w:t>
      </w:r>
      <w:r w:rsidR="00D1628E">
        <w:rPr>
          <w:lang w:val="en-US"/>
        </w:rPr>
        <w:t xml:space="preserve">significant </w:t>
      </w:r>
      <w:r w:rsidR="005763C3">
        <w:rPr>
          <w:lang w:val="en-US"/>
        </w:rPr>
        <w:t>ground disturbance</w:t>
      </w:r>
      <w:r w:rsidR="00D1628E">
        <w:rPr>
          <w:lang w:val="en-US"/>
        </w:rPr>
        <w:t>.</w:t>
      </w:r>
    </w:p>
    <w:p w14:paraId="60B16B5D" w14:textId="4F17C3B2" w:rsidR="00193EDA" w:rsidRDefault="00193EDA" w:rsidP="00193EDA">
      <w:pPr>
        <w:pStyle w:val="PwCNormal"/>
        <w:numPr>
          <w:ilvl w:val="0"/>
          <w:numId w:val="0"/>
        </w:numPr>
      </w:pPr>
      <w:r>
        <w:t xml:space="preserve">The criteria for completing a CHMP is shown in </w:t>
      </w:r>
      <w:r>
        <w:fldChar w:fldCharType="begin"/>
      </w:r>
      <w:r>
        <w:instrText xml:space="preserve"> REF _Ref499806038 \h </w:instrText>
      </w:r>
      <w:r>
        <w:fldChar w:fldCharType="separate"/>
      </w:r>
      <w:r w:rsidR="000369A1">
        <w:t xml:space="preserve">Figure </w:t>
      </w:r>
      <w:r w:rsidR="000369A1">
        <w:rPr>
          <w:noProof/>
        </w:rPr>
        <w:t>2</w:t>
      </w:r>
      <w:r>
        <w:fldChar w:fldCharType="end"/>
      </w:r>
      <w:r w:rsidR="00400554">
        <w:t>.</w:t>
      </w:r>
    </w:p>
    <w:p w14:paraId="1170AA93" w14:textId="050E2EDA" w:rsidR="00193EDA" w:rsidRDefault="00193EDA" w:rsidP="00193EDA">
      <w:pPr>
        <w:pStyle w:val="Caption"/>
      </w:pPr>
      <w:bookmarkStart w:id="33" w:name="_Ref499806038"/>
      <w:r>
        <w:t xml:space="preserve">Figure </w:t>
      </w:r>
      <w:r w:rsidR="00B47FE6">
        <w:fldChar w:fldCharType="begin"/>
      </w:r>
      <w:r w:rsidR="00B47FE6">
        <w:instrText xml:space="preserve"> SEQ Figure \* ARABIC </w:instrText>
      </w:r>
      <w:r w:rsidR="00B47FE6">
        <w:fldChar w:fldCharType="separate"/>
      </w:r>
      <w:r w:rsidR="000369A1">
        <w:rPr>
          <w:noProof/>
        </w:rPr>
        <w:t>2</w:t>
      </w:r>
      <w:r w:rsidR="00B47FE6">
        <w:rPr>
          <w:noProof/>
        </w:rPr>
        <w:fldChar w:fldCharType="end"/>
      </w:r>
      <w:bookmarkEnd w:id="33"/>
      <w:r>
        <w:t xml:space="preserve">: Criteria to </w:t>
      </w:r>
      <w:r w:rsidR="00392B48">
        <w:t>pr</w:t>
      </w:r>
      <w:r w:rsidR="007A6BD1">
        <w:t>epare</w:t>
      </w:r>
      <w:r w:rsidR="00392B48">
        <w:t xml:space="preserve"> </w:t>
      </w:r>
      <w:r>
        <w:t>a CHMP</w:t>
      </w:r>
    </w:p>
    <w:p w14:paraId="2B5051BB" w14:textId="332D6EBB" w:rsidR="005763C3" w:rsidRPr="005763C3" w:rsidRDefault="005763C3" w:rsidP="005763C3">
      <w:r>
        <w:rPr>
          <w:noProof/>
          <w:lang w:eastAsia="en-AU"/>
        </w:rPr>
        <w:drawing>
          <wp:inline distT="0" distB="0" distL="0" distR="0" wp14:anchorId="675556E8" wp14:editId="20F10B36">
            <wp:extent cx="4739640" cy="3205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0392" cy="3219310"/>
                    </a:xfrm>
                    <a:prstGeom prst="rect">
                      <a:avLst/>
                    </a:prstGeom>
                    <a:noFill/>
                  </pic:spPr>
                </pic:pic>
              </a:graphicData>
            </a:graphic>
          </wp:inline>
        </w:drawing>
      </w:r>
    </w:p>
    <w:p w14:paraId="2A4C9070" w14:textId="7D1DEB77" w:rsidR="00193EDA" w:rsidRDefault="00193EDA" w:rsidP="00193EDA">
      <w:pPr>
        <w:pStyle w:val="PwCNormal"/>
        <w:numPr>
          <w:ilvl w:val="0"/>
          <w:numId w:val="0"/>
        </w:numPr>
        <w:jc w:val="center"/>
      </w:pPr>
    </w:p>
    <w:p w14:paraId="564DD3A8" w14:textId="7E6E6D20" w:rsidR="00C90DD6" w:rsidRPr="00193EDA" w:rsidRDefault="00C90DD6" w:rsidP="00193EDA">
      <w:pPr>
        <w:pStyle w:val="PwCNormal"/>
        <w:numPr>
          <w:ilvl w:val="0"/>
          <w:numId w:val="0"/>
        </w:numPr>
      </w:pPr>
      <w:r w:rsidRPr="00193EDA">
        <w:t xml:space="preserve">An area of cultural heritage sensitivity is an area in which Aboriginal cultural heritage is, or is likely to be, present. Division 3 of Part 2 of the Regulations sets out these areas, based on analysis of where known </w:t>
      </w:r>
      <w:r w:rsidR="005763C3">
        <w:t>Aboriginal places</w:t>
      </w:r>
      <w:r w:rsidR="005763C3" w:rsidRPr="00193EDA">
        <w:t xml:space="preserve"> </w:t>
      </w:r>
      <w:r w:rsidRPr="00193EDA">
        <w:t xml:space="preserve">are located in the </w:t>
      </w:r>
      <w:r w:rsidR="007B2E94">
        <w:t>VAHR</w:t>
      </w:r>
      <w:r w:rsidRPr="00193EDA">
        <w:t xml:space="preserve">. This </w:t>
      </w:r>
      <w:r w:rsidR="007B2E94">
        <w:t>VAHR</w:t>
      </w:r>
      <w:r w:rsidR="007B2E94" w:rsidRPr="00193EDA">
        <w:t xml:space="preserve"> </w:t>
      </w:r>
      <w:r w:rsidRPr="00193EDA">
        <w:t xml:space="preserve">has been developed over </w:t>
      </w:r>
      <w:r w:rsidR="00D1628E">
        <w:t xml:space="preserve">more than </w:t>
      </w:r>
      <w:r w:rsidR="00FA3DE9">
        <w:t>forty</w:t>
      </w:r>
      <w:r w:rsidR="00FA3DE9" w:rsidRPr="00193EDA">
        <w:t xml:space="preserve"> </w:t>
      </w:r>
      <w:r w:rsidRPr="00193EDA">
        <w:t>years, and includes information such as the proximity of a</w:t>
      </w:r>
      <w:r w:rsidR="005763C3">
        <w:t>n Aboriginal place</w:t>
      </w:r>
      <w:r w:rsidRPr="00193EDA">
        <w:t xml:space="preserve"> to a waterway.</w:t>
      </w:r>
      <w:r w:rsidRPr="00193EDA">
        <w:rPr>
          <w:rFonts w:ascii="MS Mincho" w:eastAsia="MS Mincho" w:hAnsi="MS Mincho" w:cs="MS Mincho" w:hint="eastAsia"/>
        </w:rPr>
        <w:t> </w:t>
      </w:r>
      <w:r w:rsidRPr="00193EDA">
        <w:t>The Regulations also make provision for prescribing areas of cultural heritage sensitivity in Schedule 1</w:t>
      </w:r>
      <w:r w:rsidR="005763C3">
        <w:t>.</w:t>
      </w:r>
      <w:r w:rsidRPr="00193EDA">
        <w:t xml:space="preserve"> </w:t>
      </w:r>
    </w:p>
    <w:p w14:paraId="02BDAC00" w14:textId="77777777" w:rsidR="00C90DD6" w:rsidRPr="00193EDA" w:rsidRDefault="00C90DD6" w:rsidP="00193EDA">
      <w:pPr>
        <w:pStyle w:val="PwCNormal"/>
      </w:pPr>
      <w:r w:rsidRPr="00193EDA">
        <w:t xml:space="preserve">Numerous planning overlays affect similar parts of the state to the 'areas of cultural heritage sensitivity' in the Regulations. Most notable would be the suite of environment and landscape overlays (Environmental Significance Overlay, Vegetation Protection Overlay, Significant Landscape Overlay), which normally include planning controls for land near waterways, lakes or swamps, or in coastal environments. The areas covered by these overlays vary from council to council, may cover much larger or smaller areas than is appropriate for the protection and management of Aboriginal cultural heritage, and exist separately for a variety of different purposes. </w:t>
      </w:r>
    </w:p>
    <w:p w14:paraId="417C38EB" w14:textId="783D9B96" w:rsidR="00C90DD6" w:rsidRPr="00193EDA" w:rsidRDefault="00C90DD6" w:rsidP="00193EDA">
      <w:pPr>
        <w:pStyle w:val="PwCNormal"/>
      </w:pPr>
      <w:r w:rsidRPr="00193EDA">
        <w:t xml:space="preserve">A high impact activity is an activity that may have a high impact on Aboriginal cultural heritage. Examples of high impact activities under the </w:t>
      </w:r>
      <w:r w:rsidR="00F96D26">
        <w:t xml:space="preserve">current </w:t>
      </w:r>
      <w:r w:rsidRPr="00193EDA">
        <w:t xml:space="preserve">Regulations include </w:t>
      </w:r>
      <w:r w:rsidR="000E21F5">
        <w:t xml:space="preserve">varied </w:t>
      </w:r>
      <w:r w:rsidRPr="00193EDA">
        <w:t>construction or building works</w:t>
      </w:r>
      <w:r w:rsidR="000E21F5">
        <w:t xml:space="preserve"> (such as for aquaculture, a corrective institution, an office, a warehouse or a bicycle track, road or walking track exceeding 100 metres if it would involve significant ground disturbance</w:t>
      </w:r>
      <w:r w:rsidR="000E21F5">
        <w:rPr>
          <w:rStyle w:val="FootnoteReference"/>
        </w:rPr>
        <w:footnoteReference w:id="19"/>
      </w:r>
      <w:r w:rsidR="000E21F5">
        <w:t>)</w:t>
      </w:r>
      <w:r w:rsidRPr="00193EDA">
        <w:t xml:space="preserve">; an activity for which an earth resource authorisation is required; certain timber production; and subdivisions into three or more lots if a dwelling may be constructed on each of the lots. </w:t>
      </w:r>
    </w:p>
    <w:p w14:paraId="55A05CB3" w14:textId="77777777" w:rsidR="00C90DD6" w:rsidRPr="00193EDA" w:rsidRDefault="00C90DD6" w:rsidP="00193EDA">
      <w:pPr>
        <w:pStyle w:val="PwCNormal"/>
      </w:pPr>
      <w:r w:rsidRPr="00193EDA">
        <w:t xml:space="preserve">A </w:t>
      </w:r>
      <w:r w:rsidR="00E23A0D">
        <w:t>CHMP</w:t>
      </w:r>
      <w:r w:rsidRPr="00193EDA">
        <w:t xml:space="preserve"> is not required for exempt activities, such as building alterations, demolitions or removals; extensions to a dwelling; construction of one or two dwellings; construction of buildings ancillary to a dwelling such as a storage shed, garage, pool, fence or water tank; certain emergency works; subdivision of an existing building; sea–bed development and minor works. </w:t>
      </w:r>
    </w:p>
    <w:p w14:paraId="04111AE5" w14:textId="77777777" w:rsidR="00C90DD6" w:rsidRDefault="00C90DD6" w:rsidP="00C90DD6">
      <w:pPr>
        <w:pStyle w:val="PwCNormal"/>
        <w:spacing w:before="120" w:after="120"/>
        <w:rPr>
          <w:lang w:val="en-US"/>
        </w:rPr>
      </w:pPr>
      <w:r w:rsidRPr="002709AB">
        <w:rPr>
          <w:lang w:val="en-US"/>
        </w:rPr>
        <w:t xml:space="preserve">These exempt activities were chosen because they were considered likely to have little or no impact on Aboriginal cultural heritage (minor works), are unavoidable (such as emergency activities), or are activities where cultural heritage issues should have been considered at an earlier stage (such as a single house development, where a plan is potentially required earlier at the subdivision stage). </w:t>
      </w:r>
    </w:p>
    <w:p w14:paraId="7275E1FC" w14:textId="6D5D6EA4" w:rsidR="00F52995" w:rsidRPr="002709AB" w:rsidRDefault="00F52995" w:rsidP="00C90DD6">
      <w:pPr>
        <w:pStyle w:val="PwCNormal"/>
        <w:spacing w:before="120" w:after="120"/>
        <w:rPr>
          <w:lang w:val="en-US"/>
        </w:rPr>
      </w:pPr>
      <w:r>
        <w:rPr>
          <w:lang w:val="en-US"/>
        </w:rPr>
        <w:t xml:space="preserve">Prior to </w:t>
      </w:r>
      <w:r w:rsidR="00392B48">
        <w:rPr>
          <w:lang w:val="en-US"/>
        </w:rPr>
        <w:t>preparing</w:t>
      </w:r>
      <w:r>
        <w:rPr>
          <w:lang w:val="en-US"/>
        </w:rPr>
        <w:t xml:space="preserve"> a CHMP, a land-user </w:t>
      </w:r>
      <w:r w:rsidR="004275E4">
        <w:rPr>
          <w:lang w:val="en-US"/>
        </w:rPr>
        <w:t xml:space="preserve">must </w:t>
      </w:r>
      <w:r>
        <w:rPr>
          <w:lang w:val="en-US"/>
        </w:rPr>
        <w:t>submit a Notice of Intention (NOI) to prepare a CHMP, which is processed by the Department. NOIs help ensure that the Department has visibility over future CHMPs and that Aboriginal groups, including RAPs, are appropriately consulted.</w:t>
      </w:r>
    </w:p>
    <w:p w14:paraId="1F416AD5" w14:textId="77777777" w:rsidR="00C90DD6" w:rsidRPr="002709AB" w:rsidRDefault="00C90DD6" w:rsidP="00C90DD6">
      <w:pPr>
        <w:pStyle w:val="Caption"/>
        <w:rPr>
          <w:lang w:val="en-US"/>
        </w:rPr>
      </w:pPr>
      <w:r w:rsidRPr="002709AB">
        <w:rPr>
          <w:lang w:val="en-US"/>
        </w:rPr>
        <w:t xml:space="preserve">Standards for conduct of an assessment </w:t>
      </w:r>
    </w:p>
    <w:p w14:paraId="44F8F89B" w14:textId="77777777" w:rsidR="00FA3DE9" w:rsidRPr="0060369A" w:rsidRDefault="00FA3DE9" w:rsidP="00FA3DE9">
      <w:r w:rsidRPr="0060369A">
        <w:t xml:space="preserve">The </w:t>
      </w:r>
      <w:r w:rsidR="00F96D26">
        <w:t>current</w:t>
      </w:r>
      <w:r w:rsidRPr="0060369A">
        <w:t xml:space="preserve"> Regulations prescribe the standards for the conduct of an assessment during the preparation of a CHMP, specifically:</w:t>
      </w:r>
    </w:p>
    <w:p w14:paraId="1E663DE8" w14:textId="47AC78F8" w:rsidR="00FA3DE9" w:rsidRPr="0060369A" w:rsidRDefault="00FA3DE9" w:rsidP="00FA3DE9">
      <w:pPr>
        <w:numPr>
          <w:ilvl w:val="0"/>
          <w:numId w:val="51"/>
        </w:numPr>
      </w:pPr>
      <w:r w:rsidRPr="0060369A">
        <w:t>The types of assessment, what they must include and when they are required</w:t>
      </w:r>
      <w:r w:rsidR="00726620">
        <w:t>;</w:t>
      </w:r>
      <w:r w:rsidRPr="0060369A">
        <w:t xml:space="preserve"> and</w:t>
      </w:r>
    </w:p>
    <w:p w14:paraId="5361C0D3" w14:textId="77777777" w:rsidR="00FA3DE9" w:rsidRPr="0060369A" w:rsidRDefault="00FA3DE9" w:rsidP="00FA3DE9">
      <w:pPr>
        <w:numPr>
          <w:ilvl w:val="0"/>
          <w:numId w:val="51"/>
        </w:numPr>
      </w:pPr>
      <w:r w:rsidRPr="0060369A">
        <w:t>What the CHMP must include.</w:t>
      </w:r>
    </w:p>
    <w:p w14:paraId="682F4CCB" w14:textId="77777777" w:rsidR="00FA3DE9" w:rsidRDefault="00FA3DE9" w:rsidP="00FA3DE9">
      <w:pPr>
        <w:rPr>
          <w:lang w:val="en-US"/>
        </w:rPr>
      </w:pPr>
    </w:p>
    <w:p w14:paraId="79A20865" w14:textId="002A7BEB" w:rsidR="00FA3DE9" w:rsidRPr="0060369A" w:rsidRDefault="00FA3DE9" w:rsidP="00FA3DE9">
      <w:pPr>
        <w:pStyle w:val="PwCNormal"/>
        <w:rPr>
          <w:lang w:val="en-US"/>
        </w:rPr>
      </w:pPr>
      <w:r w:rsidRPr="0060369A">
        <w:rPr>
          <w:lang w:val="en-US"/>
        </w:rPr>
        <w:t>The types of assessments which may be carried out as part of a CHMP are</w:t>
      </w:r>
      <w:r w:rsidR="00B40F7B">
        <w:rPr>
          <w:lang w:val="en-US"/>
        </w:rPr>
        <w:t xml:space="preserve"> specified in the Regulations</w:t>
      </w:r>
      <w:r w:rsidRPr="0060369A">
        <w:rPr>
          <w:lang w:val="en-US"/>
        </w:rPr>
        <w:t>:</w:t>
      </w:r>
    </w:p>
    <w:p w14:paraId="5829062C" w14:textId="77777777" w:rsidR="00FA3DE9" w:rsidRPr="00A70D19" w:rsidRDefault="00FA3DE9" w:rsidP="00FA3DE9">
      <w:pPr>
        <w:pStyle w:val="ListBullet"/>
      </w:pPr>
      <w:r w:rsidRPr="00A70D19">
        <w:t>desktop assessment</w:t>
      </w:r>
    </w:p>
    <w:p w14:paraId="38DEAD03" w14:textId="77777777" w:rsidR="00FA3DE9" w:rsidRPr="00A70D19" w:rsidRDefault="00FA3DE9" w:rsidP="00FA3DE9">
      <w:pPr>
        <w:pStyle w:val="ListBullet"/>
      </w:pPr>
      <w:r w:rsidRPr="00A70D19">
        <w:t>standard assessment</w:t>
      </w:r>
    </w:p>
    <w:p w14:paraId="51A01C90" w14:textId="77777777" w:rsidR="00FA3DE9" w:rsidRPr="00A70D19" w:rsidRDefault="00FA3DE9" w:rsidP="00FA3DE9">
      <w:pPr>
        <w:pStyle w:val="ListBullet"/>
      </w:pPr>
      <w:r w:rsidRPr="00A70D19">
        <w:t>complex assessment.</w:t>
      </w:r>
    </w:p>
    <w:p w14:paraId="06749D4D" w14:textId="08CD3A39" w:rsidR="00FA3DE9" w:rsidRPr="0060369A" w:rsidRDefault="00FA3DE9" w:rsidP="00FA3DE9">
      <w:pPr>
        <w:pStyle w:val="PwCNormal"/>
        <w:rPr>
          <w:lang w:val="en-US"/>
        </w:rPr>
      </w:pPr>
      <w:r w:rsidRPr="0060369A">
        <w:rPr>
          <w:lang w:val="en-US"/>
        </w:rPr>
        <w:t xml:space="preserve">A CHMP must contain a desktop assessment documenting the results of research into </w:t>
      </w:r>
      <w:r w:rsidR="00726620">
        <w:rPr>
          <w:lang w:val="en-US"/>
        </w:rPr>
        <w:t xml:space="preserve">existing </w:t>
      </w:r>
      <w:r w:rsidRPr="0060369A">
        <w:rPr>
          <w:lang w:val="en-US"/>
        </w:rPr>
        <w:t xml:space="preserve">information relating to the Aboriginal cultural heritage associated with the activity area. </w:t>
      </w:r>
      <w:r w:rsidR="00F96D26">
        <w:rPr>
          <w:lang w:val="en-US"/>
        </w:rPr>
        <w:t>Current r</w:t>
      </w:r>
      <w:r w:rsidRPr="0060369A">
        <w:rPr>
          <w:lang w:val="en-US"/>
        </w:rPr>
        <w:t>egulation 57 sets out what a desktop assessment must include.</w:t>
      </w:r>
    </w:p>
    <w:p w14:paraId="42C35669" w14:textId="4E44121B" w:rsidR="00FA3DE9" w:rsidRPr="00927476" w:rsidRDefault="00FA3DE9" w:rsidP="00FA3DE9">
      <w:pPr>
        <w:pStyle w:val="PwCNormal"/>
        <w:rPr>
          <w:lang w:val="en-US"/>
        </w:rPr>
      </w:pPr>
      <w:r w:rsidRPr="0060369A">
        <w:rPr>
          <w:lang w:val="en-US"/>
        </w:rPr>
        <w:t>A CHMP must include a standard assessment if the results of the desktop assessment show it is reasonably possible that Aboriginal cultural heritage is present in the activity area. The standard assessment mus</w:t>
      </w:r>
      <w:r w:rsidRPr="00927476">
        <w:rPr>
          <w:lang w:val="en-US"/>
        </w:rPr>
        <w:t xml:space="preserve">t include a ground survey of the activity area to detect the presence of Aboriginal cultural heritage. </w:t>
      </w:r>
      <w:r w:rsidR="00F96D26">
        <w:rPr>
          <w:lang w:val="en-US"/>
        </w:rPr>
        <w:t>Current r</w:t>
      </w:r>
      <w:r w:rsidRPr="00927476">
        <w:rPr>
          <w:lang w:val="en-US"/>
        </w:rPr>
        <w:t>egulation 59 of the Regulations sets out what a standard assessment must include.</w:t>
      </w:r>
    </w:p>
    <w:p w14:paraId="17201101" w14:textId="2C14FC15" w:rsidR="00C90DD6" w:rsidRPr="007D3D48" w:rsidRDefault="00377311" w:rsidP="00705BA8">
      <w:pPr>
        <w:pStyle w:val="PwCNormal"/>
        <w:rPr>
          <w:lang w:val="en-US"/>
        </w:rPr>
      </w:pPr>
      <w:r>
        <w:rPr>
          <w:lang w:val="en-US"/>
        </w:rPr>
        <w:t>Under the Regulations, a</w:t>
      </w:r>
      <w:r w:rsidR="00FA3DE9" w:rsidRPr="00FB6DF0">
        <w:rPr>
          <w:lang w:val="en-US"/>
        </w:rPr>
        <w:t xml:space="preserve"> CHMP must include a complex assessment if it is likely Aboriginal cultural heritage is present in the activity area and the desktop or standard assessments were unable to identify the extent, nature and significance of the Aboriginal cultural heritage in the activity area. A complex assessment must include disturbance or excavation of all or part of the activity area to uncover or discover Aboriginal cultural heritage. </w:t>
      </w:r>
      <w:r w:rsidR="00F96D26">
        <w:rPr>
          <w:lang w:val="en-US"/>
        </w:rPr>
        <w:t>Current r</w:t>
      </w:r>
      <w:r w:rsidR="00FA3DE9" w:rsidRPr="00FB6DF0">
        <w:rPr>
          <w:lang w:val="en-US"/>
        </w:rPr>
        <w:t>egulation 61 of the Regulations sets out what a complex assessment must include.</w:t>
      </w:r>
    </w:p>
    <w:p w14:paraId="44391A18" w14:textId="0D6F1029" w:rsidR="00C90DD6" w:rsidRPr="007D3D48" w:rsidRDefault="00C90DD6" w:rsidP="00C90DD6">
      <w:pPr>
        <w:pStyle w:val="Caption"/>
        <w:rPr>
          <w:lang w:val="en-US"/>
        </w:rPr>
      </w:pPr>
      <w:r w:rsidRPr="002709AB">
        <w:rPr>
          <w:lang w:val="en-US"/>
        </w:rPr>
        <w:t xml:space="preserve">Standards for content of a </w:t>
      </w:r>
      <w:r w:rsidR="00D1628E">
        <w:rPr>
          <w:lang w:val="en-US"/>
        </w:rPr>
        <w:t>CHMP</w:t>
      </w:r>
      <w:r w:rsidRPr="002709AB">
        <w:rPr>
          <w:lang w:val="en-US"/>
        </w:rPr>
        <w:t xml:space="preserve"> </w:t>
      </w:r>
      <w:r w:rsidRPr="002709AB">
        <w:rPr>
          <w:rFonts w:ascii="MS Mincho" w:eastAsia="MS Mincho" w:hAnsi="MS Mincho" w:cs="MS Mincho"/>
          <w:lang w:val="en-US"/>
        </w:rPr>
        <w:t> </w:t>
      </w:r>
    </w:p>
    <w:p w14:paraId="5DAAF68A" w14:textId="78410C8F" w:rsidR="00C90DD6" w:rsidRPr="00EF5359" w:rsidRDefault="00B40F7B" w:rsidP="00C90DD6">
      <w:pPr>
        <w:pStyle w:val="PwCNormal"/>
        <w:spacing w:before="120" w:after="120"/>
        <w:rPr>
          <w:lang w:val="en-US"/>
        </w:rPr>
      </w:pPr>
      <w:r>
        <w:rPr>
          <w:lang w:val="en-US"/>
        </w:rPr>
        <w:t xml:space="preserve">The </w:t>
      </w:r>
      <w:r w:rsidR="00535B59">
        <w:rPr>
          <w:lang w:val="en-US"/>
        </w:rPr>
        <w:t>current</w:t>
      </w:r>
      <w:r>
        <w:rPr>
          <w:lang w:val="en-US"/>
        </w:rPr>
        <w:t xml:space="preserve"> Regulations prescribe the content that a</w:t>
      </w:r>
      <w:r w:rsidR="00C90DD6" w:rsidRPr="002709AB">
        <w:rPr>
          <w:lang w:val="en-US"/>
        </w:rPr>
        <w:t xml:space="preserve"> </w:t>
      </w:r>
      <w:r w:rsidR="00D1628E">
        <w:rPr>
          <w:lang w:val="en-US"/>
        </w:rPr>
        <w:t xml:space="preserve">CHMP </w:t>
      </w:r>
      <w:r w:rsidR="00C90DD6" w:rsidRPr="002709AB">
        <w:rPr>
          <w:lang w:val="en-US"/>
        </w:rPr>
        <w:t>must incl</w:t>
      </w:r>
      <w:r w:rsidR="00193EDA">
        <w:rPr>
          <w:lang w:val="en-US"/>
        </w:rPr>
        <w:t xml:space="preserve">ude, see </w:t>
      </w:r>
      <w:r w:rsidR="00193EDA" w:rsidRPr="00193EDA">
        <w:rPr>
          <w:lang w:val="en-US"/>
        </w:rPr>
        <w:fldChar w:fldCharType="begin"/>
      </w:r>
      <w:r w:rsidR="00193EDA" w:rsidRPr="00193EDA">
        <w:rPr>
          <w:lang w:val="en-US"/>
        </w:rPr>
        <w:instrText xml:space="preserve"> REF _Ref499805689 \h  \* MERGEFORMAT </w:instrText>
      </w:r>
      <w:r w:rsidR="00193EDA" w:rsidRPr="00193EDA">
        <w:rPr>
          <w:lang w:val="en-US"/>
        </w:rPr>
      </w:r>
      <w:r w:rsidR="00193EDA" w:rsidRPr="00193EDA">
        <w:rPr>
          <w:lang w:val="en-US"/>
        </w:rPr>
        <w:fldChar w:fldCharType="separate"/>
      </w:r>
      <w:r w:rsidR="000369A1" w:rsidRPr="00C35804">
        <w:t xml:space="preserve">Box </w:t>
      </w:r>
      <w:r w:rsidR="000369A1" w:rsidRPr="00C35804">
        <w:rPr>
          <w:noProof/>
        </w:rPr>
        <w:t>2</w:t>
      </w:r>
      <w:r w:rsidR="00193EDA" w:rsidRPr="00193EDA">
        <w:rPr>
          <w:lang w:val="en-US"/>
        </w:rPr>
        <w:fldChar w:fldCharType="end"/>
      </w:r>
      <w:r w:rsidR="00C90DD6" w:rsidRPr="002709AB">
        <w:rPr>
          <w:lang w:val="en-US"/>
        </w:rPr>
        <w:t xml:space="preserve">. This content is similar to </w:t>
      </w:r>
      <w:r w:rsidR="00D77D14">
        <w:rPr>
          <w:lang w:val="en-US"/>
        </w:rPr>
        <w:t xml:space="preserve">what is set out in existing </w:t>
      </w:r>
      <w:r w:rsidR="00EA6133">
        <w:rPr>
          <w:lang w:val="en-US"/>
        </w:rPr>
        <w:t>AV</w:t>
      </w:r>
      <w:r w:rsidR="00C90DD6" w:rsidRPr="002709AB">
        <w:rPr>
          <w:lang w:val="en-US"/>
        </w:rPr>
        <w:t xml:space="preserve"> guidelines. </w:t>
      </w:r>
      <w:r w:rsidR="00C90DD6" w:rsidRPr="002709AB">
        <w:rPr>
          <w:rFonts w:ascii="MS Mincho" w:eastAsia="MS Mincho" w:hAnsi="MS Mincho" w:cs="MS Mincho"/>
          <w:lang w:val="en-US"/>
        </w:rPr>
        <w:t> </w:t>
      </w:r>
    </w:p>
    <w:tbl>
      <w:tblPr>
        <w:tblStyle w:val="Tables-APBas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C90DD6" w:rsidRPr="00EF5359" w14:paraId="7DF3A302" w14:textId="77777777" w:rsidTr="00412938">
        <w:trPr>
          <w:cnfStyle w:val="100000000000" w:firstRow="1" w:lastRow="0" w:firstColumn="0" w:lastColumn="0" w:oddVBand="0" w:evenVBand="0" w:oddHBand="0" w:evenHBand="0" w:firstRowFirstColumn="0" w:firstRowLastColumn="0" w:lastRowFirstColumn="0" w:lastRowLastColumn="0"/>
          <w:trHeight w:val="20"/>
          <w:tblHeader w:val="0"/>
        </w:trPr>
        <w:tc>
          <w:tcPr>
            <w:cnfStyle w:val="000000000100" w:firstRow="0" w:lastRow="0" w:firstColumn="0" w:lastColumn="0" w:oddVBand="0" w:evenVBand="0" w:oddHBand="0" w:evenHBand="0" w:firstRowFirstColumn="1" w:firstRowLastColumn="0" w:lastRowFirstColumn="0" w:lastRowLastColumn="0"/>
            <w:tcW w:w="8437" w:type="dxa"/>
            <w:tcBorders>
              <w:top w:val="none" w:sz="0" w:space="0" w:color="auto"/>
              <w:bottom w:val="none" w:sz="0" w:space="0" w:color="auto"/>
            </w:tcBorders>
            <w:shd w:val="clear" w:color="auto" w:fill="F4CACA" w:themeFill="text2" w:themeFillTint="33"/>
          </w:tcPr>
          <w:p w14:paraId="02C0F496" w14:textId="33080532" w:rsidR="00193EDA" w:rsidRPr="00193EDA" w:rsidRDefault="00193EDA" w:rsidP="00C90DD6">
            <w:pPr>
              <w:pStyle w:val="PwCNormal"/>
              <w:keepLines/>
              <w:spacing w:before="120" w:after="120"/>
              <w:rPr>
                <w:b/>
                <w:color w:val="A32020" w:themeColor="accent1"/>
                <w:lang w:val="en-US"/>
              </w:rPr>
            </w:pPr>
            <w:bookmarkStart w:id="34" w:name="_Ref499805689"/>
            <w:r w:rsidRPr="00193EDA">
              <w:rPr>
                <w:b/>
                <w:color w:val="A32020" w:themeColor="accent1"/>
              </w:rPr>
              <w:t xml:space="preserve">Box </w:t>
            </w:r>
            <w:r w:rsidRPr="00193EDA">
              <w:rPr>
                <w:b/>
                <w:color w:val="A32020" w:themeColor="accent1"/>
              </w:rPr>
              <w:fldChar w:fldCharType="begin"/>
            </w:r>
            <w:r w:rsidRPr="00193EDA">
              <w:rPr>
                <w:b/>
                <w:color w:val="A32020" w:themeColor="accent1"/>
              </w:rPr>
              <w:instrText xml:space="preserve"> SEQ Box \* ARABIC </w:instrText>
            </w:r>
            <w:r w:rsidRPr="00193EDA">
              <w:rPr>
                <w:b/>
                <w:color w:val="A32020" w:themeColor="accent1"/>
              </w:rPr>
              <w:fldChar w:fldCharType="separate"/>
            </w:r>
            <w:r w:rsidR="000369A1">
              <w:rPr>
                <w:b/>
                <w:noProof/>
                <w:color w:val="A32020" w:themeColor="accent1"/>
              </w:rPr>
              <w:t>2</w:t>
            </w:r>
            <w:r w:rsidRPr="00193EDA">
              <w:rPr>
                <w:b/>
                <w:color w:val="A32020" w:themeColor="accent1"/>
              </w:rPr>
              <w:fldChar w:fldCharType="end"/>
            </w:r>
            <w:bookmarkEnd w:id="34"/>
            <w:r w:rsidRPr="00193EDA">
              <w:rPr>
                <w:b/>
                <w:color w:val="A32020" w:themeColor="accent1"/>
              </w:rPr>
              <w:t xml:space="preserve">: Content of </w:t>
            </w:r>
            <w:r w:rsidR="00D1628E">
              <w:rPr>
                <w:b/>
                <w:color w:val="A32020" w:themeColor="accent1"/>
              </w:rPr>
              <w:t>CHMPs</w:t>
            </w:r>
            <w:r w:rsidRPr="00193EDA">
              <w:rPr>
                <w:b/>
                <w:color w:val="A32020" w:themeColor="accent1"/>
                <w:lang w:val="en-US"/>
              </w:rPr>
              <w:t xml:space="preserve"> </w:t>
            </w:r>
          </w:p>
          <w:p w14:paraId="3F73D9E9" w14:textId="6B3799FD" w:rsidR="00C90DD6" w:rsidRPr="00EF5359" w:rsidRDefault="00C90DD6" w:rsidP="00C90DD6">
            <w:pPr>
              <w:pStyle w:val="PwCNormal"/>
              <w:keepLines/>
              <w:spacing w:before="120" w:after="120"/>
              <w:rPr>
                <w:lang w:val="en-US"/>
              </w:rPr>
            </w:pPr>
            <w:r w:rsidRPr="00EF5359">
              <w:rPr>
                <w:lang w:val="en-US"/>
              </w:rPr>
              <w:t xml:space="preserve">A </w:t>
            </w:r>
            <w:r w:rsidR="00D1628E">
              <w:rPr>
                <w:lang w:val="en-US"/>
              </w:rPr>
              <w:t>CHMP</w:t>
            </w:r>
            <w:r w:rsidRPr="00EF5359">
              <w:rPr>
                <w:lang w:val="en-US"/>
              </w:rPr>
              <w:t xml:space="preserve"> must include: </w:t>
            </w:r>
          </w:p>
          <w:p w14:paraId="5A7B9B0F" w14:textId="7FC7ED8F" w:rsidR="00C90DD6" w:rsidRPr="00EF5359" w:rsidRDefault="00C90DD6" w:rsidP="00A006F3">
            <w:pPr>
              <w:pStyle w:val="PwCNormal"/>
              <w:keepLines/>
              <w:numPr>
                <w:ilvl w:val="0"/>
                <w:numId w:val="35"/>
              </w:numPr>
              <w:spacing w:before="120" w:after="120"/>
              <w:rPr>
                <w:lang w:val="en-US"/>
              </w:rPr>
            </w:pPr>
            <w:r w:rsidRPr="00EF5359">
              <w:rPr>
                <w:lang w:val="en-US"/>
              </w:rPr>
              <w:t>a statement about which section of the Act require</w:t>
            </w:r>
            <w:r w:rsidR="00D77D14">
              <w:rPr>
                <w:lang w:val="en-US"/>
              </w:rPr>
              <w:t>s</w:t>
            </w:r>
            <w:r w:rsidRPr="00EF5359">
              <w:rPr>
                <w:lang w:val="en-US"/>
              </w:rPr>
              <w:t xml:space="preserve"> the plan to be prepared, or, if required to be prepared by the Regulations, a statement of the reasons why the Regulations required preparation of the plan; </w:t>
            </w:r>
            <w:r w:rsidRPr="00EF5359">
              <w:rPr>
                <w:rFonts w:ascii="MS Mincho" w:eastAsia="MS Mincho" w:hAnsi="MS Mincho" w:cs="MS Mincho"/>
                <w:lang w:val="en-US"/>
              </w:rPr>
              <w:t> </w:t>
            </w:r>
          </w:p>
          <w:p w14:paraId="52F87001" w14:textId="12D1FBD3" w:rsidR="00C90DD6" w:rsidRPr="00EF5359" w:rsidRDefault="00C90DD6" w:rsidP="00A006F3">
            <w:pPr>
              <w:pStyle w:val="PwCNormal"/>
              <w:keepLines/>
              <w:numPr>
                <w:ilvl w:val="0"/>
                <w:numId w:val="35"/>
              </w:numPr>
              <w:spacing w:before="120" w:after="120"/>
              <w:rPr>
                <w:lang w:val="en-US"/>
              </w:rPr>
            </w:pPr>
            <w:r w:rsidRPr="00EF5359">
              <w:rPr>
                <w:lang w:val="en-US"/>
              </w:rPr>
              <w:t>the name</w:t>
            </w:r>
            <w:r w:rsidR="00FA3DE9">
              <w:rPr>
                <w:lang w:val="en-US"/>
              </w:rPr>
              <w:t xml:space="preserve"> of the sponsor</w:t>
            </w:r>
            <w:r w:rsidRPr="00EF5359">
              <w:rPr>
                <w:lang w:val="en-US"/>
              </w:rPr>
              <w:t xml:space="preserve"> and </w:t>
            </w:r>
            <w:r w:rsidR="00FA3DE9">
              <w:rPr>
                <w:lang w:val="en-US"/>
              </w:rPr>
              <w:t xml:space="preserve">heritage </w:t>
            </w:r>
            <w:r w:rsidRPr="00EF5359">
              <w:rPr>
                <w:lang w:val="en-US"/>
              </w:rPr>
              <w:t xml:space="preserve">advisor, and the name of each </w:t>
            </w:r>
            <w:r w:rsidR="00D77D14">
              <w:rPr>
                <w:lang w:val="en-US"/>
              </w:rPr>
              <w:t xml:space="preserve">relevant </w:t>
            </w:r>
            <w:r w:rsidRPr="00EF5359">
              <w:rPr>
                <w:lang w:val="en-US"/>
              </w:rPr>
              <w:t xml:space="preserve">Registered Aboriginal Party and its representatives; </w:t>
            </w:r>
            <w:r w:rsidRPr="00EF5359">
              <w:rPr>
                <w:rFonts w:ascii="MS Mincho" w:eastAsia="MS Mincho" w:hAnsi="MS Mincho" w:cs="MS Mincho"/>
                <w:lang w:val="en-US"/>
              </w:rPr>
              <w:t> </w:t>
            </w:r>
          </w:p>
          <w:p w14:paraId="1FEDC33D" w14:textId="1489D9C9" w:rsidR="00C90DD6" w:rsidRPr="00EF5359" w:rsidRDefault="00C90DD6" w:rsidP="00A006F3">
            <w:pPr>
              <w:pStyle w:val="PwCNormal"/>
              <w:keepLines/>
              <w:numPr>
                <w:ilvl w:val="0"/>
                <w:numId w:val="35"/>
              </w:numPr>
              <w:spacing w:before="120" w:after="120"/>
              <w:rPr>
                <w:lang w:val="en-US"/>
              </w:rPr>
            </w:pPr>
            <w:r w:rsidRPr="00EF5359">
              <w:rPr>
                <w:lang w:val="en-US"/>
              </w:rPr>
              <w:t xml:space="preserve">a copy of the sponsor’s notice of intention to prepare a </w:t>
            </w:r>
            <w:r w:rsidR="00FA3DE9">
              <w:rPr>
                <w:lang w:val="en-US"/>
              </w:rPr>
              <w:t>CHMP</w:t>
            </w:r>
            <w:r w:rsidRPr="00EF5359">
              <w:rPr>
                <w:lang w:val="en-US"/>
              </w:rPr>
              <w:t xml:space="preserve">, and a copy of the </w:t>
            </w:r>
            <w:r w:rsidR="00FA3DE9">
              <w:rPr>
                <w:lang w:val="en-US"/>
              </w:rPr>
              <w:t>RAP</w:t>
            </w:r>
            <w:r w:rsidRPr="00EF5359">
              <w:rPr>
                <w:lang w:val="en-US"/>
              </w:rPr>
              <w:t xml:space="preserve">’s notice of intention to evaluate the plan; </w:t>
            </w:r>
            <w:r w:rsidRPr="00EF5359">
              <w:rPr>
                <w:rFonts w:ascii="MS Mincho" w:eastAsia="MS Mincho" w:hAnsi="MS Mincho" w:cs="MS Mincho"/>
                <w:lang w:val="en-US"/>
              </w:rPr>
              <w:t> </w:t>
            </w:r>
          </w:p>
          <w:p w14:paraId="7F67ABB6"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a description of the activity and the activity area including a map in a form approved by the Secretary; </w:t>
            </w:r>
            <w:r w:rsidRPr="00EF5359">
              <w:rPr>
                <w:rFonts w:ascii="MS Mincho" w:eastAsia="MS Mincho" w:hAnsi="MS Mincho" w:cs="MS Mincho"/>
                <w:lang w:val="en-US"/>
              </w:rPr>
              <w:t> </w:t>
            </w:r>
          </w:p>
          <w:p w14:paraId="473359EE" w14:textId="52FA7F00" w:rsidR="00C90DD6" w:rsidRPr="00EF5359" w:rsidRDefault="00C90DD6" w:rsidP="00A006F3">
            <w:pPr>
              <w:pStyle w:val="PwCNormal"/>
              <w:keepLines/>
              <w:numPr>
                <w:ilvl w:val="0"/>
                <w:numId w:val="35"/>
              </w:numPr>
              <w:spacing w:before="120" w:after="120"/>
              <w:rPr>
                <w:lang w:val="en-US"/>
              </w:rPr>
            </w:pPr>
            <w:r w:rsidRPr="00EF5359">
              <w:rPr>
                <w:lang w:val="en-US"/>
              </w:rPr>
              <w:t xml:space="preserve">the results of </w:t>
            </w:r>
            <w:r w:rsidR="00FA3DE9">
              <w:rPr>
                <w:lang w:val="en-US"/>
              </w:rPr>
              <w:t xml:space="preserve">the </w:t>
            </w:r>
            <w:r w:rsidRPr="00EF5359">
              <w:rPr>
                <w:lang w:val="en-US"/>
              </w:rPr>
              <w:t>desktop assessment and</w:t>
            </w:r>
            <w:r w:rsidR="00D77D14">
              <w:rPr>
                <w:lang w:val="en-US"/>
              </w:rPr>
              <w:t>,</w:t>
            </w:r>
            <w:r w:rsidRPr="00EF5359">
              <w:rPr>
                <w:lang w:val="en-US"/>
              </w:rPr>
              <w:t xml:space="preserve"> if it is not possible that Aboriginal cultural heritage </w:t>
            </w:r>
            <w:r w:rsidR="00D77D14">
              <w:rPr>
                <w:lang w:val="en-US"/>
              </w:rPr>
              <w:t>may</w:t>
            </w:r>
            <w:r w:rsidR="00D77D14" w:rsidRPr="00EF5359">
              <w:rPr>
                <w:lang w:val="en-US"/>
              </w:rPr>
              <w:t xml:space="preserve"> </w:t>
            </w:r>
            <w:r w:rsidRPr="00EF5359">
              <w:rPr>
                <w:lang w:val="en-US"/>
              </w:rPr>
              <w:t xml:space="preserve">be found in the </w:t>
            </w:r>
            <w:r w:rsidR="00D77D14">
              <w:rPr>
                <w:lang w:val="en-US"/>
              </w:rPr>
              <w:t xml:space="preserve">activity </w:t>
            </w:r>
            <w:r w:rsidRPr="00EF5359">
              <w:rPr>
                <w:lang w:val="en-US"/>
              </w:rPr>
              <w:t xml:space="preserve">area, the reasons for that decision; </w:t>
            </w:r>
            <w:r w:rsidRPr="00EF5359">
              <w:rPr>
                <w:rFonts w:ascii="MS Mincho" w:eastAsia="MS Mincho" w:hAnsi="MS Mincho" w:cs="MS Mincho"/>
                <w:lang w:val="en-US"/>
              </w:rPr>
              <w:t> </w:t>
            </w:r>
          </w:p>
          <w:p w14:paraId="180DE032"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if a standard assessment is undertaken, and the assessment is unable to identify Aboriginal cultural heritage in the area, the reasons for that decision; </w:t>
            </w:r>
            <w:r w:rsidRPr="00EF5359">
              <w:rPr>
                <w:rFonts w:ascii="MS Mincho" w:eastAsia="MS Mincho" w:hAnsi="MS Mincho" w:cs="MS Mincho"/>
                <w:lang w:val="en-US"/>
              </w:rPr>
              <w:t> </w:t>
            </w:r>
          </w:p>
          <w:p w14:paraId="675EA4BF" w14:textId="26D83EF8" w:rsidR="00C90DD6" w:rsidRPr="00EF5359" w:rsidRDefault="00C90DD6" w:rsidP="00A006F3">
            <w:pPr>
              <w:pStyle w:val="PwCNormal"/>
              <w:keepLines/>
              <w:numPr>
                <w:ilvl w:val="0"/>
                <w:numId w:val="35"/>
              </w:numPr>
              <w:spacing w:before="120" w:after="120"/>
              <w:rPr>
                <w:lang w:val="en-US"/>
              </w:rPr>
            </w:pPr>
            <w:r w:rsidRPr="00EF5359">
              <w:rPr>
                <w:lang w:val="en-US"/>
              </w:rPr>
              <w:t>the method by which Aboriginal cultural heritage was assessed, and whether that method was agreed with the Registered Aboriginal Party;</w:t>
            </w:r>
            <w:r w:rsidR="005B1A6C">
              <w:rPr>
                <w:rStyle w:val="FootnoteReference"/>
                <w:lang w:val="en-US"/>
              </w:rPr>
              <w:footnoteReference w:id="20"/>
            </w:r>
            <w:r w:rsidRPr="00EF5359">
              <w:rPr>
                <w:lang w:val="en-US"/>
              </w:rPr>
              <w:t xml:space="preserve"> </w:t>
            </w:r>
            <w:r w:rsidRPr="00EF5359">
              <w:rPr>
                <w:rFonts w:ascii="MS Mincho" w:eastAsia="MS Mincho" w:hAnsi="MS Mincho" w:cs="MS Mincho"/>
                <w:lang w:val="en-US"/>
              </w:rPr>
              <w:t> </w:t>
            </w:r>
          </w:p>
          <w:p w14:paraId="34E31146"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the names of persons involved in the assessment; </w:t>
            </w:r>
            <w:r w:rsidRPr="00EF5359">
              <w:rPr>
                <w:rFonts w:ascii="MS Mincho" w:eastAsia="MS Mincho" w:hAnsi="MS Mincho" w:cs="MS Mincho"/>
                <w:lang w:val="en-US"/>
              </w:rPr>
              <w:t> </w:t>
            </w:r>
          </w:p>
          <w:p w14:paraId="061A74C3"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a summary of information, if any, provided by a member of a relevant Registered Aboriginal </w:t>
            </w:r>
            <w:r w:rsidRPr="00EF5359">
              <w:rPr>
                <w:rFonts w:ascii="MS Mincho" w:eastAsia="MS Mincho" w:hAnsi="MS Mincho" w:cs="MS Mincho"/>
                <w:lang w:val="en-US"/>
              </w:rPr>
              <w:t> </w:t>
            </w:r>
            <w:r w:rsidRPr="00EF5359">
              <w:rPr>
                <w:lang w:val="en-US"/>
              </w:rPr>
              <w:t xml:space="preserve">Party or other person; </w:t>
            </w:r>
            <w:r w:rsidRPr="00EF5359">
              <w:rPr>
                <w:rFonts w:ascii="MS Mincho" w:eastAsia="MS Mincho" w:hAnsi="MS Mincho" w:cs="MS Mincho"/>
                <w:lang w:val="en-US"/>
              </w:rPr>
              <w:t> </w:t>
            </w:r>
          </w:p>
          <w:p w14:paraId="3FFE1782" w14:textId="6EE711E4" w:rsidR="00C90DD6" w:rsidRPr="00EF5359" w:rsidRDefault="00C90DD6" w:rsidP="00A006F3">
            <w:pPr>
              <w:pStyle w:val="PwCNormal"/>
              <w:keepLines/>
              <w:numPr>
                <w:ilvl w:val="0"/>
                <w:numId w:val="35"/>
              </w:numPr>
              <w:spacing w:before="120" w:after="120"/>
              <w:rPr>
                <w:lang w:val="en-US"/>
              </w:rPr>
            </w:pPr>
            <w:r w:rsidRPr="00EF5359">
              <w:rPr>
                <w:lang w:val="en-US"/>
              </w:rPr>
              <w:t>the results of the assessment</w:t>
            </w:r>
            <w:r w:rsidR="00D77D14">
              <w:rPr>
                <w:lang w:val="en-US"/>
              </w:rPr>
              <w:t>,</w:t>
            </w:r>
            <w:r w:rsidRPr="00EF5359">
              <w:rPr>
                <w:lang w:val="en-US"/>
              </w:rPr>
              <w:t xml:space="preserve"> including a description and location of Aboriginal cultural heritage that is found, identification of </w:t>
            </w:r>
            <w:r w:rsidR="00FA3DE9">
              <w:rPr>
                <w:lang w:val="en-US"/>
              </w:rPr>
              <w:t xml:space="preserve">any </w:t>
            </w:r>
            <w:r w:rsidRPr="00EF5359">
              <w:rPr>
                <w:lang w:val="en-US"/>
              </w:rPr>
              <w:t xml:space="preserve">problems in completing the assessment, and recommendations to address </w:t>
            </w:r>
            <w:r w:rsidR="00FA3DE9">
              <w:rPr>
                <w:lang w:val="en-US"/>
              </w:rPr>
              <w:t xml:space="preserve">any </w:t>
            </w:r>
            <w:r w:rsidRPr="00EF5359">
              <w:rPr>
                <w:lang w:val="en-US"/>
              </w:rPr>
              <w:t xml:space="preserve">problems in completing the assessment; </w:t>
            </w:r>
            <w:r w:rsidRPr="00EF5359">
              <w:rPr>
                <w:rFonts w:ascii="MS Mincho" w:eastAsia="MS Mincho" w:hAnsi="MS Mincho" w:cs="MS Mincho"/>
                <w:lang w:val="en-US"/>
              </w:rPr>
              <w:t> </w:t>
            </w:r>
          </w:p>
          <w:p w14:paraId="11D8B8AF"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a statement of how matters required by the Act were considered; </w:t>
            </w:r>
            <w:r w:rsidRPr="00EF5359">
              <w:rPr>
                <w:rFonts w:ascii="MS Mincho" w:eastAsia="MS Mincho" w:hAnsi="MS Mincho" w:cs="MS Mincho"/>
                <w:lang w:val="en-US"/>
              </w:rPr>
              <w:t> </w:t>
            </w:r>
          </w:p>
          <w:p w14:paraId="4231DEFA" w14:textId="1422E1C0" w:rsidR="00C90DD6" w:rsidRPr="00EF5359" w:rsidRDefault="00C90DD6" w:rsidP="00A006F3">
            <w:pPr>
              <w:pStyle w:val="PwCNormal"/>
              <w:keepLines/>
              <w:numPr>
                <w:ilvl w:val="0"/>
                <w:numId w:val="35"/>
              </w:numPr>
              <w:spacing w:before="120" w:after="120"/>
              <w:rPr>
                <w:lang w:val="en-US"/>
              </w:rPr>
            </w:pPr>
            <w:r w:rsidRPr="00EF5359">
              <w:rPr>
                <w:lang w:val="en-US"/>
              </w:rPr>
              <w:t xml:space="preserve">recommendations for measures to be taken to manage and protect </w:t>
            </w:r>
            <w:r w:rsidR="00D77D14">
              <w:rPr>
                <w:lang w:val="en-US"/>
              </w:rPr>
              <w:t xml:space="preserve">Aboriginal cultural </w:t>
            </w:r>
            <w:r w:rsidRPr="00EF5359">
              <w:rPr>
                <w:lang w:val="en-US"/>
              </w:rPr>
              <w:t xml:space="preserve">heritage identified in the assessment; </w:t>
            </w:r>
            <w:r w:rsidRPr="00EF5359">
              <w:rPr>
                <w:rFonts w:ascii="MS Mincho" w:eastAsia="MS Mincho" w:hAnsi="MS Mincho" w:cs="MS Mincho"/>
                <w:lang w:val="en-US"/>
              </w:rPr>
              <w:t> </w:t>
            </w:r>
          </w:p>
          <w:p w14:paraId="0E43E8A7" w14:textId="343B998B" w:rsidR="00C90DD6" w:rsidRPr="00EF5359" w:rsidRDefault="00C90DD6" w:rsidP="00A006F3">
            <w:pPr>
              <w:pStyle w:val="PwCNormal"/>
              <w:keepLines/>
              <w:numPr>
                <w:ilvl w:val="0"/>
                <w:numId w:val="35"/>
              </w:numPr>
              <w:spacing w:before="120" w:after="120"/>
              <w:rPr>
                <w:lang w:val="en-US"/>
              </w:rPr>
            </w:pPr>
            <w:r w:rsidRPr="00EF5359">
              <w:rPr>
                <w:lang w:val="en-US"/>
              </w:rPr>
              <w:t xml:space="preserve">how the sponsor and the Registered Aboriginal Party will resolve any disputes in relation to implementation of an approved </w:t>
            </w:r>
            <w:r w:rsidR="00FA3DE9">
              <w:rPr>
                <w:lang w:val="en-US"/>
              </w:rPr>
              <w:t>CHMP</w:t>
            </w:r>
            <w:r w:rsidRPr="00EF5359">
              <w:rPr>
                <w:lang w:val="en-US"/>
              </w:rPr>
              <w:t xml:space="preserve"> or the conduct of the activity; and </w:t>
            </w:r>
            <w:r w:rsidRPr="00EF5359">
              <w:rPr>
                <w:rFonts w:ascii="MS Mincho" w:eastAsia="MS Mincho" w:hAnsi="MS Mincho" w:cs="MS Mincho" w:hint="eastAsia"/>
                <w:lang w:val="en-US"/>
              </w:rPr>
              <w:t> </w:t>
            </w:r>
          </w:p>
          <w:p w14:paraId="5E40FB40" w14:textId="77777777" w:rsidR="00C90DD6" w:rsidRPr="00EF5359" w:rsidRDefault="00C90DD6" w:rsidP="00A006F3">
            <w:pPr>
              <w:pStyle w:val="PwCNormal"/>
              <w:keepLines/>
              <w:numPr>
                <w:ilvl w:val="0"/>
                <w:numId w:val="35"/>
              </w:numPr>
              <w:spacing w:before="120" w:after="120"/>
              <w:rPr>
                <w:lang w:val="en-US"/>
              </w:rPr>
            </w:pPr>
            <w:r w:rsidRPr="00EF5359">
              <w:rPr>
                <w:lang w:val="en-US"/>
              </w:rPr>
              <w:t xml:space="preserve">if the activity is a subdivision, the sponsor’s description of how each lot will be used or developed, or the use or development permitted by the planning scheme. </w:t>
            </w:r>
            <w:r w:rsidRPr="00EF5359">
              <w:rPr>
                <w:rFonts w:ascii="MS Mincho" w:eastAsia="MS Mincho" w:hAnsi="MS Mincho" w:cs="MS Mincho" w:hint="eastAsia"/>
                <w:lang w:val="en-US"/>
              </w:rPr>
              <w:t> </w:t>
            </w:r>
          </w:p>
        </w:tc>
      </w:tr>
    </w:tbl>
    <w:p w14:paraId="7308B5F5" w14:textId="77777777" w:rsidR="00FA3DE9" w:rsidRDefault="00FA3DE9" w:rsidP="00FA3DE9">
      <w:pPr>
        <w:pStyle w:val="Heading7"/>
        <w:spacing w:after="120"/>
        <w:ind w:left="851" w:hanging="851"/>
      </w:pPr>
      <w:r>
        <w:t>Other prescribed matters</w:t>
      </w:r>
    </w:p>
    <w:p w14:paraId="303962C7" w14:textId="77777777" w:rsidR="00FA3DE9" w:rsidRDefault="00FA3DE9" w:rsidP="00FA3DE9">
      <w:pPr>
        <w:pStyle w:val="Caption"/>
      </w:pPr>
      <w:r>
        <w:t>Prescribed standards</w:t>
      </w:r>
    </w:p>
    <w:p w14:paraId="248F3FFD" w14:textId="17B62D74" w:rsidR="00FA3DE9" w:rsidRPr="00F31E72" w:rsidRDefault="00FA3DE9" w:rsidP="00FA3DE9">
      <w:pPr>
        <w:pStyle w:val="PwCNormal"/>
        <w:numPr>
          <w:ilvl w:val="0"/>
          <w:numId w:val="0"/>
        </w:numPr>
      </w:pPr>
      <w:r>
        <w:t xml:space="preserve">Prescribed standards detail what must be included in an application or other document for it to be complete. The Regulations </w:t>
      </w:r>
      <w:r w:rsidR="007C3A72">
        <w:t xml:space="preserve">also </w:t>
      </w:r>
      <w:r>
        <w:t>prescribe standards for a range of other mechanisms.</w:t>
      </w:r>
    </w:p>
    <w:p w14:paraId="2696A2A1" w14:textId="77777777" w:rsidR="00FA3DE9" w:rsidRDefault="00FA3DE9" w:rsidP="00705BA8">
      <w:pPr>
        <w:pStyle w:val="Caption"/>
      </w:pPr>
      <w:r>
        <w:t>Aboriginal Cultural Heritage Land Management Agreements</w:t>
      </w:r>
    </w:p>
    <w:p w14:paraId="7BE9CC88" w14:textId="5A6C7076" w:rsidR="00FA3DE9" w:rsidRPr="00747183" w:rsidRDefault="00FA3DE9" w:rsidP="00FA3DE9">
      <w:r>
        <w:t xml:space="preserve">The Regulations prescribe the standards for preparing </w:t>
      </w:r>
      <w:r w:rsidR="007F24FE">
        <w:t xml:space="preserve">an </w:t>
      </w:r>
      <w:r>
        <w:t xml:space="preserve">ACHLMA. The </w:t>
      </w:r>
      <w:r w:rsidR="00535B59">
        <w:t>current</w:t>
      </w:r>
      <w:r>
        <w:t xml:space="preserve"> Regulations prescribe standards for </w:t>
      </w:r>
      <w:r w:rsidR="007F24FE">
        <w:t xml:space="preserve">Aboriginal cultural heritage </w:t>
      </w:r>
      <w:r>
        <w:t xml:space="preserve">assessment similar to those </w:t>
      </w:r>
      <w:r w:rsidR="007F24FE">
        <w:t xml:space="preserve">required for a </w:t>
      </w:r>
      <w:r>
        <w:t xml:space="preserve">CHMP.    </w:t>
      </w:r>
    </w:p>
    <w:p w14:paraId="06C17EFD" w14:textId="4FA8F8A3" w:rsidR="00C90DD6" w:rsidRPr="00323457" w:rsidRDefault="00C90DD6" w:rsidP="00C90DD6">
      <w:pPr>
        <w:pStyle w:val="Caption"/>
      </w:pPr>
      <w:r w:rsidRPr="00323457">
        <w:t xml:space="preserve">Maps in </w:t>
      </w:r>
      <w:r w:rsidR="00FA3DE9">
        <w:t>Cultural Heritage Agreements</w:t>
      </w:r>
    </w:p>
    <w:p w14:paraId="48315BBE" w14:textId="730272BF" w:rsidR="00C90DD6" w:rsidRPr="002709AB" w:rsidRDefault="00C90DD6" w:rsidP="00C90DD6">
      <w:pPr>
        <w:pStyle w:val="PwCNormal"/>
        <w:spacing w:before="120" w:after="120"/>
        <w:rPr>
          <w:lang w:val="en-US"/>
        </w:rPr>
      </w:pPr>
      <w:r w:rsidRPr="002709AB">
        <w:rPr>
          <w:lang w:val="en-US"/>
        </w:rPr>
        <w:t xml:space="preserve">A map included in a cultural heritage agreement must include the location of the boundaries of the land, a description of what the map represents, a legend, a scale, an arrow indicating north, topographic features and a diagram showing the location of the area in relation to the nearest town. If coordinates are shown, they must be standard coordinates. Standard coordinates are required to facilitate inclusion of the agreement on the </w:t>
      </w:r>
      <w:r w:rsidR="007F24FE">
        <w:rPr>
          <w:lang w:val="en-US"/>
        </w:rPr>
        <w:t>VAHR</w:t>
      </w:r>
      <w:r w:rsidRPr="002709AB">
        <w:rPr>
          <w:lang w:val="en-US"/>
        </w:rPr>
        <w:t xml:space="preserve"> and on </w:t>
      </w:r>
      <w:r w:rsidR="007F24FE">
        <w:rPr>
          <w:lang w:val="en-US"/>
        </w:rPr>
        <w:t xml:space="preserve">the </w:t>
      </w:r>
      <w:r w:rsidRPr="002709AB">
        <w:rPr>
          <w:lang w:val="en-US"/>
        </w:rPr>
        <w:t xml:space="preserve">land title. </w:t>
      </w:r>
    </w:p>
    <w:p w14:paraId="1082D880" w14:textId="20576C52" w:rsidR="00FA3DE9" w:rsidRPr="00323457" w:rsidRDefault="00FA3DE9" w:rsidP="00FA3DE9">
      <w:pPr>
        <w:pStyle w:val="Caption"/>
      </w:pPr>
      <w:r>
        <w:t>Prescribed</w:t>
      </w:r>
      <w:r w:rsidRPr="00323457">
        <w:t xml:space="preserve"> forms</w:t>
      </w:r>
    </w:p>
    <w:p w14:paraId="06B8709C" w14:textId="3FF8FCC7" w:rsidR="00FA3DE9" w:rsidRDefault="00FA3DE9" w:rsidP="00FA3DE9">
      <w:pPr>
        <w:spacing w:before="120" w:after="120"/>
      </w:pPr>
      <w:r>
        <w:t xml:space="preserve">Similar to prescribed standards, prescribed forms detail what must be included in an application or document for it to be complete. The Regulations prescribe </w:t>
      </w:r>
      <w:r w:rsidR="00A0475F">
        <w:t xml:space="preserve">a number of </w:t>
      </w:r>
      <w:r>
        <w:t>forms:</w:t>
      </w:r>
    </w:p>
    <w:p w14:paraId="4326EACB" w14:textId="3C5C5C08" w:rsidR="00FA3DE9" w:rsidRDefault="00FA3DE9" w:rsidP="00FA3DE9">
      <w:pPr>
        <w:pStyle w:val="ListBullet"/>
      </w:pPr>
      <w:r>
        <w:t xml:space="preserve">Reports to the Victorian Aboriginal Heritage Council regarding </w:t>
      </w:r>
      <w:r w:rsidRPr="00AA70E3">
        <w:t>Aboriginal Ancestral Remains in custody of public entities and universities</w:t>
      </w:r>
      <w:r>
        <w:t>.</w:t>
      </w:r>
    </w:p>
    <w:p w14:paraId="470A4B1B" w14:textId="7535A2F4" w:rsidR="00FA3DE9" w:rsidRDefault="00FA3DE9" w:rsidP="00FA3DE9">
      <w:pPr>
        <w:pStyle w:val="ListBullet"/>
      </w:pPr>
      <w:r>
        <w:t>Applications for certification of PAHTs.</w:t>
      </w:r>
    </w:p>
    <w:p w14:paraId="70F03115" w14:textId="77777777" w:rsidR="00FA3DE9" w:rsidRDefault="00FA3DE9" w:rsidP="00FA3DE9">
      <w:pPr>
        <w:pStyle w:val="ListBullet"/>
      </w:pPr>
      <w:r>
        <w:t>Applications for registration of Aboriginal Intangible Heritage.</w:t>
      </w:r>
    </w:p>
    <w:p w14:paraId="3E43602B" w14:textId="7C4ACA99" w:rsidR="00FA3DE9" w:rsidRDefault="00FA3DE9" w:rsidP="00FA3DE9">
      <w:pPr>
        <w:pStyle w:val="ListBullet"/>
      </w:pPr>
      <w:r>
        <w:t>Form of Aboriginal Intangible Heritage Agreement.</w:t>
      </w:r>
    </w:p>
    <w:p w14:paraId="4997F082" w14:textId="51BB3AE1" w:rsidR="00FA3DE9" w:rsidRPr="00FC52FC" w:rsidRDefault="00FA3DE9" w:rsidP="00FA3DE9">
      <w:pPr>
        <w:pStyle w:val="ListBullet"/>
      </w:pPr>
      <w:r>
        <w:t>Application for registration as a RAP.</w:t>
      </w:r>
    </w:p>
    <w:p w14:paraId="3C8E6C91" w14:textId="52F3C85D" w:rsidR="00FA3DE9" w:rsidRPr="004B7E75" w:rsidRDefault="00FA3DE9" w:rsidP="00FA3DE9">
      <w:pPr>
        <w:pStyle w:val="Caption"/>
      </w:pPr>
      <w:r w:rsidRPr="004B7E75">
        <w:t>Approved forms</w:t>
      </w:r>
    </w:p>
    <w:p w14:paraId="65536133" w14:textId="40CEA3EB" w:rsidR="00FA3DE9" w:rsidRDefault="00FA3DE9" w:rsidP="00705BA8">
      <w:pPr>
        <w:pStyle w:val="PwCNormal"/>
        <w:spacing w:before="120" w:after="120"/>
        <w:rPr>
          <w:lang w:val="en-US"/>
        </w:rPr>
      </w:pPr>
      <w:r w:rsidRPr="00A70D19">
        <w:rPr>
          <w:lang w:val="en-US"/>
        </w:rPr>
        <w:t xml:space="preserve">The </w:t>
      </w:r>
      <w:r w:rsidR="00A0475F">
        <w:rPr>
          <w:lang w:val="en-US"/>
        </w:rPr>
        <w:t xml:space="preserve">Act </w:t>
      </w:r>
      <w:r w:rsidR="001F0754">
        <w:rPr>
          <w:lang w:val="en-US"/>
        </w:rPr>
        <w:t>specify that CHMPs and ACHLMAs</w:t>
      </w:r>
      <w:r>
        <w:rPr>
          <w:lang w:val="en-US"/>
        </w:rPr>
        <w:t xml:space="preserve"> </w:t>
      </w:r>
      <w:r w:rsidR="001F0754">
        <w:rPr>
          <w:lang w:val="en-US"/>
        </w:rPr>
        <w:t>must be</w:t>
      </w:r>
      <w:r>
        <w:rPr>
          <w:lang w:val="en-US"/>
        </w:rPr>
        <w:t xml:space="preserve"> submitted in an approved form. </w:t>
      </w:r>
      <w:r w:rsidR="00A0475F">
        <w:rPr>
          <w:lang w:val="en-US"/>
        </w:rPr>
        <w:t xml:space="preserve">An approved form is a form approved by the Secretary of the Department of Premier and Cabinet for use under the Act. </w:t>
      </w:r>
      <w:r>
        <w:rPr>
          <w:lang w:val="en-US"/>
        </w:rPr>
        <w:t>An approved form provides greater detail of what must be included</w:t>
      </w:r>
      <w:r w:rsidR="001F0754">
        <w:rPr>
          <w:lang w:val="en-US"/>
        </w:rPr>
        <w:t xml:space="preserve"> in </w:t>
      </w:r>
      <w:r w:rsidR="00A0475F">
        <w:rPr>
          <w:lang w:val="en-US"/>
        </w:rPr>
        <w:t xml:space="preserve">an </w:t>
      </w:r>
      <w:r w:rsidR="001F0754">
        <w:rPr>
          <w:lang w:val="en-US"/>
        </w:rPr>
        <w:t>application or document</w:t>
      </w:r>
      <w:r w:rsidR="00A0475F">
        <w:rPr>
          <w:lang w:val="en-US"/>
        </w:rPr>
        <w:t xml:space="preserve"> in order to meet the requirements of the Act</w:t>
      </w:r>
      <w:r>
        <w:rPr>
          <w:lang w:val="en-US"/>
        </w:rPr>
        <w:t>.</w:t>
      </w:r>
    </w:p>
    <w:p w14:paraId="28996BD4" w14:textId="77777777" w:rsidR="00C90DD6" w:rsidRPr="00323457" w:rsidRDefault="00C90DD6" w:rsidP="00C90DD6">
      <w:pPr>
        <w:pStyle w:val="Caption"/>
      </w:pPr>
      <w:r w:rsidRPr="00323457">
        <w:t xml:space="preserve">Fees </w:t>
      </w:r>
    </w:p>
    <w:p w14:paraId="1B700FC9" w14:textId="2CF3824A" w:rsidR="008F27A8" w:rsidRDefault="00C90DD6" w:rsidP="00C90DD6">
      <w:pPr>
        <w:pStyle w:val="PwCNormal"/>
        <w:spacing w:before="120" w:after="120"/>
        <w:rPr>
          <w:lang w:val="en-US"/>
        </w:rPr>
      </w:pPr>
      <w:r w:rsidRPr="002709AB">
        <w:rPr>
          <w:lang w:val="en-US"/>
        </w:rPr>
        <w:t>The Regulations set fees for</w:t>
      </w:r>
      <w:r w:rsidR="008F27A8">
        <w:rPr>
          <w:lang w:val="en-US"/>
        </w:rPr>
        <w:t>:</w:t>
      </w:r>
    </w:p>
    <w:p w14:paraId="29D86413" w14:textId="35360770" w:rsidR="008F27A8" w:rsidRDefault="008F27A8" w:rsidP="008F27A8">
      <w:pPr>
        <w:pStyle w:val="ListBullet"/>
      </w:pPr>
      <w:r>
        <w:t>Cultural Heritage Permit</w:t>
      </w:r>
      <w:r w:rsidR="009A1E53">
        <w:t xml:space="preserve"> applications</w:t>
      </w:r>
      <w:r>
        <w:t xml:space="preserve"> (</w:t>
      </w:r>
      <w:r w:rsidR="009A1E53">
        <w:t xml:space="preserve">evaluated </w:t>
      </w:r>
      <w:r>
        <w:t xml:space="preserve">by </w:t>
      </w:r>
      <w:r w:rsidR="009A1E53">
        <w:t>AV</w:t>
      </w:r>
      <w:r>
        <w:t xml:space="preserve"> or </w:t>
      </w:r>
      <w:r w:rsidR="009A1E53">
        <w:t xml:space="preserve">the relevant </w:t>
      </w:r>
      <w:r>
        <w:t>RAP).</w:t>
      </w:r>
    </w:p>
    <w:p w14:paraId="6D8403BE" w14:textId="3C59BECE" w:rsidR="008F27A8" w:rsidRDefault="008F27A8" w:rsidP="008F27A8">
      <w:pPr>
        <w:pStyle w:val="ListBullet"/>
      </w:pPr>
      <w:r>
        <w:t>Preliminary Aboriginal Heritage Tests (</w:t>
      </w:r>
      <w:r w:rsidR="009A1E53">
        <w:t xml:space="preserve">evaluated </w:t>
      </w:r>
      <w:r>
        <w:t xml:space="preserve">by </w:t>
      </w:r>
      <w:r w:rsidR="009A1E53">
        <w:t>AV</w:t>
      </w:r>
      <w:r>
        <w:t>).</w:t>
      </w:r>
    </w:p>
    <w:p w14:paraId="7C907DDD" w14:textId="5C17CFE6" w:rsidR="008F27A8" w:rsidRDefault="008F27A8" w:rsidP="008F27A8">
      <w:pPr>
        <w:pStyle w:val="ListBullet"/>
      </w:pPr>
      <w:r>
        <w:t>Notices of intention to prepare a CHMP</w:t>
      </w:r>
      <w:r w:rsidR="00556900">
        <w:t>(administered by AV or the relevant RAP)</w:t>
      </w:r>
      <w:r>
        <w:t>.</w:t>
      </w:r>
    </w:p>
    <w:p w14:paraId="4E399294" w14:textId="35078766" w:rsidR="008F27A8" w:rsidRDefault="008F27A8" w:rsidP="008F27A8">
      <w:pPr>
        <w:pStyle w:val="ListBullet"/>
      </w:pPr>
      <w:r>
        <w:t xml:space="preserve">CHMP applications </w:t>
      </w:r>
      <w:r w:rsidR="009A1E53">
        <w:t xml:space="preserve">for approval </w:t>
      </w:r>
      <w:r>
        <w:t>(</w:t>
      </w:r>
      <w:r w:rsidR="009A1E53">
        <w:t xml:space="preserve">evaluated </w:t>
      </w:r>
      <w:r>
        <w:t xml:space="preserve">by </w:t>
      </w:r>
      <w:r w:rsidR="009A1E53">
        <w:t>AV or the relevant</w:t>
      </w:r>
      <w:r>
        <w:t xml:space="preserve"> RAP).</w:t>
      </w:r>
    </w:p>
    <w:p w14:paraId="11B90505" w14:textId="0B60C35E" w:rsidR="008F27A8" w:rsidRDefault="008F27A8" w:rsidP="008F27A8">
      <w:pPr>
        <w:pStyle w:val="ListBullet"/>
      </w:pPr>
      <w:r>
        <w:t>A</w:t>
      </w:r>
      <w:r w:rsidRPr="00E2345E">
        <w:t>pplications for approval of amendment to</w:t>
      </w:r>
      <w:r w:rsidR="00376FF5">
        <w:t xml:space="preserve"> an</w:t>
      </w:r>
      <w:r w:rsidRPr="00E2345E">
        <w:t xml:space="preserve"> approved </w:t>
      </w:r>
      <w:r>
        <w:t>CHMP (</w:t>
      </w:r>
      <w:r w:rsidR="00376FF5">
        <w:t>evaluated by AV or the relevant RAP</w:t>
      </w:r>
      <w:r>
        <w:t>).</w:t>
      </w:r>
    </w:p>
    <w:p w14:paraId="02024EB6" w14:textId="3C221E41" w:rsidR="008F27A8" w:rsidRDefault="008F27A8" w:rsidP="008F27A8">
      <w:pPr>
        <w:pStyle w:val="ListBullet"/>
      </w:pPr>
      <w:r>
        <w:t xml:space="preserve">Access to the </w:t>
      </w:r>
      <w:r w:rsidR="00556900">
        <w:t xml:space="preserve">Victorian </w:t>
      </w:r>
      <w:r>
        <w:t xml:space="preserve">Aboriginal Heritage Register </w:t>
      </w:r>
      <w:r w:rsidR="00556900">
        <w:t xml:space="preserve">(VAHR) </w:t>
      </w:r>
      <w:r>
        <w:t>(</w:t>
      </w:r>
      <w:r w:rsidR="00556900">
        <w:t xml:space="preserve"> </w:t>
      </w:r>
      <w:r w:rsidR="00A0475F">
        <w:t>administered</w:t>
      </w:r>
      <w:r w:rsidR="00556900">
        <w:t xml:space="preserve"> </w:t>
      </w:r>
      <w:r>
        <w:t>by the Department).</w:t>
      </w:r>
    </w:p>
    <w:p w14:paraId="4C2B07D5" w14:textId="14790AA7" w:rsidR="008F27A8" w:rsidRPr="008F27A8" w:rsidRDefault="008F27A8" w:rsidP="008F27A8">
      <w:pPr>
        <w:pStyle w:val="ListBullet"/>
      </w:pPr>
      <w:r>
        <w:t xml:space="preserve">Application to the Secretary for advice on whether a record exists on the </w:t>
      </w:r>
      <w:r w:rsidR="00556900">
        <w:t xml:space="preserve">VAHR  </w:t>
      </w:r>
      <w:r>
        <w:t>(</w:t>
      </w:r>
      <w:r w:rsidR="00556900">
        <w:t xml:space="preserve">administered </w:t>
      </w:r>
      <w:r>
        <w:t>by the Department).</w:t>
      </w:r>
    </w:p>
    <w:p w14:paraId="55909D28" w14:textId="77777777" w:rsidR="00476CCE" w:rsidRDefault="00476CCE" w:rsidP="00476CCE">
      <w:pPr>
        <w:pStyle w:val="Heading6"/>
        <w:spacing w:before="360" w:after="240" w:line="380" w:lineRule="atLeast"/>
      </w:pPr>
      <w:r>
        <w:t>Reviews and reforms</w:t>
      </w:r>
    </w:p>
    <w:p w14:paraId="62DE5304" w14:textId="06BAAF41" w:rsidR="00677865" w:rsidRDefault="00677865" w:rsidP="00677865">
      <w:pPr>
        <w:pStyle w:val="PwCNormal"/>
      </w:pPr>
      <w:r>
        <w:t>There have been a number of reviews and reforms of the legislative framework over the past decade, including:</w:t>
      </w:r>
    </w:p>
    <w:p w14:paraId="39E5072A" w14:textId="5374F6C7" w:rsidR="00677865" w:rsidRDefault="00677865" w:rsidP="00677865">
      <w:pPr>
        <w:pStyle w:val="ListBullet"/>
      </w:pPr>
      <w:r>
        <w:t>the initial review of the Regulations</w:t>
      </w:r>
      <w:r w:rsidR="00A0475F">
        <w:t xml:space="preserve"> in 2008</w:t>
      </w:r>
      <w:r>
        <w:t>, including the previous RIS</w:t>
      </w:r>
    </w:p>
    <w:p w14:paraId="6D2ACE92" w14:textId="7B45F48E" w:rsidR="00677865" w:rsidRDefault="00677865" w:rsidP="00677865">
      <w:pPr>
        <w:pStyle w:val="ListBullet"/>
      </w:pPr>
      <w:r>
        <w:t>the 2012 Parliamentary Inquiry into the Establishment and Effectiveness of Registered Aboriginal Parties</w:t>
      </w:r>
    </w:p>
    <w:p w14:paraId="64FC3087" w14:textId="630396F2" w:rsidR="00677865" w:rsidRDefault="00677865" w:rsidP="00677865">
      <w:pPr>
        <w:pStyle w:val="ListBullet"/>
      </w:pPr>
      <w:r>
        <w:t xml:space="preserve">the 2011-12 review of the </w:t>
      </w:r>
      <w:r w:rsidRPr="00705BA8">
        <w:rPr>
          <w:i/>
        </w:rPr>
        <w:t>Aboriginal Heritage Act 2006</w:t>
      </w:r>
    </w:p>
    <w:p w14:paraId="024F74DD" w14:textId="51AD12AE" w:rsidR="00677865" w:rsidRDefault="00677865" w:rsidP="00677865">
      <w:pPr>
        <w:pStyle w:val="ListBullet"/>
      </w:pPr>
      <w:r>
        <w:t>the 2015-16 and 2016-17 Victorian Government budgets</w:t>
      </w:r>
      <w:r w:rsidR="00E37BC4">
        <w:t xml:space="preserve"> (Victorian Aboriginal Cultural Heritage Management Strategy)</w:t>
      </w:r>
    </w:p>
    <w:p w14:paraId="29BA1920" w14:textId="77B28356" w:rsidR="00677865" w:rsidRDefault="00677865" w:rsidP="00677865">
      <w:pPr>
        <w:pStyle w:val="ListBullet"/>
      </w:pPr>
      <w:r>
        <w:t>the 2017 review of the Aboriginal Heritage Regulations</w:t>
      </w:r>
      <w:r w:rsidR="00E37BC4">
        <w:t xml:space="preserve"> 2007</w:t>
      </w:r>
      <w:r>
        <w:t>.</w:t>
      </w:r>
    </w:p>
    <w:p w14:paraId="44AC5838" w14:textId="3AA28E2B" w:rsidR="00677865" w:rsidRPr="00677865" w:rsidRDefault="00677865">
      <w:pPr>
        <w:pStyle w:val="ListBullet"/>
        <w:numPr>
          <w:ilvl w:val="0"/>
          <w:numId w:val="0"/>
        </w:numPr>
      </w:pPr>
      <w:r>
        <w:t xml:space="preserve">More detail is available on these reviews and reforms is available in </w:t>
      </w:r>
      <w:r w:rsidR="008B542D">
        <w:fldChar w:fldCharType="begin"/>
      </w:r>
      <w:r w:rsidR="008B542D">
        <w:instrText xml:space="preserve"> REF _Ref505006076 \n \h </w:instrText>
      </w:r>
      <w:r w:rsidR="008B542D">
        <w:fldChar w:fldCharType="separate"/>
      </w:r>
      <w:r w:rsidR="000369A1">
        <w:t>Appendix B</w:t>
      </w:r>
      <w:r w:rsidR="008B542D">
        <w:fldChar w:fldCharType="end"/>
      </w:r>
      <w:r w:rsidR="008B542D">
        <w:t>.</w:t>
      </w:r>
    </w:p>
    <w:p w14:paraId="250D3FC2" w14:textId="77777777" w:rsidR="002A73C8" w:rsidRDefault="002A73C8" w:rsidP="002A73C8">
      <w:pPr>
        <w:pStyle w:val="Heading6"/>
        <w:spacing w:before="360" w:after="240" w:line="380" w:lineRule="atLeast"/>
      </w:pPr>
      <w:bookmarkStart w:id="35" w:name="_Ref505003759"/>
      <w:r>
        <w:t>Activit</w:t>
      </w:r>
      <w:r w:rsidR="00F15AC3">
        <w:t>y under the Act and Regulations</w:t>
      </w:r>
      <w:bookmarkEnd w:id="35"/>
    </w:p>
    <w:p w14:paraId="0853CEB8" w14:textId="75110BC8" w:rsidR="002A73C8" w:rsidRPr="00C411EA" w:rsidRDefault="002A73C8" w:rsidP="002A73C8">
      <w:pPr>
        <w:pStyle w:val="PwCNormal"/>
        <w:spacing w:before="180" w:after="180"/>
        <w:rPr>
          <w:rFonts w:asciiTheme="majorHAnsi" w:hAnsiTheme="majorHAnsi"/>
        </w:rPr>
      </w:pPr>
      <w:r w:rsidRPr="00913778">
        <w:rPr>
          <w:rFonts w:asciiTheme="majorHAnsi" w:hAnsiTheme="majorHAnsi"/>
        </w:rPr>
        <w:t>Sponsors of activities requiring a CHMP must notify the relevant local government of their intention, through a Notice of Intent</w:t>
      </w:r>
      <w:r w:rsidR="00392B48">
        <w:rPr>
          <w:rFonts w:asciiTheme="majorHAnsi" w:hAnsiTheme="majorHAnsi"/>
        </w:rPr>
        <w:t>ion</w:t>
      </w:r>
      <w:r w:rsidRPr="00913778">
        <w:rPr>
          <w:rFonts w:asciiTheme="majorHAnsi" w:hAnsiTheme="majorHAnsi"/>
        </w:rPr>
        <w:t xml:space="preserve"> to </w:t>
      </w:r>
      <w:r w:rsidR="00392B48">
        <w:rPr>
          <w:rFonts w:asciiTheme="majorHAnsi" w:hAnsiTheme="majorHAnsi"/>
        </w:rPr>
        <w:t>prepare</w:t>
      </w:r>
      <w:r w:rsidR="00392B48" w:rsidRPr="00913778">
        <w:rPr>
          <w:rFonts w:asciiTheme="majorHAnsi" w:hAnsiTheme="majorHAnsi"/>
        </w:rPr>
        <w:t xml:space="preserve"> </w:t>
      </w:r>
      <w:r w:rsidRPr="00913778">
        <w:rPr>
          <w:rFonts w:asciiTheme="majorHAnsi" w:hAnsiTheme="majorHAnsi"/>
        </w:rPr>
        <w:t>a CHMP</w:t>
      </w:r>
      <w:r w:rsidR="002B3B6D">
        <w:rPr>
          <w:rFonts w:asciiTheme="majorHAnsi" w:hAnsiTheme="majorHAnsi"/>
        </w:rPr>
        <w:t xml:space="preserve"> (NOI)</w:t>
      </w:r>
      <w:r w:rsidRPr="00913778">
        <w:rPr>
          <w:rFonts w:asciiTheme="majorHAnsi" w:hAnsiTheme="majorHAnsi"/>
        </w:rPr>
        <w:t xml:space="preserve">. </w:t>
      </w:r>
      <w:r w:rsidR="002B3B6D">
        <w:rPr>
          <w:rFonts w:asciiTheme="majorHAnsi" w:hAnsiTheme="majorHAnsi"/>
        </w:rPr>
        <w:t>NOIs</w:t>
      </w:r>
      <w:r w:rsidRPr="00913778">
        <w:rPr>
          <w:rFonts w:asciiTheme="majorHAnsi" w:hAnsiTheme="majorHAnsi"/>
        </w:rPr>
        <w:t xml:space="preserve"> provide an indication of likely subsequent CHMP </w:t>
      </w:r>
      <w:r>
        <w:rPr>
          <w:rFonts w:asciiTheme="majorHAnsi" w:hAnsiTheme="majorHAnsi"/>
        </w:rPr>
        <w:t xml:space="preserve">activity. There have been </w:t>
      </w:r>
      <w:r w:rsidR="00A25342">
        <w:rPr>
          <w:rFonts w:asciiTheme="majorHAnsi" w:hAnsiTheme="majorHAnsi"/>
        </w:rPr>
        <w:t xml:space="preserve">between 400 and </w:t>
      </w:r>
      <w:r>
        <w:rPr>
          <w:rFonts w:asciiTheme="majorHAnsi" w:hAnsiTheme="majorHAnsi"/>
        </w:rPr>
        <w:t>7</w:t>
      </w:r>
      <w:r w:rsidRPr="00913778">
        <w:rPr>
          <w:rFonts w:asciiTheme="majorHAnsi" w:hAnsiTheme="majorHAnsi"/>
        </w:rPr>
        <w:t xml:space="preserve">00 </w:t>
      </w:r>
      <w:r w:rsidR="002B3B6D">
        <w:rPr>
          <w:rFonts w:asciiTheme="majorHAnsi" w:hAnsiTheme="majorHAnsi"/>
        </w:rPr>
        <w:t>NOIs</w:t>
      </w:r>
      <w:r w:rsidRPr="00913778">
        <w:rPr>
          <w:rFonts w:asciiTheme="majorHAnsi" w:hAnsiTheme="majorHAnsi"/>
        </w:rPr>
        <w:t xml:space="preserve"> each year</w:t>
      </w:r>
      <w:r w:rsidR="00535B59">
        <w:rPr>
          <w:rFonts w:asciiTheme="majorHAnsi" w:hAnsiTheme="majorHAnsi"/>
        </w:rPr>
        <w:t xml:space="preserve"> since 2009</w:t>
      </w:r>
      <w:r w:rsidRPr="00913778">
        <w:rPr>
          <w:rFonts w:asciiTheme="majorHAnsi" w:hAnsiTheme="majorHAnsi"/>
        </w:rPr>
        <w:t xml:space="preserve"> </w:t>
      </w:r>
      <w:r w:rsidR="002B3B6D">
        <w:rPr>
          <w:rFonts w:asciiTheme="majorHAnsi" w:hAnsiTheme="majorHAnsi"/>
        </w:rPr>
        <w:t>(</w:t>
      </w:r>
      <w:r w:rsidRPr="00913778">
        <w:rPr>
          <w:rFonts w:asciiTheme="majorHAnsi" w:hAnsiTheme="majorHAnsi"/>
        </w:rPr>
        <w:t xml:space="preserve">see </w:t>
      </w:r>
      <w:r>
        <w:fldChar w:fldCharType="begin"/>
      </w:r>
      <w:r>
        <w:instrText xml:space="preserve"> REF _Ref309922522 \h  \* MERGEFORMAT </w:instrText>
      </w:r>
      <w:r>
        <w:fldChar w:fldCharType="separate"/>
      </w:r>
      <w:r w:rsidR="000369A1" w:rsidRPr="00913778">
        <w:t xml:space="preserve">Figure </w:t>
      </w:r>
      <w:r w:rsidR="000369A1">
        <w:rPr>
          <w:noProof/>
        </w:rPr>
        <w:t>3</w:t>
      </w:r>
      <w:r>
        <w:fldChar w:fldCharType="end"/>
      </w:r>
      <w:r w:rsidRPr="00913778">
        <w:rPr>
          <w:rFonts w:asciiTheme="majorHAnsi" w:hAnsiTheme="majorHAnsi"/>
        </w:rPr>
        <w:t xml:space="preserve">. </w:t>
      </w:r>
    </w:p>
    <w:p w14:paraId="122E2923" w14:textId="071A882F" w:rsidR="002A73C8" w:rsidRPr="00C411EA" w:rsidRDefault="002A73C8" w:rsidP="002A73C8">
      <w:pPr>
        <w:pStyle w:val="Caption"/>
      </w:pPr>
      <w:bookmarkStart w:id="36" w:name="_Ref309922522"/>
      <w:r w:rsidRPr="00913778">
        <w:t xml:space="preserve">Figure </w:t>
      </w:r>
      <w:r w:rsidR="00B47FE6">
        <w:fldChar w:fldCharType="begin"/>
      </w:r>
      <w:r w:rsidR="00B47FE6">
        <w:instrText xml:space="preserve"> SEQ Figure \* ARABIC </w:instrText>
      </w:r>
      <w:r w:rsidR="00B47FE6">
        <w:fldChar w:fldCharType="separate"/>
      </w:r>
      <w:r w:rsidR="000369A1">
        <w:rPr>
          <w:noProof/>
        </w:rPr>
        <w:t>3</w:t>
      </w:r>
      <w:r w:rsidR="00B47FE6">
        <w:rPr>
          <w:noProof/>
        </w:rPr>
        <w:fldChar w:fldCharType="end"/>
      </w:r>
      <w:bookmarkEnd w:id="36"/>
      <w:r w:rsidRPr="00913778">
        <w:t>:</w:t>
      </w:r>
      <w:r>
        <w:t xml:space="preserve"> Number of Notices of Intent</w:t>
      </w:r>
      <w:r w:rsidR="00392B48">
        <w:t>ion</w:t>
      </w:r>
      <w:r>
        <w:t xml:space="preserve"> to </w:t>
      </w:r>
      <w:r w:rsidR="00392B48">
        <w:t xml:space="preserve">prepare </w:t>
      </w:r>
      <w:r>
        <w:t>a CHMP (2009-2016</w:t>
      </w:r>
      <w:r w:rsidRPr="00913778">
        <w:t>)</w:t>
      </w:r>
      <w:r w:rsidRPr="00913778">
        <w:rPr>
          <w:sz w:val="16"/>
        </w:rPr>
        <w:t xml:space="preserve"> </w:t>
      </w:r>
    </w:p>
    <w:p w14:paraId="0FECD159" w14:textId="72FD3A65" w:rsidR="002A73C8" w:rsidRPr="00C411EA" w:rsidRDefault="00AD06EF" w:rsidP="002A73C8">
      <w:pPr>
        <w:pStyle w:val="PwCNormal"/>
        <w:spacing w:before="180" w:after="0"/>
        <w:rPr>
          <w:rFonts w:asciiTheme="majorHAnsi" w:hAnsiTheme="majorHAnsi"/>
        </w:rPr>
      </w:pPr>
      <w:r>
        <w:rPr>
          <w:rFonts w:asciiTheme="majorHAnsi" w:hAnsiTheme="majorHAnsi"/>
          <w:noProof/>
          <w:lang w:eastAsia="en-AU"/>
        </w:rPr>
        <w:drawing>
          <wp:inline distT="0" distB="0" distL="0" distR="0" wp14:anchorId="4CD2314A" wp14:editId="16AC4ACD">
            <wp:extent cx="5233798" cy="2522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7228" cy="2528692"/>
                    </a:xfrm>
                    <a:prstGeom prst="rect">
                      <a:avLst/>
                    </a:prstGeom>
                    <a:noFill/>
                  </pic:spPr>
                </pic:pic>
              </a:graphicData>
            </a:graphic>
          </wp:inline>
        </w:drawing>
      </w:r>
    </w:p>
    <w:p w14:paraId="0B280E90" w14:textId="1FE719F7" w:rsidR="002A73C8" w:rsidRPr="001400A1" w:rsidRDefault="002A73C8" w:rsidP="002A73C8">
      <w:pPr>
        <w:pStyle w:val="Sources"/>
        <w:rPr>
          <w:rFonts w:asciiTheme="majorHAnsi" w:hAnsiTheme="majorHAnsi"/>
        </w:rPr>
      </w:pPr>
      <w:r>
        <w:rPr>
          <w:rFonts w:asciiTheme="majorHAnsi" w:hAnsiTheme="majorHAnsi"/>
        </w:rPr>
        <w:t xml:space="preserve"> Source: Data provided by A</w:t>
      </w:r>
      <w:r w:rsidRPr="001400A1">
        <w:rPr>
          <w:rFonts w:asciiTheme="majorHAnsi" w:hAnsiTheme="majorHAnsi"/>
        </w:rPr>
        <w:t xml:space="preserve">V, </w:t>
      </w:r>
      <w:r>
        <w:rPr>
          <w:rFonts w:asciiTheme="majorHAnsi" w:hAnsiTheme="majorHAnsi"/>
        </w:rPr>
        <w:t>November</w:t>
      </w:r>
      <w:r w:rsidRPr="001400A1">
        <w:rPr>
          <w:rFonts w:asciiTheme="majorHAnsi" w:hAnsiTheme="majorHAnsi"/>
        </w:rPr>
        <w:t xml:space="preserve"> 201</w:t>
      </w:r>
      <w:r>
        <w:rPr>
          <w:rFonts w:asciiTheme="majorHAnsi" w:hAnsiTheme="majorHAnsi"/>
        </w:rPr>
        <w:t>7</w:t>
      </w:r>
      <w:r w:rsidRPr="001400A1">
        <w:rPr>
          <w:rFonts w:asciiTheme="majorHAnsi" w:hAnsiTheme="majorHAnsi"/>
        </w:rPr>
        <w:t xml:space="preserve"> </w:t>
      </w:r>
    </w:p>
    <w:p w14:paraId="1AC36BE1" w14:textId="7DEC272B" w:rsidR="002A73C8" w:rsidRPr="00C411EA" w:rsidRDefault="008A40E6" w:rsidP="002A73C8">
      <w:pPr>
        <w:pStyle w:val="PwCNormal"/>
        <w:numPr>
          <w:ilvl w:val="0"/>
          <w:numId w:val="0"/>
        </w:numPr>
      </w:pPr>
      <w:r>
        <w:rPr>
          <w:rFonts w:asciiTheme="majorHAnsi" w:hAnsiTheme="majorHAnsi"/>
        </w:rPr>
        <w:t>The rise in NOIs in 2015-2016 is as a result of a rise in development activity, in particular subdivisions, construction of dwellings and utility installation.</w:t>
      </w:r>
      <w:r>
        <w:rPr>
          <w:rStyle w:val="FootnoteReference"/>
          <w:rFonts w:asciiTheme="majorHAnsi" w:hAnsiTheme="majorHAnsi"/>
        </w:rPr>
        <w:footnoteReference w:id="21"/>
      </w:r>
      <w:r>
        <w:rPr>
          <w:rFonts w:asciiTheme="majorHAnsi" w:hAnsiTheme="majorHAnsi"/>
        </w:rPr>
        <w:t xml:space="preserve"> </w:t>
      </w:r>
      <w:r w:rsidR="000C035E">
        <w:rPr>
          <w:rFonts w:asciiTheme="majorHAnsi" w:hAnsiTheme="majorHAnsi"/>
        </w:rPr>
        <w:t xml:space="preserve">Trend data from 2017 indicate that some the numbers have </w:t>
      </w:r>
      <w:r w:rsidR="002B3B6D">
        <w:rPr>
          <w:rFonts w:asciiTheme="majorHAnsi" w:hAnsiTheme="majorHAnsi"/>
        </w:rPr>
        <w:t>plateaued</w:t>
      </w:r>
      <w:r w:rsidR="000C035E">
        <w:rPr>
          <w:rFonts w:asciiTheme="majorHAnsi" w:hAnsiTheme="majorHAnsi"/>
        </w:rPr>
        <w:t xml:space="preserve"> somewhat in 2017. </w:t>
      </w:r>
      <w:r w:rsidR="002A73C8" w:rsidRPr="00913778">
        <w:rPr>
          <w:rFonts w:asciiTheme="majorHAnsi" w:hAnsiTheme="majorHAnsi"/>
        </w:rPr>
        <w:t xml:space="preserve">The </w:t>
      </w:r>
      <w:r w:rsidR="002B3B6D">
        <w:rPr>
          <w:rFonts w:asciiTheme="majorHAnsi" w:hAnsiTheme="majorHAnsi"/>
        </w:rPr>
        <w:t>local government areas</w:t>
      </w:r>
      <w:r w:rsidR="002B3B6D" w:rsidRPr="00913778">
        <w:rPr>
          <w:rFonts w:asciiTheme="majorHAnsi" w:hAnsiTheme="majorHAnsi"/>
        </w:rPr>
        <w:t xml:space="preserve"> </w:t>
      </w:r>
      <w:r w:rsidR="002A73C8" w:rsidRPr="00913778">
        <w:rPr>
          <w:rFonts w:asciiTheme="majorHAnsi" w:hAnsiTheme="majorHAnsi"/>
        </w:rPr>
        <w:t xml:space="preserve">with the highest number of </w:t>
      </w:r>
      <w:r w:rsidR="002B3B6D">
        <w:rPr>
          <w:rFonts w:asciiTheme="majorHAnsi" w:hAnsiTheme="majorHAnsi"/>
        </w:rPr>
        <w:t xml:space="preserve">NOIs </w:t>
      </w:r>
      <w:r w:rsidR="002A73C8" w:rsidRPr="00913778">
        <w:rPr>
          <w:rFonts w:asciiTheme="majorHAnsi" w:hAnsiTheme="majorHAnsi"/>
        </w:rPr>
        <w:t>are generally located in the growth corridors of Victoria, as well as in East Gippsland Shire.</w:t>
      </w:r>
      <w:r w:rsidR="00EA733F">
        <w:rPr>
          <w:rStyle w:val="FootnoteReference"/>
        </w:rPr>
        <w:footnoteReference w:id="22"/>
      </w:r>
      <w:r w:rsidR="000C035E">
        <w:rPr>
          <w:rFonts w:asciiTheme="majorHAnsi" w:hAnsiTheme="majorHAnsi"/>
        </w:rPr>
        <w:t xml:space="preserve"> </w:t>
      </w:r>
    </w:p>
    <w:p w14:paraId="560E47BE" w14:textId="61388AB4" w:rsidR="008E24A1" w:rsidRPr="00C411EA" w:rsidRDefault="008E24A1" w:rsidP="008E24A1">
      <w:pPr>
        <w:pStyle w:val="Caption"/>
      </w:pPr>
      <w:r>
        <w:t xml:space="preserve">Cultural </w:t>
      </w:r>
      <w:r w:rsidR="00A25342">
        <w:t>H</w:t>
      </w:r>
      <w:r>
        <w:t>eritage Management Plans</w:t>
      </w:r>
    </w:p>
    <w:p w14:paraId="7CE315EB" w14:textId="0C5D243A" w:rsidR="008E24A1" w:rsidRDefault="008E24A1" w:rsidP="008E24A1">
      <w:pPr>
        <w:pStyle w:val="PwCNormal"/>
        <w:spacing w:before="180" w:after="180"/>
        <w:rPr>
          <w:rFonts w:asciiTheme="majorHAnsi" w:hAnsiTheme="majorHAnsi"/>
        </w:rPr>
      </w:pPr>
      <w:r w:rsidRPr="00913778">
        <w:rPr>
          <w:rFonts w:asciiTheme="majorHAnsi" w:hAnsiTheme="majorHAnsi"/>
        </w:rPr>
        <w:t xml:space="preserve">Under the </w:t>
      </w:r>
      <w:r w:rsidR="00105850">
        <w:rPr>
          <w:rFonts w:asciiTheme="majorHAnsi" w:hAnsiTheme="majorHAnsi"/>
        </w:rPr>
        <w:t>final</w:t>
      </w:r>
      <w:r w:rsidR="00105850" w:rsidRPr="00913778">
        <w:rPr>
          <w:rFonts w:asciiTheme="majorHAnsi" w:hAnsiTheme="majorHAnsi"/>
        </w:rPr>
        <w:t xml:space="preserve"> </w:t>
      </w:r>
      <w:r w:rsidRPr="00913778">
        <w:rPr>
          <w:rFonts w:asciiTheme="majorHAnsi" w:hAnsiTheme="majorHAnsi"/>
        </w:rPr>
        <w:t xml:space="preserve">year of operation </w:t>
      </w:r>
      <w:r w:rsidR="00616935">
        <w:rPr>
          <w:rFonts w:asciiTheme="majorHAnsi" w:hAnsiTheme="majorHAnsi"/>
        </w:rPr>
        <w:t xml:space="preserve">of </w:t>
      </w:r>
      <w:r w:rsidRPr="00913778">
        <w:rPr>
          <w:rFonts w:asciiTheme="majorHAnsi" w:hAnsiTheme="majorHAnsi"/>
        </w:rPr>
        <w:t>the previous l</w:t>
      </w:r>
      <w:r w:rsidR="00EB3EC1">
        <w:rPr>
          <w:rFonts w:asciiTheme="majorHAnsi" w:hAnsiTheme="majorHAnsi"/>
        </w:rPr>
        <w:t>egislative framework in 2006, A</w:t>
      </w:r>
      <w:r w:rsidRPr="00913778">
        <w:rPr>
          <w:rFonts w:asciiTheme="majorHAnsi" w:hAnsiTheme="majorHAnsi"/>
        </w:rPr>
        <w:t xml:space="preserve">V received 380 Aboriginal cultural heritage assessments (precursors to what are now known as CHMPs) in relation to approximately 50,000 activities requiring planning permits </w:t>
      </w:r>
      <w:r w:rsidR="00105850">
        <w:rPr>
          <w:rFonts w:asciiTheme="majorHAnsi" w:hAnsiTheme="majorHAnsi"/>
        </w:rPr>
        <w:t>under</w:t>
      </w:r>
      <w:r w:rsidR="00105850" w:rsidRPr="00913778">
        <w:rPr>
          <w:rFonts w:asciiTheme="majorHAnsi" w:hAnsiTheme="majorHAnsi"/>
        </w:rPr>
        <w:t xml:space="preserve"> </w:t>
      </w:r>
      <w:r w:rsidRPr="00913778">
        <w:rPr>
          <w:rFonts w:asciiTheme="majorHAnsi" w:hAnsiTheme="majorHAnsi"/>
        </w:rPr>
        <w:t>Victoria</w:t>
      </w:r>
      <w:r w:rsidR="00105850">
        <w:rPr>
          <w:rFonts w:asciiTheme="majorHAnsi" w:hAnsiTheme="majorHAnsi"/>
        </w:rPr>
        <w:t>n law</w:t>
      </w:r>
      <w:r w:rsidRPr="00913778">
        <w:rPr>
          <w:rFonts w:asciiTheme="majorHAnsi" w:hAnsiTheme="majorHAnsi"/>
        </w:rPr>
        <w:t xml:space="preserve">. This equated to </w:t>
      </w:r>
      <w:r>
        <w:rPr>
          <w:rFonts w:asciiTheme="majorHAnsi" w:hAnsiTheme="majorHAnsi"/>
        </w:rPr>
        <w:t>less than 1</w:t>
      </w:r>
      <w:r w:rsidRPr="00913778">
        <w:rPr>
          <w:rFonts w:asciiTheme="majorHAnsi" w:hAnsiTheme="majorHAnsi"/>
        </w:rPr>
        <w:t xml:space="preserve"> per cent of such activities.</w:t>
      </w:r>
      <w:r w:rsidRPr="00913778">
        <w:rPr>
          <w:rStyle w:val="FootnoteReference"/>
          <w:rFonts w:asciiTheme="majorHAnsi" w:hAnsiTheme="majorHAnsi"/>
        </w:rPr>
        <w:footnoteReference w:id="23"/>
      </w:r>
      <w:r w:rsidRPr="00913778">
        <w:rPr>
          <w:rFonts w:asciiTheme="majorHAnsi" w:hAnsiTheme="majorHAnsi"/>
        </w:rPr>
        <w:t xml:space="preserve"> </w:t>
      </w:r>
      <w:r w:rsidR="00187AED">
        <w:rPr>
          <w:rFonts w:asciiTheme="majorHAnsi" w:hAnsiTheme="majorHAnsi"/>
        </w:rPr>
        <w:t>Since then</w:t>
      </w:r>
      <w:r w:rsidRPr="00913778">
        <w:rPr>
          <w:rFonts w:asciiTheme="majorHAnsi" w:hAnsiTheme="majorHAnsi"/>
        </w:rPr>
        <w:t xml:space="preserve">, </w:t>
      </w:r>
      <w:r w:rsidR="00187AED">
        <w:rPr>
          <w:rFonts w:asciiTheme="majorHAnsi" w:hAnsiTheme="majorHAnsi"/>
        </w:rPr>
        <w:t>the number of CHMPs approved each year has</w:t>
      </w:r>
      <w:r w:rsidRPr="00913778">
        <w:rPr>
          <w:rFonts w:asciiTheme="majorHAnsi" w:hAnsiTheme="majorHAnsi"/>
        </w:rPr>
        <w:t xml:space="preserve"> risen from 156 in 2008 to 389 in 2011,</w:t>
      </w:r>
      <w:r w:rsidR="00187AED">
        <w:rPr>
          <w:rFonts w:asciiTheme="majorHAnsi" w:hAnsiTheme="majorHAnsi"/>
        </w:rPr>
        <w:t xml:space="preserve"> and 631 in 2016, as shown in</w:t>
      </w:r>
      <w:r w:rsidRPr="00913778">
        <w:rPr>
          <w:rFonts w:asciiTheme="majorHAnsi" w:hAnsiTheme="majorHAnsi"/>
        </w:rPr>
        <w:t xml:space="preserve"> </w:t>
      </w:r>
      <w:r>
        <w:fldChar w:fldCharType="begin"/>
      </w:r>
      <w:r>
        <w:instrText xml:space="preserve"> REF _Ref312317069 \h  \* MERGEFORMAT </w:instrText>
      </w:r>
      <w:r>
        <w:fldChar w:fldCharType="separate"/>
      </w:r>
      <w:r w:rsidR="000369A1" w:rsidRPr="00C35804">
        <w:t xml:space="preserve">Figure </w:t>
      </w:r>
      <w:r w:rsidR="000369A1" w:rsidRPr="00C35804">
        <w:rPr>
          <w:noProof/>
        </w:rPr>
        <w:t>4</w:t>
      </w:r>
      <w:r>
        <w:fldChar w:fldCharType="end"/>
      </w:r>
      <w:r w:rsidR="001910BF">
        <w:t>, compared with approximately 31,000</w:t>
      </w:r>
      <w:r w:rsidR="006736F5">
        <w:t xml:space="preserve"> </w:t>
      </w:r>
      <w:r w:rsidR="001910BF">
        <w:t>applications for planning permits per year</w:t>
      </w:r>
      <w:r w:rsidR="006736F5">
        <w:t xml:space="preserve"> currently</w:t>
      </w:r>
      <w:r w:rsidR="00CD065E">
        <w:t>, down from around 50,000 for financial year 2015</w:t>
      </w:r>
      <w:r w:rsidRPr="00913778">
        <w:rPr>
          <w:rFonts w:asciiTheme="majorHAnsi" w:hAnsiTheme="majorHAnsi"/>
        </w:rPr>
        <w:t>.</w:t>
      </w:r>
      <w:r w:rsidR="00CD065E">
        <w:rPr>
          <w:rStyle w:val="FootnoteReference"/>
          <w:rFonts w:asciiTheme="majorHAnsi" w:hAnsiTheme="majorHAnsi"/>
        </w:rPr>
        <w:footnoteReference w:id="24"/>
      </w:r>
      <w:r w:rsidR="00CD065E">
        <w:rPr>
          <w:rFonts w:asciiTheme="majorHAnsi" w:hAnsiTheme="majorHAnsi"/>
        </w:rPr>
        <w:t xml:space="preserve"> </w:t>
      </w:r>
      <w:r w:rsidR="001910BF">
        <w:rPr>
          <w:rStyle w:val="FootnoteReference"/>
          <w:rFonts w:asciiTheme="majorHAnsi" w:hAnsiTheme="majorHAnsi"/>
        </w:rPr>
        <w:footnoteReference w:id="25"/>
      </w:r>
      <w:r w:rsidR="000A3FD9">
        <w:rPr>
          <w:rFonts w:asciiTheme="majorHAnsi" w:hAnsiTheme="majorHAnsi"/>
        </w:rPr>
        <w:t xml:space="preserve"> Approximately </w:t>
      </w:r>
      <w:r w:rsidR="0082383C">
        <w:rPr>
          <w:rFonts w:asciiTheme="majorHAnsi" w:hAnsiTheme="majorHAnsi"/>
        </w:rPr>
        <w:t>92 per cent of CHMPs evaluated by AV and RAPs are approved.</w:t>
      </w:r>
      <w:r w:rsidR="0082383C">
        <w:rPr>
          <w:rStyle w:val="FootnoteReference"/>
          <w:rFonts w:asciiTheme="majorHAnsi" w:hAnsiTheme="majorHAnsi"/>
        </w:rPr>
        <w:footnoteReference w:id="26"/>
      </w:r>
    </w:p>
    <w:p w14:paraId="2ECCC6AB" w14:textId="125B2BC0" w:rsidR="008E24A1" w:rsidRPr="00F15AC3" w:rsidRDefault="008E24A1" w:rsidP="008E24A1">
      <w:pPr>
        <w:pStyle w:val="PwCNormal"/>
        <w:rPr>
          <w:b/>
          <w:color w:val="A32020" w:themeColor="text2"/>
        </w:rPr>
      </w:pPr>
      <w:bookmarkStart w:id="37" w:name="_Ref312317069"/>
      <w:r w:rsidRPr="00F15AC3">
        <w:rPr>
          <w:b/>
          <w:color w:val="A32020" w:themeColor="text2"/>
        </w:rPr>
        <w:t xml:space="preserve">Figure </w:t>
      </w:r>
      <w:r w:rsidR="00264496" w:rsidRPr="00F15AC3">
        <w:rPr>
          <w:b/>
          <w:color w:val="A32020" w:themeColor="text2"/>
        </w:rPr>
        <w:fldChar w:fldCharType="begin"/>
      </w:r>
      <w:r w:rsidR="00264496" w:rsidRPr="00F15AC3">
        <w:rPr>
          <w:b/>
          <w:color w:val="A32020" w:themeColor="text2"/>
        </w:rPr>
        <w:instrText xml:space="preserve"> SEQ Figure \* ARABIC </w:instrText>
      </w:r>
      <w:r w:rsidR="00264496" w:rsidRPr="00F15AC3">
        <w:rPr>
          <w:b/>
          <w:color w:val="A32020" w:themeColor="text2"/>
        </w:rPr>
        <w:fldChar w:fldCharType="separate"/>
      </w:r>
      <w:r w:rsidR="000369A1">
        <w:rPr>
          <w:b/>
          <w:noProof/>
          <w:color w:val="A32020" w:themeColor="text2"/>
        </w:rPr>
        <w:t>4</w:t>
      </w:r>
      <w:r w:rsidR="00264496" w:rsidRPr="00F15AC3">
        <w:rPr>
          <w:b/>
          <w:noProof/>
          <w:color w:val="A32020" w:themeColor="text2"/>
        </w:rPr>
        <w:fldChar w:fldCharType="end"/>
      </w:r>
      <w:bookmarkEnd w:id="37"/>
      <w:r w:rsidRPr="00F15AC3">
        <w:rPr>
          <w:b/>
          <w:color w:val="A32020" w:themeColor="text2"/>
        </w:rPr>
        <w:t>: Number of CHMPs approved (2009-2016)</w:t>
      </w:r>
    </w:p>
    <w:p w14:paraId="00EE4FFD" w14:textId="75EA115B" w:rsidR="008E24A1" w:rsidRPr="00C411EA" w:rsidRDefault="00AD06EF" w:rsidP="008E24A1">
      <w:pPr>
        <w:pStyle w:val="PwCNormal"/>
        <w:rPr>
          <w:rFonts w:asciiTheme="majorHAnsi" w:hAnsiTheme="majorHAnsi"/>
        </w:rPr>
      </w:pPr>
      <w:r>
        <w:rPr>
          <w:noProof/>
          <w:snapToGrid/>
          <w:lang w:eastAsia="en-AU"/>
        </w:rPr>
        <w:drawing>
          <wp:inline distT="0" distB="0" distL="0" distR="0" wp14:anchorId="61C74C67" wp14:editId="56821162">
            <wp:extent cx="4572000" cy="3139440"/>
            <wp:effectExtent l="0" t="0" r="0" b="3810"/>
            <wp:docPr id="452" name="Chart 4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7F436C" w14:textId="77777777" w:rsidR="008E24A1" w:rsidRPr="008E24A1" w:rsidRDefault="008E24A1" w:rsidP="008E24A1">
      <w:pPr>
        <w:pStyle w:val="Sources"/>
        <w:rPr>
          <w:rFonts w:asciiTheme="majorHAnsi" w:hAnsiTheme="majorHAnsi"/>
        </w:rPr>
      </w:pPr>
      <w:r>
        <w:rPr>
          <w:rFonts w:asciiTheme="majorHAnsi" w:hAnsiTheme="majorHAnsi"/>
        </w:rPr>
        <w:t>Source: Data provided by A</w:t>
      </w:r>
      <w:r w:rsidRPr="001400A1">
        <w:rPr>
          <w:rFonts w:asciiTheme="majorHAnsi" w:hAnsiTheme="majorHAnsi"/>
        </w:rPr>
        <w:t xml:space="preserve">V, </w:t>
      </w:r>
      <w:r>
        <w:rPr>
          <w:rFonts w:asciiTheme="majorHAnsi" w:hAnsiTheme="majorHAnsi"/>
        </w:rPr>
        <w:t>November</w:t>
      </w:r>
      <w:r w:rsidRPr="001400A1">
        <w:rPr>
          <w:rFonts w:asciiTheme="majorHAnsi" w:hAnsiTheme="majorHAnsi"/>
        </w:rPr>
        <w:t xml:space="preserve"> 201</w:t>
      </w:r>
      <w:r>
        <w:rPr>
          <w:rFonts w:asciiTheme="majorHAnsi" w:hAnsiTheme="majorHAnsi"/>
        </w:rPr>
        <w:t>7</w:t>
      </w:r>
      <w:r w:rsidRPr="001400A1">
        <w:rPr>
          <w:rFonts w:asciiTheme="majorHAnsi" w:hAnsiTheme="majorHAnsi"/>
        </w:rPr>
        <w:t xml:space="preserve"> </w:t>
      </w:r>
    </w:p>
    <w:p w14:paraId="38F5BC90" w14:textId="75A4EB4F" w:rsidR="00FC048A" w:rsidRDefault="008E24A1" w:rsidP="00705BA8">
      <w:pPr>
        <w:pStyle w:val="PwCNormal"/>
      </w:pPr>
      <w:r w:rsidRPr="00913778">
        <w:t xml:space="preserve">As shown in </w:t>
      </w:r>
      <w:r>
        <w:fldChar w:fldCharType="begin"/>
      </w:r>
      <w:r>
        <w:instrText xml:space="preserve"> REF _Ref309922602 \h  \* MERGEFORMAT </w:instrText>
      </w:r>
      <w:r>
        <w:fldChar w:fldCharType="separate"/>
      </w:r>
      <w:r w:rsidR="000369A1" w:rsidRPr="00913778">
        <w:t xml:space="preserve">Figure </w:t>
      </w:r>
      <w:r w:rsidR="000369A1">
        <w:rPr>
          <w:noProof/>
        </w:rPr>
        <w:t>5</w:t>
      </w:r>
      <w:r>
        <w:fldChar w:fldCharType="end"/>
      </w:r>
      <w:r w:rsidRPr="00913778">
        <w:t xml:space="preserve">, from </w:t>
      </w:r>
      <w:r w:rsidR="00337BE0">
        <w:t>2012 to 2017</w:t>
      </w:r>
      <w:r w:rsidRPr="00913778">
        <w:t>, 8</w:t>
      </w:r>
      <w:r w:rsidR="00337BE0">
        <w:t>0</w:t>
      </w:r>
      <w:r w:rsidRPr="00913778">
        <w:t xml:space="preserve"> per cent of </w:t>
      </w:r>
      <w:r w:rsidR="00337BE0">
        <w:t xml:space="preserve">lodged CHMPs </w:t>
      </w:r>
      <w:r w:rsidR="00A25342">
        <w:t xml:space="preserve">included a </w:t>
      </w:r>
      <w:r w:rsidR="00337BE0">
        <w:t>complex</w:t>
      </w:r>
      <w:r w:rsidR="00A25342">
        <w:t xml:space="preserve"> assessment</w:t>
      </w:r>
      <w:r w:rsidR="00337BE0">
        <w:t>, 14</w:t>
      </w:r>
      <w:r w:rsidRPr="00913778">
        <w:t xml:space="preserve"> per cent </w:t>
      </w:r>
      <w:r w:rsidR="00A25342">
        <w:t xml:space="preserve">included </w:t>
      </w:r>
      <w:r w:rsidR="00CC3EFE">
        <w:t xml:space="preserve">only </w:t>
      </w:r>
      <w:r w:rsidR="00A25342">
        <w:t xml:space="preserve">a </w:t>
      </w:r>
      <w:r w:rsidRPr="00913778">
        <w:t>standard</w:t>
      </w:r>
      <w:r w:rsidR="00A25342">
        <w:t xml:space="preserve"> assessment</w:t>
      </w:r>
      <w:r w:rsidRPr="00913778">
        <w:t xml:space="preserve"> and </w:t>
      </w:r>
      <w:r w:rsidR="00337BE0">
        <w:t>6</w:t>
      </w:r>
      <w:r w:rsidRPr="00913778">
        <w:t xml:space="preserve"> per cent </w:t>
      </w:r>
      <w:r w:rsidR="00A25342">
        <w:t xml:space="preserve">included only a </w:t>
      </w:r>
      <w:r w:rsidRPr="00913778">
        <w:t>desktop</w:t>
      </w:r>
      <w:r w:rsidR="00A25342">
        <w:t xml:space="preserve"> assessment</w:t>
      </w:r>
      <w:r w:rsidRPr="00913778">
        <w:t>.</w:t>
      </w:r>
      <w:r w:rsidR="0082383C">
        <w:t xml:space="preserve"> </w:t>
      </w:r>
    </w:p>
    <w:p w14:paraId="7B599F01" w14:textId="042ABFED" w:rsidR="008E24A1" w:rsidRPr="00C411EA" w:rsidRDefault="008E24A1" w:rsidP="008E24A1">
      <w:pPr>
        <w:pStyle w:val="Caption"/>
      </w:pPr>
      <w:bookmarkStart w:id="38" w:name="_Ref309922602"/>
      <w:r w:rsidRPr="00913778">
        <w:t xml:space="preserve">Figure </w:t>
      </w:r>
      <w:r w:rsidR="00B47FE6">
        <w:fldChar w:fldCharType="begin"/>
      </w:r>
      <w:r w:rsidR="00B47FE6">
        <w:instrText xml:space="preserve"> SEQ Figure \* ARABIC </w:instrText>
      </w:r>
      <w:r w:rsidR="00B47FE6">
        <w:fldChar w:fldCharType="separate"/>
      </w:r>
      <w:r w:rsidR="000369A1">
        <w:rPr>
          <w:noProof/>
        </w:rPr>
        <w:t>5</w:t>
      </w:r>
      <w:r w:rsidR="00B47FE6">
        <w:rPr>
          <w:noProof/>
        </w:rPr>
        <w:fldChar w:fldCharType="end"/>
      </w:r>
      <w:bookmarkEnd w:id="38"/>
      <w:r w:rsidRPr="00913778">
        <w:t xml:space="preserve">: Type of </w:t>
      </w:r>
      <w:r w:rsidR="00337BE0">
        <w:t>lodged</w:t>
      </w:r>
      <w:r w:rsidRPr="00913778">
        <w:t xml:space="preserve"> CHMPs (</w:t>
      </w:r>
      <w:r>
        <w:t>2</w:t>
      </w:r>
      <w:r w:rsidR="00337BE0">
        <w:t>012</w:t>
      </w:r>
      <w:r>
        <w:t>-2017</w:t>
      </w:r>
      <w:r w:rsidRPr="00913778">
        <w:t xml:space="preserve">) </w:t>
      </w:r>
    </w:p>
    <w:p w14:paraId="3835E5BF" w14:textId="62E882ED" w:rsidR="008E24A1" w:rsidRPr="00C411EA" w:rsidRDefault="00A41B06" w:rsidP="008E24A1">
      <w:pPr>
        <w:pStyle w:val="PwCNormal"/>
        <w:numPr>
          <w:ilvl w:val="0"/>
          <w:numId w:val="0"/>
        </w:numPr>
        <w:spacing w:after="0"/>
        <w:rPr>
          <w:rFonts w:asciiTheme="majorHAnsi" w:hAnsiTheme="majorHAnsi"/>
        </w:rPr>
      </w:pPr>
      <w:r>
        <w:rPr>
          <w:rFonts w:asciiTheme="majorHAnsi" w:hAnsiTheme="majorHAnsi"/>
          <w:noProof/>
          <w:lang w:eastAsia="en-AU"/>
        </w:rPr>
        <w:drawing>
          <wp:inline distT="0" distB="0" distL="0" distR="0" wp14:anchorId="1769A7DF" wp14:editId="6E022919">
            <wp:extent cx="3408845" cy="2461260"/>
            <wp:effectExtent l="0" t="0" r="127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27733" t="12088" r="3368" b="1565"/>
                    <a:stretch/>
                  </pic:blipFill>
                  <pic:spPr bwMode="auto">
                    <a:xfrm>
                      <a:off x="0" y="0"/>
                      <a:ext cx="3412081" cy="2463597"/>
                    </a:xfrm>
                    <a:prstGeom prst="rect">
                      <a:avLst/>
                    </a:prstGeom>
                    <a:noFill/>
                    <a:ln>
                      <a:noFill/>
                    </a:ln>
                    <a:extLst>
                      <a:ext uri="{53640926-AAD7-44D8-BBD7-CCE9431645EC}">
                        <a14:shadowObscured xmlns:a14="http://schemas.microsoft.com/office/drawing/2010/main"/>
                      </a:ext>
                    </a:extLst>
                  </pic:spPr>
                </pic:pic>
              </a:graphicData>
            </a:graphic>
          </wp:inline>
        </w:drawing>
      </w:r>
    </w:p>
    <w:p w14:paraId="06BB97F2" w14:textId="77777777" w:rsidR="002A73C8" w:rsidRPr="008E24A1" w:rsidRDefault="008E24A1" w:rsidP="008E24A1">
      <w:pPr>
        <w:pStyle w:val="Sources"/>
        <w:widowControl w:val="0"/>
        <w:spacing w:before="120"/>
        <w:rPr>
          <w:rFonts w:asciiTheme="majorHAnsi" w:hAnsiTheme="majorHAnsi"/>
        </w:rPr>
      </w:pPr>
      <w:r w:rsidRPr="001400A1">
        <w:rPr>
          <w:rFonts w:asciiTheme="majorHAnsi" w:hAnsiTheme="majorHAnsi"/>
        </w:rPr>
        <w:t xml:space="preserve">Source: Data provided by AV, </w:t>
      </w:r>
      <w:r>
        <w:rPr>
          <w:rFonts w:asciiTheme="majorHAnsi" w:hAnsiTheme="majorHAnsi"/>
        </w:rPr>
        <w:t>November 2017</w:t>
      </w:r>
    </w:p>
    <w:p w14:paraId="65C0E44C" w14:textId="52E4378D" w:rsidR="00412938" w:rsidRPr="00C411EA" w:rsidRDefault="00412938" w:rsidP="00412938">
      <w:pPr>
        <w:keepNext/>
        <w:kinsoku/>
        <w:overflowPunct/>
        <w:autoSpaceDE/>
        <w:autoSpaceDN/>
        <w:adjustRightInd/>
        <w:snapToGrid/>
        <w:rPr>
          <w:rFonts w:asciiTheme="majorHAnsi" w:hAnsiTheme="majorHAnsi"/>
        </w:rPr>
      </w:pPr>
      <w:r w:rsidRPr="00913778">
        <w:rPr>
          <w:rFonts w:asciiTheme="majorHAnsi" w:hAnsiTheme="majorHAnsi"/>
        </w:rPr>
        <w:t xml:space="preserve">As shown in </w:t>
      </w:r>
      <w:r>
        <w:fldChar w:fldCharType="begin"/>
      </w:r>
      <w:r>
        <w:instrText xml:space="preserve"> REF _Ref309922618 \h  \* MERGEFORMAT </w:instrText>
      </w:r>
      <w:r>
        <w:fldChar w:fldCharType="separate"/>
      </w:r>
      <w:r w:rsidR="000369A1" w:rsidRPr="00C35804">
        <w:rPr>
          <w:rFonts w:asciiTheme="majorHAnsi" w:hAnsiTheme="majorHAnsi"/>
        </w:rPr>
        <w:t>Figure 6</w:t>
      </w:r>
      <w:r>
        <w:fldChar w:fldCharType="end"/>
      </w:r>
      <w:r w:rsidRPr="00913778">
        <w:t>,</w:t>
      </w:r>
      <w:r w:rsidRPr="00913778">
        <w:rPr>
          <w:rFonts w:asciiTheme="majorHAnsi" w:hAnsiTheme="majorHAnsi"/>
        </w:rPr>
        <w:t xml:space="preserve"> the majority of CHMPs are sponsored by industry. </w:t>
      </w:r>
    </w:p>
    <w:p w14:paraId="34031918" w14:textId="4AE3C652" w:rsidR="00412938" w:rsidRPr="00C411EA" w:rsidRDefault="00412938" w:rsidP="00412938">
      <w:pPr>
        <w:pStyle w:val="Caption"/>
      </w:pPr>
      <w:bookmarkStart w:id="39" w:name="_Ref309922618"/>
      <w:r w:rsidRPr="00913778">
        <w:t xml:space="preserve">Figure </w:t>
      </w:r>
      <w:r w:rsidR="00B47FE6">
        <w:fldChar w:fldCharType="begin"/>
      </w:r>
      <w:r w:rsidR="00B47FE6">
        <w:instrText xml:space="preserve"> SEQ Figure \* ARABIC </w:instrText>
      </w:r>
      <w:r w:rsidR="00B47FE6">
        <w:fldChar w:fldCharType="separate"/>
      </w:r>
      <w:r w:rsidR="000369A1">
        <w:rPr>
          <w:noProof/>
        </w:rPr>
        <w:t>6</w:t>
      </w:r>
      <w:r w:rsidR="00B47FE6">
        <w:rPr>
          <w:noProof/>
        </w:rPr>
        <w:fldChar w:fldCharType="end"/>
      </w:r>
      <w:bookmarkEnd w:id="39"/>
      <w:r w:rsidRPr="00913778">
        <w:t>: Proportion of approved CHM</w:t>
      </w:r>
      <w:r w:rsidR="00F15AC3">
        <w:t>P</w:t>
      </w:r>
      <w:r w:rsidR="00224B57">
        <w:t>s by sponsor (2007-2016)</w:t>
      </w:r>
    </w:p>
    <w:p w14:paraId="75E66D41" w14:textId="0FB7AA1E" w:rsidR="00412938" w:rsidRPr="00C411EA" w:rsidRDefault="00CA72D1" w:rsidP="00224B57">
      <w:pPr>
        <w:pStyle w:val="PwCNormal"/>
        <w:numPr>
          <w:ilvl w:val="0"/>
          <w:numId w:val="0"/>
        </w:numPr>
        <w:spacing w:after="0"/>
        <w:rPr>
          <w:rFonts w:asciiTheme="majorHAnsi" w:hAnsiTheme="majorHAnsi"/>
          <w:highlight w:val="yellow"/>
        </w:rPr>
      </w:pPr>
      <w:r w:rsidRPr="00CA72D1">
        <w:rPr>
          <w:rFonts w:asciiTheme="majorHAnsi" w:hAnsiTheme="majorHAnsi"/>
          <w:noProof/>
          <w:lang w:eastAsia="en-AU"/>
        </w:rPr>
        <w:drawing>
          <wp:inline distT="0" distB="0" distL="0" distR="0" wp14:anchorId="0BD8A0F1" wp14:editId="05CCD75E">
            <wp:extent cx="2418771" cy="2331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21991" t="10968" r="22818" b="11432"/>
                    <a:stretch/>
                  </pic:blipFill>
                  <pic:spPr bwMode="auto">
                    <a:xfrm>
                      <a:off x="0" y="0"/>
                      <a:ext cx="2427289" cy="2339932"/>
                    </a:xfrm>
                    <a:prstGeom prst="rect">
                      <a:avLst/>
                    </a:prstGeom>
                    <a:noFill/>
                    <a:ln>
                      <a:noFill/>
                    </a:ln>
                    <a:extLst>
                      <a:ext uri="{53640926-AAD7-44D8-BBD7-CCE9431645EC}">
                        <a14:shadowObscured xmlns:a14="http://schemas.microsoft.com/office/drawing/2010/main"/>
                      </a:ext>
                    </a:extLst>
                  </pic:spPr>
                </pic:pic>
              </a:graphicData>
            </a:graphic>
          </wp:inline>
        </w:drawing>
      </w:r>
    </w:p>
    <w:p w14:paraId="23FA5804" w14:textId="60A1EAEF" w:rsidR="00412938" w:rsidRPr="001400A1" w:rsidRDefault="00412938" w:rsidP="00412938">
      <w:pPr>
        <w:pStyle w:val="Sources"/>
        <w:spacing w:before="0"/>
        <w:rPr>
          <w:rFonts w:asciiTheme="majorHAnsi" w:hAnsiTheme="majorHAnsi"/>
        </w:rPr>
      </w:pPr>
      <w:r>
        <w:rPr>
          <w:rFonts w:asciiTheme="majorHAnsi" w:hAnsiTheme="majorHAnsi"/>
        </w:rPr>
        <w:t xml:space="preserve"> Source: Data provided by </w:t>
      </w:r>
      <w:r w:rsidRPr="001400A1">
        <w:rPr>
          <w:rFonts w:asciiTheme="majorHAnsi" w:hAnsiTheme="majorHAnsi"/>
        </w:rPr>
        <w:t xml:space="preserve">AV, </w:t>
      </w:r>
      <w:r w:rsidR="00224B57">
        <w:rPr>
          <w:rFonts w:asciiTheme="majorHAnsi" w:hAnsiTheme="majorHAnsi"/>
        </w:rPr>
        <w:t>November 2017</w:t>
      </w:r>
      <w:r w:rsidRPr="001400A1">
        <w:rPr>
          <w:rFonts w:asciiTheme="majorHAnsi" w:hAnsiTheme="majorHAnsi"/>
        </w:rPr>
        <w:t xml:space="preserve"> </w:t>
      </w:r>
    </w:p>
    <w:p w14:paraId="560F5F9A" w14:textId="1B3763B6" w:rsidR="00412938" w:rsidRPr="00C411EA" w:rsidRDefault="00412938" w:rsidP="00412938">
      <w:pPr>
        <w:pStyle w:val="PwCNormal"/>
        <w:numPr>
          <w:ilvl w:val="0"/>
          <w:numId w:val="0"/>
        </w:numPr>
        <w:rPr>
          <w:rFonts w:asciiTheme="majorHAnsi" w:hAnsiTheme="majorHAnsi"/>
        </w:rPr>
      </w:pPr>
      <w:r w:rsidRPr="00913778">
        <w:rPr>
          <w:rFonts w:asciiTheme="majorHAnsi" w:hAnsiTheme="majorHAnsi"/>
        </w:rPr>
        <w:t>Of approved CHMPs where government is the sponsor, these come from multiple agencies (see</w:t>
      </w:r>
      <w:r w:rsidRPr="00913778">
        <w:t xml:space="preserve"> </w:t>
      </w:r>
      <w:r>
        <w:fldChar w:fldCharType="begin"/>
      </w:r>
      <w:r>
        <w:instrText xml:space="preserve"> REF _Ref309922646 \h  \* MERGEFORMAT </w:instrText>
      </w:r>
      <w:r>
        <w:fldChar w:fldCharType="separate"/>
      </w:r>
      <w:r w:rsidR="000369A1" w:rsidRPr="00913778">
        <w:t xml:space="preserve">Figure </w:t>
      </w:r>
      <w:r w:rsidR="000369A1">
        <w:rPr>
          <w:noProof/>
        </w:rPr>
        <w:t>7</w:t>
      </w:r>
      <w:r>
        <w:fldChar w:fldCharType="end"/>
      </w:r>
      <w:r w:rsidRPr="00913778">
        <w:rPr>
          <w:rFonts w:asciiTheme="majorHAnsi" w:hAnsiTheme="majorHAnsi"/>
        </w:rPr>
        <w:t>) – includi</w:t>
      </w:r>
      <w:r w:rsidR="00224B57">
        <w:rPr>
          <w:rFonts w:asciiTheme="majorHAnsi" w:hAnsiTheme="majorHAnsi"/>
        </w:rPr>
        <w:t>ng local government (3</w:t>
      </w:r>
      <w:r w:rsidR="00224B57" w:rsidRPr="00913778">
        <w:rPr>
          <w:rFonts w:asciiTheme="majorHAnsi" w:hAnsiTheme="majorHAnsi"/>
        </w:rPr>
        <w:t>9 per cent)</w:t>
      </w:r>
      <w:r w:rsidR="00224B57">
        <w:rPr>
          <w:rFonts w:asciiTheme="majorHAnsi" w:hAnsiTheme="majorHAnsi"/>
        </w:rPr>
        <w:t>,</w:t>
      </w:r>
      <w:r w:rsidR="00224B57" w:rsidRPr="00913778">
        <w:rPr>
          <w:rFonts w:asciiTheme="majorHAnsi" w:hAnsiTheme="majorHAnsi"/>
        </w:rPr>
        <w:t xml:space="preserve"> </w:t>
      </w:r>
      <w:r w:rsidR="00224B57">
        <w:rPr>
          <w:rFonts w:asciiTheme="majorHAnsi" w:hAnsiTheme="majorHAnsi"/>
        </w:rPr>
        <w:t>various water authorities (36 per cent)</w:t>
      </w:r>
      <w:r w:rsidR="00536CA7">
        <w:rPr>
          <w:rFonts w:asciiTheme="majorHAnsi" w:hAnsiTheme="majorHAnsi"/>
        </w:rPr>
        <w:t>, Parks Victoria (7 per cent)</w:t>
      </w:r>
      <w:r w:rsidR="00224B57">
        <w:rPr>
          <w:rFonts w:asciiTheme="majorHAnsi" w:hAnsiTheme="majorHAnsi"/>
        </w:rPr>
        <w:t xml:space="preserve"> </w:t>
      </w:r>
      <w:r w:rsidRPr="00913778">
        <w:rPr>
          <w:rFonts w:asciiTheme="majorHAnsi" w:hAnsiTheme="majorHAnsi"/>
        </w:rPr>
        <w:t>and VicRoads (</w:t>
      </w:r>
      <w:r w:rsidR="00536CA7">
        <w:rPr>
          <w:rFonts w:asciiTheme="majorHAnsi" w:hAnsiTheme="majorHAnsi"/>
        </w:rPr>
        <w:t>7</w:t>
      </w:r>
      <w:r w:rsidRPr="00913778">
        <w:rPr>
          <w:rFonts w:asciiTheme="majorHAnsi" w:hAnsiTheme="majorHAnsi"/>
        </w:rPr>
        <w:t xml:space="preserve"> per cent). </w:t>
      </w:r>
    </w:p>
    <w:p w14:paraId="2950718A" w14:textId="6C78930B" w:rsidR="00224B57" w:rsidRDefault="00412938" w:rsidP="00224B57">
      <w:pPr>
        <w:pStyle w:val="Caption"/>
      </w:pPr>
      <w:bookmarkStart w:id="40" w:name="_Ref309922646"/>
      <w:r w:rsidRPr="00913778">
        <w:t xml:space="preserve">Figure </w:t>
      </w:r>
      <w:r w:rsidR="00B47FE6">
        <w:fldChar w:fldCharType="begin"/>
      </w:r>
      <w:r w:rsidR="00B47FE6">
        <w:instrText xml:space="preserve"> SEQ Figure \* ARABIC </w:instrText>
      </w:r>
      <w:r w:rsidR="00B47FE6">
        <w:fldChar w:fldCharType="separate"/>
      </w:r>
      <w:r w:rsidR="000369A1">
        <w:rPr>
          <w:noProof/>
        </w:rPr>
        <w:t>7</w:t>
      </w:r>
      <w:r w:rsidR="00B47FE6">
        <w:rPr>
          <w:noProof/>
        </w:rPr>
        <w:fldChar w:fldCharType="end"/>
      </w:r>
      <w:bookmarkEnd w:id="40"/>
      <w:r w:rsidRPr="00913778">
        <w:t>: Approved CHMPs sponsored by government (</w:t>
      </w:r>
      <w:r w:rsidR="00224B57">
        <w:t>2007-2016)</w:t>
      </w:r>
    </w:p>
    <w:p w14:paraId="26D38218" w14:textId="0E2075E1" w:rsidR="00412938" w:rsidRPr="00C411EA" w:rsidRDefault="00224B57" w:rsidP="00224B57">
      <w:pPr>
        <w:pStyle w:val="Caption"/>
      </w:pPr>
      <w:r>
        <w:rPr>
          <w:noProof/>
          <w:lang w:eastAsia="en-AU"/>
        </w:rPr>
        <w:drawing>
          <wp:inline distT="0" distB="0" distL="0" distR="0" wp14:anchorId="23FF018A" wp14:editId="0A80CEB8">
            <wp:extent cx="3014133" cy="318665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3">
                      <a:extLst>
                        <a:ext uri="{28A0092B-C50C-407E-A947-70E740481C1C}">
                          <a14:useLocalDpi xmlns:a14="http://schemas.microsoft.com/office/drawing/2010/main" val="0"/>
                        </a:ext>
                      </a:extLst>
                    </a:blip>
                    <a:srcRect l="19619" r="17640" b="58"/>
                    <a:stretch/>
                  </pic:blipFill>
                  <pic:spPr bwMode="auto">
                    <a:xfrm>
                      <a:off x="0" y="0"/>
                      <a:ext cx="3019632" cy="3192468"/>
                    </a:xfrm>
                    <a:prstGeom prst="rect">
                      <a:avLst/>
                    </a:prstGeom>
                    <a:noFill/>
                    <a:ln>
                      <a:noFill/>
                    </a:ln>
                    <a:extLst>
                      <a:ext uri="{53640926-AAD7-44D8-BBD7-CCE9431645EC}">
                        <a14:shadowObscured xmlns:a14="http://schemas.microsoft.com/office/drawing/2010/main"/>
                      </a:ext>
                    </a:extLst>
                  </pic:spPr>
                </pic:pic>
              </a:graphicData>
            </a:graphic>
          </wp:inline>
        </w:drawing>
      </w:r>
    </w:p>
    <w:p w14:paraId="1B32A2D2" w14:textId="364ADF0E" w:rsidR="00412938" w:rsidRPr="00C411EA" w:rsidRDefault="00412938" w:rsidP="00412938">
      <w:pPr>
        <w:pStyle w:val="PwCNormal"/>
        <w:numPr>
          <w:ilvl w:val="0"/>
          <w:numId w:val="0"/>
        </w:numPr>
        <w:spacing w:after="0"/>
        <w:jc w:val="center"/>
        <w:rPr>
          <w:rFonts w:asciiTheme="majorHAnsi" w:hAnsiTheme="majorHAnsi"/>
          <w:highlight w:val="yellow"/>
        </w:rPr>
      </w:pPr>
    </w:p>
    <w:p w14:paraId="009D0C70" w14:textId="6B6A110A" w:rsidR="00412938" w:rsidRPr="001400A1" w:rsidRDefault="00412938" w:rsidP="00412938">
      <w:pPr>
        <w:pStyle w:val="Sources"/>
        <w:spacing w:before="0"/>
        <w:rPr>
          <w:rFonts w:asciiTheme="majorHAnsi" w:hAnsiTheme="majorHAnsi"/>
        </w:rPr>
      </w:pPr>
      <w:r>
        <w:rPr>
          <w:rFonts w:asciiTheme="majorHAnsi" w:hAnsiTheme="majorHAnsi"/>
        </w:rPr>
        <w:t xml:space="preserve"> Source: Data provided by </w:t>
      </w:r>
      <w:r w:rsidRPr="001400A1">
        <w:rPr>
          <w:rFonts w:asciiTheme="majorHAnsi" w:hAnsiTheme="majorHAnsi"/>
        </w:rPr>
        <w:t xml:space="preserve">AV, </w:t>
      </w:r>
      <w:r w:rsidR="00140798">
        <w:rPr>
          <w:rFonts w:asciiTheme="majorHAnsi" w:hAnsiTheme="majorHAnsi"/>
        </w:rPr>
        <w:t>November 2017</w:t>
      </w:r>
    </w:p>
    <w:p w14:paraId="23F2D65E" w14:textId="0BD3139D" w:rsidR="00412938" w:rsidRPr="00C411EA" w:rsidRDefault="00412938" w:rsidP="00412938">
      <w:pPr>
        <w:pStyle w:val="PwCNormal"/>
        <w:numPr>
          <w:ilvl w:val="0"/>
          <w:numId w:val="0"/>
        </w:numPr>
        <w:rPr>
          <w:rFonts w:asciiTheme="majorHAnsi" w:hAnsiTheme="majorHAnsi"/>
        </w:rPr>
      </w:pPr>
      <w:r w:rsidRPr="00913778">
        <w:rPr>
          <w:rFonts w:asciiTheme="majorHAnsi" w:hAnsiTheme="majorHAnsi"/>
        </w:rPr>
        <w:t>Since the introduction of the Act, approximately one third of all approved CHMPs have been for subdivisions. Other significant categories include utilities (15 per cent), roads and rail activities (</w:t>
      </w:r>
      <w:r>
        <w:rPr>
          <w:rFonts w:asciiTheme="majorHAnsi" w:hAnsiTheme="majorHAnsi"/>
        </w:rPr>
        <w:t>8</w:t>
      </w:r>
      <w:r w:rsidRPr="00913778">
        <w:rPr>
          <w:rFonts w:asciiTheme="majorHAnsi" w:hAnsiTheme="majorHAnsi"/>
        </w:rPr>
        <w:t xml:space="preserve"> per cent), pipelines (</w:t>
      </w:r>
      <w:r>
        <w:rPr>
          <w:rFonts w:asciiTheme="majorHAnsi" w:hAnsiTheme="majorHAnsi"/>
        </w:rPr>
        <w:t>8</w:t>
      </w:r>
      <w:r w:rsidRPr="00913778">
        <w:rPr>
          <w:rFonts w:asciiTheme="majorHAnsi" w:hAnsiTheme="majorHAnsi"/>
        </w:rPr>
        <w:t xml:space="preserve"> per cent), 3+ dwelling subdivisions (</w:t>
      </w:r>
      <w:r>
        <w:rPr>
          <w:rFonts w:asciiTheme="majorHAnsi" w:hAnsiTheme="majorHAnsi"/>
        </w:rPr>
        <w:t>7</w:t>
      </w:r>
      <w:r w:rsidRPr="00913778">
        <w:rPr>
          <w:rFonts w:asciiTheme="majorHAnsi" w:hAnsiTheme="majorHAnsi"/>
        </w:rPr>
        <w:t xml:space="preserve"> per cent) and mining and extractives (</w:t>
      </w:r>
      <w:r>
        <w:rPr>
          <w:rFonts w:asciiTheme="majorHAnsi" w:hAnsiTheme="majorHAnsi"/>
        </w:rPr>
        <w:t>2</w:t>
      </w:r>
      <w:r w:rsidRPr="00913778">
        <w:rPr>
          <w:rFonts w:asciiTheme="majorHAnsi" w:hAnsiTheme="majorHAnsi"/>
        </w:rPr>
        <w:t xml:space="preserve"> per cent), as shown in </w:t>
      </w:r>
      <w:r>
        <w:fldChar w:fldCharType="begin"/>
      </w:r>
      <w:r>
        <w:instrText xml:space="preserve"> REF _Ref309922665 \h  \* MERGEFORMAT </w:instrText>
      </w:r>
      <w:r>
        <w:fldChar w:fldCharType="separate"/>
      </w:r>
      <w:r w:rsidR="000369A1" w:rsidRPr="00913778">
        <w:t xml:space="preserve">Figure </w:t>
      </w:r>
      <w:r w:rsidR="000369A1">
        <w:rPr>
          <w:noProof/>
        </w:rPr>
        <w:t>8</w:t>
      </w:r>
      <w:r>
        <w:fldChar w:fldCharType="end"/>
      </w:r>
      <w:r w:rsidRPr="00913778">
        <w:rPr>
          <w:rFonts w:asciiTheme="majorHAnsi" w:hAnsiTheme="majorHAnsi"/>
        </w:rPr>
        <w:t xml:space="preserve">. </w:t>
      </w:r>
    </w:p>
    <w:p w14:paraId="36169809" w14:textId="581B7BAD" w:rsidR="00412938" w:rsidRPr="00C411EA" w:rsidRDefault="00412938" w:rsidP="00412938">
      <w:pPr>
        <w:pStyle w:val="Caption"/>
      </w:pPr>
      <w:bookmarkStart w:id="41" w:name="_Ref309922665"/>
      <w:r w:rsidRPr="00913778">
        <w:t xml:space="preserve">Figure </w:t>
      </w:r>
      <w:r w:rsidR="00B47FE6">
        <w:fldChar w:fldCharType="begin"/>
      </w:r>
      <w:r w:rsidR="00B47FE6">
        <w:instrText xml:space="preserve"> SEQ Figure \* ARABIC </w:instrText>
      </w:r>
      <w:r w:rsidR="00B47FE6">
        <w:fldChar w:fldCharType="separate"/>
      </w:r>
      <w:r w:rsidR="000369A1">
        <w:rPr>
          <w:noProof/>
        </w:rPr>
        <w:t>8</w:t>
      </w:r>
      <w:r w:rsidR="00B47FE6">
        <w:rPr>
          <w:noProof/>
        </w:rPr>
        <w:fldChar w:fldCharType="end"/>
      </w:r>
      <w:bookmarkEnd w:id="41"/>
      <w:r w:rsidRPr="00913778">
        <w:t>: Type of approved CHMP by activity type (</w:t>
      </w:r>
      <w:r w:rsidR="00934B94">
        <w:t>2007-2016)</w:t>
      </w:r>
    </w:p>
    <w:p w14:paraId="1BD365FA" w14:textId="3CC3FD5A" w:rsidR="00412938" w:rsidRPr="00C411EA" w:rsidRDefault="00A41B06" w:rsidP="00934B94">
      <w:pPr>
        <w:pStyle w:val="PwCNormal"/>
        <w:numPr>
          <w:ilvl w:val="0"/>
          <w:numId w:val="0"/>
        </w:numPr>
        <w:spacing w:after="0"/>
        <w:rPr>
          <w:rFonts w:asciiTheme="majorHAnsi" w:hAnsiTheme="majorHAnsi"/>
        </w:rPr>
      </w:pPr>
      <w:r>
        <w:rPr>
          <w:rFonts w:asciiTheme="majorHAnsi" w:hAnsiTheme="majorHAnsi"/>
          <w:noProof/>
          <w:lang w:eastAsia="en-AU"/>
        </w:rPr>
        <w:drawing>
          <wp:inline distT="0" distB="0" distL="0" distR="0" wp14:anchorId="3FB7BDE5" wp14:editId="066E53F1">
            <wp:extent cx="3604260" cy="294429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080" t="4591" r="20411" b="6666"/>
                    <a:stretch/>
                  </pic:blipFill>
                  <pic:spPr bwMode="auto">
                    <a:xfrm>
                      <a:off x="0" y="0"/>
                      <a:ext cx="3620497" cy="2957559"/>
                    </a:xfrm>
                    <a:prstGeom prst="rect">
                      <a:avLst/>
                    </a:prstGeom>
                    <a:noFill/>
                    <a:ln>
                      <a:noFill/>
                    </a:ln>
                    <a:extLst>
                      <a:ext uri="{53640926-AAD7-44D8-BBD7-CCE9431645EC}">
                        <a14:shadowObscured xmlns:a14="http://schemas.microsoft.com/office/drawing/2010/main"/>
                      </a:ext>
                    </a:extLst>
                  </pic:spPr>
                </pic:pic>
              </a:graphicData>
            </a:graphic>
          </wp:inline>
        </w:drawing>
      </w:r>
    </w:p>
    <w:p w14:paraId="3A47F234" w14:textId="1EC9EFF7" w:rsidR="002A73C8" w:rsidRPr="00C30DF5" w:rsidRDefault="00412938" w:rsidP="00C30DF5">
      <w:pPr>
        <w:pStyle w:val="Sources"/>
        <w:spacing w:before="0"/>
        <w:rPr>
          <w:rFonts w:asciiTheme="majorHAnsi" w:hAnsiTheme="majorHAnsi"/>
        </w:rPr>
      </w:pPr>
      <w:r>
        <w:rPr>
          <w:rFonts w:asciiTheme="majorHAnsi" w:hAnsiTheme="majorHAnsi"/>
        </w:rPr>
        <w:t xml:space="preserve"> Source: Data provided by </w:t>
      </w:r>
      <w:r w:rsidRPr="001400A1">
        <w:rPr>
          <w:rFonts w:asciiTheme="majorHAnsi" w:hAnsiTheme="majorHAnsi"/>
        </w:rPr>
        <w:t xml:space="preserve">AV, </w:t>
      </w:r>
      <w:r w:rsidR="00934B94">
        <w:rPr>
          <w:rFonts w:asciiTheme="majorHAnsi" w:hAnsiTheme="majorHAnsi"/>
        </w:rPr>
        <w:t>November 2017.</w:t>
      </w:r>
      <w:r w:rsidRPr="001400A1">
        <w:rPr>
          <w:rFonts w:asciiTheme="majorHAnsi" w:hAnsiTheme="majorHAnsi"/>
        </w:rPr>
        <w:t xml:space="preserve"> </w:t>
      </w:r>
    </w:p>
    <w:p w14:paraId="51CBFA37" w14:textId="77777777" w:rsidR="00C90DD6" w:rsidRDefault="00C90DD6" w:rsidP="00C90DD6">
      <w:pPr>
        <w:pStyle w:val="Heading6"/>
        <w:spacing w:before="120" w:after="120"/>
        <w:ind w:left="851" w:hanging="851"/>
      </w:pPr>
      <w:r>
        <w:t>About this report</w:t>
      </w:r>
    </w:p>
    <w:p w14:paraId="194AE793" w14:textId="77777777" w:rsidR="00C90DD6" w:rsidRPr="00280C9F" w:rsidRDefault="00C90DD6" w:rsidP="00C90DD6">
      <w:pPr>
        <w:pStyle w:val="PwCNormal"/>
        <w:spacing w:before="120" w:after="120"/>
      </w:pPr>
      <w:r w:rsidRPr="00280C9F">
        <w:t>This report is structured as follows:</w:t>
      </w:r>
    </w:p>
    <w:p w14:paraId="69A2B2D7" w14:textId="7F212393" w:rsidR="00C90DD6" w:rsidRDefault="00C90DD6" w:rsidP="00C90DD6">
      <w:pPr>
        <w:pStyle w:val="ListBullet"/>
        <w:spacing w:before="80" w:after="80"/>
      </w:pPr>
      <w:r>
        <w:t xml:space="preserve">Chapter </w:t>
      </w:r>
      <w:r w:rsidR="00BD5080">
        <w:t>3</w:t>
      </w:r>
      <w:r w:rsidRPr="00280C9F">
        <w:t xml:space="preserve"> </w:t>
      </w:r>
      <w:r>
        <w:t>discusses the nature and extent of the problem</w:t>
      </w:r>
    </w:p>
    <w:p w14:paraId="21B3C40A" w14:textId="0EB1D2D6" w:rsidR="00C90DD6" w:rsidRPr="00280C9F" w:rsidRDefault="00C90DD6" w:rsidP="00C90DD6">
      <w:pPr>
        <w:pStyle w:val="ListBullet"/>
        <w:spacing w:before="80" w:after="80"/>
      </w:pPr>
      <w:r>
        <w:t xml:space="preserve">Chapter </w:t>
      </w:r>
      <w:r w:rsidR="00BD5080">
        <w:t>4</w:t>
      </w:r>
      <w:r w:rsidRPr="00280C9F">
        <w:t xml:space="preserve"> sets out the</w:t>
      </w:r>
      <w:r w:rsidR="00BD5080">
        <w:t xml:space="preserve"> Victorian</w:t>
      </w:r>
      <w:r w:rsidRPr="00280C9F">
        <w:t xml:space="preserve"> Government’s objectives</w:t>
      </w:r>
    </w:p>
    <w:p w14:paraId="0874769F" w14:textId="56F20819" w:rsidR="00C90DD6" w:rsidRDefault="00C90DD6" w:rsidP="00C90DD6">
      <w:pPr>
        <w:pStyle w:val="ListBullet"/>
        <w:spacing w:before="80" w:after="80"/>
      </w:pPr>
      <w:r>
        <w:t xml:space="preserve">Chapter </w:t>
      </w:r>
      <w:r w:rsidR="00BD5080">
        <w:t>5</w:t>
      </w:r>
      <w:r>
        <w:t xml:space="preserve"> considers options to address the problem</w:t>
      </w:r>
    </w:p>
    <w:p w14:paraId="76F77412" w14:textId="1E2D954E" w:rsidR="00C90DD6" w:rsidRDefault="00C90DD6" w:rsidP="00C90DD6">
      <w:pPr>
        <w:pStyle w:val="ListBullet"/>
        <w:spacing w:before="80" w:after="80"/>
      </w:pPr>
      <w:r>
        <w:t xml:space="preserve">Chapter </w:t>
      </w:r>
      <w:r w:rsidR="00BD5080">
        <w:t>6</w:t>
      </w:r>
      <w:r>
        <w:t xml:space="preserve"> </w:t>
      </w:r>
      <w:r w:rsidR="00FC52FC">
        <w:t>analyses the identified options</w:t>
      </w:r>
    </w:p>
    <w:p w14:paraId="0EA27D19" w14:textId="16A1846F" w:rsidR="0082383C" w:rsidRPr="00280C9F" w:rsidRDefault="0082383C" w:rsidP="0082383C">
      <w:pPr>
        <w:pStyle w:val="ListBullet"/>
        <w:spacing w:before="80" w:after="80"/>
      </w:pPr>
      <w:r w:rsidRPr="00280C9F">
        <w:t xml:space="preserve">Chapter </w:t>
      </w:r>
      <w:r w:rsidR="00BD5080">
        <w:t>7</w:t>
      </w:r>
      <w:r w:rsidRPr="00280C9F">
        <w:t xml:space="preserve"> provides an overall assessment of the proposed Regulations and includes the small business and competition assessments, as well as information on compliance and enforcement</w:t>
      </w:r>
    </w:p>
    <w:p w14:paraId="0E2CCD3B" w14:textId="3138B60B" w:rsidR="00C90DD6" w:rsidRDefault="00C90DD6" w:rsidP="00C90DD6">
      <w:pPr>
        <w:pStyle w:val="ListBullet"/>
        <w:spacing w:before="80" w:after="80"/>
      </w:pPr>
      <w:r>
        <w:t xml:space="preserve">Chapter </w:t>
      </w:r>
      <w:r w:rsidR="00BD5080">
        <w:t>8</w:t>
      </w:r>
      <w:r>
        <w:t xml:space="preserve"> </w:t>
      </w:r>
      <w:r w:rsidR="00BD5080">
        <w:t xml:space="preserve">presents an analysis of </w:t>
      </w:r>
      <w:r>
        <w:t>fees</w:t>
      </w:r>
      <w:r w:rsidR="00BD5080">
        <w:t xml:space="preserve"> and fee options</w:t>
      </w:r>
    </w:p>
    <w:p w14:paraId="4A66E5F0" w14:textId="67AC894D" w:rsidR="00C90DD6" w:rsidRDefault="00C90DD6" w:rsidP="00C90DD6">
      <w:pPr>
        <w:pStyle w:val="ListBullet"/>
        <w:spacing w:before="80" w:after="80"/>
      </w:pPr>
      <w:r w:rsidRPr="00280C9F">
        <w:t xml:space="preserve">Appendices contain details of </w:t>
      </w:r>
      <w:r>
        <w:t xml:space="preserve">the </w:t>
      </w:r>
      <w:r w:rsidRPr="00280C9F">
        <w:t>stakeholder consultation</w:t>
      </w:r>
      <w:r>
        <w:t xml:space="preserve"> process</w:t>
      </w:r>
      <w:r w:rsidRPr="00280C9F">
        <w:t xml:space="preserve">, </w:t>
      </w:r>
      <w:r w:rsidR="00FC52FC">
        <w:t xml:space="preserve">further background information, </w:t>
      </w:r>
      <w:r w:rsidRPr="00280C9F">
        <w:t>and</w:t>
      </w:r>
      <w:r w:rsidR="00485999">
        <w:t xml:space="preserve"> </w:t>
      </w:r>
      <w:r w:rsidRPr="00280C9F">
        <w:t>a copy of the proposed</w:t>
      </w:r>
      <w:r>
        <w:t xml:space="preserve"> Regulations</w:t>
      </w:r>
      <w:r w:rsidRPr="00280C9F">
        <w:t>.</w:t>
      </w:r>
    </w:p>
    <w:p w14:paraId="6A1E83A0" w14:textId="2CE8E43F" w:rsidR="00C90DD6" w:rsidRDefault="00C90DD6" w:rsidP="00C90DD6">
      <w:pPr>
        <w:pStyle w:val="Heading2"/>
      </w:pPr>
      <w:bookmarkStart w:id="42" w:name="_Toc496168232"/>
      <w:bookmarkStart w:id="43" w:name="_Toc507761448"/>
      <w:r>
        <w:t>Nature and extent of the problem</w:t>
      </w:r>
      <w:bookmarkEnd w:id="42"/>
      <w:bookmarkEnd w:id="43"/>
    </w:p>
    <w:p w14:paraId="2FAC8B7C" w14:textId="77777777" w:rsidR="00C90DD6" w:rsidRDefault="00C90DD6" w:rsidP="00C90DD6">
      <w:pPr>
        <w:pStyle w:val="Heading6"/>
        <w:spacing w:before="240" w:after="120"/>
      </w:pPr>
      <w:r>
        <w:t>The need for government intervention</w:t>
      </w:r>
    </w:p>
    <w:p w14:paraId="22A47A4C" w14:textId="7A071507" w:rsidR="0076196F" w:rsidRDefault="0076196F" w:rsidP="0076196F">
      <w:pPr>
        <w:pStyle w:val="PwCNormal"/>
        <w:rPr>
          <w:lang w:val="en-US"/>
        </w:rPr>
      </w:pPr>
      <w:r>
        <w:rPr>
          <w:lang w:val="en-US"/>
        </w:rPr>
        <w:t xml:space="preserve">The Act specifies the requirement to undertake a CHMP in prescribed circumstances, however, does not specify the triggers or standards for a CHMP, which are prescribed by the Regulations. </w:t>
      </w:r>
      <w:r w:rsidR="00C36888">
        <w:rPr>
          <w:lang w:val="en-US"/>
        </w:rPr>
        <w:t>In the absence of the t</w:t>
      </w:r>
      <w:r>
        <w:rPr>
          <w:lang w:val="en-US"/>
        </w:rPr>
        <w:t>riggers and standards</w:t>
      </w:r>
      <w:r w:rsidR="00C36888">
        <w:rPr>
          <w:lang w:val="en-US"/>
        </w:rPr>
        <w:t xml:space="preserve"> for a CHMP</w:t>
      </w:r>
      <w:r>
        <w:rPr>
          <w:lang w:val="en-US"/>
        </w:rPr>
        <w:t>,</w:t>
      </w:r>
      <w:r w:rsidR="00C83044">
        <w:rPr>
          <w:lang w:val="en-US"/>
        </w:rPr>
        <w:t xml:space="preserve"> development activities in areas of cultural heritage sensitivity may occur without sufficient regard for Aboriginal cultural heritage. </w:t>
      </w:r>
    </w:p>
    <w:p w14:paraId="096FDF47" w14:textId="77777777" w:rsidR="00C90DD6" w:rsidRDefault="00C90DD6" w:rsidP="00C90DD6">
      <w:pPr>
        <w:pStyle w:val="Heading7"/>
        <w:spacing w:before="240" w:after="120"/>
        <w:rPr>
          <w:lang w:val="en-US"/>
        </w:rPr>
      </w:pPr>
      <w:r>
        <w:rPr>
          <w:lang w:val="en-US"/>
        </w:rPr>
        <w:t>The value of heritage</w:t>
      </w:r>
    </w:p>
    <w:p w14:paraId="57C8F50E" w14:textId="4687D524" w:rsidR="007B5EA1" w:rsidRDefault="007B5EA1" w:rsidP="007B5EA1">
      <w:pPr>
        <w:pStyle w:val="PwCNormal"/>
        <w:rPr>
          <w:lang w:val="en-US"/>
        </w:rPr>
      </w:pPr>
      <w:r>
        <w:rPr>
          <w:lang w:val="en-US"/>
        </w:rPr>
        <w:t>According to a research report by the Getty Conservation Institute,</w:t>
      </w:r>
      <w:r>
        <w:rPr>
          <w:rStyle w:val="FootnoteReference"/>
          <w:lang w:val="en-US"/>
        </w:rPr>
        <w:footnoteReference w:id="27"/>
      </w:r>
      <w:r>
        <w:rPr>
          <w:lang w:val="en-US"/>
        </w:rPr>
        <w:t xml:space="preserve"> the value of cultural heritage can be assigned to two non-mutually exclusive categories:</w:t>
      </w:r>
    </w:p>
    <w:p w14:paraId="536DF3D9" w14:textId="77777777" w:rsidR="007B5EA1" w:rsidRDefault="007B5EA1" w:rsidP="007B5EA1">
      <w:pPr>
        <w:pStyle w:val="ListBullet"/>
        <w:rPr>
          <w:lang w:val="en-US"/>
        </w:rPr>
      </w:pPr>
      <w:r>
        <w:rPr>
          <w:lang w:val="en-US"/>
        </w:rPr>
        <w:t>Sociocultural value:</w:t>
      </w:r>
    </w:p>
    <w:p w14:paraId="3C30BCE6" w14:textId="77777777" w:rsidR="007B5EA1" w:rsidRDefault="007B5EA1" w:rsidP="007B5EA1">
      <w:pPr>
        <w:pStyle w:val="ListBullet2"/>
        <w:rPr>
          <w:lang w:val="en-US"/>
        </w:rPr>
      </w:pPr>
      <w:r>
        <w:rPr>
          <w:lang w:val="en-US"/>
        </w:rPr>
        <w:t>Historical: The capacity of the site to represent the past.</w:t>
      </w:r>
    </w:p>
    <w:p w14:paraId="34CBA111" w14:textId="77777777" w:rsidR="007B5EA1" w:rsidRDefault="007B5EA1" w:rsidP="007B5EA1">
      <w:pPr>
        <w:pStyle w:val="ListBullet2"/>
        <w:rPr>
          <w:lang w:val="en-US"/>
        </w:rPr>
      </w:pPr>
      <w:r>
        <w:rPr>
          <w:lang w:val="en-US"/>
        </w:rPr>
        <w:t>Cultural/symbolic: The value of heritage from its shared meaning.</w:t>
      </w:r>
    </w:p>
    <w:p w14:paraId="02EED708" w14:textId="77777777" w:rsidR="007B5EA1" w:rsidRDefault="007B5EA1" w:rsidP="007B5EA1">
      <w:pPr>
        <w:pStyle w:val="ListBullet2"/>
        <w:rPr>
          <w:lang w:val="en-US"/>
        </w:rPr>
      </w:pPr>
      <w:r>
        <w:rPr>
          <w:lang w:val="en-US"/>
        </w:rPr>
        <w:t>Social: Where heritage represents social capital, that is, its value to enable and facilitate social connections.</w:t>
      </w:r>
    </w:p>
    <w:p w14:paraId="1FBBF6D2" w14:textId="77777777" w:rsidR="007B5EA1" w:rsidRDefault="007B5EA1" w:rsidP="007B5EA1">
      <w:pPr>
        <w:pStyle w:val="ListBullet2"/>
        <w:rPr>
          <w:lang w:val="en-US"/>
        </w:rPr>
      </w:pPr>
      <w:r>
        <w:rPr>
          <w:lang w:val="en-US"/>
        </w:rPr>
        <w:t>Spiritual/religious: Where heritage is imbued with religious or sacred meaning.</w:t>
      </w:r>
    </w:p>
    <w:p w14:paraId="08F89084" w14:textId="77777777" w:rsidR="007B5EA1" w:rsidRDefault="007B5EA1" w:rsidP="007B5EA1">
      <w:pPr>
        <w:pStyle w:val="ListBullet2"/>
        <w:rPr>
          <w:lang w:val="en-US"/>
        </w:rPr>
      </w:pPr>
      <w:r>
        <w:rPr>
          <w:lang w:val="en-US"/>
        </w:rPr>
        <w:t>Aesthetic: The visual qualities of heritage to each individual.</w:t>
      </w:r>
    </w:p>
    <w:p w14:paraId="42CCC13D" w14:textId="77777777" w:rsidR="007B5EA1" w:rsidRDefault="007B5EA1" w:rsidP="007B5EA1">
      <w:pPr>
        <w:pStyle w:val="ListBullet"/>
        <w:rPr>
          <w:lang w:val="en-US"/>
        </w:rPr>
      </w:pPr>
      <w:r>
        <w:rPr>
          <w:lang w:val="en-US"/>
        </w:rPr>
        <w:t>Economic</w:t>
      </w:r>
    </w:p>
    <w:p w14:paraId="441E1E39" w14:textId="77777777" w:rsidR="007B5EA1" w:rsidRDefault="007B5EA1" w:rsidP="007B5EA1">
      <w:pPr>
        <w:pStyle w:val="ListBullet2"/>
        <w:rPr>
          <w:lang w:val="en-US"/>
        </w:rPr>
      </w:pPr>
      <w:r>
        <w:rPr>
          <w:lang w:val="en-US"/>
        </w:rPr>
        <w:t>Use (market) value: The value of heritage as assigned in a market.</w:t>
      </w:r>
    </w:p>
    <w:p w14:paraId="527A3B1C" w14:textId="76FFCD04" w:rsidR="007B5EA1" w:rsidRDefault="007B5EA1" w:rsidP="007B5EA1">
      <w:pPr>
        <w:pStyle w:val="ListBullet2"/>
        <w:rPr>
          <w:lang w:val="en-US"/>
        </w:rPr>
      </w:pPr>
      <w:r>
        <w:rPr>
          <w:lang w:val="en-US"/>
        </w:rPr>
        <w:t>Non</w:t>
      </w:r>
      <w:r w:rsidR="0082383C">
        <w:rPr>
          <w:lang w:val="en-US"/>
        </w:rPr>
        <w:t>-</w:t>
      </w:r>
      <w:r>
        <w:rPr>
          <w:lang w:val="en-US"/>
        </w:rPr>
        <w:t>use (non-market) value</w:t>
      </w:r>
    </w:p>
    <w:p w14:paraId="363A892C" w14:textId="77777777" w:rsidR="007B5EA1" w:rsidRDefault="007B5EA1" w:rsidP="007B5EA1">
      <w:pPr>
        <w:pStyle w:val="ListBullet3"/>
        <w:rPr>
          <w:lang w:val="en-US"/>
        </w:rPr>
      </w:pPr>
      <w:r>
        <w:rPr>
          <w:lang w:val="en-US"/>
        </w:rPr>
        <w:t>Existence: The value of the heritage existence.</w:t>
      </w:r>
    </w:p>
    <w:p w14:paraId="7DB8C882" w14:textId="77777777" w:rsidR="007B5EA1" w:rsidRDefault="007B5EA1" w:rsidP="00705BA8">
      <w:pPr>
        <w:pStyle w:val="ListBullet3"/>
        <w:rPr>
          <w:lang w:val="en-US"/>
        </w:rPr>
      </w:pPr>
      <w:r w:rsidRPr="007B5EA1">
        <w:rPr>
          <w:lang w:val="en-US"/>
        </w:rPr>
        <w:t>Option: The value of being able to consume the heritage at some time in the future.</w:t>
      </w:r>
    </w:p>
    <w:p w14:paraId="0CBF7957" w14:textId="77777777" w:rsidR="0082383C" w:rsidRDefault="007B5EA1" w:rsidP="00705BA8">
      <w:pPr>
        <w:pStyle w:val="ListBullet3"/>
        <w:rPr>
          <w:lang w:val="en-US"/>
        </w:rPr>
      </w:pPr>
      <w:r w:rsidRPr="007B5EA1">
        <w:rPr>
          <w:lang w:val="en-US"/>
        </w:rPr>
        <w:t>Bequest: The value of being able to bequeath heritage to future generations.</w:t>
      </w:r>
    </w:p>
    <w:p w14:paraId="289E2A3A" w14:textId="0D36E61D" w:rsidR="004331E8" w:rsidRPr="0076196F" w:rsidRDefault="007B5EA1" w:rsidP="0076196F">
      <w:pPr>
        <w:pStyle w:val="PwCNormal"/>
      </w:pPr>
      <w:r w:rsidRPr="0076196F">
        <w:t>Heritage is generally irreplaceable once damaged or destroyed. This is particularly the case for Aboriginal cultural heritage, much of which has been lost since European settlement</w:t>
      </w:r>
      <w:r w:rsidR="00485999">
        <w:t xml:space="preserve"> in Australia</w:t>
      </w:r>
      <w:r w:rsidRPr="0076196F">
        <w:t xml:space="preserve">. </w:t>
      </w:r>
      <w:r w:rsidR="004331E8" w:rsidRPr="0076196F">
        <w:t>For Aboriginal heritage, the concept of a use value mostly relates to the use of the land rather than the use of a building or other forms of heritage (such as a</w:t>
      </w:r>
      <w:r w:rsidR="00485999">
        <w:t xml:space="preserve"> historic</w:t>
      </w:r>
      <w:r w:rsidR="00D07ABD">
        <w:t xml:space="preserve"> </w:t>
      </w:r>
      <w:r w:rsidR="004331E8" w:rsidRPr="0076196F">
        <w:t>school or a bridge). As Rolfe and Windle note</w:t>
      </w:r>
      <w:r w:rsidR="006D241A" w:rsidRPr="0076196F">
        <w:t>d in 2003</w:t>
      </w:r>
      <w:r w:rsidR="0082383C">
        <w:t>:</w:t>
      </w:r>
      <w:r w:rsidR="006D241A" w:rsidRPr="0076196F">
        <w:rPr>
          <w:rStyle w:val="FootnoteReference"/>
          <w:sz w:val="20"/>
        </w:rPr>
        <w:footnoteReference w:id="28"/>
      </w:r>
      <w:r w:rsidR="004331E8" w:rsidRPr="0076196F">
        <w:t xml:space="preserve"> </w:t>
      </w:r>
    </w:p>
    <w:p w14:paraId="56C6BBF9" w14:textId="77777777" w:rsidR="004331E8" w:rsidRPr="00EF5359" w:rsidRDefault="004331E8" w:rsidP="004331E8">
      <w:pPr>
        <w:pStyle w:val="PwCNormal"/>
        <w:spacing w:before="120" w:after="120"/>
        <w:rPr>
          <w:i/>
          <w:lang w:val="en-US"/>
        </w:rPr>
      </w:pPr>
      <w:r w:rsidRPr="00EF5359">
        <w:rPr>
          <w:i/>
          <w:lang w:val="en-US"/>
        </w:rPr>
        <w:t xml:space="preserve">Some ‘spectacular’ sites, such as art sites and burial caves that are normally associated with Aboriginal cultural heritage are well protected. However, the bulk of cultural heritage places and items relate to living patterns, such as camp sites, stone tools, stone working sites, marked trees, rock wells and middens along waterholes. Many of these items are not often </w:t>
      </w:r>
      <w:r w:rsidRPr="00553406">
        <w:rPr>
          <w:i/>
        </w:rPr>
        <w:t>recognised</w:t>
      </w:r>
      <w:r w:rsidRPr="00EF5359">
        <w:rPr>
          <w:i/>
          <w:lang w:val="en-US"/>
        </w:rPr>
        <w:t xml:space="preserve"> as Aboriginal sites by landholders and commercial developers, and hence, are susceptible to loss.</w:t>
      </w:r>
    </w:p>
    <w:p w14:paraId="2126358C" w14:textId="2119C21C" w:rsidR="004331E8" w:rsidRPr="00913778" w:rsidRDefault="004331E8" w:rsidP="004331E8">
      <w:pPr>
        <w:pStyle w:val="PwCNormal"/>
        <w:spacing w:before="120" w:after="120"/>
      </w:pPr>
      <w:r>
        <w:rPr>
          <w:lang w:val="en-US"/>
        </w:rPr>
        <w:t>Nonetheless</w:t>
      </w:r>
      <w:r w:rsidRPr="00434171">
        <w:rPr>
          <w:lang w:val="en-US"/>
        </w:rPr>
        <w:t xml:space="preserve">, Aboriginal heritage can provide an economic benefit. </w:t>
      </w:r>
      <w:r w:rsidR="006F61FC">
        <w:rPr>
          <w:lang w:val="en-US"/>
        </w:rPr>
        <w:t>Aboriginal</w:t>
      </w:r>
      <w:r w:rsidR="006F61FC" w:rsidRPr="00434171">
        <w:rPr>
          <w:lang w:val="en-US"/>
        </w:rPr>
        <w:t xml:space="preserve"> </w:t>
      </w:r>
      <w:r w:rsidRPr="00434171">
        <w:rPr>
          <w:lang w:val="en-US"/>
        </w:rPr>
        <w:t>people are employed in</w:t>
      </w:r>
      <w:r>
        <w:rPr>
          <w:lang w:val="en-US"/>
        </w:rPr>
        <w:t xml:space="preserve"> the cultural tourism industry, as well as to protect</w:t>
      </w:r>
      <w:r w:rsidRPr="00434171">
        <w:rPr>
          <w:lang w:val="en-US"/>
        </w:rPr>
        <w:t xml:space="preserve"> Aboriginal cultural heritage, for example, those in community–based programs and those involved in heritage assessment and monitoring of activities.</w:t>
      </w:r>
      <w:r>
        <w:t xml:space="preserve"> Better awareness, </w:t>
      </w:r>
      <w:r w:rsidRPr="00913778">
        <w:t>management and protection of Aboriginal cultural heritage can support the sustainability of this market for Aboriginal people,</w:t>
      </w:r>
      <w:r w:rsidR="0076196F">
        <w:rPr>
          <w:rStyle w:val="FootnoteReference"/>
        </w:rPr>
        <w:footnoteReference w:id="29"/>
      </w:r>
      <w:r w:rsidRPr="00913778">
        <w:t xml:space="preserve"> see </w:t>
      </w:r>
      <w:r>
        <w:fldChar w:fldCharType="begin"/>
      </w:r>
      <w:r>
        <w:instrText xml:space="preserve"> REF _Ref312409067 \h  \* MERGEFORMAT </w:instrText>
      </w:r>
      <w:r>
        <w:fldChar w:fldCharType="separate"/>
      </w:r>
      <w:r w:rsidR="000369A1" w:rsidRPr="00C35804">
        <w:t xml:space="preserve">Box </w:t>
      </w:r>
      <w:r w:rsidR="000369A1" w:rsidRPr="00C35804">
        <w:rPr>
          <w:noProof/>
        </w:rPr>
        <w:t>3</w:t>
      </w:r>
      <w:r>
        <w:fldChar w:fldCharType="end"/>
      </w:r>
      <w:r w:rsidRPr="00913778">
        <w:t xml:space="preserve"> below. </w:t>
      </w:r>
    </w:p>
    <w:tbl>
      <w:tblPr>
        <w:tblStyle w:val="LightShading-Accent12"/>
        <w:tblW w:w="0" w:type="auto"/>
        <w:tblLook w:val="0020" w:firstRow="1" w:lastRow="0" w:firstColumn="0" w:lastColumn="0" w:noHBand="0" w:noVBand="0"/>
      </w:tblPr>
      <w:tblGrid>
        <w:gridCol w:w="8437"/>
      </w:tblGrid>
      <w:tr w:rsidR="004331E8" w:rsidRPr="00C411EA" w14:paraId="46B1EE04" w14:textId="77777777" w:rsidTr="00C2070A">
        <w:trPr>
          <w:cnfStyle w:val="100000000000" w:firstRow="1" w:lastRow="0" w:firstColumn="0" w:lastColumn="0" w:oddVBand="0" w:evenVBand="0" w:oddHBand="0"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9039" w:type="dxa"/>
          </w:tcPr>
          <w:p w14:paraId="51E0F986" w14:textId="77777777" w:rsidR="004331E8" w:rsidRPr="004331E8" w:rsidRDefault="004331E8" w:rsidP="004331E8">
            <w:pPr>
              <w:pStyle w:val="Caption"/>
              <w:keepNext w:val="0"/>
              <w:spacing w:before="0"/>
              <w:rPr>
                <w:b/>
                <w:sz w:val="20"/>
                <w:szCs w:val="20"/>
              </w:rPr>
            </w:pPr>
            <w:bookmarkStart w:id="44" w:name="_Ref312409067"/>
            <w:r w:rsidRPr="004331E8">
              <w:rPr>
                <w:b/>
                <w:sz w:val="20"/>
                <w:szCs w:val="20"/>
              </w:rPr>
              <w:t xml:space="preserve">Box </w:t>
            </w:r>
            <w:r w:rsidR="00193EDA">
              <w:rPr>
                <w:szCs w:val="20"/>
              </w:rPr>
              <w:fldChar w:fldCharType="begin"/>
            </w:r>
            <w:r w:rsidR="00193EDA">
              <w:rPr>
                <w:b/>
                <w:sz w:val="20"/>
                <w:szCs w:val="20"/>
              </w:rPr>
              <w:instrText xml:space="preserve"> SEQ Box \* ARABIC </w:instrText>
            </w:r>
            <w:r w:rsidR="00193EDA">
              <w:rPr>
                <w:szCs w:val="20"/>
              </w:rPr>
              <w:fldChar w:fldCharType="separate"/>
            </w:r>
            <w:r w:rsidR="000369A1">
              <w:rPr>
                <w:b/>
                <w:noProof/>
                <w:sz w:val="20"/>
                <w:szCs w:val="20"/>
              </w:rPr>
              <w:t>3</w:t>
            </w:r>
            <w:r w:rsidR="00193EDA">
              <w:rPr>
                <w:szCs w:val="20"/>
              </w:rPr>
              <w:fldChar w:fldCharType="end"/>
            </w:r>
            <w:bookmarkEnd w:id="44"/>
            <w:r w:rsidRPr="004331E8">
              <w:rPr>
                <w:b/>
                <w:sz w:val="20"/>
                <w:szCs w:val="20"/>
              </w:rPr>
              <w:t xml:space="preserve">: The market for Aboriginal tourism  </w:t>
            </w:r>
          </w:p>
          <w:p w14:paraId="3ED17653" w14:textId="77777777" w:rsidR="004331E8" w:rsidRPr="002C4D5F" w:rsidRDefault="004331E8" w:rsidP="00C2070A">
            <w:pPr>
              <w:pStyle w:val="Bullet1"/>
              <w:numPr>
                <w:ilvl w:val="0"/>
                <w:numId w:val="0"/>
              </w:numPr>
              <w:rPr>
                <w:rFonts w:asciiTheme="majorHAnsi" w:hAnsiTheme="majorHAnsi"/>
                <w:b w:val="0"/>
                <w:bCs w:val="0"/>
                <w:color w:val="7A1818"/>
                <w:sz w:val="20"/>
                <w:szCs w:val="20"/>
              </w:rPr>
            </w:pPr>
            <w:r w:rsidRPr="002C4D5F">
              <w:rPr>
                <w:rFonts w:asciiTheme="majorHAnsi" w:hAnsiTheme="majorHAnsi"/>
                <w:b w:val="0"/>
                <w:bCs w:val="0"/>
                <w:color w:val="7A1818"/>
                <w:sz w:val="20"/>
                <w:szCs w:val="20"/>
              </w:rPr>
              <w:t>According to statistics published by Tourism Victoria, 703,400 international visitors to Australia aged 15 years and over undertook an Aboriginal experience during the year ending June 2013. This represents around one in eight international visitors overall. Of all international Aboriginal tourism visitors, 12 per cent undertook their activity in Victoria. This compares to 33 per cent in Queensland and 28 per cent in NSW.</w:t>
            </w:r>
          </w:p>
          <w:p w14:paraId="04B53688" w14:textId="77777777" w:rsidR="004331E8" w:rsidRPr="002C4D5F" w:rsidRDefault="004331E8" w:rsidP="00C2070A">
            <w:pPr>
              <w:pStyle w:val="Bullet1"/>
              <w:numPr>
                <w:ilvl w:val="0"/>
                <w:numId w:val="0"/>
              </w:numPr>
              <w:rPr>
                <w:rFonts w:asciiTheme="majorHAnsi" w:hAnsiTheme="majorHAnsi"/>
                <w:b w:val="0"/>
                <w:bCs w:val="0"/>
                <w:color w:val="7A1818"/>
                <w:sz w:val="20"/>
                <w:szCs w:val="20"/>
              </w:rPr>
            </w:pPr>
            <w:r w:rsidRPr="002C4D5F">
              <w:rPr>
                <w:rFonts w:asciiTheme="majorHAnsi" w:hAnsiTheme="majorHAnsi"/>
                <w:b w:val="0"/>
                <w:bCs w:val="0"/>
                <w:color w:val="7A1818"/>
                <w:sz w:val="20"/>
                <w:szCs w:val="20"/>
              </w:rPr>
              <w:t>Of all Aboriginal tourism visitors to and within Australia, half were international visitors, a third were domestic overnight visitors and the remainder were domestic daytrip visitors.</w:t>
            </w:r>
          </w:p>
          <w:p w14:paraId="36F9B3DB" w14:textId="77777777" w:rsidR="004331E8" w:rsidRPr="002C4D5F" w:rsidRDefault="004331E8" w:rsidP="00C2070A">
            <w:pPr>
              <w:pStyle w:val="Bullet1"/>
              <w:numPr>
                <w:ilvl w:val="0"/>
                <w:numId w:val="0"/>
              </w:numPr>
              <w:rPr>
                <w:rFonts w:asciiTheme="majorHAnsi" w:hAnsiTheme="majorHAnsi"/>
                <w:b w:val="0"/>
                <w:bCs w:val="0"/>
                <w:color w:val="7A1818"/>
                <w:sz w:val="20"/>
                <w:szCs w:val="20"/>
              </w:rPr>
            </w:pPr>
            <w:r w:rsidRPr="002C4D5F">
              <w:rPr>
                <w:rFonts w:asciiTheme="majorHAnsi" w:hAnsiTheme="majorHAnsi"/>
                <w:b w:val="0"/>
                <w:bCs w:val="0"/>
                <w:color w:val="7A1818"/>
                <w:sz w:val="20"/>
                <w:szCs w:val="20"/>
              </w:rPr>
              <w:t>An estimated 73,800 (3.9 per cent) international visitors to Victoria participated in a local Aboriginal experience while in the state in the same period.</w:t>
            </w:r>
          </w:p>
          <w:p w14:paraId="2475B818" w14:textId="77777777" w:rsidR="004331E8" w:rsidRPr="002C4D5F" w:rsidRDefault="004331E8" w:rsidP="00C2070A">
            <w:pPr>
              <w:pStyle w:val="Bullet1"/>
              <w:numPr>
                <w:ilvl w:val="0"/>
                <w:numId w:val="0"/>
              </w:numPr>
              <w:rPr>
                <w:rFonts w:asciiTheme="majorHAnsi" w:hAnsiTheme="majorHAnsi"/>
                <w:b w:val="0"/>
                <w:bCs w:val="0"/>
                <w:color w:val="7A1818"/>
                <w:sz w:val="20"/>
                <w:szCs w:val="20"/>
              </w:rPr>
            </w:pPr>
            <w:r w:rsidRPr="002C4D5F">
              <w:rPr>
                <w:rFonts w:asciiTheme="majorHAnsi" w:hAnsiTheme="majorHAnsi"/>
                <w:b w:val="0"/>
                <w:bCs w:val="0"/>
                <w:color w:val="7A1818"/>
                <w:sz w:val="20"/>
                <w:szCs w:val="20"/>
              </w:rPr>
              <w:t xml:space="preserve">These numbers indicate that there is scope for Aboriginal tourism to grow in size. </w:t>
            </w:r>
            <w:r w:rsidRPr="009D69D3">
              <w:rPr>
                <w:rFonts w:asciiTheme="majorHAnsi" w:hAnsiTheme="majorHAnsi"/>
                <w:b w:val="0"/>
                <w:bCs w:val="0"/>
                <w:color w:val="7A1818"/>
                <w:sz w:val="20"/>
                <w:szCs w:val="20"/>
              </w:rPr>
              <w:t>45 per cent of international visitors who did not undertake a</w:t>
            </w:r>
            <w:r>
              <w:rPr>
                <w:rFonts w:asciiTheme="majorHAnsi" w:hAnsiTheme="majorHAnsi"/>
                <w:b w:val="0"/>
                <w:bCs w:val="0"/>
                <w:color w:val="7A1818"/>
                <w:sz w:val="20"/>
                <w:szCs w:val="20"/>
              </w:rPr>
              <w:t>n</w:t>
            </w:r>
            <w:r w:rsidRPr="009D69D3">
              <w:rPr>
                <w:rFonts w:asciiTheme="majorHAnsi" w:hAnsiTheme="majorHAnsi"/>
                <w:b w:val="0"/>
                <w:bCs w:val="0"/>
                <w:color w:val="7A1818"/>
                <w:sz w:val="20"/>
                <w:szCs w:val="20"/>
              </w:rPr>
              <w:t xml:space="preserve"> Aboriginal tourism experience would have liked to. </w:t>
            </w:r>
            <w:r w:rsidRPr="002C4D5F">
              <w:rPr>
                <w:rFonts w:asciiTheme="majorHAnsi" w:hAnsiTheme="majorHAnsi"/>
                <w:b w:val="0"/>
                <w:bCs w:val="0"/>
                <w:color w:val="7A1818"/>
                <w:sz w:val="20"/>
                <w:szCs w:val="20"/>
              </w:rPr>
              <w:t>There are a number of challenges to this however:</w:t>
            </w:r>
          </w:p>
          <w:p w14:paraId="53243AE6" w14:textId="37AA2774" w:rsidR="004331E8" w:rsidRPr="009D69D3" w:rsidRDefault="004331E8" w:rsidP="004331E8">
            <w:pPr>
              <w:pStyle w:val="ListBullet"/>
              <w:spacing w:before="120" w:after="120"/>
              <w:rPr>
                <w:rFonts w:asciiTheme="majorHAnsi" w:hAnsiTheme="majorHAnsi"/>
                <w:b w:val="0"/>
                <w:sz w:val="20"/>
              </w:rPr>
            </w:pPr>
            <w:r w:rsidRPr="009D69D3">
              <w:rPr>
                <w:rFonts w:asciiTheme="majorHAnsi" w:hAnsiTheme="majorHAnsi"/>
                <w:b w:val="0"/>
                <w:bCs w:val="0"/>
                <w:color w:val="7A1818"/>
                <w:sz w:val="20"/>
              </w:rPr>
              <w:t>Aboriginal tourism is primarily related to travel to a certain</w:t>
            </w:r>
            <w:r w:rsidRPr="009D69D3">
              <w:rPr>
                <w:rFonts w:asciiTheme="majorHAnsi" w:hAnsiTheme="majorHAnsi"/>
                <w:b w:val="0"/>
                <w:sz w:val="20"/>
              </w:rPr>
              <w:t xml:space="preserve"> region, rather than a desire to seek out local Aboriginal cultures</w:t>
            </w:r>
          </w:p>
          <w:p w14:paraId="2FF45CA7" w14:textId="5AC165FB" w:rsidR="004331E8" w:rsidRPr="002C4D5F" w:rsidRDefault="00C96DBD" w:rsidP="004331E8">
            <w:pPr>
              <w:pStyle w:val="ListBullet"/>
              <w:spacing w:before="120" w:after="120"/>
              <w:rPr>
                <w:rFonts w:asciiTheme="majorHAnsi" w:hAnsiTheme="majorHAnsi"/>
                <w:b w:val="0"/>
                <w:sz w:val="20"/>
                <w:szCs w:val="20"/>
              </w:rPr>
            </w:pPr>
            <w:r>
              <w:rPr>
                <w:rFonts w:asciiTheme="majorHAnsi" w:hAnsiTheme="majorHAnsi"/>
                <w:b w:val="0"/>
                <w:sz w:val="20"/>
                <w:szCs w:val="20"/>
              </w:rPr>
              <w:t>t</w:t>
            </w:r>
            <w:r w:rsidR="004331E8" w:rsidRPr="002C4D5F">
              <w:rPr>
                <w:rFonts w:asciiTheme="majorHAnsi" w:hAnsiTheme="majorHAnsi"/>
                <w:b w:val="0"/>
                <w:sz w:val="20"/>
                <w:szCs w:val="20"/>
              </w:rPr>
              <w:t>here is a perception that outback Australia is the home of authentic Aboriginal experiences</w:t>
            </w:r>
          </w:p>
          <w:p w14:paraId="4C933701" w14:textId="48722DB8" w:rsidR="004331E8" w:rsidRPr="009D69D3" w:rsidRDefault="00C96DBD" w:rsidP="004331E8">
            <w:pPr>
              <w:pStyle w:val="ListBullet"/>
              <w:spacing w:before="120" w:after="120"/>
            </w:pPr>
            <w:r>
              <w:rPr>
                <w:rFonts w:asciiTheme="majorHAnsi" w:hAnsiTheme="majorHAnsi"/>
                <w:b w:val="0"/>
                <w:sz w:val="20"/>
                <w:szCs w:val="20"/>
              </w:rPr>
              <w:t>m</w:t>
            </w:r>
            <w:r w:rsidR="004331E8" w:rsidRPr="002C4D5F">
              <w:rPr>
                <w:rFonts w:asciiTheme="majorHAnsi" w:hAnsiTheme="majorHAnsi"/>
                <w:b w:val="0"/>
                <w:sz w:val="20"/>
                <w:szCs w:val="20"/>
              </w:rPr>
              <w:t>ost people in surveys cannot name Aboriginal experiences in city or coastal regions.</w:t>
            </w:r>
            <w:r w:rsidR="004331E8">
              <w:t xml:space="preserve"> </w:t>
            </w:r>
          </w:p>
        </w:tc>
      </w:tr>
    </w:tbl>
    <w:p w14:paraId="3304E253" w14:textId="77777777" w:rsidR="004331E8" w:rsidRPr="001400A1" w:rsidRDefault="004331E8" w:rsidP="004331E8">
      <w:pPr>
        <w:pStyle w:val="PwCNormal"/>
        <w:spacing w:before="60" w:after="180"/>
        <w:rPr>
          <w:color w:val="A32020" w:themeColor="accent1"/>
          <w:sz w:val="16"/>
          <w:szCs w:val="16"/>
        </w:rPr>
      </w:pPr>
      <w:r w:rsidRPr="001400A1">
        <w:rPr>
          <w:rFonts w:asciiTheme="majorHAnsi" w:hAnsiTheme="majorHAnsi"/>
          <w:color w:val="A32020" w:themeColor="accent1"/>
          <w:sz w:val="16"/>
          <w:szCs w:val="16"/>
        </w:rPr>
        <w:t xml:space="preserve">Source: Tourism Victoria, </w:t>
      </w:r>
      <w:r>
        <w:rPr>
          <w:rFonts w:asciiTheme="majorHAnsi" w:hAnsiTheme="majorHAnsi"/>
          <w:i/>
          <w:color w:val="A32020" w:themeColor="accent1"/>
          <w:sz w:val="16"/>
          <w:szCs w:val="16"/>
        </w:rPr>
        <w:t>Victorian Aboriginal Tourism Development Strategy 2013-2023.</w:t>
      </w:r>
      <w:r w:rsidRPr="001400A1">
        <w:rPr>
          <w:rFonts w:asciiTheme="majorHAnsi" w:hAnsiTheme="majorHAnsi"/>
          <w:color w:val="A32020" w:themeColor="accent1"/>
          <w:sz w:val="16"/>
          <w:szCs w:val="16"/>
        </w:rPr>
        <w:t xml:space="preserve"> </w:t>
      </w:r>
    </w:p>
    <w:p w14:paraId="5D6B5FF2" w14:textId="30BA2AD3" w:rsidR="004331E8" w:rsidRPr="00434171" w:rsidRDefault="004331E8" w:rsidP="004331E8">
      <w:pPr>
        <w:pStyle w:val="PwCNormal"/>
        <w:spacing w:before="120" w:after="120"/>
        <w:rPr>
          <w:lang w:val="en-US"/>
        </w:rPr>
      </w:pPr>
      <w:r w:rsidRPr="00434171">
        <w:rPr>
          <w:lang w:val="en-US"/>
        </w:rPr>
        <w:t>From an Aboriginal community perspective, cultural heritage is about the fundamental link between people, their environment, health and wellbeing, and their cultural identity. Many Aboriginal people consider their cultural heritage in a holistic sense — an accountability and responsibility to Country, and as something integr</w:t>
      </w:r>
      <w:r>
        <w:rPr>
          <w:lang w:val="en-US"/>
        </w:rPr>
        <w:t>al to their identity.</w:t>
      </w:r>
      <w:r w:rsidRPr="00434171">
        <w:rPr>
          <w:lang w:val="en-US"/>
        </w:rPr>
        <w:t xml:space="preserve"> In this sense, therefore, Aboriginal heritage has an inherently regional or local focus where the importance of the place or item is recognised by the local community.</w:t>
      </w:r>
      <w:r w:rsidR="0076196F">
        <w:rPr>
          <w:rStyle w:val="FootnoteReference"/>
          <w:lang w:val="en-US"/>
        </w:rPr>
        <w:footnoteReference w:id="30"/>
      </w:r>
      <w:r w:rsidRPr="00434171">
        <w:rPr>
          <w:lang w:val="en-US"/>
        </w:rPr>
        <w:t xml:space="preserve"> Aboriginal cultural heritage also has national</w:t>
      </w:r>
      <w:r w:rsidR="007F0DCC">
        <w:rPr>
          <w:lang w:val="en-US"/>
        </w:rPr>
        <w:t xml:space="preserve"> and global</w:t>
      </w:r>
      <w:r w:rsidRPr="00434171">
        <w:rPr>
          <w:lang w:val="en-US"/>
        </w:rPr>
        <w:t xml:space="preserve"> significance</w:t>
      </w:r>
      <w:r w:rsidR="007F0DCC">
        <w:rPr>
          <w:lang w:val="en-US"/>
        </w:rPr>
        <w:t xml:space="preserve"> –</w:t>
      </w:r>
      <w:r w:rsidRPr="00434171">
        <w:rPr>
          <w:lang w:val="en-US"/>
        </w:rPr>
        <w:t xml:space="preserve"> for example, </w:t>
      </w:r>
      <w:r w:rsidR="007F0DCC">
        <w:rPr>
          <w:lang w:val="en-US"/>
        </w:rPr>
        <w:t>the Budj Bim Cultural Landscape in south west Victoria which has been recently nominated for UNESCO World Heritage listing</w:t>
      </w:r>
      <w:r w:rsidRPr="00434171">
        <w:rPr>
          <w:lang w:val="en-US"/>
        </w:rPr>
        <w:t>,</w:t>
      </w:r>
      <w:r w:rsidR="007F0DCC">
        <w:rPr>
          <w:rStyle w:val="FootnoteReference"/>
          <w:lang w:val="en-US"/>
        </w:rPr>
        <w:footnoteReference w:id="31"/>
      </w:r>
      <w:r w:rsidRPr="00434171">
        <w:rPr>
          <w:lang w:val="en-US"/>
        </w:rPr>
        <w:t xml:space="preserve"> and value for the broader community, including economic and educational value. </w:t>
      </w:r>
    </w:p>
    <w:p w14:paraId="7B4C9FED" w14:textId="77777777" w:rsidR="007450FB" w:rsidRDefault="004331E8" w:rsidP="004331E8">
      <w:pPr>
        <w:pStyle w:val="PwCNormal"/>
        <w:spacing w:before="120" w:after="120"/>
        <w:rPr>
          <w:lang w:val="en-US"/>
        </w:rPr>
      </w:pPr>
      <w:r w:rsidRPr="00434171">
        <w:rPr>
          <w:lang w:val="en-US"/>
        </w:rPr>
        <w:t xml:space="preserve">Cultural heritage, particularly Aboriginal cultural heritage, is often referred to as ‘non– renewable’ — and so it is difficult to put a monetary value on heritage loss. The cost of actions (such as fencing) that are taken in the wake of heritage loss, are actions to protect what remains rather than repair the </w:t>
      </w:r>
      <w:r w:rsidRPr="00553406">
        <w:t>damage</w:t>
      </w:r>
      <w:r w:rsidRPr="00434171">
        <w:rPr>
          <w:lang w:val="en-US"/>
        </w:rPr>
        <w:t>.</w:t>
      </w:r>
    </w:p>
    <w:p w14:paraId="45A03F35" w14:textId="77777777" w:rsidR="007450FB" w:rsidRPr="00434171" w:rsidRDefault="007450FB" w:rsidP="007450FB">
      <w:pPr>
        <w:pStyle w:val="Heading7"/>
        <w:spacing w:before="240" w:after="120"/>
        <w:rPr>
          <w:lang w:val="en-US"/>
        </w:rPr>
      </w:pPr>
      <w:r w:rsidRPr="00434171">
        <w:rPr>
          <w:lang w:val="en-US"/>
        </w:rPr>
        <w:t xml:space="preserve">Market failures in heritage protection and conservation </w:t>
      </w:r>
    </w:p>
    <w:p w14:paraId="2FA5B4B0" w14:textId="77777777" w:rsidR="007450FB" w:rsidRPr="00434171" w:rsidRDefault="007450FB" w:rsidP="007450FB">
      <w:pPr>
        <w:pStyle w:val="PwCNormal"/>
        <w:spacing w:before="120" w:after="120"/>
        <w:rPr>
          <w:lang w:val="en-US"/>
        </w:rPr>
      </w:pPr>
      <w:r w:rsidRPr="00434171">
        <w:rPr>
          <w:lang w:val="en-US"/>
        </w:rPr>
        <w:t xml:space="preserve">Without government intervention, an unacceptably low level of Aboriginal cultural heritage would be protected. </w:t>
      </w:r>
    </w:p>
    <w:p w14:paraId="03119504" w14:textId="363E47D6" w:rsidR="007450FB" w:rsidRPr="00434171" w:rsidRDefault="007450FB" w:rsidP="007450FB">
      <w:pPr>
        <w:pStyle w:val="PwCNormal"/>
        <w:spacing w:before="120" w:after="120"/>
        <w:rPr>
          <w:lang w:val="en-US"/>
        </w:rPr>
      </w:pPr>
      <w:r w:rsidRPr="00434171">
        <w:rPr>
          <w:lang w:val="en-US"/>
        </w:rPr>
        <w:t>The value of Aboriginal cultural heritage is very much linked to the particular region and community. Other groups or individuals in the broader community may not always be aware of the existence of Aboriginal cultural heritage in a place, or in relation to an object. Those groups or individuals will not take the heritage into account when making decisions about whether to protect or destroy the place or object unless it is in their interests to do so, or they are required to do so. This problem can be compounded by differing</w:t>
      </w:r>
      <w:r w:rsidR="00711A95">
        <w:rPr>
          <w:lang w:val="en-US"/>
        </w:rPr>
        <w:t xml:space="preserve"> – but equally valid –</w:t>
      </w:r>
      <w:r w:rsidRPr="00434171">
        <w:rPr>
          <w:lang w:val="en-US"/>
        </w:rPr>
        <w:t xml:space="preserve"> approaches by Aboriginal communities, and cultural </w:t>
      </w:r>
      <w:r w:rsidR="0063011C">
        <w:rPr>
          <w:lang w:val="en-US"/>
        </w:rPr>
        <w:t xml:space="preserve">heritage </w:t>
      </w:r>
      <w:r w:rsidRPr="00434171">
        <w:rPr>
          <w:lang w:val="en-US"/>
        </w:rPr>
        <w:t>sensitivities about recording and acknowledgin</w:t>
      </w:r>
      <w:r>
        <w:rPr>
          <w:lang w:val="en-US"/>
        </w:rPr>
        <w:t>g Aboriginal cultural heritage.</w:t>
      </w:r>
      <w:r w:rsidRPr="00434171">
        <w:rPr>
          <w:lang w:val="en-US"/>
        </w:rPr>
        <w:t xml:space="preserve"> These trends make understanding and recognition of Aboriginal cultural heritage less accessible for those outside of Aboriginal communities. </w:t>
      </w:r>
    </w:p>
    <w:p w14:paraId="548E5C18" w14:textId="77777777" w:rsidR="007450FB" w:rsidRPr="00434171" w:rsidRDefault="007450FB" w:rsidP="007450FB">
      <w:pPr>
        <w:pStyle w:val="PwCNormal"/>
        <w:spacing w:before="120" w:after="120"/>
        <w:rPr>
          <w:lang w:val="en-US"/>
        </w:rPr>
      </w:pPr>
      <w:r w:rsidRPr="00434171">
        <w:rPr>
          <w:lang w:val="en-US"/>
        </w:rPr>
        <w:t xml:space="preserve">Private owners of heritage places will usually invest in conservation of the place up to the point where they can realise benefits from the investment. However, there are benefits from heritage places that may not accrue to the direct owners of those places. These benefits may include the contribution to cultural identity, the benefit from the place for a region, and the benefits to the community of knowing heritage places are being preserved. </w:t>
      </w:r>
    </w:p>
    <w:p w14:paraId="746FF3E9" w14:textId="1B30B3F4" w:rsidR="007450FB" w:rsidRPr="00434171" w:rsidRDefault="007450FB" w:rsidP="007450FB">
      <w:pPr>
        <w:pStyle w:val="PwCNormal"/>
        <w:spacing w:before="120" w:after="120"/>
        <w:rPr>
          <w:lang w:val="en-US"/>
        </w:rPr>
      </w:pPr>
      <w:r w:rsidRPr="00434171">
        <w:rPr>
          <w:lang w:val="en-US"/>
        </w:rPr>
        <w:t xml:space="preserve">Where a developer does not take into account the impact on Aboriginal cultural heritage, and that heritage is lost, there are flow on costs to both Aboriginal and non– Aboriginal people. For example, </w:t>
      </w:r>
      <w:r w:rsidR="00934B94">
        <w:rPr>
          <w:lang w:val="en-US"/>
        </w:rPr>
        <w:t xml:space="preserve">John </w:t>
      </w:r>
      <w:r w:rsidRPr="00434171">
        <w:rPr>
          <w:lang w:val="en-US"/>
        </w:rPr>
        <w:t xml:space="preserve">Rolfe and </w:t>
      </w:r>
      <w:r w:rsidR="00934B94">
        <w:rPr>
          <w:lang w:val="en-US"/>
        </w:rPr>
        <w:t xml:space="preserve">Jill </w:t>
      </w:r>
      <w:r w:rsidRPr="00434171">
        <w:rPr>
          <w:lang w:val="en-US"/>
        </w:rPr>
        <w:t xml:space="preserve">Windle </w:t>
      </w:r>
      <w:r w:rsidR="006D241A">
        <w:rPr>
          <w:lang w:val="en-US"/>
        </w:rPr>
        <w:t>provided evidence</w:t>
      </w:r>
      <w:r w:rsidR="006D241A">
        <w:rPr>
          <w:rStyle w:val="FootnoteReference"/>
          <w:lang w:val="en-US"/>
        </w:rPr>
        <w:footnoteReference w:id="32"/>
      </w:r>
      <w:r w:rsidR="006D241A">
        <w:rPr>
          <w:lang w:val="en-US"/>
        </w:rPr>
        <w:t xml:space="preserve"> </w:t>
      </w:r>
      <w:r w:rsidR="003B3EF2">
        <w:rPr>
          <w:lang w:val="en-US"/>
        </w:rPr>
        <w:t xml:space="preserve">that </w:t>
      </w:r>
      <w:r w:rsidR="007A79C9">
        <w:rPr>
          <w:lang w:val="en-US"/>
        </w:rPr>
        <w:t xml:space="preserve">people </w:t>
      </w:r>
      <w:r w:rsidRPr="00434171">
        <w:rPr>
          <w:lang w:val="en-US"/>
        </w:rPr>
        <w:t xml:space="preserve">value conservation </w:t>
      </w:r>
      <w:r w:rsidR="007A79C9">
        <w:rPr>
          <w:lang w:val="en-US"/>
        </w:rPr>
        <w:t xml:space="preserve">of Aboriginal cultural heritage, </w:t>
      </w:r>
      <w:r w:rsidRPr="00434171">
        <w:rPr>
          <w:lang w:val="en-US"/>
        </w:rPr>
        <w:t>and there is a loss to numerous third parties if the heritage is inappropriately destroye</w:t>
      </w:r>
      <w:r>
        <w:rPr>
          <w:lang w:val="en-US"/>
        </w:rPr>
        <w:t>d or altered.</w:t>
      </w:r>
      <w:r w:rsidRPr="00434171">
        <w:rPr>
          <w:lang w:val="en-US"/>
        </w:rPr>
        <w:t xml:space="preserve"> </w:t>
      </w:r>
    </w:p>
    <w:p w14:paraId="05ED37C5" w14:textId="77777777" w:rsidR="007450FB" w:rsidRPr="00EE6D44" w:rsidRDefault="007450FB" w:rsidP="007450FB">
      <w:pPr>
        <w:pStyle w:val="PwCNormal"/>
        <w:spacing w:before="120" w:after="120"/>
        <w:rPr>
          <w:lang w:val="en-US"/>
        </w:rPr>
      </w:pPr>
      <w:r w:rsidRPr="00434171">
        <w:rPr>
          <w:lang w:val="en-US"/>
        </w:rPr>
        <w:t xml:space="preserve">These observations indicate that there is justification for government involvement in the protection of heritage generally and for Aboriginal cultural heritage specifically. In Victoria, this intervention has taken the form of Aboriginal cultural heritage legislation. </w:t>
      </w:r>
    </w:p>
    <w:p w14:paraId="7881396F" w14:textId="1EBAC2C0" w:rsidR="003B3EF2" w:rsidRPr="00A45C0E" w:rsidRDefault="004331E8" w:rsidP="003B3EF2">
      <w:pPr>
        <w:pStyle w:val="Heading6"/>
        <w:spacing w:before="240" w:after="120"/>
      </w:pPr>
      <w:r w:rsidRPr="00434171">
        <w:rPr>
          <w:lang w:val="en-US"/>
        </w:rPr>
        <w:t xml:space="preserve"> </w:t>
      </w:r>
      <w:r w:rsidR="003B3EF2" w:rsidRPr="00A45C0E">
        <w:t xml:space="preserve">Problems addressed by </w:t>
      </w:r>
      <w:r w:rsidR="003B3EF2">
        <w:t>the</w:t>
      </w:r>
      <w:r w:rsidR="00B37C7F">
        <w:t xml:space="preserve"> Regulations</w:t>
      </w:r>
    </w:p>
    <w:p w14:paraId="1085525C" w14:textId="2F468321" w:rsidR="003B3EF2" w:rsidRPr="00731EF9" w:rsidRDefault="003B3EF2" w:rsidP="003B3EF2">
      <w:pPr>
        <w:pStyle w:val="PwCNormal"/>
        <w:spacing w:before="120" w:after="120"/>
        <w:rPr>
          <w:lang w:val="en-US"/>
        </w:rPr>
      </w:pPr>
      <w:r w:rsidRPr="002E60BD">
        <w:rPr>
          <w:lang w:val="en-US"/>
        </w:rPr>
        <w:t xml:space="preserve">The Regulations enable the legislative framework to </w:t>
      </w:r>
      <w:r>
        <w:rPr>
          <w:lang w:val="en-US"/>
        </w:rPr>
        <w:t xml:space="preserve">ensure </w:t>
      </w:r>
      <w:r w:rsidR="00F5624F">
        <w:rPr>
          <w:lang w:val="en-US"/>
        </w:rPr>
        <w:t>strong and consistent protection of Aboriginal cultural heritage</w:t>
      </w:r>
      <w:r w:rsidRPr="002E60BD">
        <w:rPr>
          <w:lang w:val="en-US"/>
        </w:rPr>
        <w:t xml:space="preserve">. </w:t>
      </w:r>
      <w:r w:rsidR="00F5624F">
        <w:rPr>
          <w:lang w:val="en-US"/>
        </w:rPr>
        <w:t xml:space="preserve">Previously, </w:t>
      </w:r>
      <w:r w:rsidRPr="002E60BD">
        <w:rPr>
          <w:lang w:val="en-US"/>
        </w:rPr>
        <w:t>poorly defined roles</w:t>
      </w:r>
      <w:r w:rsidR="00F5624F">
        <w:rPr>
          <w:lang w:val="en-US"/>
        </w:rPr>
        <w:t xml:space="preserve"> and responsibilities and inadequate processes</w:t>
      </w:r>
      <w:r w:rsidRPr="002E60BD">
        <w:rPr>
          <w:lang w:val="en-US"/>
        </w:rPr>
        <w:t xml:space="preserve"> led </w:t>
      </w:r>
      <w:r w:rsidR="00F5624F">
        <w:rPr>
          <w:lang w:val="en-US"/>
        </w:rPr>
        <w:t xml:space="preserve">to uncertainty for land-users whilst </w:t>
      </w:r>
      <w:r w:rsidR="007F0DCC">
        <w:rPr>
          <w:lang w:val="en-US"/>
        </w:rPr>
        <w:t xml:space="preserve">places </w:t>
      </w:r>
      <w:r w:rsidR="00F5624F">
        <w:rPr>
          <w:lang w:val="en-US"/>
        </w:rPr>
        <w:t xml:space="preserve">of </w:t>
      </w:r>
      <w:r>
        <w:rPr>
          <w:lang w:val="en-US"/>
        </w:rPr>
        <w:t>Aboriginal cultural heritage</w:t>
      </w:r>
      <w:r w:rsidR="00F5624F">
        <w:rPr>
          <w:lang w:val="en-US"/>
        </w:rPr>
        <w:t xml:space="preserve"> were also damaged or destroyed</w:t>
      </w:r>
      <w:r>
        <w:rPr>
          <w:lang w:val="en-US"/>
        </w:rPr>
        <w:t>.</w:t>
      </w:r>
    </w:p>
    <w:p w14:paraId="2909B4A0" w14:textId="3F2155A4" w:rsidR="007F0DCC" w:rsidRDefault="003B3EF2" w:rsidP="003B3EF2">
      <w:pPr>
        <w:pStyle w:val="PwCNormal"/>
        <w:spacing w:before="120" w:after="120"/>
        <w:rPr>
          <w:lang w:val="en-US"/>
        </w:rPr>
      </w:pPr>
      <w:r w:rsidRPr="00A075FA">
        <w:rPr>
          <w:lang w:val="en-US"/>
        </w:rPr>
        <w:t>This section provides</w:t>
      </w:r>
      <w:r>
        <w:rPr>
          <w:lang w:val="en-US"/>
        </w:rPr>
        <w:t xml:space="preserve"> a discussion of </w:t>
      </w:r>
      <w:r w:rsidR="007F0DCC">
        <w:rPr>
          <w:lang w:val="en-US"/>
        </w:rPr>
        <w:t>the following problems:</w:t>
      </w:r>
    </w:p>
    <w:p w14:paraId="32E61EB8" w14:textId="77777777" w:rsidR="007F0DCC" w:rsidRDefault="007F0DCC" w:rsidP="00392B48">
      <w:pPr>
        <w:pStyle w:val="ListBullet"/>
        <w:rPr>
          <w:lang w:val="en-US"/>
        </w:rPr>
      </w:pPr>
      <w:r>
        <w:rPr>
          <w:lang w:val="en-US"/>
        </w:rPr>
        <w:t>Damage or destruction of Aboriginal cultural heritage.</w:t>
      </w:r>
    </w:p>
    <w:p w14:paraId="55590ABD" w14:textId="427972F0" w:rsidR="007F0DCC" w:rsidRDefault="007F0DCC" w:rsidP="00392B48">
      <w:pPr>
        <w:pStyle w:val="ListBullet"/>
        <w:rPr>
          <w:lang w:val="en-US"/>
        </w:rPr>
      </w:pPr>
      <w:r>
        <w:rPr>
          <w:lang w:val="en-US"/>
        </w:rPr>
        <w:t xml:space="preserve">CHMPs not being </w:t>
      </w:r>
      <w:r w:rsidR="00392B48">
        <w:rPr>
          <w:lang w:val="en-US"/>
        </w:rPr>
        <w:t>prepared</w:t>
      </w:r>
      <w:r>
        <w:rPr>
          <w:lang w:val="en-US"/>
        </w:rPr>
        <w:t xml:space="preserve"> to an appropriate standard.</w:t>
      </w:r>
    </w:p>
    <w:p w14:paraId="4AAB78E3" w14:textId="77777777" w:rsidR="007F0DCC" w:rsidRDefault="007F0DCC" w:rsidP="00392B48">
      <w:pPr>
        <w:pStyle w:val="ListBullet"/>
        <w:rPr>
          <w:lang w:val="en-US"/>
        </w:rPr>
      </w:pPr>
      <w:r>
        <w:rPr>
          <w:lang w:val="en-US"/>
        </w:rPr>
        <w:t>Services provided by AV and RAPs without cost recovery.</w:t>
      </w:r>
    </w:p>
    <w:p w14:paraId="65B550C9" w14:textId="7CDF4772" w:rsidR="003B3EF2" w:rsidRDefault="007F0DCC" w:rsidP="00392B48">
      <w:pPr>
        <w:pStyle w:val="ListBullet"/>
        <w:rPr>
          <w:lang w:val="en-US"/>
        </w:rPr>
      </w:pPr>
      <w:r>
        <w:rPr>
          <w:lang w:val="en-US"/>
        </w:rPr>
        <w:t>A lack of clear processes for government authorities.</w:t>
      </w:r>
    </w:p>
    <w:p w14:paraId="6FDB2F82" w14:textId="06B83581" w:rsidR="0037054D" w:rsidRPr="00A075FA" w:rsidRDefault="007A79C9" w:rsidP="0037054D">
      <w:pPr>
        <w:pStyle w:val="Heading7"/>
        <w:spacing w:before="240" w:after="120"/>
        <w:rPr>
          <w:lang w:val="en-US"/>
        </w:rPr>
      </w:pPr>
      <w:r>
        <w:rPr>
          <w:lang w:val="en-US"/>
        </w:rPr>
        <w:t xml:space="preserve">Damage or destruction of </w:t>
      </w:r>
      <w:r w:rsidR="0037054D" w:rsidRPr="00A45C0E">
        <w:rPr>
          <w:lang w:val="en-US"/>
        </w:rPr>
        <w:t xml:space="preserve">Aboriginal cultural heritage </w:t>
      </w:r>
    </w:p>
    <w:p w14:paraId="7E6F9E46" w14:textId="2F4818B4" w:rsidR="0037054D" w:rsidRPr="0037054D" w:rsidRDefault="00AF2999" w:rsidP="0037054D">
      <w:pPr>
        <w:pStyle w:val="PwCNormal"/>
      </w:pPr>
      <w:r>
        <w:t>The most fundamental problem that</w:t>
      </w:r>
      <w:r w:rsidR="007A79C9">
        <w:t xml:space="preserve"> the Regulations </w:t>
      </w:r>
      <w:r w:rsidR="00416C0A">
        <w:t>seek to</w:t>
      </w:r>
      <w:r w:rsidR="007A79C9">
        <w:t xml:space="preserve"> address is damage or destruction</w:t>
      </w:r>
      <w:r>
        <w:t xml:space="preserve"> of </w:t>
      </w:r>
      <w:r w:rsidR="0063011C">
        <w:t xml:space="preserve">places </w:t>
      </w:r>
      <w:r>
        <w:t xml:space="preserve">and </w:t>
      </w:r>
      <w:r w:rsidR="0063011C">
        <w:t xml:space="preserve">objects </w:t>
      </w:r>
      <w:r>
        <w:t>of Aboriginal cultural heritage.</w:t>
      </w:r>
      <w:r w:rsidR="007A79C9">
        <w:t xml:space="preserve"> The Regulations put in place two ‘triggers’</w:t>
      </w:r>
      <w:r w:rsidR="00A006F3">
        <w:t xml:space="preserve"> under which a CHMP must be </w:t>
      </w:r>
      <w:r w:rsidR="00392B48">
        <w:t>prepared</w:t>
      </w:r>
      <w:r w:rsidR="00A006F3">
        <w:t xml:space="preserve">. These are needed because the </w:t>
      </w:r>
      <w:r w:rsidR="0037054D" w:rsidRPr="0037054D">
        <w:t xml:space="preserve">number of Aboriginal cultural heritage places or objects in Victoria is unknown. Those that have been identified and registered are estimated to be only a small proportion of the actual number (as noted above, most places of Aboriginal cultural heritage have not yet been located). </w:t>
      </w:r>
      <w:r w:rsidR="00EA6133">
        <w:t>AV</w:t>
      </w:r>
      <w:r w:rsidR="0037054D" w:rsidRPr="0037054D">
        <w:t xml:space="preserve"> has a register which, prior to the current framework had approximately 28,000 entries (of places, objects, collections, literary references, destroyed sites and non–sites) with some 1000 new records being added each year. </w:t>
      </w:r>
    </w:p>
    <w:p w14:paraId="3565D141" w14:textId="5D767204" w:rsidR="00A26EDC" w:rsidRDefault="0037054D" w:rsidP="0037054D">
      <w:pPr>
        <w:pStyle w:val="PwCNormal"/>
        <w:numPr>
          <w:ilvl w:val="0"/>
          <w:numId w:val="0"/>
        </w:numPr>
        <w:rPr>
          <w:lang w:val="en-US"/>
        </w:rPr>
      </w:pPr>
      <w:r>
        <w:rPr>
          <w:lang w:val="en-US"/>
        </w:rPr>
        <w:t xml:space="preserve">An analysis </w:t>
      </w:r>
      <w:r w:rsidRPr="00A075FA">
        <w:rPr>
          <w:lang w:val="en-US"/>
        </w:rPr>
        <w:t>was conducted as part of the Gippsland Coastal Towns Site Review 2006</w:t>
      </w:r>
      <w:r w:rsidRPr="00712F46">
        <w:rPr>
          <w:lang w:val="en-US"/>
        </w:rPr>
        <w:t>–2007. As part of this rev</w:t>
      </w:r>
      <w:r w:rsidRPr="00A075FA">
        <w:rPr>
          <w:lang w:val="en-US"/>
        </w:rPr>
        <w:t xml:space="preserve">iew, </w:t>
      </w:r>
      <w:r w:rsidR="0068586F">
        <w:rPr>
          <w:lang w:val="en-US"/>
        </w:rPr>
        <w:t>AV</w:t>
      </w:r>
      <w:r w:rsidRPr="00A075FA">
        <w:rPr>
          <w:lang w:val="en-US"/>
        </w:rPr>
        <w:t xml:space="preserve"> </w:t>
      </w:r>
      <w:r w:rsidR="007A79C9">
        <w:rPr>
          <w:lang w:val="en-US"/>
        </w:rPr>
        <w:t xml:space="preserve">staff </w:t>
      </w:r>
      <w:r w:rsidRPr="00A075FA">
        <w:rPr>
          <w:lang w:val="en-US"/>
        </w:rPr>
        <w:t>revisited fifty</w:t>
      </w:r>
      <w:r w:rsidRPr="00712F46">
        <w:rPr>
          <w:lang w:val="en-US"/>
        </w:rPr>
        <w:t>–seven sites that were recorded over the past thirty years. Twelve of these sites (21 per cent) had been disturbed or destroyed by development activities</w:t>
      </w:r>
      <w:r w:rsidR="002D2CE5">
        <w:rPr>
          <w:lang w:val="en-US"/>
        </w:rPr>
        <w:t xml:space="preserve"> without approval</w:t>
      </w:r>
      <w:r w:rsidRPr="00712F46">
        <w:rPr>
          <w:lang w:val="en-US"/>
        </w:rPr>
        <w:t xml:space="preserve">. </w:t>
      </w:r>
      <w:r w:rsidR="00D46B61">
        <w:rPr>
          <w:lang w:val="en-US"/>
        </w:rPr>
        <w:t>If</w:t>
      </w:r>
      <w:r w:rsidRPr="00712F46">
        <w:rPr>
          <w:lang w:val="en-US"/>
        </w:rPr>
        <w:t xml:space="preserve"> the area reviewed is broadly representa</w:t>
      </w:r>
      <w:r w:rsidRPr="00A075FA">
        <w:rPr>
          <w:lang w:val="en-US"/>
        </w:rPr>
        <w:t>tive of the rest of Victoria, this implies that at least 196</w:t>
      </w:r>
      <w:r w:rsidR="00F1519C">
        <w:rPr>
          <w:rStyle w:val="FootnoteReference"/>
          <w:lang w:val="en-US"/>
        </w:rPr>
        <w:footnoteReference w:id="33"/>
      </w:r>
      <w:r w:rsidR="00F1519C" w:rsidRPr="00A075FA">
        <w:rPr>
          <w:lang w:val="en-US"/>
        </w:rPr>
        <w:t xml:space="preserve"> </w:t>
      </w:r>
      <w:r w:rsidRPr="00A075FA">
        <w:rPr>
          <w:lang w:val="en-US"/>
        </w:rPr>
        <w:t>known sites</w:t>
      </w:r>
      <w:r w:rsidR="00F1519C">
        <w:rPr>
          <w:lang w:val="en-US"/>
        </w:rPr>
        <w:t xml:space="preserve"> </w:t>
      </w:r>
      <w:r>
        <w:rPr>
          <w:lang w:val="en-US"/>
        </w:rPr>
        <w:t>were</w:t>
      </w:r>
      <w:r w:rsidRPr="00A075FA">
        <w:rPr>
          <w:lang w:val="en-US"/>
        </w:rPr>
        <w:t xml:space="preserve"> disturbed or destroyed by developments in Victoria each year witho</w:t>
      </w:r>
      <w:r>
        <w:rPr>
          <w:lang w:val="en-US"/>
        </w:rPr>
        <w:t>ut any assessment or consent.</w:t>
      </w:r>
      <w:r w:rsidR="002D2CE5">
        <w:rPr>
          <w:rStyle w:val="FootnoteReference"/>
          <w:lang w:val="en-US"/>
        </w:rPr>
        <w:footnoteReference w:id="34"/>
      </w:r>
      <w:r w:rsidR="00F1519C">
        <w:rPr>
          <w:lang w:val="en-US"/>
        </w:rPr>
        <w:t xml:space="preserve"> </w:t>
      </w:r>
    </w:p>
    <w:p w14:paraId="7C8D8627" w14:textId="613B3236" w:rsidR="0037054D" w:rsidRPr="00A45C0E" w:rsidRDefault="00A26EDC" w:rsidP="0037054D">
      <w:pPr>
        <w:pStyle w:val="PwCNormal"/>
        <w:numPr>
          <w:ilvl w:val="0"/>
          <w:numId w:val="0"/>
        </w:numPr>
        <w:rPr>
          <w:lang w:val="en-US"/>
        </w:rPr>
      </w:pPr>
      <w:r>
        <w:rPr>
          <w:lang w:val="en-US"/>
        </w:rPr>
        <w:t xml:space="preserve">It is unknown whether the study area concerned is representative of the state (due to the </w:t>
      </w:r>
      <w:r w:rsidR="00B03679">
        <w:rPr>
          <w:lang w:val="en-US"/>
        </w:rPr>
        <w:t xml:space="preserve">extent of </w:t>
      </w:r>
      <w:r>
        <w:rPr>
          <w:lang w:val="en-US"/>
        </w:rPr>
        <w:t xml:space="preserve">Aboriginal cultural heritage </w:t>
      </w:r>
      <w:r w:rsidR="00B03679">
        <w:rPr>
          <w:lang w:val="en-US"/>
        </w:rPr>
        <w:t xml:space="preserve">in each region </w:t>
      </w:r>
      <w:r>
        <w:rPr>
          <w:lang w:val="en-US"/>
        </w:rPr>
        <w:t>being unknown until it is discovered)</w:t>
      </w:r>
      <w:r w:rsidR="00B03679">
        <w:rPr>
          <w:lang w:val="en-US"/>
        </w:rPr>
        <w:t>, or whether any or all the sites disturbed or destroyed would have been saved if the Regulations were in place</w:t>
      </w:r>
      <w:r>
        <w:rPr>
          <w:lang w:val="en-US"/>
        </w:rPr>
        <w:t xml:space="preserve">. </w:t>
      </w:r>
      <w:r w:rsidR="00B03679">
        <w:rPr>
          <w:lang w:val="en-US"/>
        </w:rPr>
        <w:t>As such, t</w:t>
      </w:r>
      <w:r w:rsidR="00F1519C">
        <w:rPr>
          <w:lang w:val="en-US"/>
        </w:rPr>
        <w:t xml:space="preserve">his </w:t>
      </w:r>
      <w:r w:rsidR="00B03679">
        <w:rPr>
          <w:lang w:val="en-US"/>
        </w:rPr>
        <w:t xml:space="preserve">study </w:t>
      </w:r>
      <w:r w:rsidR="00F1519C">
        <w:rPr>
          <w:lang w:val="en-US"/>
        </w:rPr>
        <w:t xml:space="preserve">does not necessarily </w:t>
      </w:r>
      <w:r w:rsidR="00416C0A">
        <w:rPr>
          <w:lang w:val="en-US"/>
        </w:rPr>
        <w:t>reflect what would happen in the</w:t>
      </w:r>
      <w:r w:rsidR="00F1519C">
        <w:rPr>
          <w:lang w:val="en-US"/>
        </w:rPr>
        <w:t xml:space="preserve"> base case (in the case that no Regulations were in place) as the Regulations prompt land-users to identify</w:t>
      </w:r>
      <w:r w:rsidR="00575A6E">
        <w:rPr>
          <w:lang w:val="en-US"/>
        </w:rPr>
        <w:t>, assess</w:t>
      </w:r>
      <w:r w:rsidR="00F1519C">
        <w:rPr>
          <w:lang w:val="en-US"/>
        </w:rPr>
        <w:t xml:space="preserve"> and preserve new sites as well as protecting recorded sites. It does, however, </w:t>
      </w:r>
      <w:r w:rsidR="00416C0A">
        <w:rPr>
          <w:lang w:val="en-US"/>
        </w:rPr>
        <w:t xml:space="preserve">give a sense of the potential size and nature of </w:t>
      </w:r>
      <w:r w:rsidR="00F1519C">
        <w:rPr>
          <w:lang w:val="en-US"/>
        </w:rPr>
        <w:t>the problem the Regulations are attempting to address.</w:t>
      </w:r>
    </w:p>
    <w:p w14:paraId="26D30051" w14:textId="5DAED1FB" w:rsidR="00450C01" w:rsidRDefault="00450C01" w:rsidP="0037054D">
      <w:pPr>
        <w:pStyle w:val="PwCNormal"/>
        <w:spacing w:before="120" w:after="120"/>
        <w:rPr>
          <w:lang w:val="en-US"/>
        </w:rPr>
      </w:pPr>
      <w:r>
        <w:rPr>
          <w:lang w:val="en-US"/>
        </w:rPr>
        <w:t xml:space="preserve">The Regulations fundamentally address the problem of </w:t>
      </w:r>
      <w:r w:rsidR="00205D82">
        <w:rPr>
          <w:lang w:val="en-US"/>
        </w:rPr>
        <w:t xml:space="preserve">CHMPs not being undertaken when Aboriginal </w:t>
      </w:r>
      <w:r w:rsidR="00AF2999">
        <w:rPr>
          <w:lang w:val="en-US"/>
        </w:rPr>
        <w:t xml:space="preserve">cultural </w:t>
      </w:r>
      <w:r w:rsidR="00205D82">
        <w:rPr>
          <w:lang w:val="en-US"/>
        </w:rPr>
        <w:t xml:space="preserve">heritage is present and may be damaged or destroyed. If they were not in place, land-users would be able to </w:t>
      </w:r>
      <w:r w:rsidR="00AF2999">
        <w:rPr>
          <w:lang w:val="en-US"/>
        </w:rPr>
        <w:t xml:space="preserve">undertake development without regard for possible </w:t>
      </w:r>
      <w:r w:rsidR="0063011C">
        <w:rPr>
          <w:lang w:val="en-US"/>
        </w:rPr>
        <w:t>places or objects</w:t>
      </w:r>
      <w:r w:rsidR="00AF2999">
        <w:rPr>
          <w:lang w:val="en-US"/>
        </w:rPr>
        <w:t xml:space="preserve"> of significant Aboriginal cultural heritage. Furthermore, there would not be a process for consulting </w:t>
      </w:r>
      <w:r w:rsidR="0063011C">
        <w:rPr>
          <w:lang w:val="en-US"/>
        </w:rPr>
        <w:t xml:space="preserve">Traditional Owner </w:t>
      </w:r>
      <w:r w:rsidR="00AF2999">
        <w:rPr>
          <w:lang w:val="en-US"/>
        </w:rPr>
        <w:t>groups or heritage advisors.</w:t>
      </w:r>
      <w:r w:rsidR="00AF2999" w:rsidRPr="00AF2999">
        <w:rPr>
          <w:lang w:val="en-US"/>
        </w:rPr>
        <w:t xml:space="preserve"> </w:t>
      </w:r>
      <w:r w:rsidR="00AF2999">
        <w:rPr>
          <w:lang w:val="en-US"/>
        </w:rPr>
        <w:t>Prior to the current Regulations, an</w:t>
      </w:r>
      <w:r w:rsidR="00AF2999" w:rsidRPr="00A075FA">
        <w:rPr>
          <w:lang w:val="en-US"/>
        </w:rPr>
        <w:t xml:space="preserve"> Aboriginal organisation </w:t>
      </w:r>
      <w:r w:rsidR="00AF2999">
        <w:rPr>
          <w:lang w:val="en-US"/>
        </w:rPr>
        <w:t xml:space="preserve">gave the example of where </w:t>
      </w:r>
      <w:r w:rsidR="00AF2999" w:rsidRPr="00A075FA">
        <w:rPr>
          <w:lang w:val="en-US"/>
        </w:rPr>
        <w:t>they became aware of development activity in a culturally sensitive area only because the development occurred directly opposite their offices</w:t>
      </w:r>
      <w:r w:rsidR="00AF2999">
        <w:rPr>
          <w:lang w:val="en-US"/>
        </w:rPr>
        <w:t>. Another</w:t>
      </w:r>
      <w:r w:rsidR="00AF2999" w:rsidRPr="00A075FA">
        <w:rPr>
          <w:lang w:val="en-US"/>
        </w:rPr>
        <w:t xml:space="preserve"> Aboriginal group advised that one of their members felt the need to drive around development sites to look for instances of developments occurring without proper consideration of heritage issues or consultation with the local Aboriginal community.</w:t>
      </w:r>
      <w:r w:rsidR="00AF2999">
        <w:rPr>
          <w:rStyle w:val="FootnoteReference"/>
          <w:lang w:val="en-US"/>
        </w:rPr>
        <w:footnoteReference w:id="35"/>
      </w:r>
    </w:p>
    <w:p w14:paraId="036CF628" w14:textId="002944B1" w:rsidR="00D15529" w:rsidRPr="0037054D" w:rsidRDefault="00D15529" w:rsidP="0037054D">
      <w:pPr>
        <w:pStyle w:val="PwCNormal"/>
        <w:spacing w:before="120" w:after="120"/>
        <w:rPr>
          <w:lang w:val="en-US"/>
        </w:rPr>
      </w:pPr>
      <w:r>
        <w:rPr>
          <w:lang w:val="en-US"/>
        </w:rPr>
        <w:t>Section</w:t>
      </w:r>
      <w:r w:rsidR="00575A6E">
        <w:rPr>
          <w:lang w:val="en-US"/>
        </w:rPr>
        <w:t xml:space="preserve">s </w:t>
      </w:r>
      <w:r w:rsidR="00575A6E">
        <w:rPr>
          <w:lang w:val="en-US"/>
        </w:rPr>
        <w:fldChar w:fldCharType="begin"/>
      </w:r>
      <w:r w:rsidR="00575A6E">
        <w:rPr>
          <w:lang w:val="en-US"/>
        </w:rPr>
        <w:instrText xml:space="preserve"> REF _Ref504550281 \n \h </w:instrText>
      </w:r>
      <w:r w:rsidR="00575A6E">
        <w:rPr>
          <w:lang w:val="en-US"/>
        </w:rPr>
      </w:r>
      <w:r w:rsidR="00575A6E">
        <w:rPr>
          <w:lang w:val="en-US"/>
        </w:rPr>
        <w:fldChar w:fldCharType="separate"/>
      </w:r>
      <w:r w:rsidR="000369A1">
        <w:rPr>
          <w:lang w:val="en-US"/>
        </w:rPr>
        <w:t>6.2.2</w:t>
      </w:r>
      <w:r w:rsidR="00575A6E">
        <w:rPr>
          <w:lang w:val="en-US"/>
        </w:rPr>
        <w:fldChar w:fldCharType="end"/>
      </w:r>
      <w:r w:rsidR="00575A6E">
        <w:rPr>
          <w:lang w:val="en-US"/>
        </w:rPr>
        <w:t xml:space="preserve"> and </w:t>
      </w:r>
      <w:r w:rsidR="00575A6E">
        <w:rPr>
          <w:lang w:val="en-US"/>
        </w:rPr>
        <w:fldChar w:fldCharType="begin"/>
      </w:r>
      <w:r w:rsidR="00575A6E">
        <w:rPr>
          <w:lang w:val="en-US"/>
        </w:rPr>
        <w:instrText xml:space="preserve"> REF _Ref504550292 \n \h </w:instrText>
      </w:r>
      <w:r w:rsidR="00575A6E">
        <w:rPr>
          <w:lang w:val="en-US"/>
        </w:rPr>
      </w:r>
      <w:r w:rsidR="00575A6E">
        <w:rPr>
          <w:lang w:val="en-US"/>
        </w:rPr>
        <w:fldChar w:fldCharType="separate"/>
      </w:r>
      <w:r w:rsidR="000369A1">
        <w:rPr>
          <w:lang w:val="en-US"/>
        </w:rPr>
        <w:t>6.2.3</w:t>
      </w:r>
      <w:r w:rsidR="00575A6E">
        <w:rPr>
          <w:lang w:val="en-US"/>
        </w:rPr>
        <w:fldChar w:fldCharType="end"/>
      </w:r>
      <w:r>
        <w:rPr>
          <w:lang w:val="en-US"/>
        </w:rPr>
        <w:t xml:space="preserve"> outline the specific benefits of protection of </w:t>
      </w:r>
      <w:r w:rsidR="00C36888">
        <w:rPr>
          <w:lang w:val="en-US"/>
        </w:rPr>
        <w:t xml:space="preserve">places of </w:t>
      </w:r>
      <w:r>
        <w:rPr>
          <w:lang w:val="en-US"/>
        </w:rPr>
        <w:t xml:space="preserve">Aboriginal cultural heritage </w:t>
      </w:r>
      <w:r w:rsidR="00AF2999">
        <w:rPr>
          <w:lang w:val="en-US"/>
        </w:rPr>
        <w:t>to the community</w:t>
      </w:r>
      <w:r>
        <w:rPr>
          <w:lang w:val="en-US"/>
        </w:rPr>
        <w:t>.</w:t>
      </w:r>
    </w:p>
    <w:p w14:paraId="0C6A75EF" w14:textId="4A3CF199" w:rsidR="007A79C9" w:rsidRDefault="007A79C9" w:rsidP="003B3EF2">
      <w:pPr>
        <w:pStyle w:val="Heading7"/>
        <w:spacing w:before="240" w:after="120"/>
        <w:rPr>
          <w:lang w:val="en-US"/>
        </w:rPr>
      </w:pPr>
      <w:r>
        <w:rPr>
          <w:lang w:val="en-US"/>
        </w:rPr>
        <w:t xml:space="preserve">CHMPs not being </w:t>
      </w:r>
      <w:r w:rsidR="00392B48">
        <w:rPr>
          <w:lang w:val="en-US"/>
        </w:rPr>
        <w:t xml:space="preserve">prepared </w:t>
      </w:r>
      <w:r>
        <w:rPr>
          <w:lang w:val="en-US"/>
        </w:rPr>
        <w:t xml:space="preserve">to </w:t>
      </w:r>
      <w:r w:rsidR="00A006F3">
        <w:rPr>
          <w:lang w:val="en-US"/>
        </w:rPr>
        <w:t>an appropriate standard</w:t>
      </w:r>
    </w:p>
    <w:p w14:paraId="68D001E0" w14:textId="1F0D565F" w:rsidR="00A006F3" w:rsidRDefault="00471F10" w:rsidP="00A006F3">
      <w:pPr>
        <w:pStyle w:val="PwCNormal"/>
        <w:rPr>
          <w:lang w:val="en-US"/>
        </w:rPr>
      </w:pPr>
      <w:r>
        <w:rPr>
          <w:lang w:val="en-US"/>
        </w:rPr>
        <w:t xml:space="preserve">If possible Aboriginal cultural heritage is identified and a CHMP triggered, this does not necessarily lead to its protection. The standards for a CHMP required under the Regulations are in place to ensure that if a CHMP is </w:t>
      </w:r>
      <w:r w:rsidR="00392B48">
        <w:rPr>
          <w:lang w:val="en-US"/>
        </w:rPr>
        <w:t>prepared</w:t>
      </w:r>
      <w:r>
        <w:rPr>
          <w:lang w:val="en-US"/>
        </w:rPr>
        <w:t xml:space="preserve">, Aboriginal cultural heritage is identified and appropriately managed. </w:t>
      </w:r>
    </w:p>
    <w:p w14:paraId="77848859" w14:textId="418AAC59" w:rsidR="009D049F" w:rsidRDefault="00995B5E" w:rsidP="009D049F">
      <w:pPr>
        <w:pStyle w:val="PwCNormal"/>
        <w:numPr>
          <w:ilvl w:val="0"/>
          <w:numId w:val="0"/>
        </w:numPr>
        <w:rPr>
          <w:lang w:val="en-US"/>
        </w:rPr>
      </w:pPr>
      <w:r>
        <w:rPr>
          <w:lang w:val="en-US"/>
        </w:rPr>
        <w:t xml:space="preserve">The standards </w:t>
      </w:r>
      <w:r w:rsidR="009D049F">
        <w:rPr>
          <w:lang w:val="en-US"/>
        </w:rPr>
        <w:t xml:space="preserve">in the </w:t>
      </w:r>
      <w:r w:rsidR="00D46B61">
        <w:rPr>
          <w:lang w:val="en-US"/>
        </w:rPr>
        <w:t xml:space="preserve">current </w:t>
      </w:r>
      <w:r w:rsidR="009D049F">
        <w:rPr>
          <w:lang w:val="en-US"/>
        </w:rPr>
        <w:t xml:space="preserve">Regulations </w:t>
      </w:r>
      <w:r>
        <w:rPr>
          <w:lang w:val="en-US"/>
        </w:rPr>
        <w:t xml:space="preserve">provide for tiered levels of assessment based on the probability and significance of Aboriginal cultural heritage. </w:t>
      </w:r>
      <w:r w:rsidR="009D049F">
        <w:rPr>
          <w:lang w:val="en-US"/>
        </w:rPr>
        <w:t>If all CHMP</w:t>
      </w:r>
      <w:r w:rsidR="001C77E1">
        <w:rPr>
          <w:lang w:val="en-US"/>
        </w:rPr>
        <w:t>s</w:t>
      </w:r>
      <w:r w:rsidR="009D049F">
        <w:rPr>
          <w:lang w:val="en-US"/>
        </w:rPr>
        <w:t xml:space="preserve"> were required to </w:t>
      </w:r>
      <w:r w:rsidR="00392B48">
        <w:rPr>
          <w:lang w:val="en-US"/>
        </w:rPr>
        <w:t xml:space="preserve">prepare </w:t>
      </w:r>
      <w:r w:rsidR="009D049F">
        <w:rPr>
          <w:lang w:val="en-US"/>
        </w:rPr>
        <w:t>the same level of assessment:</w:t>
      </w:r>
    </w:p>
    <w:p w14:paraId="1B33E979" w14:textId="1EDEFF08" w:rsidR="009D049F" w:rsidRDefault="00C36888" w:rsidP="009D049F">
      <w:pPr>
        <w:pStyle w:val="ListBullet"/>
        <w:rPr>
          <w:lang w:val="en-US"/>
        </w:rPr>
      </w:pPr>
      <w:r>
        <w:rPr>
          <w:lang w:val="en-US"/>
        </w:rPr>
        <w:t>t</w:t>
      </w:r>
      <w:r w:rsidR="009D049F">
        <w:rPr>
          <w:lang w:val="en-US"/>
        </w:rPr>
        <w:t>oo great a burden would be imposed on some land-users compared to the probability of Aboriginal cultural heritage</w:t>
      </w:r>
      <w:r w:rsidR="00DF1C54">
        <w:rPr>
          <w:lang w:val="en-US"/>
        </w:rPr>
        <w:t xml:space="preserve"> being identified</w:t>
      </w:r>
      <w:r w:rsidR="009D049F">
        <w:rPr>
          <w:lang w:val="en-US"/>
        </w:rPr>
        <w:t xml:space="preserve"> and the impact of the development</w:t>
      </w:r>
      <w:r>
        <w:rPr>
          <w:lang w:val="en-US"/>
        </w:rPr>
        <w:t>, or</w:t>
      </w:r>
    </w:p>
    <w:p w14:paraId="3638EDE6" w14:textId="6BEAA9C0" w:rsidR="00C36888" w:rsidRDefault="00C36888" w:rsidP="009D049F">
      <w:pPr>
        <w:pStyle w:val="ListBullet"/>
        <w:rPr>
          <w:lang w:val="en-US"/>
        </w:rPr>
      </w:pPr>
      <w:r>
        <w:rPr>
          <w:lang w:val="en-US"/>
        </w:rPr>
        <w:t>s</w:t>
      </w:r>
      <w:r w:rsidR="009D049F">
        <w:rPr>
          <w:lang w:val="en-US"/>
        </w:rPr>
        <w:t xml:space="preserve">ome assessments would not be rigorous enough relative to the probability of Aboriginal cultural heritage </w:t>
      </w:r>
      <w:r w:rsidR="00DF1C54">
        <w:rPr>
          <w:lang w:val="en-US"/>
        </w:rPr>
        <w:t xml:space="preserve">being identified </w:t>
      </w:r>
      <w:r w:rsidR="009D049F">
        <w:rPr>
          <w:lang w:val="en-US"/>
        </w:rPr>
        <w:t>and the impact of development.</w:t>
      </w:r>
      <w:r>
        <w:rPr>
          <w:lang w:val="en-US"/>
        </w:rPr>
        <w:t xml:space="preserve"> </w:t>
      </w:r>
    </w:p>
    <w:p w14:paraId="6B3CD45B" w14:textId="247F0E68" w:rsidR="009D049F" w:rsidRPr="00C36888" w:rsidRDefault="00C36888" w:rsidP="00C36888">
      <w:pPr>
        <w:pStyle w:val="PwCNormal"/>
        <w:rPr>
          <w:lang w:val="en-US"/>
        </w:rPr>
      </w:pPr>
      <w:r w:rsidRPr="00C36888">
        <w:rPr>
          <w:lang w:val="en-US"/>
        </w:rPr>
        <w:t xml:space="preserve">Given that CHMPs with complex assessments make up </w:t>
      </w:r>
      <w:r w:rsidR="00DF1C54">
        <w:rPr>
          <w:lang w:val="en-US"/>
        </w:rPr>
        <w:t xml:space="preserve">around </w:t>
      </w:r>
      <w:r w:rsidRPr="00C36888">
        <w:rPr>
          <w:lang w:val="en-US"/>
        </w:rPr>
        <w:t>80 per cent of all CHMPs, a uniform level of assessment</w:t>
      </w:r>
      <w:r>
        <w:rPr>
          <w:lang w:val="en-US"/>
        </w:rPr>
        <w:t xml:space="preserve"> </w:t>
      </w:r>
      <w:r w:rsidR="005E6536">
        <w:rPr>
          <w:lang w:val="en-US"/>
        </w:rPr>
        <w:t>means</w:t>
      </w:r>
      <w:r>
        <w:rPr>
          <w:lang w:val="en-US"/>
        </w:rPr>
        <w:t xml:space="preserve"> the lat</w:t>
      </w:r>
      <w:r w:rsidR="005E6536">
        <w:rPr>
          <w:lang w:val="en-US"/>
        </w:rPr>
        <w:t>t</w:t>
      </w:r>
      <w:r>
        <w:rPr>
          <w:lang w:val="en-US"/>
        </w:rPr>
        <w:t xml:space="preserve">er point would </w:t>
      </w:r>
      <w:r w:rsidR="005E6536">
        <w:rPr>
          <w:lang w:val="en-US"/>
        </w:rPr>
        <w:t xml:space="preserve">be most likely to </w:t>
      </w:r>
      <w:r>
        <w:rPr>
          <w:lang w:val="en-US"/>
        </w:rPr>
        <w:t>apply.</w:t>
      </w:r>
    </w:p>
    <w:p w14:paraId="553D236F" w14:textId="071EBF68" w:rsidR="009D049F" w:rsidRDefault="009D049F" w:rsidP="009D049F">
      <w:pPr>
        <w:pStyle w:val="ListBullet"/>
        <w:numPr>
          <w:ilvl w:val="0"/>
          <w:numId w:val="0"/>
        </w:numPr>
        <w:rPr>
          <w:lang w:val="en-US"/>
        </w:rPr>
      </w:pPr>
      <w:r>
        <w:rPr>
          <w:lang w:val="en-US"/>
        </w:rPr>
        <w:t xml:space="preserve">Conversely, if the standards for </w:t>
      </w:r>
      <w:r w:rsidR="005E6536">
        <w:rPr>
          <w:lang w:val="en-US"/>
        </w:rPr>
        <w:t xml:space="preserve">each tier of assessment for </w:t>
      </w:r>
      <w:r>
        <w:rPr>
          <w:lang w:val="en-US"/>
        </w:rPr>
        <w:t xml:space="preserve">a CHMP were determined by a land-user themselves, it is unlikely that land-users would </w:t>
      </w:r>
      <w:r w:rsidR="00392B48">
        <w:rPr>
          <w:lang w:val="en-US"/>
        </w:rPr>
        <w:t xml:space="preserve">prepare </w:t>
      </w:r>
      <w:r>
        <w:rPr>
          <w:lang w:val="en-US"/>
        </w:rPr>
        <w:t>CHMPs at a rigorous enough level for AV or RAPs to adequately review.</w:t>
      </w:r>
    </w:p>
    <w:p w14:paraId="5A184B1E" w14:textId="2F70927B" w:rsidR="00A60160" w:rsidRDefault="00A60160" w:rsidP="009D049F">
      <w:pPr>
        <w:pStyle w:val="ListBullet"/>
        <w:numPr>
          <w:ilvl w:val="0"/>
          <w:numId w:val="0"/>
        </w:numPr>
        <w:rPr>
          <w:lang w:val="en-US"/>
        </w:rPr>
      </w:pPr>
      <w:r>
        <w:rPr>
          <w:lang w:val="en-US"/>
        </w:rPr>
        <w:t xml:space="preserve">In addition to the standards for a CHMP, the Regulations also prescribe forms for other mechanisms such as CHPs and PAHTs. As with the standards, these </w:t>
      </w:r>
      <w:r w:rsidR="005E6536">
        <w:rPr>
          <w:lang w:val="en-US"/>
        </w:rPr>
        <w:t xml:space="preserve">aim to </w:t>
      </w:r>
      <w:r>
        <w:rPr>
          <w:lang w:val="en-US"/>
        </w:rPr>
        <w:t xml:space="preserve">ensure </w:t>
      </w:r>
      <w:r w:rsidR="0063011C">
        <w:rPr>
          <w:lang w:val="en-US"/>
        </w:rPr>
        <w:t>consistency and rigour.</w:t>
      </w:r>
    </w:p>
    <w:p w14:paraId="71A9A4D9" w14:textId="37E92FB7" w:rsidR="00995B5E" w:rsidRDefault="00995B5E" w:rsidP="003B3EF2">
      <w:pPr>
        <w:pStyle w:val="Heading7"/>
        <w:spacing w:before="240" w:after="120"/>
        <w:rPr>
          <w:lang w:val="en-US"/>
        </w:rPr>
      </w:pPr>
      <w:r>
        <w:rPr>
          <w:lang w:val="en-US"/>
        </w:rPr>
        <w:t>Services provided by AV and RAPs without cost recovery</w:t>
      </w:r>
    </w:p>
    <w:p w14:paraId="3ACF25C8" w14:textId="6C917A74" w:rsidR="00995B5E" w:rsidRPr="00995B5E" w:rsidRDefault="009D049F" w:rsidP="00995B5E">
      <w:pPr>
        <w:pStyle w:val="PwCNormal"/>
        <w:rPr>
          <w:lang w:val="en-US"/>
        </w:rPr>
      </w:pPr>
      <w:r>
        <w:rPr>
          <w:lang w:val="en-US"/>
        </w:rPr>
        <w:t xml:space="preserve">The Act assigns a role for AV and RAPs to undertake </w:t>
      </w:r>
      <w:r w:rsidR="006F61FC">
        <w:rPr>
          <w:lang w:val="en-US"/>
        </w:rPr>
        <w:t xml:space="preserve">evaluations </w:t>
      </w:r>
      <w:r>
        <w:rPr>
          <w:lang w:val="en-US"/>
        </w:rPr>
        <w:t>of various regulatory mechanisms such as CHP</w:t>
      </w:r>
      <w:r w:rsidR="006F61FC">
        <w:rPr>
          <w:lang w:val="en-US"/>
        </w:rPr>
        <w:t xml:space="preserve"> applications</w:t>
      </w:r>
      <w:r>
        <w:rPr>
          <w:lang w:val="en-US"/>
        </w:rPr>
        <w:t>, PAHTs and CHMPs</w:t>
      </w:r>
      <w:r w:rsidR="00EA6133">
        <w:rPr>
          <w:lang w:val="en-US"/>
        </w:rPr>
        <w:t>, which require expenditure (generally on staff costs) by AV and RAPs</w:t>
      </w:r>
      <w:r>
        <w:rPr>
          <w:lang w:val="en-US"/>
        </w:rPr>
        <w:t xml:space="preserve">. The Regulations </w:t>
      </w:r>
      <w:r w:rsidR="00A60160">
        <w:rPr>
          <w:lang w:val="en-US"/>
        </w:rPr>
        <w:t xml:space="preserve">specify fees that to be charged for various </w:t>
      </w:r>
      <w:r w:rsidR="006F61FC">
        <w:rPr>
          <w:lang w:val="en-US"/>
        </w:rPr>
        <w:t>applications</w:t>
      </w:r>
      <w:r w:rsidR="00A60160">
        <w:rPr>
          <w:lang w:val="en-US"/>
        </w:rPr>
        <w:t>. This enables AV and RAPs to cover the cost of providing the services required. AV would instead be required to rely on general revenue, and RAPs on private sources of funding</w:t>
      </w:r>
      <w:r w:rsidR="008603AA">
        <w:rPr>
          <w:lang w:val="en-US"/>
        </w:rPr>
        <w:t xml:space="preserve"> or grants from Government</w:t>
      </w:r>
      <w:r w:rsidR="00A60160">
        <w:rPr>
          <w:lang w:val="en-US"/>
        </w:rPr>
        <w:t xml:space="preserve">. </w:t>
      </w:r>
      <w:r>
        <w:rPr>
          <w:lang w:val="en-US"/>
        </w:rPr>
        <w:t xml:space="preserve"> </w:t>
      </w:r>
    </w:p>
    <w:p w14:paraId="77E92627" w14:textId="77777777" w:rsidR="003B3EF2" w:rsidRDefault="003B3EF2" w:rsidP="003B3EF2">
      <w:pPr>
        <w:pStyle w:val="Heading7"/>
        <w:spacing w:before="240" w:after="120"/>
        <w:rPr>
          <w:lang w:val="en-US"/>
        </w:rPr>
      </w:pPr>
      <w:r w:rsidRPr="00A45C0E">
        <w:rPr>
          <w:lang w:val="en-US"/>
        </w:rPr>
        <w:t xml:space="preserve">A lack of clear processes for government authorities </w:t>
      </w:r>
    </w:p>
    <w:p w14:paraId="1458D282" w14:textId="2E9088F7" w:rsidR="000A13CA" w:rsidRPr="000A13CA" w:rsidRDefault="000A13CA" w:rsidP="000A13CA">
      <w:pPr>
        <w:pStyle w:val="Caption"/>
        <w:ind w:left="0" w:firstLine="0"/>
        <w:rPr>
          <w:lang w:val="en-US"/>
        </w:rPr>
      </w:pPr>
      <w:r>
        <w:rPr>
          <w:lang w:val="en-US"/>
        </w:rPr>
        <w:t>Lack of a regulatory framework for local government and government authorities</w:t>
      </w:r>
    </w:p>
    <w:p w14:paraId="1E328D06" w14:textId="201D669F" w:rsidR="000A13CA" w:rsidRPr="004F76D3" w:rsidRDefault="000A13CA" w:rsidP="004F76D3">
      <w:pPr>
        <w:pStyle w:val="PwCNormal"/>
        <w:spacing w:before="120" w:after="120"/>
        <w:rPr>
          <w:lang w:val="en-US"/>
        </w:rPr>
      </w:pPr>
      <w:r w:rsidRPr="004F76D3">
        <w:rPr>
          <w:lang w:val="en-US"/>
        </w:rPr>
        <w:t>The Regulations provide a regulatory framework for local governments to manage and monitor the protection of Aboriginal cultural heritage. Under the base case,</w:t>
      </w:r>
      <w:r w:rsidR="004F76D3" w:rsidRPr="004F76D3">
        <w:rPr>
          <w:lang w:val="en-US"/>
        </w:rPr>
        <w:t xml:space="preserve"> CHMPs would not be required in the majority of areas of cultural sensitivity where they </w:t>
      </w:r>
      <w:r w:rsidR="001C77E1">
        <w:rPr>
          <w:lang w:val="en-US"/>
        </w:rPr>
        <w:t xml:space="preserve">are </w:t>
      </w:r>
      <w:r w:rsidR="004F76D3" w:rsidRPr="004F76D3">
        <w:rPr>
          <w:lang w:val="en-US"/>
        </w:rPr>
        <w:t>currently</w:t>
      </w:r>
      <w:r w:rsidR="001C77E1">
        <w:rPr>
          <w:lang w:val="en-US"/>
        </w:rPr>
        <w:t xml:space="preserve"> </w:t>
      </w:r>
      <w:r w:rsidR="005E654F">
        <w:rPr>
          <w:lang w:val="en-US"/>
        </w:rPr>
        <w:t>are</w:t>
      </w:r>
      <w:r w:rsidR="00D07ABD">
        <w:rPr>
          <w:lang w:val="en-US"/>
        </w:rPr>
        <w:t xml:space="preserve"> </w:t>
      </w:r>
      <w:r w:rsidR="001C77E1">
        <w:rPr>
          <w:lang w:val="en-US"/>
        </w:rPr>
        <w:t>defined</w:t>
      </w:r>
      <w:r w:rsidR="004F76D3" w:rsidRPr="004F76D3">
        <w:rPr>
          <w:lang w:val="en-US"/>
        </w:rPr>
        <w:t>. It is not clear whether</w:t>
      </w:r>
      <w:r w:rsidRPr="004F76D3">
        <w:rPr>
          <w:lang w:val="en-US"/>
        </w:rPr>
        <w:t xml:space="preserve"> local government and </w:t>
      </w:r>
      <w:r w:rsidR="001C77E1">
        <w:rPr>
          <w:lang w:val="en-US"/>
        </w:rPr>
        <w:t xml:space="preserve">other </w:t>
      </w:r>
      <w:r w:rsidRPr="004F76D3">
        <w:rPr>
          <w:lang w:val="en-US"/>
        </w:rPr>
        <w:t xml:space="preserve">government authorities would </w:t>
      </w:r>
      <w:r w:rsidR="005E654F">
        <w:rPr>
          <w:lang w:val="en-US"/>
        </w:rPr>
        <w:t>or</w:t>
      </w:r>
      <w:r w:rsidRPr="004F76D3">
        <w:rPr>
          <w:lang w:val="en-US"/>
        </w:rPr>
        <w:t xml:space="preserve"> would be expected to continue to ensure Aboriginal cultural heritage was protected and </w:t>
      </w:r>
      <w:r w:rsidR="0063011C" w:rsidRPr="004F76D3">
        <w:rPr>
          <w:lang w:val="en-US"/>
        </w:rPr>
        <w:t xml:space="preserve">Aboriginal </w:t>
      </w:r>
      <w:r w:rsidRPr="004F76D3">
        <w:rPr>
          <w:lang w:val="en-US"/>
        </w:rPr>
        <w:t>people consulted</w:t>
      </w:r>
      <w:r w:rsidR="004F76D3">
        <w:rPr>
          <w:lang w:val="en-US"/>
        </w:rPr>
        <w:t>,</w:t>
      </w:r>
      <w:r w:rsidR="004F76D3" w:rsidRPr="004F76D3">
        <w:rPr>
          <w:lang w:val="en-US"/>
        </w:rPr>
        <w:t xml:space="preserve"> however, the uncertainty </w:t>
      </w:r>
      <w:r w:rsidR="004F76D3">
        <w:rPr>
          <w:lang w:val="en-US"/>
        </w:rPr>
        <w:t xml:space="preserve">resulting from a lack of a regulatory framework </w:t>
      </w:r>
      <w:r w:rsidR="004F76D3" w:rsidRPr="004F76D3">
        <w:rPr>
          <w:lang w:val="en-US"/>
        </w:rPr>
        <w:t>could lead to significant inefficiencies and delay costs</w:t>
      </w:r>
      <w:r w:rsidRPr="004F76D3">
        <w:rPr>
          <w:lang w:val="en-US"/>
        </w:rPr>
        <w:t>.</w:t>
      </w:r>
      <w:r w:rsidR="004F76D3" w:rsidRPr="004F76D3">
        <w:rPr>
          <w:lang w:val="en-US"/>
        </w:rPr>
        <w:t xml:space="preserve"> Under the previous regulatory regime, local government authorities were required to ensure that Aboriginal cultural heritage was considered in the planning process. It did not, however, establish a process for doing this, and different standards could be required for similar projects by Aboriginal groups on the Schedule</w:t>
      </w:r>
      <w:r w:rsidR="00353B95">
        <w:rPr>
          <w:lang w:val="en-US"/>
        </w:rPr>
        <w:t xml:space="preserve"> of Local Aboriginal communities.</w:t>
      </w:r>
      <w:r w:rsidR="00353B95">
        <w:rPr>
          <w:rStyle w:val="FootnoteReference"/>
          <w:lang w:val="en-US"/>
        </w:rPr>
        <w:footnoteReference w:id="36"/>
      </w:r>
    </w:p>
    <w:p w14:paraId="3D16658B" w14:textId="03DD484D" w:rsidR="003B3EF2" w:rsidRPr="00A075FA" w:rsidRDefault="003B3EF2" w:rsidP="009416DD">
      <w:pPr>
        <w:pStyle w:val="Caption"/>
        <w:rPr>
          <w:lang w:val="en-US"/>
        </w:rPr>
      </w:pPr>
      <w:r w:rsidRPr="00A45C0E">
        <w:rPr>
          <w:lang w:val="en-US"/>
        </w:rPr>
        <w:t xml:space="preserve">Uncertainty </w:t>
      </w:r>
      <w:r w:rsidR="00121923">
        <w:rPr>
          <w:lang w:val="en-US"/>
        </w:rPr>
        <w:t xml:space="preserve">and delay </w:t>
      </w:r>
      <w:r w:rsidRPr="00A45C0E">
        <w:rPr>
          <w:lang w:val="en-US"/>
        </w:rPr>
        <w:t xml:space="preserve">for </w:t>
      </w:r>
      <w:r w:rsidR="009416DD">
        <w:rPr>
          <w:lang w:val="en-US"/>
        </w:rPr>
        <w:t>land-users</w:t>
      </w:r>
      <w:r w:rsidRPr="00A45C0E">
        <w:rPr>
          <w:lang w:val="en-US"/>
        </w:rPr>
        <w:t xml:space="preserve"> </w:t>
      </w:r>
    </w:p>
    <w:p w14:paraId="1F424D34" w14:textId="0782C5E0" w:rsidR="003B3EF2" w:rsidRPr="00A075FA" w:rsidRDefault="009416DD" w:rsidP="003B3EF2">
      <w:pPr>
        <w:pStyle w:val="PwCNormal"/>
        <w:spacing w:before="120" w:after="120"/>
        <w:rPr>
          <w:lang w:val="en-US"/>
        </w:rPr>
      </w:pPr>
      <w:r>
        <w:rPr>
          <w:lang w:val="en-US"/>
        </w:rPr>
        <w:t>A</w:t>
      </w:r>
      <w:r w:rsidR="003B3EF2" w:rsidRPr="00A075FA">
        <w:rPr>
          <w:lang w:val="en-US"/>
        </w:rPr>
        <w:t xml:space="preserve"> lack of clear processes</w:t>
      </w:r>
      <w:r w:rsidR="008603AA">
        <w:rPr>
          <w:lang w:val="en-US"/>
        </w:rPr>
        <w:t xml:space="preserve"> would</w:t>
      </w:r>
      <w:r w:rsidR="003B3EF2" w:rsidRPr="00A075FA">
        <w:rPr>
          <w:lang w:val="en-US"/>
        </w:rPr>
        <w:t xml:space="preserve"> </w:t>
      </w:r>
      <w:r>
        <w:rPr>
          <w:lang w:val="en-US"/>
        </w:rPr>
        <w:t>also create</w:t>
      </w:r>
      <w:r w:rsidR="003B3EF2" w:rsidRPr="00A075FA">
        <w:rPr>
          <w:lang w:val="en-US"/>
        </w:rPr>
        <w:t xml:space="preserve"> uncertainty for developers</w:t>
      </w:r>
      <w:r w:rsidR="0063011C">
        <w:rPr>
          <w:lang w:val="en-US"/>
        </w:rPr>
        <w:t xml:space="preserve"> and other land-users</w:t>
      </w:r>
      <w:r w:rsidR="00ED6A21">
        <w:rPr>
          <w:lang w:val="en-US"/>
        </w:rPr>
        <w:t>, who may or may not continue to consult with Aboriginal stakeholders.</w:t>
      </w:r>
    </w:p>
    <w:p w14:paraId="71EDCBDB" w14:textId="2DB29C1D" w:rsidR="003B3EF2" w:rsidRDefault="003B3EF2" w:rsidP="003B3EF2">
      <w:pPr>
        <w:pStyle w:val="PwCNormal"/>
        <w:spacing w:before="120" w:after="120"/>
        <w:rPr>
          <w:lang w:val="en-US"/>
        </w:rPr>
      </w:pPr>
      <w:r w:rsidRPr="00A075FA">
        <w:rPr>
          <w:lang w:val="en-US"/>
        </w:rPr>
        <w:t xml:space="preserve">Aboriginal heritage places are neither immediately obvious nor identifiable as being of cultural value by those without specific knowledge or training. Many Aboriginal </w:t>
      </w:r>
      <w:r w:rsidR="00D05AC9">
        <w:rPr>
          <w:lang w:val="en-US"/>
        </w:rPr>
        <w:t>places</w:t>
      </w:r>
      <w:r w:rsidR="00D05AC9" w:rsidRPr="00A075FA">
        <w:rPr>
          <w:lang w:val="en-US"/>
        </w:rPr>
        <w:t xml:space="preserve"> </w:t>
      </w:r>
      <w:r w:rsidRPr="00A075FA">
        <w:rPr>
          <w:lang w:val="en-US"/>
        </w:rPr>
        <w:t xml:space="preserve">are located below the surface of the ground, as a result of processes of ageing or ground soil movement, and may not be uncovered until </w:t>
      </w:r>
      <w:r w:rsidR="0063011C">
        <w:rPr>
          <w:lang w:val="en-US"/>
        </w:rPr>
        <w:t>significant</w:t>
      </w:r>
      <w:r w:rsidRPr="00A075FA">
        <w:rPr>
          <w:lang w:val="en-US"/>
        </w:rPr>
        <w:t xml:space="preserve"> ground disturbance commences.</w:t>
      </w:r>
      <w:r w:rsidR="008603AA">
        <w:rPr>
          <w:rStyle w:val="FootnoteReference"/>
          <w:lang w:val="en-US"/>
        </w:rPr>
        <w:footnoteReference w:id="37"/>
      </w:r>
      <w:r w:rsidRPr="00A075FA">
        <w:rPr>
          <w:lang w:val="en-US"/>
        </w:rPr>
        <w:t xml:space="preserve"> </w:t>
      </w:r>
    </w:p>
    <w:p w14:paraId="5FEB50DE" w14:textId="01FB46BB" w:rsidR="00121923" w:rsidRDefault="009056B8" w:rsidP="00B05A4B">
      <w:pPr>
        <w:pStyle w:val="PwCNormal"/>
        <w:spacing w:before="120" w:after="120"/>
        <w:rPr>
          <w:lang w:val="en-US"/>
        </w:rPr>
      </w:pPr>
      <w:r>
        <w:rPr>
          <w:lang w:val="en-US"/>
        </w:rPr>
        <w:t xml:space="preserve">The Act specifies certain scenarios in which a CHMP must be prepared (see Section </w:t>
      </w:r>
      <w:r>
        <w:rPr>
          <w:lang w:val="en-US"/>
        </w:rPr>
        <w:fldChar w:fldCharType="begin"/>
      </w:r>
      <w:r>
        <w:rPr>
          <w:lang w:val="en-US"/>
        </w:rPr>
        <w:instrText xml:space="preserve"> REF _Ref503537202 \n \h </w:instrText>
      </w:r>
      <w:r>
        <w:rPr>
          <w:lang w:val="en-US"/>
        </w:rPr>
      </w:r>
      <w:r>
        <w:rPr>
          <w:lang w:val="en-US"/>
        </w:rPr>
        <w:fldChar w:fldCharType="separate"/>
      </w:r>
      <w:r w:rsidR="000369A1">
        <w:rPr>
          <w:lang w:val="en-US"/>
        </w:rPr>
        <w:t>2.4.1</w:t>
      </w:r>
      <w:r>
        <w:rPr>
          <w:lang w:val="en-US"/>
        </w:rPr>
        <w:fldChar w:fldCharType="end"/>
      </w:r>
      <w:r w:rsidR="00B05A4B">
        <w:rPr>
          <w:lang w:val="en-US"/>
        </w:rPr>
        <w:t>), however, these scenarios only cover a small number of the CHMPs conducted each year.</w:t>
      </w:r>
      <w:r>
        <w:rPr>
          <w:lang w:val="en-US"/>
        </w:rPr>
        <w:t xml:space="preserve"> </w:t>
      </w:r>
      <w:r w:rsidR="00B05A4B">
        <w:rPr>
          <w:lang w:val="en-US"/>
        </w:rPr>
        <w:t>The Regulations specify the triggers for most CHMPs, and thus, without the Regulations</w:t>
      </w:r>
      <w:r w:rsidR="009416DD">
        <w:rPr>
          <w:lang w:val="en-US"/>
        </w:rPr>
        <w:t xml:space="preserve">, </w:t>
      </w:r>
      <w:r w:rsidR="003B3EF2" w:rsidRPr="00A075FA">
        <w:rPr>
          <w:lang w:val="en-US"/>
        </w:rPr>
        <w:t>developers may be uncertain as to when a cultural h</w:t>
      </w:r>
      <w:r w:rsidR="009416DD">
        <w:rPr>
          <w:lang w:val="en-US"/>
        </w:rPr>
        <w:t>eritage assessment is required</w:t>
      </w:r>
      <w:r w:rsidR="00B05A4B">
        <w:rPr>
          <w:lang w:val="en-US"/>
        </w:rPr>
        <w:t>, with implications including that</w:t>
      </w:r>
      <w:r w:rsidR="003B3EF2" w:rsidRPr="00A075FA">
        <w:rPr>
          <w:lang w:val="en-US"/>
        </w:rPr>
        <w:t xml:space="preserve"> they may undertake assessments for more development sites than necessary</w:t>
      </w:r>
      <w:r w:rsidR="009416DD">
        <w:rPr>
          <w:lang w:val="en-US"/>
        </w:rPr>
        <w:t>, or not undertake them at all</w:t>
      </w:r>
      <w:r w:rsidR="003B3EF2">
        <w:rPr>
          <w:lang w:val="en-US"/>
        </w:rPr>
        <w:t xml:space="preserve">. </w:t>
      </w:r>
      <w:r w:rsidR="003B3EF2" w:rsidRPr="00B05A4B">
        <w:rPr>
          <w:lang w:val="en-US"/>
        </w:rPr>
        <w:t xml:space="preserve">Similarly, </w:t>
      </w:r>
      <w:r w:rsidR="009416DD" w:rsidRPr="00B05A4B">
        <w:rPr>
          <w:lang w:val="en-US"/>
        </w:rPr>
        <w:t xml:space="preserve">the CHMP standards contained in the Regulations provide guidance as to what should be </w:t>
      </w:r>
      <w:r w:rsidR="003B3EF2" w:rsidRPr="00B05A4B">
        <w:rPr>
          <w:lang w:val="en-US"/>
        </w:rPr>
        <w:t>contained in an assessment</w:t>
      </w:r>
      <w:r w:rsidR="009416DD" w:rsidRPr="00B05A4B">
        <w:rPr>
          <w:lang w:val="en-US"/>
        </w:rPr>
        <w:t>. Without these standards</w:t>
      </w:r>
      <w:r w:rsidR="003B3EF2" w:rsidRPr="00B05A4B">
        <w:rPr>
          <w:lang w:val="en-US"/>
        </w:rPr>
        <w:t xml:space="preserve">, the findings and recommendations of an assessment may not have </w:t>
      </w:r>
      <w:r w:rsidR="003B3EF2" w:rsidRPr="00121923">
        <w:rPr>
          <w:lang w:val="en-US"/>
        </w:rPr>
        <w:t>a</w:t>
      </w:r>
      <w:r w:rsidR="003B3EF2" w:rsidRPr="00B05A4B">
        <w:rPr>
          <w:lang w:val="en-US"/>
        </w:rPr>
        <w:t>dequately addressed how to manage any Abor</w:t>
      </w:r>
      <w:r w:rsidR="003B3EF2" w:rsidRPr="00121923">
        <w:rPr>
          <w:lang w:val="en-US"/>
        </w:rPr>
        <w:t xml:space="preserve">iginal cultural heritage that was discovered. </w:t>
      </w:r>
      <w:r w:rsidR="003B3EF2" w:rsidRPr="00B05A4B">
        <w:rPr>
          <w:lang w:val="en-US"/>
        </w:rPr>
        <w:t xml:space="preserve">The possible implications of inadequate assessments </w:t>
      </w:r>
      <w:r w:rsidR="009416DD" w:rsidRPr="00B05A4B">
        <w:rPr>
          <w:lang w:val="en-US"/>
        </w:rPr>
        <w:t xml:space="preserve">are that there is </w:t>
      </w:r>
      <w:r w:rsidR="003B3EF2" w:rsidRPr="00B05A4B">
        <w:rPr>
          <w:lang w:val="en-US"/>
        </w:rPr>
        <w:t xml:space="preserve">a greater risk of inadvertent damage to Aboriginal cultural heritage, and that Aboriginal communities may not be </w:t>
      </w:r>
      <w:r w:rsidR="00DF1C54">
        <w:rPr>
          <w:lang w:val="en-US"/>
        </w:rPr>
        <w:t>sufficiently</w:t>
      </w:r>
      <w:r w:rsidR="00DF1C54" w:rsidRPr="00B05A4B">
        <w:rPr>
          <w:lang w:val="en-US"/>
        </w:rPr>
        <w:t xml:space="preserve"> </w:t>
      </w:r>
      <w:r w:rsidR="003B3EF2" w:rsidRPr="00B05A4B">
        <w:rPr>
          <w:lang w:val="en-US"/>
        </w:rPr>
        <w:t>consulted, which may in turn mean</w:t>
      </w:r>
      <w:r w:rsidR="003B3EF2" w:rsidRPr="00121923">
        <w:rPr>
          <w:lang w:val="en-US"/>
        </w:rPr>
        <w:t xml:space="preserve"> that they </w:t>
      </w:r>
      <w:r w:rsidR="00DF1C54">
        <w:rPr>
          <w:lang w:val="en-US"/>
        </w:rPr>
        <w:t>are</w:t>
      </w:r>
      <w:r w:rsidR="003B3EF2" w:rsidRPr="00121923">
        <w:rPr>
          <w:lang w:val="en-US"/>
        </w:rPr>
        <w:t xml:space="preserve"> less likely to ultimately consent to the activity in question or may take longer to provide consent than would otherwise be the case. </w:t>
      </w:r>
    </w:p>
    <w:p w14:paraId="3961660C" w14:textId="30C59327" w:rsidR="003B3EF2" w:rsidRPr="00121923" w:rsidRDefault="00121923" w:rsidP="00B05A4B">
      <w:pPr>
        <w:pStyle w:val="PwCNormal"/>
        <w:spacing w:before="120" w:after="120"/>
        <w:rPr>
          <w:lang w:val="en-US"/>
        </w:rPr>
      </w:pPr>
      <w:r>
        <w:rPr>
          <w:lang w:val="en-US"/>
        </w:rPr>
        <w:t>Uncertainty resulting from a lack of triggers and standards for an assessment may lead to costly delays in development.</w:t>
      </w:r>
      <w:r w:rsidRPr="00121923">
        <w:rPr>
          <w:lang w:val="en-US"/>
        </w:rPr>
        <w:t xml:space="preserve"> </w:t>
      </w:r>
      <w:r>
        <w:rPr>
          <w:lang w:val="en-US"/>
        </w:rPr>
        <w:t xml:space="preserve">According to </w:t>
      </w:r>
      <w:r w:rsidRPr="00A075FA">
        <w:rPr>
          <w:lang w:val="en-US"/>
        </w:rPr>
        <w:t>VicRo</w:t>
      </w:r>
      <w:r>
        <w:rPr>
          <w:lang w:val="en-US"/>
        </w:rPr>
        <w:t>ads,</w:t>
      </w:r>
      <w:r>
        <w:rPr>
          <w:rStyle w:val="FootnoteReference"/>
          <w:lang w:val="en-US"/>
        </w:rPr>
        <w:footnoteReference w:id="38"/>
      </w:r>
      <w:r>
        <w:rPr>
          <w:lang w:val="en-US"/>
        </w:rPr>
        <w:t xml:space="preserve"> one four week delay occurred</w:t>
      </w:r>
      <w:r w:rsidRPr="00A075FA">
        <w:rPr>
          <w:lang w:val="en-US"/>
        </w:rPr>
        <w:t xml:space="preserve"> on a major project every two years (based on a</w:t>
      </w:r>
      <w:r>
        <w:rPr>
          <w:lang w:val="en-US"/>
        </w:rPr>
        <w:t>n average delay penalty of $250,</w:t>
      </w:r>
      <w:r w:rsidRPr="00A075FA">
        <w:rPr>
          <w:lang w:val="en-US"/>
        </w:rPr>
        <w:t>000 per week</w:t>
      </w:r>
      <w:r>
        <w:rPr>
          <w:lang w:val="en-US"/>
        </w:rPr>
        <w:t xml:space="preserve"> (in 2001 dollars)</w:t>
      </w:r>
      <w:r w:rsidRPr="00A075FA">
        <w:rPr>
          <w:lang w:val="en-US"/>
        </w:rPr>
        <w:t xml:space="preserve"> on</w:t>
      </w:r>
      <w:r>
        <w:rPr>
          <w:lang w:val="en-US"/>
        </w:rPr>
        <w:t xml:space="preserve"> major contracts)</w:t>
      </w:r>
      <w:r w:rsidR="00353B95">
        <w:rPr>
          <w:lang w:val="en-US"/>
        </w:rPr>
        <w:t xml:space="preserve"> due to Aboriginal cultural heritage regulations</w:t>
      </w:r>
      <w:r>
        <w:rPr>
          <w:lang w:val="en-US"/>
        </w:rPr>
        <w:t>, which equated</w:t>
      </w:r>
      <w:r w:rsidRPr="00A075FA">
        <w:rPr>
          <w:lang w:val="en-US"/>
        </w:rPr>
        <w:t xml:space="preserve"> to a cost of $4.3 million net present value over ten years. This </w:t>
      </w:r>
      <w:r>
        <w:rPr>
          <w:lang w:val="en-US"/>
        </w:rPr>
        <w:t>was</w:t>
      </w:r>
      <w:r w:rsidRPr="00A075FA">
        <w:rPr>
          <w:lang w:val="en-US"/>
        </w:rPr>
        <w:t xml:space="preserve"> based on general estimates of operations in ‘</w:t>
      </w:r>
      <w:r w:rsidRPr="000A13CA">
        <w:rPr>
          <w:lang w:val="en-US"/>
        </w:rPr>
        <w:t>normal’</w:t>
      </w:r>
      <w:r w:rsidRPr="00A075FA">
        <w:rPr>
          <w:lang w:val="en-US"/>
        </w:rPr>
        <w:t xml:space="preserve"> weather conditions.</w:t>
      </w:r>
    </w:p>
    <w:p w14:paraId="7173CBF3" w14:textId="77777777" w:rsidR="009C4724" w:rsidRDefault="009C4724" w:rsidP="009C4724">
      <w:pPr>
        <w:pStyle w:val="Heading6"/>
        <w:rPr>
          <w:lang w:val="en-US"/>
        </w:rPr>
      </w:pPr>
      <w:bookmarkStart w:id="45" w:name="_Ref504141017"/>
      <w:r>
        <w:rPr>
          <w:lang w:val="en-US"/>
        </w:rPr>
        <w:t>The base case</w:t>
      </w:r>
      <w:bookmarkEnd w:id="45"/>
    </w:p>
    <w:p w14:paraId="0264255D" w14:textId="54572ADA" w:rsidR="009C4724" w:rsidRPr="009C4724" w:rsidRDefault="009C4724">
      <w:pPr>
        <w:pStyle w:val="PwCNormal"/>
      </w:pPr>
      <w:r w:rsidRPr="009C4724">
        <w:t xml:space="preserve">The base case is the situation where </w:t>
      </w:r>
      <w:r>
        <w:t>the Regulations are allowed to sunset and are not re-made, however, the Act would still be in place.</w:t>
      </w:r>
    </w:p>
    <w:p w14:paraId="56FA0C78" w14:textId="77777777" w:rsidR="009C4724" w:rsidRDefault="009C4724" w:rsidP="009C4724">
      <w:pPr>
        <w:pStyle w:val="Heading7"/>
      </w:pPr>
      <w:r w:rsidRPr="00D27F29">
        <w:t>Cultural Heritage Management Plan</w:t>
      </w:r>
      <w:r>
        <w:t>s</w:t>
      </w:r>
      <w:r w:rsidRPr="00D27F29">
        <w:t xml:space="preserve"> (CHMP</w:t>
      </w:r>
      <w:r>
        <w:t>s)</w:t>
      </w:r>
    </w:p>
    <w:p w14:paraId="51BD2D77" w14:textId="77777777" w:rsidR="009C4724" w:rsidRDefault="009C4724" w:rsidP="009C4724">
      <w:pPr>
        <w:pStyle w:val="PwCNormal"/>
      </w:pPr>
      <w:r>
        <w:t>Under the base case, those wishing to undertake high impact activities in areas of cultural heritage sensitivity would not need to complete a CHMP unless one was required by:</w:t>
      </w:r>
    </w:p>
    <w:p w14:paraId="6185FEDA" w14:textId="74F5A41A" w:rsidR="009C4724" w:rsidRDefault="009C4724" w:rsidP="009C4724">
      <w:pPr>
        <w:pStyle w:val="ListBullet"/>
      </w:pPr>
      <w:r>
        <w:t>the Minister directed them to prepare a CHMP (</w:t>
      </w:r>
      <w:r w:rsidR="00222517">
        <w:t xml:space="preserve">assumed to be </w:t>
      </w:r>
      <w:r>
        <w:t xml:space="preserve">zero per year </w:t>
      </w:r>
      <w:r w:rsidR="00353B95">
        <w:t>in the base case</w:t>
      </w:r>
      <w:r w:rsidR="00B36733">
        <w:t xml:space="preserve"> </w:t>
      </w:r>
      <w:r w:rsidR="00353B95">
        <w:rPr>
          <w:rStyle w:val="FootnoteReference"/>
        </w:rPr>
        <w:footnoteReference w:id="39"/>
      </w:r>
      <w:r>
        <w:t>)</w:t>
      </w:r>
    </w:p>
    <w:p w14:paraId="6C8EDC1E" w14:textId="27D4BFA9" w:rsidR="009C4724" w:rsidRDefault="009C4724" w:rsidP="009C4724">
      <w:pPr>
        <w:pStyle w:val="ListBullet"/>
      </w:pPr>
      <w:r>
        <w:t xml:space="preserve">an environmental effects statement under the </w:t>
      </w:r>
      <w:r w:rsidRPr="00415B12">
        <w:t>Environment Effects Act 1978</w:t>
      </w:r>
      <w:r>
        <w:t xml:space="preserve"> (</w:t>
      </w:r>
      <w:r w:rsidR="00222517">
        <w:t xml:space="preserve">assumed to be </w:t>
      </w:r>
      <w:r>
        <w:t>one per year under the base case</w:t>
      </w:r>
      <w:r w:rsidR="00353B95">
        <w:rPr>
          <w:rStyle w:val="FootnoteReference"/>
        </w:rPr>
        <w:footnoteReference w:id="40"/>
      </w:r>
      <w:r>
        <w:t>)</w:t>
      </w:r>
    </w:p>
    <w:p w14:paraId="3F9F4C75" w14:textId="27C978EF" w:rsidR="009C4724" w:rsidRDefault="009C4724" w:rsidP="009C4724">
      <w:pPr>
        <w:pStyle w:val="ListBullet"/>
      </w:pPr>
      <w:r>
        <w:t>an impact management plan or comprehensive impact statement under the Major Transport Projects Facilitation Act 2009 (</w:t>
      </w:r>
      <w:r w:rsidR="00222517">
        <w:t xml:space="preserve">assumed to be </w:t>
      </w:r>
      <w:r>
        <w:t>zero per year under the base case</w:t>
      </w:r>
      <w:r w:rsidR="00353B95">
        <w:rPr>
          <w:rStyle w:val="FootnoteReference"/>
        </w:rPr>
        <w:footnoteReference w:id="41"/>
      </w:r>
      <w:r>
        <w:t>)</w:t>
      </w:r>
    </w:p>
    <w:p w14:paraId="5D44EB29" w14:textId="773127B0" w:rsidR="009C4724" w:rsidRDefault="009C4724" w:rsidP="009C4724">
      <w:pPr>
        <w:pStyle w:val="ListBullet"/>
      </w:pPr>
      <w:r w:rsidRPr="00415B12">
        <w:t xml:space="preserve">a certified </w:t>
      </w:r>
      <w:r>
        <w:t>PAHT (</w:t>
      </w:r>
      <w:r w:rsidR="00222517">
        <w:t xml:space="preserve">assumed to be </w:t>
      </w:r>
      <w:r>
        <w:t>10 per year under the base case).</w:t>
      </w:r>
      <w:r w:rsidR="00FC366F">
        <w:rPr>
          <w:rStyle w:val="FootnoteReference"/>
        </w:rPr>
        <w:footnoteReference w:id="42"/>
      </w:r>
    </w:p>
    <w:p w14:paraId="37FE68C0" w14:textId="1AF3E5BF" w:rsidR="009C4724" w:rsidRDefault="00FC366F" w:rsidP="009C4724">
      <w:pPr>
        <w:pStyle w:val="ListBullet"/>
        <w:numPr>
          <w:ilvl w:val="0"/>
          <w:numId w:val="0"/>
        </w:numPr>
      </w:pPr>
      <w:r>
        <w:t xml:space="preserve">Of </w:t>
      </w:r>
      <w:r w:rsidR="009C4724">
        <w:t>the 683 CHMPs undertaken each year</w:t>
      </w:r>
      <w:r w:rsidR="00545374">
        <w:t>, an analysis of previous years’ CHMP volumes</w:t>
      </w:r>
      <w:r w:rsidR="009C4724">
        <w:t xml:space="preserve"> suggests that in the absence of the current regulations</w:t>
      </w:r>
      <w:r>
        <w:t>,</w:t>
      </w:r>
      <w:r w:rsidR="009C4724">
        <w:t xml:space="preserve"> 11 CHMPs would have been required under the Act.</w:t>
      </w:r>
      <w:r>
        <w:rPr>
          <w:rStyle w:val="FootnoteReference"/>
        </w:rPr>
        <w:footnoteReference w:id="43"/>
      </w:r>
      <w:r w:rsidR="009C4724">
        <w:t xml:space="preserve"> The 11 CHMPs that are triggered by the Act each year are attributed to the Regulations as follows:</w:t>
      </w:r>
    </w:p>
    <w:p w14:paraId="360553F5" w14:textId="77777777" w:rsidR="009C4724" w:rsidRDefault="009C4724" w:rsidP="009C4724">
      <w:pPr>
        <w:pStyle w:val="ListBullet"/>
      </w:pPr>
      <w:r>
        <w:t>Most of the cost of preparing the 11 CHMPs required under the Act is attributed to the Regulations,</w:t>
      </w:r>
      <w:r>
        <w:rPr>
          <w:rStyle w:val="FootnoteReference"/>
        </w:rPr>
        <w:footnoteReference w:id="44"/>
      </w:r>
      <w:r>
        <w:t xml:space="preserve"> but the implementation of the management conditions are not.</w:t>
      </w:r>
      <w:r>
        <w:rPr>
          <w:rStyle w:val="FootnoteReference"/>
        </w:rPr>
        <w:footnoteReference w:id="45"/>
      </w:r>
      <w:r>
        <w:t xml:space="preserve"> This is because the management conditions are recommended through the preparation of the CHMP itself (which is triggered by the Act) rather than through the standards within the Regulations.</w:t>
      </w:r>
    </w:p>
    <w:p w14:paraId="0572BF6A" w14:textId="39C5F390" w:rsidR="009C4724" w:rsidRDefault="009C4724" w:rsidP="009C4724">
      <w:pPr>
        <w:pStyle w:val="PwCNormal"/>
      </w:pPr>
      <w:r>
        <w:t>In addition, approximately 47 CHMPs each year are prepared voluntarily. The entire cost of undertaking the CHMPs that are voluntar</w:t>
      </w:r>
      <w:r w:rsidR="004734A9">
        <w:t>y</w:t>
      </w:r>
      <w:r>
        <w:t xml:space="preserve"> </w:t>
      </w:r>
      <w:r w:rsidR="00F23E23">
        <w:t>represents a cost under</w:t>
      </w:r>
      <w:r>
        <w:t xml:space="preserve"> the base case.</w:t>
      </w:r>
    </w:p>
    <w:p w14:paraId="1E25FE15" w14:textId="77777777" w:rsidR="009C4724" w:rsidRDefault="009C4724" w:rsidP="009C4724">
      <w:pPr>
        <w:pStyle w:val="Heading7"/>
      </w:pPr>
      <w:r>
        <w:t>Prescribed forms</w:t>
      </w:r>
    </w:p>
    <w:p w14:paraId="3291246D" w14:textId="11DB4F7F" w:rsidR="009C4724" w:rsidRDefault="00F23E23" w:rsidP="009C4724">
      <w:pPr>
        <w:pStyle w:val="PwCNormal"/>
      </w:pPr>
      <w:r>
        <w:t>U</w:t>
      </w:r>
      <w:r w:rsidR="009C4724">
        <w:t>nder the base case, there would be no prescribed forms for the following:</w:t>
      </w:r>
    </w:p>
    <w:p w14:paraId="052F374D" w14:textId="77777777" w:rsidR="009C4724" w:rsidRDefault="009C4724" w:rsidP="009C4724">
      <w:pPr>
        <w:pStyle w:val="ListBullet"/>
      </w:pPr>
      <w:r>
        <w:t>Maps in a Cultural Heritage Agreement.</w:t>
      </w:r>
    </w:p>
    <w:p w14:paraId="7F69464E" w14:textId="77777777" w:rsidR="009C4724" w:rsidRDefault="009C4724" w:rsidP="009C4724">
      <w:pPr>
        <w:pStyle w:val="ListBullet"/>
      </w:pPr>
      <w:r>
        <w:t>Aboriginal Cultural Heritage Land Management Agreements (ACHLMAs).</w:t>
      </w:r>
    </w:p>
    <w:p w14:paraId="04BB2D87" w14:textId="77777777" w:rsidR="009C4724" w:rsidRDefault="009C4724" w:rsidP="009C4724">
      <w:pPr>
        <w:pStyle w:val="ListBullet"/>
      </w:pPr>
      <w:r>
        <w:t xml:space="preserve">Reports to the Aboriginal Heritage Council regarding </w:t>
      </w:r>
      <w:r w:rsidRPr="00AA70E3">
        <w:t>Aboriginal Ancestral Remains in custody of public entities and universities</w:t>
      </w:r>
      <w:r>
        <w:t>.</w:t>
      </w:r>
    </w:p>
    <w:p w14:paraId="1BCE4C04" w14:textId="7A1DB513" w:rsidR="009C4724" w:rsidRDefault="009C4724" w:rsidP="009C4724">
      <w:pPr>
        <w:pStyle w:val="ListBullet"/>
      </w:pPr>
      <w:r>
        <w:t xml:space="preserve">Applications for certification of </w:t>
      </w:r>
      <w:r w:rsidR="004734A9">
        <w:t xml:space="preserve">a </w:t>
      </w:r>
      <w:r>
        <w:t>Preliminary Aboriginal Heritage Test.</w:t>
      </w:r>
    </w:p>
    <w:p w14:paraId="5447033A" w14:textId="77777777" w:rsidR="009C4724" w:rsidRDefault="009C4724" w:rsidP="009C4724">
      <w:pPr>
        <w:pStyle w:val="ListBullet"/>
      </w:pPr>
      <w:r>
        <w:t>Applications for registration of Aboriginal Intangible Heritage.</w:t>
      </w:r>
    </w:p>
    <w:p w14:paraId="4353B6BD" w14:textId="77777777" w:rsidR="009C4724" w:rsidRDefault="009C4724" w:rsidP="009C4724">
      <w:pPr>
        <w:pStyle w:val="ListBullet"/>
      </w:pPr>
      <w:r>
        <w:t>Application for registration as a Registered Aboriginal Party (RAP).</w:t>
      </w:r>
    </w:p>
    <w:p w14:paraId="7D96555C" w14:textId="77777777" w:rsidR="009C4724" w:rsidRDefault="009C4724" w:rsidP="009C4724">
      <w:pPr>
        <w:pStyle w:val="PwCNormal"/>
      </w:pPr>
      <w:r>
        <w:t>It is unclear whether this would prevent the functioning of all of these mechanisms, as it is likely the Minister or AV would specify approved forms that would be needed in the absence of prescribed forms in the Regulations.</w:t>
      </w:r>
    </w:p>
    <w:p w14:paraId="0B55AF6C" w14:textId="77777777" w:rsidR="009C4724" w:rsidRDefault="009C4724" w:rsidP="009C4724">
      <w:pPr>
        <w:pStyle w:val="Heading7"/>
      </w:pPr>
      <w:r>
        <w:t>Fees</w:t>
      </w:r>
    </w:p>
    <w:p w14:paraId="71378598" w14:textId="71310997" w:rsidR="009C4724" w:rsidRDefault="009C4724" w:rsidP="009C4724">
      <w:pPr>
        <w:pStyle w:val="PwCNormal"/>
      </w:pPr>
      <w:r>
        <w:t xml:space="preserve">The head of power also exists for the Regulations to </w:t>
      </w:r>
      <w:r w:rsidR="003646FD">
        <w:t>prescribe</w:t>
      </w:r>
      <w:r>
        <w:t xml:space="preserve"> the following fees:</w:t>
      </w:r>
    </w:p>
    <w:p w14:paraId="7A0CFD5E" w14:textId="60B88AF8" w:rsidR="009C4724" w:rsidRDefault="009C4724" w:rsidP="009C4724">
      <w:pPr>
        <w:pStyle w:val="ListBullet"/>
      </w:pPr>
      <w:r>
        <w:t xml:space="preserve">Application for a CHP (assessed by the Department or </w:t>
      </w:r>
      <w:r w:rsidR="004734A9">
        <w:t xml:space="preserve">the relevant </w:t>
      </w:r>
      <w:r>
        <w:t>RAP).</w:t>
      </w:r>
    </w:p>
    <w:p w14:paraId="5F6107BE" w14:textId="77777777" w:rsidR="009C4724" w:rsidRDefault="009C4724" w:rsidP="009C4724">
      <w:pPr>
        <w:pStyle w:val="ListBullet"/>
      </w:pPr>
      <w:r>
        <w:t>Certification of PAHT (assessed by the Department).</w:t>
      </w:r>
    </w:p>
    <w:p w14:paraId="2872E2F6" w14:textId="22B829AE" w:rsidR="009C4724" w:rsidRDefault="009C4724" w:rsidP="009C4724">
      <w:pPr>
        <w:pStyle w:val="ListBullet"/>
      </w:pPr>
      <w:r>
        <w:t xml:space="preserve">Notices of intention to prepare a CHMP (assessed by the Department or </w:t>
      </w:r>
      <w:r w:rsidR="004734A9">
        <w:t xml:space="preserve">the relevant </w:t>
      </w:r>
      <w:r>
        <w:t>RAP).</w:t>
      </w:r>
    </w:p>
    <w:p w14:paraId="5A79B029" w14:textId="0E23CD08" w:rsidR="009C4724" w:rsidRDefault="009C4724" w:rsidP="009C4724">
      <w:pPr>
        <w:pStyle w:val="ListBullet"/>
      </w:pPr>
      <w:r>
        <w:t xml:space="preserve">CHMP applications (assessed by the Department, </w:t>
      </w:r>
      <w:r w:rsidR="004734A9">
        <w:t xml:space="preserve">the relevant </w:t>
      </w:r>
      <w:r>
        <w:t>RAP or the VAHC).</w:t>
      </w:r>
    </w:p>
    <w:p w14:paraId="096808F6" w14:textId="0E7D7710" w:rsidR="009C4724" w:rsidRDefault="009C4724" w:rsidP="009C4724">
      <w:pPr>
        <w:pStyle w:val="ListBullet"/>
      </w:pPr>
      <w:r>
        <w:t>A</w:t>
      </w:r>
      <w:r w:rsidRPr="00E2345E">
        <w:t xml:space="preserve">pplications for approval of amendment to approved </w:t>
      </w:r>
      <w:r>
        <w:t xml:space="preserve">CHMP (assessed by the Department, </w:t>
      </w:r>
      <w:r w:rsidR="004734A9">
        <w:t xml:space="preserve">the relevant </w:t>
      </w:r>
      <w:r>
        <w:t>RAP or the VAHC).</w:t>
      </w:r>
    </w:p>
    <w:p w14:paraId="772C86B4" w14:textId="77777777" w:rsidR="009C4724" w:rsidRDefault="009C4724" w:rsidP="009C4724">
      <w:pPr>
        <w:pStyle w:val="ListBullet"/>
      </w:pPr>
      <w:r>
        <w:t>Access to the Aboriginal Heritage Register (assessed by the Department).</w:t>
      </w:r>
    </w:p>
    <w:p w14:paraId="02389038" w14:textId="7E4D5B67" w:rsidR="009C4724" w:rsidRDefault="009C4724" w:rsidP="009C4724">
      <w:pPr>
        <w:pStyle w:val="ListBullet"/>
      </w:pPr>
      <w:r>
        <w:t>Application to the Secretary for advice on whether a record exists on the Register (</w:t>
      </w:r>
      <w:r w:rsidR="004734A9">
        <w:t xml:space="preserve">processed </w:t>
      </w:r>
      <w:r>
        <w:t>by the Department).</w:t>
      </w:r>
    </w:p>
    <w:p w14:paraId="4F016C51" w14:textId="1FD51E32" w:rsidR="009C4724" w:rsidRDefault="009C4724" w:rsidP="009C4724">
      <w:pPr>
        <w:pStyle w:val="PwCNormal"/>
      </w:pPr>
      <w:r>
        <w:t xml:space="preserve">Without the Regulations, no fees </w:t>
      </w:r>
      <w:r w:rsidR="008C08CB">
        <w:t xml:space="preserve">could be </w:t>
      </w:r>
      <w:r w:rsidR="00DF1C54">
        <w:t>applied</w:t>
      </w:r>
      <w:r>
        <w:t>.</w:t>
      </w:r>
    </w:p>
    <w:p w14:paraId="7F54E515" w14:textId="77777777" w:rsidR="00C2070A" w:rsidRDefault="00C2070A">
      <w:pPr>
        <w:kinsoku/>
        <w:overflowPunct/>
        <w:autoSpaceDE/>
        <w:autoSpaceDN/>
        <w:adjustRightInd/>
        <w:snapToGrid/>
        <w:rPr>
          <w:lang w:val="en-US"/>
        </w:rPr>
      </w:pPr>
      <w:r>
        <w:rPr>
          <w:lang w:val="en-US"/>
        </w:rPr>
        <w:br w:type="page"/>
      </w:r>
    </w:p>
    <w:p w14:paraId="76E54FB6" w14:textId="77777777" w:rsidR="00C2070A" w:rsidRDefault="00C2070A" w:rsidP="00C2070A">
      <w:pPr>
        <w:pStyle w:val="Heading2"/>
        <w:rPr>
          <w:lang w:val="en-US"/>
        </w:rPr>
      </w:pPr>
      <w:bookmarkStart w:id="46" w:name="_Toc507761449"/>
      <w:r>
        <w:rPr>
          <w:lang w:val="en-US"/>
        </w:rPr>
        <w:t>Objectives</w:t>
      </w:r>
      <w:bookmarkEnd w:id="46"/>
    </w:p>
    <w:p w14:paraId="562FE756" w14:textId="77777777" w:rsidR="00C2070A" w:rsidRPr="00C2070A" w:rsidRDefault="00C2070A" w:rsidP="00C2070A">
      <w:pPr>
        <w:pStyle w:val="PwCNormal"/>
        <w:rPr>
          <w:lang w:val="en-US"/>
        </w:rPr>
      </w:pPr>
      <w:r w:rsidRPr="00C2070A">
        <w:rPr>
          <w:lang w:val="en-US"/>
        </w:rPr>
        <w:t xml:space="preserve">The </w:t>
      </w:r>
      <w:r w:rsidRPr="007C0109">
        <w:rPr>
          <w:i/>
          <w:lang w:val="en-US"/>
        </w:rPr>
        <w:t>Subordinate Legislation Act 1994</w:t>
      </w:r>
      <w:r w:rsidRPr="00C2070A">
        <w:rPr>
          <w:lang w:val="en-US"/>
        </w:rPr>
        <w:t xml:space="preserve"> (section 10) requires a statement of the objectives of the proposed statutory rule or legislative instrument to be included in a RIS. The objective specified should be closely related to the objectives of the Act (primary legislation) authorising the statutory rule (or ‘regulations’) or legislative instrument.</w:t>
      </w:r>
    </w:p>
    <w:p w14:paraId="06CAAF94" w14:textId="77777777" w:rsidR="00C2070A" w:rsidRPr="00C2070A" w:rsidRDefault="00C2070A" w:rsidP="00C2070A">
      <w:pPr>
        <w:pStyle w:val="PwCNormal"/>
        <w:rPr>
          <w:lang w:val="en-US"/>
        </w:rPr>
      </w:pPr>
      <w:r w:rsidRPr="00C2070A">
        <w:rPr>
          <w:lang w:val="en-US"/>
        </w:rPr>
        <w:t>Where regulation is in the form of primary and/or subordinate legislation, the objectives should be explicitly stated in the appropriate legislation. In formulating objectives, it is important to ensure that they accord with the objectives, principles, spirit and intent of the authorising Act (where relevant); and that they are consistent with the objectives of other legislation, statutory rules and government policies.</w:t>
      </w:r>
    </w:p>
    <w:p w14:paraId="28BE725F" w14:textId="01B7DE18" w:rsidR="00C2070A" w:rsidRDefault="00C2070A" w:rsidP="00C2070A">
      <w:pPr>
        <w:pStyle w:val="PwCNormal"/>
        <w:rPr>
          <w:lang w:val="en-US"/>
        </w:rPr>
      </w:pPr>
      <w:r w:rsidRPr="00C2070A">
        <w:rPr>
          <w:lang w:val="en-US"/>
        </w:rPr>
        <w:t xml:space="preserve">At a high level, the overarching objective of the </w:t>
      </w:r>
      <w:r w:rsidRPr="00705BA8">
        <w:rPr>
          <w:i/>
          <w:lang w:val="en-US"/>
        </w:rPr>
        <w:t>Aboriginal Heritage Act 2006</w:t>
      </w:r>
      <w:r w:rsidRPr="00C2070A">
        <w:rPr>
          <w:lang w:val="en-US"/>
        </w:rPr>
        <w:t xml:space="preserve"> is to ensure the protection of Aboriginal cultural heritage in Victoria. For the Regulations, the stated objective is focused more on the specific measures being proposed. The objecti</w:t>
      </w:r>
      <w:r w:rsidR="00FD1AC6">
        <w:rPr>
          <w:lang w:val="en-US"/>
        </w:rPr>
        <w:t>ves of these Regulations are to:</w:t>
      </w:r>
    </w:p>
    <w:p w14:paraId="3CFF2000" w14:textId="5C991AED" w:rsidR="009770F2" w:rsidRDefault="009770F2" w:rsidP="00705BA8">
      <w:pPr>
        <w:pStyle w:val="ListBullet"/>
        <w:rPr>
          <w:lang w:val="en-US"/>
        </w:rPr>
      </w:pPr>
      <w:r>
        <w:rPr>
          <w:lang w:val="en-US"/>
        </w:rPr>
        <w:t>enable the protection of Aboriginal cultural heritage by creati</w:t>
      </w:r>
      <w:r w:rsidR="00DE1548">
        <w:rPr>
          <w:lang w:val="en-US"/>
        </w:rPr>
        <w:t>ng process</w:t>
      </w:r>
      <w:r w:rsidR="00125978">
        <w:rPr>
          <w:lang w:val="en-US"/>
        </w:rPr>
        <w:t>es</w:t>
      </w:r>
      <w:r w:rsidR="00DE1548">
        <w:rPr>
          <w:lang w:val="en-US"/>
        </w:rPr>
        <w:t xml:space="preserve"> </w:t>
      </w:r>
      <w:r w:rsidR="00D8156B">
        <w:rPr>
          <w:lang w:val="en-US"/>
        </w:rPr>
        <w:t>that</w:t>
      </w:r>
      <w:r w:rsidR="00DE1548">
        <w:rPr>
          <w:lang w:val="en-US"/>
        </w:rPr>
        <w:t xml:space="preserve">: </w:t>
      </w:r>
    </w:p>
    <w:p w14:paraId="3FE97331" w14:textId="6E86BE61" w:rsidR="009770F2" w:rsidRDefault="00125978" w:rsidP="00705BA8">
      <w:pPr>
        <w:pStyle w:val="ListBullet2"/>
        <w:rPr>
          <w:lang w:val="en-US"/>
        </w:rPr>
      </w:pPr>
      <w:r>
        <w:rPr>
          <w:lang w:val="en-US"/>
        </w:rPr>
        <w:t>target the requirements of the Act only at</w:t>
      </w:r>
      <w:r w:rsidR="009770F2">
        <w:rPr>
          <w:lang w:val="en-US"/>
        </w:rPr>
        <w:t xml:space="preserve"> activit</w:t>
      </w:r>
      <w:r>
        <w:rPr>
          <w:lang w:val="en-US"/>
        </w:rPr>
        <w:t>ies that may have a high impact</w:t>
      </w:r>
      <w:r w:rsidR="009770F2">
        <w:rPr>
          <w:lang w:val="en-US"/>
        </w:rPr>
        <w:t xml:space="preserve"> in an area of cultural sensitivity</w:t>
      </w:r>
      <w:r>
        <w:rPr>
          <w:lang w:val="en-US"/>
        </w:rPr>
        <w:t>; and</w:t>
      </w:r>
    </w:p>
    <w:p w14:paraId="6FD8C57A" w14:textId="70B5F0DC" w:rsidR="00125978" w:rsidRDefault="00125978" w:rsidP="00030A26">
      <w:pPr>
        <w:pStyle w:val="ListBullet"/>
        <w:rPr>
          <w:lang w:val="en-US"/>
        </w:rPr>
      </w:pPr>
      <w:r>
        <w:rPr>
          <w:lang w:val="en-US"/>
        </w:rPr>
        <w:t xml:space="preserve">facilitate the preparation of: </w:t>
      </w:r>
    </w:p>
    <w:p w14:paraId="4E6A48E2" w14:textId="7017CD54" w:rsidR="009770F2" w:rsidRDefault="009770F2" w:rsidP="00705BA8">
      <w:pPr>
        <w:pStyle w:val="ListBullet2"/>
        <w:rPr>
          <w:lang w:val="en-US"/>
        </w:rPr>
      </w:pPr>
      <w:r>
        <w:rPr>
          <w:lang w:val="en-US"/>
        </w:rPr>
        <w:t xml:space="preserve">CHMPs that can be </w:t>
      </w:r>
      <w:r w:rsidR="002E6C5C">
        <w:rPr>
          <w:lang w:val="en-US"/>
        </w:rPr>
        <w:t xml:space="preserve">evaluated </w:t>
      </w:r>
      <w:r>
        <w:rPr>
          <w:lang w:val="en-US"/>
        </w:rPr>
        <w:t>by Government and RAPs</w:t>
      </w:r>
      <w:r w:rsidR="00125978">
        <w:rPr>
          <w:lang w:val="en-US"/>
        </w:rPr>
        <w:t>, without requiring significant re-work</w:t>
      </w:r>
    </w:p>
    <w:p w14:paraId="55A08A76" w14:textId="41408422" w:rsidR="00F40D77" w:rsidRDefault="00125978" w:rsidP="00705BA8">
      <w:pPr>
        <w:pStyle w:val="ListBullet2"/>
        <w:rPr>
          <w:lang w:val="en-US"/>
        </w:rPr>
      </w:pPr>
      <w:r>
        <w:rPr>
          <w:lang w:val="en-US"/>
        </w:rPr>
        <w:t xml:space="preserve">consistent and rigorous </w:t>
      </w:r>
      <w:r w:rsidR="00F40D77">
        <w:rPr>
          <w:lang w:val="en-US"/>
        </w:rPr>
        <w:t xml:space="preserve">ACHLMAs </w:t>
      </w:r>
    </w:p>
    <w:p w14:paraId="0C8175E9" w14:textId="206621B8" w:rsidR="00030A26" w:rsidRDefault="00030A26" w:rsidP="00125978">
      <w:pPr>
        <w:pStyle w:val="ListBullet"/>
        <w:rPr>
          <w:lang w:val="en-US"/>
        </w:rPr>
      </w:pPr>
      <w:r>
        <w:rPr>
          <w:lang w:val="en-US"/>
        </w:rPr>
        <w:t>ensure the consistency and rigour of maps in CHAs and other applications</w:t>
      </w:r>
    </w:p>
    <w:p w14:paraId="21941ABF" w14:textId="69659C03" w:rsidR="00125978" w:rsidRDefault="00125978" w:rsidP="00125978">
      <w:pPr>
        <w:pStyle w:val="ListBullet"/>
        <w:rPr>
          <w:lang w:val="en-US"/>
        </w:rPr>
      </w:pPr>
      <w:r>
        <w:rPr>
          <w:lang w:val="en-US"/>
        </w:rPr>
        <w:t>maps in CHAs that are consistent and fit-for-use.</w:t>
      </w:r>
    </w:p>
    <w:p w14:paraId="0D2AD787" w14:textId="38C56998" w:rsidR="009770F2" w:rsidRDefault="00125978" w:rsidP="00705BA8">
      <w:pPr>
        <w:pStyle w:val="ListBullet"/>
        <w:rPr>
          <w:lang w:val="en-US"/>
        </w:rPr>
      </w:pPr>
      <w:r>
        <w:rPr>
          <w:lang w:val="en-US"/>
        </w:rPr>
        <w:t xml:space="preserve">recover costs i </w:t>
      </w:r>
      <w:r w:rsidR="002E6C5C">
        <w:rPr>
          <w:lang w:val="en-US"/>
        </w:rPr>
        <w:t xml:space="preserve">so </w:t>
      </w:r>
      <w:r>
        <w:rPr>
          <w:lang w:val="en-US"/>
        </w:rPr>
        <w:t>that</w:t>
      </w:r>
      <w:r w:rsidRPr="00DE1548">
        <w:rPr>
          <w:lang w:val="en-US"/>
        </w:rPr>
        <w:t xml:space="preserve"> </w:t>
      </w:r>
      <w:r w:rsidR="00DE1548" w:rsidRPr="00DE1548">
        <w:rPr>
          <w:lang w:val="en-US"/>
        </w:rPr>
        <w:t>those parties that give rise to the need for government regulation pay the associated costs</w:t>
      </w:r>
      <w:r w:rsidR="00030A26">
        <w:rPr>
          <w:lang w:val="en-US"/>
        </w:rPr>
        <w:t>.</w:t>
      </w:r>
    </w:p>
    <w:p w14:paraId="0A618800" w14:textId="77777777" w:rsidR="00C2070A" w:rsidRDefault="00C2070A" w:rsidP="00C2070A">
      <w:pPr>
        <w:pStyle w:val="Heading2"/>
        <w:rPr>
          <w:lang w:val="en-US"/>
        </w:rPr>
      </w:pPr>
      <w:bookmarkStart w:id="47" w:name="_Toc507761450"/>
      <w:bookmarkStart w:id="48" w:name="_Toc507761452"/>
      <w:bookmarkEnd w:id="47"/>
      <w:r>
        <w:rPr>
          <w:lang w:val="en-US"/>
        </w:rPr>
        <w:t>Options</w:t>
      </w:r>
      <w:bookmarkEnd w:id="48"/>
    </w:p>
    <w:p w14:paraId="5BF1DE80" w14:textId="2D44A5CB" w:rsidR="00165E3C" w:rsidRDefault="002F76CB">
      <w:pPr>
        <w:pStyle w:val="Heading6"/>
        <w:rPr>
          <w:lang w:val="en-US"/>
        </w:rPr>
      </w:pPr>
      <w:bookmarkStart w:id="49" w:name="_Ref507744392"/>
      <w:r>
        <w:rPr>
          <w:lang w:val="en-US"/>
        </w:rPr>
        <w:t>Options development</w:t>
      </w:r>
      <w:bookmarkEnd w:id="49"/>
    </w:p>
    <w:p w14:paraId="53987E78" w14:textId="1C389A89" w:rsidR="00342AF6" w:rsidRDefault="00342AF6" w:rsidP="00385D64">
      <w:pPr>
        <w:pStyle w:val="Heading7"/>
        <w:rPr>
          <w:lang w:val="en-US"/>
        </w:rPr>
      </w:pPr>
      <w:r>
        <w:rPr>
          <w:lang w:val="en-US"/>
        </w:rPr>
        <w:t>Origin of proposed Options</w:t>
      </w:r>
    </w:p>
    <w:p w14:paraId="44394E26" w14:textId="17F6D956" w:rsidR="006342AC" w:rsidRDefault="00165E3C" w:rsidP="006342AC">
      <w:pPr>
        <w:pStyle w:val="PwCNormal"/>
        <w:numPr>
          <w:ilvl w:val="0"/>
          <w:numId w:val="0"/>
        </w:numPr>
        <w:rPr>
          <w:lang w:val="en-US"/>
        </w:rPr>
      </w:pPr>
      <w:r>
        <w:rPr>
          <w:lang w:val="en-US"/>
        </w:rPr>
        <w:t xml:space="preserve">The options in this RIS have been developed </w:t>
      </w:r>
      <w:r w:rsidR="006342AC">
        <w:rPr>
          <w:lang w:val="en-US"/>
        </w:rPr>
        <w:t xml:space="preserve">with AV </w:t>
      </w:r>
      <w:r>
        <w:rPr>
          <w:lang w:val="en-US"/>
        </w:rPr>
        <w:t xml:space="preserve">with regard to </w:t>
      </w:r>
      <w:r w:rsidR="00EA6133">
        <w:rPr>
          <w:lang w:val="en-US"/>
        </w:rPr>
        <w:t>AV</w:t>
      </w:r>
      <w:r>
        <w:rPr>
          <w:lang w:val="en-US"/>
        </w:rPr>
        <w:t xml:space="preserve"> </w:t>
      </w:r>
      <w:r w:rsidR="006342AC">
        <w:rPr>
          <w:lang w:val="en-US"/>
        </w:rPr>
        <w:t>data</w:t>
      </w:r>
      <w:r>
        <w:rPr>
          <w:lang w:val="en-US"/>
        </w:rPr>
        <w:t xml:space="preserve">, </w:t>
      </w:r>
      <w:r w:rsidR="00416481">
        <w:rPr>
          <w:lang w:val="en-US"/>
        </w:rPr>
        <w:t xml:space="preserve">evidence from </w:t>
      </w:r>
      <w:r>
        <w:rPr>
          <w:lang w:val="en-US"/>
        </w:rPr>
        <w:t xml:space="preserve">academic </w:t>
      </w:r>
      <w:r w:rsidR="00416481">
        <w:rPr>
          <w:lang w:val="en-US"/>
        </w:rPr>
        <w:t>sources</w:t>
      </w:r>
      <w:r>
        <w:rPr>
          <w:lang w:val="en-US"/>
        </w:rPr>
        <w:t>,</w:t>
      </w:r>
      <w:r w:rsidR="00416481">
        <w:rPr>
          <w:lang w:val="en-US"/>
        </w:rPr>
        <w:t xml:space="preserve"> the experience </w:t>
      </w:r>
      <w:r w:rsidR="002303B1">
        <w:rPr>
          <w:lang w:val="en-US"/>
        </w:rPr>
        <w:t xml:space="preserve">of users </w:t>
      </w:r>
      <w:r w:rsidR="00416481">
        <w:rPr>
          <w:lang w:val="en-US"/>
        </w:rPr>
        <w:t>with the Regulations to date</w:t>
      </w:r>
      <w:r w:rsidR="002303B1">
        <w:rPr>
          <w:lang w:val="en-US"/>
        </w:rPr>
        <w:t>,</w:t>
      </w:r>
      <w:r w:rsidR="006342AC" w:rsidRPr="006342AC">
        <w:rPr>
          <w:lang w:val="en-US"/>
        </w:rPr>
        <w:t xml:space="preserve"> </w:t>
      </w:r>
      <w:r w:rsidR="006342AC">
        <w:rPr>
          <w:lang w:val="en-US"/>
        </w:rPr>
        <w:t>and extensive consultation by AV over the past year, in particular with input from:</w:t>
      </w:r>
    </w:p>
    <w:p w14:paraId="6577D414" w14:textId="77777777" w:rsidR="006342AC" w:rsidRDefault="006342AC" w:rsidP="006342AC">
      <w:pPr>
        <w:pStyle w:val="ListBullet"/>
        <w:rPr>
          <w:lang w:val="en-US"/>
        </w:rPr>
      </w:pPr>
      <w:r>
        <w:rPr>
          <w:lang w:val="en-US"/>
        </w:rPr>
        <w:t>RAPs</w:t>
      </w:r>
    </w:p>
    <w:p w14:paraId="6FC242D7" w14:textId="43F762AE" w:rsidR="007522A3" w:rsidRDefault="007522A3" w:rsidP="006342AC">
      <w:pPr>
        <w:pStyle w:val="ListBullet"/>
        <w:rPr>
          <w:lang w:val="en-US"/>
        </w:rPr>
      </w:pPr>
      <w:r>
        <w:rPr>
          <w:lang w:val="en-US"/>
        </w:rPr>
        <w:t>S</w:t>
      </w:r>
      <w:r w:rsidR="006342AC">
        <w:rPr>
          <w:lang w:val="en-US"/>
        </w:rPr>
        <w:t>ponsors</w:t>
      </w:r>
    </w:p>
    <w:p w14:paraId="04917B11" w14:textId="7A8BE668" w:rsidR="007522A3" w:rsidRDefault="007522A3" w:rsidP="006342AC">
      <w:pPr>
        <w:pStyle w:val="ListBullet"/>
        <w:rPr>
          <w:lang w:val="en-US"/>
        </w:rPr>
      </w:pPr>
      <w:r>
        <w:rPr>
          <w:lang w:val="en-US"/>
        </w:rPr>
        <w:t>Government agencies including Parks Victoria and VicRoads</w:t>
      </w:r>
    </w:p>
    <w:p w14:paraId="41100006" w14:textId="299F533B" w:rsidR="006342AC" w:rsidRDefault="007522A3" w:rsidP="006342AC">
      <w:pPr>
        <w:pStyle w:val="ListBullet"/>
        <w:rPr>
          <w:lang w:val="en-US"/>
        </w:rPr>
      </w:pPr>
      <w:r>
        <w:rPr>
          <w:lang w:val="en-US"/>
        </w:rPr>
        <w:t>Representative peak bodies</w:t>
      </w:r>
      <w:r w:rsidR="006342AC">
        <w:rPr>
          <w:lang w:val="en-US"/>
        </w:rPr>
        <w:t xml:space="preserve"> including the </w:t>
      </w:r>
      <w:r w:rsidR="002303B1">
        <w:rPr>
          <w:lang w:val="en-US"/>
        </w:rPr>
        <w:t>Urban Development Institute of Australia</w:t>
      </w:r>
      <w:r w:rsidR="006342AC">
        <w:rPr>
          <w:lang w:val="en-US"/>
        </w:rPr>
        <w:t xml:space="preserve">, </w:t>
      </w:r>
      <w:r w:rsidR="00222FD7">
        <w:rPr>
          <w:lang w:val="en-US"/>
        </w:rPr>
        <w:t>Municipal Associations of Victoria</w:t>
      </w:r>
      <w:r w:rsidR="006342AC">
        <w:rPr>
          <w:lang w:val="en-US"/>
        </w:rPr>
        <w:t>, the Minerals Council of Australia</w:t>
      </w:r>
      <w:r w:rsidR="00222FD7">
        <w:rPr>
          <w:lang w:val="en-US"/>
        </w:rPr>
        <w:t>,</w:t>
      </w:r>
      <w:r w:rsidR="006342AC">
        <w:rPr>
          <w:lang w:val="en-US"/>
        </w:rPr>
        <w:t xml:space="preserve"> the Construction Material Processors Association</w:t>
      </w:r>
      <w:r>
        <w:rPr>
          <w:lang w:val="en-US"/>
        </w:rPr>
        <w:t xml:space="preserve">, </w:t>
      </w:r>
      <w:r w:rsidR="00222FD7">
        <w:rPr>
          <w:lang w:val="en-US"/>
        </w:rPr>
        <w:t xml:space="preserve">and </w:t>
      </w:r>
      <w:r>
        <w:rPr>
          <w:lang w:val="en-US"/>
        </w:rPr>
        <w:t>the Australian Association of Consulting Archaeologists Incorporated.</w:t>
      </w:r>
    </w:p>
    <w:p w14:paraId="1DDDAA38" w14:textId="77777777" w:rsidR="006342AC" w:rsidRDefault="006342AC" w:rsidP="006342AC">
      <w:pPr>
        <w:pStyle w:val="ListBullet"/>
        <w:rPr>
          <w:lang w:val="en-US"/>
        </w:rPr>
      </w:pPr>
      <w:r>
        <w:rPr>
          <w:lang w:val="en-US"/>
        </w:rPr>
        <w:t>heritage advisors.</w:t>
      </w:r>
    </w:p>
    <w:p w14:paraId="1D801156" w14:textId="3BC34B32" w:rsidR="00165E3C" w:rsidRDefault="00416481" w:rsidP="00165E3C">
      <w:pPr>
        <w:pStyle w:val="PwCNormal"/>
        <w:numPr>
          <w:ilvl w:val="0"/>
          <w:numId w:val="0"/>
        </w:numPr>
        <w:rPr>
          <w:lang w:val="en-US"/>
        </w:rPr>
      </w:pPr>
      <w:r>
        <w:rPr>
          <w:lang w:val="en-US"/>
        </w:rPr>
        <w:t>Perspectives regarding the Regulations, in particular the CHMP triggers and standards, differ between RAPs, heritage advisors and sponsors. RAPs generally considered the</w:t>
      </w:r>
      <w:r w:rsidR="002F76CB">
        <w:rPr>
          <w:lang w:val="en-US"/>
        </w:rPr>
        <w:t xml:space="preserve"> number of</w:t>
      </w:r>
      <w:r>
        <w:rPr>
          <w:lang w:val="en-US"/>
        </w:rPr>
        <w:t xml:space="preserve"> triggers for CHMPs to be inadequate, while most heritage advisors and sponsors considered them to be over-burdensome. There was some agreement that the standards for a CHMP were often unclear, too prescriptive and inflexible. There was also broad consensus that the regulatory framework provided a substantial improvement to what was in place prior to 2007.</w:t>
      </w:r>
      <w:r w:rsidR="002F76CB">
        <w:rPr>
          <w:lang w:val="en-US"/>
        </w:rPr>
        <w:t xml:space="preserve"> More information on the outcomes from consultation can be found in </w:t>
      </w:r>
      <w:r w:rsidR="002F76CB">
        <w:rPr>
          <w:lang w:val="en-US"/>
        </w:rPr>
        <w:fldChar w:fldCharType="begin"/>
      </w:r>
      <w:r w:rsidR="002F76CB">
        <w:rPr>
          <w:lang w:val="en-US"/>
        </w:rPr>
        <w:instrText xml:space="preserve"> REF _Ref504147791 \n \h </w:instrText>
      </w:r>
      <w:r w:rsidR="002F76CB">
        <w:rPr>
          <w:lang w:val="en-US"/>
        </w:rPr>
      </w:r>
      <w:r w:rsidR="002F76CB">
        <w:rPr>
          <w:lang w:val="en-US"/>
        </w:rPr>
        <w:fldChar w:fldCharType="separate"/>
      </w:r>
      <w:r w:rsidR="000369A1">
        <w:rPr>
          <w:lang w:val="en-US"/>
        </w:rPr>
        <w:t>Appendix A</w:t>
      </w:r>
      <w:r w:rsidR="002F76CB">
        <w:rPr>
          <w:lang w:val="en-US"/>
        </w:rPr>
        <w:fldChar w:fldCharType="end"/>
      </w:r>
      <w:r w:rsidR="002F76CB">
        <w:rPr>
          <w:lang w:val="en-US"/>
        </w:rPr>
        <w:t>.</w:t>
      </w:r>
    </w:p>
    <w:p w14:paraId="5525D52D" w14:textId="5C2CF830" w:rsidR="007C5C05" w:rsidRDefault="007C5C05" w:rsidP="00165E3C">
      <w:pPr>
        <w:pStyle w:val="PwCNormal"/>
        <w:numPr>
          <w:ilvl w:val="0"/>
          <w:numId w:val="0"/>
        </w:numPr>
        <w:rPr>
          <w:lang w:val="en-US"/>
        </w:rPr>
      </w:pPr>
      <w:r>
        <w:rPr>
          <w:lang w:val="en-US"/>
        </w:rPr>
        <w:t>Some aspects of the Regulations, for example Aboriginal Cultural Heritage Land Management Agreements and Aboriginal Intangible Heritage Agreements, have only been recently introduced and have experienced minimal activity</w:t>
      </w:r>
      <w:r w:rsidR="00D64D5B">
        <w:rPr>
          <w:lang w:val="en-US"/>
        </w:rPr>
        <w:t xml:space="preserve"> to date</w:t>
      </w:r>
      <w:r>
        <w:rPr>
          <w:lang w:val="en-US"/>
        </w:rPr>
        <w:t xml:space="preserve">. </w:t>
      </w:r>
    </w:p>
    <w:p w14:paraId="52C93147" w14:textId="6228D5A1" w:rsidR="00342AF6" w:rsidRDefault="00342AF6" w:rsidP="00385D64">
      <w:pPr>
        <w:pStyle w:val="Heading7"/>
        <w:rPr>
          <w:lang w:val="en-US"/>
        </w:rPr>
      </w:pPr>
      <w:r>
        <w:rPr>
          <w:lang w:val="en-US"/>
        </w:rPr>
        <w:t>Decision-making process to determine Options</w:t>
      </w:r>
    </w:p>
    <w:p w14:paraId="42C29E8E" w14:textId="77777777" w:rsidR="00342AF6" w:rsidRDefault="00342AF6" w:rsidP="00342AF6">
      <w:pPr>
        <w:pStyle w:val="PwCNormal"/>
        <w:numPr>
          <w:ilvl w:val="0"/>
          <w:numId w:val="0"/>
        </w:numPr>
        <w:rPr>
          <w:lang w:val="en-US"/>
        </w:rPr>
      </w:pPr>
      <w:r>
        <w:rPr>
          <w:lang w:val="en-US"/>
        </w:rPr>
        <w:t>The process that was used by AV to determine the Options is as follows:</w:t>
      </w:r>
    </w:p>
    <w:p w14:paraId="3F497538" w14:textId="77777777" w:rsidR="00342AF6" w:rsidRPr="00072523" w:rsidRDefault="00342AF6" w:rsidP="00342AF6">
      <w:pPr>
        <w:pStyle w:val="ListBullet"/>
        <w:rPr>
          <w:lang w:val="en-US"/>
        </w:rPr>
      </w:pPr>
      <w:r w:rsidRPr="00072523">
        <w:rPr>
          <w:lang w:val="en-US"/>
        </w:rPr>
        <w:t>Identify potential improvements to the Regulations suggested by stakeholders or through AV internal processes.</w:t>
      </w:r>
    </w:p>
    <w:p w14:paraId="0022B1B3" w14:textId="6048C3E4" w:rsidR="00342AF6" w:rsidRPr="00072523" w:rsidRDefault="00342AF6" w:rsidP="00342AF6">
      <w:pPr>
        <w:pStyle w:val="ListBullet"/>
        <w:rPr>
          <w:lang w:val="en-US"/>
        </w:rPr>
      </w:pPr>
      <w:r w:rsidRPr="00072523">
        <w:rPr>
          <w:lang w:val="en-US"/>
        </w:rPr>
        <w:t xml:space="preserve">Determine whether change is feasible and in line with </w:t>
      </w:r>
      <w:r w:rsidR="00D64D5B">
        <w:rPr>
          <w:lang w:val="en-US"/>
        </w:rPr>
        <w:t xml:space="preserve">the </w:t>
      </w:r>
      <w:r w:rsidRPr="00072523">
        <w:rPr>
          <w:lang w:val="en-US"/>
        </w:rPr>
        <w:t>principles and object</w:t>
      </w:r>
      <w:r w:rsidR="00D64D5B">
        <w:rPr>
          <w:lang w:val="en-US"/>
        </w:rPr>
        <w:t>ives</w:t>
      </w:r>
      <w:r w:rsidRPr="00072523">
        <w:rPr>
          <w:lang w:val="en-US"/>
        </w:rPr>
        <w:t xml:space="preserve"> of the Act.</w:t>
      </w:r>
    </w:p>
    <w:p w14:paraId="4E07D706" w14:textId="77777777" w:rsidR="00342AF6" w:rsidRPr="00072523" w:rsidRDefault="00342AF6" w:rsidP="00342AF6">
      <w:pPr>
        <w:pStyle w:val="ListBullet"/>
        <w:rPr>
          <w:lang w:val="en-US"/>
        </w:rPr>
      </w:pPr>
      <w:r w:rsidRPr="00072523">
        <w:rPr>
          <w:lang w:val="en-US"/>
        </w:rPr>
        <w:t>Consult resources to determine the potential impact</w:t>
      </w:r>
      <w:r>
        <w:rPr>
          <w:lang w:val="en-US"/>
        </w:rPr>
        <w:t>, including</w:t>
      </w:r>
      <w:r w:rsidRPr="00072523">
        <w:rPr>
          <w:lang w:val="en-US"/>
        </w:rPr>
        <w:t>:</w:t>
      </w:r>
    </w:p>
    <w:p w14:paraId="1DD0E776" w14:textId="77777777" w:rsidR="00342AF6" w:rsidRPr="00072523" w:rsidRDefault="00342AF6" w:rsidP="00342AF6">
      <w:pPr>
        <w:pStyle w:val="ListBullet2"/>
        <w:rPr>
          <w:lang w:val="en-US"/>
        </w:rPr>
      </w:pPr>
      <w:r>
        <w:rPr>
          <w:lang w:val="en-US"/>
        </w:rPr>
        <w:t>CHMP data</w:t>
      </w:r>
    </w:p>
    <w:p w14:paraId="724C5967" w14:textId="77777777" w:rsidR="00342AF6" w:rsidRPr="00072523" w:rsidRDefault="00342AF6" w:rsidP="00342AF6">
      <w:pPr>
        <w:pStyle w:val="ListBullet2"/>
        <w:rPr>
          <w:lang w:val="en-US"/>
        </w:rPr>
      </w:pPr>
      <w:r>
        <w:rPr>
          <w:lang w:val="en-US"/>
        </w:rPr>
        <w:t>g</w:t>
      </w:r>
      <w:r w:rsidRPr="00072523">
        <w:rPr>
          <w:lang w:val="en-US"/>
        </w:rPr>
        <w:t>e</w:t>
      </w:r>
      <w:r>
        <w:rPr>
          <w:lang w:val="en-US"/>
        </w:rPr>
        <w:t>ospatial and geographic mapping</w:t>
      </w:r>
    </w:p>
    <w:p w14:paraId="760EC5D1" w14:textId="5467231C" w:rsidR="00342AF6" w:rsidRPr="00072523" w:rsidRDefault="00342AF6" w:rsidP="00342AF6">
      <w:pPr>
        <w:pStyle w:val="ListBullet2"/>
        <w:rPr>
          <w:lang w:val="en-US"/>
        </w:rPr>
      </w:pPr>
      <w:r>
        <w:rPr>
          <w:lang w:val="en-US"/>
        </w:rPr>
        <w:t>d</w:t>
      </w:r>
      <w:r w:rsidRPr="00072523">
        <w:rPr>
          <w:lang w:val="en-US"/>
        </w:rPr>
        <w:t xml:space="preserve">ata and information from other Departments (in particular, the Department of </w:t>
      </w:r>
      <w:r w:rsidR="007522A3">
        <w:rPr>
          <w:lang w:val="en-US"/>
        </w:rPr>
        <w:t xml:space="preserve">Environment, </w:t>
      </w:r>
      <w:r w:rsidRPr="00072523">
        <w:rPr>
          <w:lang w:val="en-US"/>
        </w:rPr>
        <w:t>Land, Water and Planning).</w:t>
      </w:r>
    </w:p>
    <w:p w14:paraId="2FC7D771" w14:textId="7F512404" w:rsidR="00342AF6" w:rsidRPr="00072523" w:rsidRDefault="00222517" w:rsidP="00342AF6">
      <w:pPr>
        <w:pStyle w:val="ListBullet"/>
        <w:rPr>
          <w:lang w:val="en-US"/>
        </w:rPr>
      </w:pPr>
      <w:r>
        <w:rPr>
          <w:lang w:val="en-US"/>
        </w:rPr>
        <w:t>Develop a</w:t>
      </w:r>
      <w:r w:rsidRPr="00072523">
        <w:rPr>
          <w:lang w:val="en-US"/>
        </w:rPr>
        <w:t xml:space="preserve"> </w:t>
      </w:r>
      <w:r w:rsidR="00342AF6" w:rsidRPr="00072523">
        <w:rPr>
          <w:lang w:val="en-US"/>
        </w:rPr>
        <w:t xml:space="preserve">list of high impact activities based on each development activity’s impact on the land and possible Aboriginal cultural heritage in the area. In particular, </w:t>
      </w:r>
      <w:r>
        <w:rPr>
          <w:lang w:val="en-US"/>
        </w:rPr>
        <w:t xml:space="preserve">this list </w:t>
      </w:r>
      <w:r w:rsidR="00342AF6" w:rsidRPr="00072523">
        <w:rPr>
          <w:lang w:val="en-US"/>
        </w:rPr>
        <w:t>reflects the extent of development works, including:</w:t>
      </w:r>
    </w:p>
    <w:p w14:paraId="20A0CEEA" w14:textId="77777777" w:rsidR="00342AF6" w:rsidRPr="00072523" w:rsidRDefault="00342AF6" w:rsidP="00342AF6">
      <w:pPr>
        <w:pStyle w:val="ListBullet2"/>
        <w:rPr>
          <w:lang w:val="en-US"/>
        </w:rPr>
      </w:pPr>
      <w:r>
        <w:rPr>
          <w:lang w:val="en-US"/>
        </w:rPr>
        <w:t>activity size</w:t>
      </w:r>
    </w:p>
    <w:p w14:paraId="542E97B6" w14:textId="77777777" w:rsidR="00342AF6" w:rsidRPr="00072523" w:rsidRDefault="00342AF6" w:rsidP="00342AF6">
      <w:pPr>
        <w:pStyle w:val="ListBullet2"/>
        <w:rPr>
          <w:lang w:val="en-US"/>
        </w:rPr>
      </w:pPr>
      <w:r>
        <w:rPr>
          <w:lang w:val="en-US"/>
        </w:rPr>
        <w:t>l</w:t>
      </w:r>
      <w:r w:rsidRPr="00072523">
        <w:rPr>
          <w:lang w:val="en-US"/>
        </w:rPr>
        <w:t>andforms usually associated with the activity type</w:t>
      </w:r>
    </w:p>
    <w:p w14:paraId="1A7EFD82" w14:textId="77777777" w:rsidR="00342AF6" w:rsidRPr="00072523" w:rsidRDefault="00342AF6" w:rsidP="00342AF6">
      <w:pPr>
        <w:pStyle w:val="ListBullet2"/>
        <w:rPr>
          <w:lang w:val="en-US"/>
        </w:rPr>
      </w:pPr>
      <w:r>
        <w:rPr>
          <w:lang w:val="en-US"/>
        </w:rPr>
        <w:t>the e</w:t>
      </w:r>
      <w:r w:rsidRPr="00072523">
        <w:rPr>
          <w:lang w:val="en-US"/>
        </w:rPr>
        <w:t xml:space="preserve">xtent </w:t>
      </w:r>
      <w:r>
        <w:rPr>
          <w:lang w:val="en-US"/>
        </w:rPr>
        <w:t>and depth of ground disturbance</w:t>
      </w:r>
    </w:p>
    <w:p w14:paraId="14D01648" w14:textId="77777777" w:rsidR="00342AF6" w:rsidRPr="00072523" w:rsidRDefault="00342AF6" w:rsidP="00342AF6">
      <w:pPr>
        <w:pStyle w:val="ListBullet2"/>
        <w:rPr>
          <w:lang w:val="en-US"/>
        </w:rPr>
      </w:pPr>
      <w:r>
        <w:rPr>
          <w:lang w:val="en-US"/>
        </w:rPr>
        <w:t>the q</w:t>
      </w:r>
      <w:r w:rsidRPr="00072523">
        <w:rPr>
          <w:lang w:val="en-US"/>
        </w:rPr>
        <w:t>uantity of each activity type per year.</w:t>
      </w:r>
    </w:p>
    <w:p w14:paraId="0E840C2F" w14:textId="1033C0AF" w:rsidR="006342AC" w:rsidRDefault="002F76CB" w:rsidP="00705BA8">
      <w:pPr>
        <w:pStyle w:val="Heading6"/>
        <w:rPr>
          <w:lang w:val="en-US"/>
        </w:rPr>
      </w:pPr>
      <w:bookmarkStart w:id="50" w:name="_Ref507699905"/>
      <w:r>
        <w:rPr>
          <w:lang w:val="en-US"/>
        </w:rPr>
        <w:t>Options</w:t>
      </w:r>
      <w:bookmarkEnd w:id="50"/>
    </w:p>
    <w:p w14:paraId="67C631E5" w14:textId="238022DA" w:rsidR="006342AC" w:rsidRDefault="006342AC" w:rsidP="00165E3C">
      <w:pPr>
        <w:pStyle w:val="PwCNormal"/>
        <w:numPr>
          <w:ilvl w:val="0"/>
          <w:numId w:val="0"/>
        </w:numPr>
        <w:rPr>
          <w:lang w:val="en-US"/>
        </w:rPr>
      </w:pPr>
      <w:r>
        <w:rPr>
          <w:lang w:val="en-US"/>
        </w:rPr>
        <w:t>A</w:t>
      </w:r>
      <w:r w:rsidR="007C5C05">
        <w:rPr>
          <w:lang w:val="en-US"/>
        </w:rPr>
        <w:t xml:space="preserve">ll </w:t>
      </w:r>
      <w:r w:rsidR="00416481">
        <w:rPr>
          <w:lang w:val="en-US"/>
        </w:rPr>
        <w:t>Options</w:t>
      </w:r>
      <w:r w:rsidR="007C5C05">
        <w:rPr>
          <w:lang w:val="en-US"/>
        </w:rPr>
        <w:t xml:space="preserve"> retain the broad regulatory framework. In addition</w:t>
      </w:r>
      <w:r w:rsidR="00CE2D6B">
        <w:rPr>
          <w:lang w:val="en-US"/>
        </w:rPr>
        <w:t xml:space="preserve"> </w:t>
      </w:r>
      <w:r w:rsidR="00D8156B">
        <w:rPr>
          <w:lang w:val="en-US"/>
        </w:rPr>
        <w:t>to</w:t>
      </w:r>
      <w:r w:rsidR="00CE2D6B">
        <w:rPr>
          <w:lang w:val="en-US"/>
        </w:rPr>
        <w:t xml:space="preserve"> maintaining the existing Regulations (Option 1)</w:t>
      </w:r>
      <w:r w:rsidR="007C5C05">
        <w:rPr>
          <w:lang w:val="en-US"/>
        </w:rPr>
        <w:t xml:space="preserve">, </w:t>
      </w:r>
      <w:r w:rsidR="007C5C05" w:rsidRPr="00E4212C">
        <w:rPr>
          <w:lang w:val="en-US"/>
        </w:rPr>
        <w:t xml:space="preserve">Options 2 and </w:t>
      </w:r>
      <w:r w:rsidR="00FD1AC6">
        <w:rPr>
          <w:lang w:val="en-US"/>
        </w:rPr>
        <w:t>3</w:t>
      </w:r>
      <w:r w:rsidR="007C5C05">
        <w:rPr>
          <w:lang w:val="en-US"/>
        </w:rPr>
        <w:t xml:space="preserve"> </w:t>
      </w:r>
      <w:r w:rsidR="001C77E1">
        <w:rPr>
          <w:lang w:val="en-US"/>
        </w:rPr>
        <w:t>involve</w:t>
      </w:r>
      <w:r>
        <w:rPr>
          <w:lang w:val="en-US"/>
        </w:rPr>
        <w:t xml:space="preserve"> two decision choices:</w:t>
      </w:r>
    </w:p>
    <w:p w14:paraId="2BCC2E80" w14:textId="7B1BF7DC" w:rsidR="006342AC" w:rsidRDefault="006342AC" w:rsidP="00705BA8">
      <w:pPr>
        <w:pStyle w:val="ListBullet"/>
        <w:rPr>
          <w:lang w:val="en-US"/>
        </w:rPr>
      </w:pPr>
      <w:r>
        <w:rPr>
          <w:lang w:val="en-US"/>
        </w:rPr>
        <w:t>Altering the triggers for a CHMP.</w:t>
      </w:r>
    </w:p>
    <w:p w14:paraId="5814144D" w14:textId="59E1569C" w:rsidR="006342AC" w:rsidRDefault="006342AC" w:rsidP="00705BA8">
      <w:pPr>
        <w:pStyle w:val="ListBullet"/>
        <w:rPr>
          <w:lang w:val="en-US"/>
        </w:rPr>
      </w:pPr>
      <w:r>
        <w:rPr>
          <w:lang w:val="en-US"/>
        </w:rPr>
        <w:t>Updating the standards for a CHMP (which affect the prescribed content of a CHMP and whether it involves a desktop, standard or complex assessment)</w:t>
      </w:r>
      <w:r w:rsidR="007C5C05">
        <w:rPr>
          <w:lang w:val="en-US"/>
        </w:rPr>
        <w:t xml:space="preserve">. </w:t>
      </w:r>
    </w:p>
    <w:p w14:paraId="276FFD62" w14:textId="40A352CD" w:rsidR="00416481" w:rsidRDefault="006342AC" w:rsidP="00165E3C">
      <w:pPr>
        <w:pStyle w:val="PwCNormal"/>
        <w:numPr>
          <w:ilvl w:val="0"/>
          <w:numId w:val="0"/>
        </w:numPr>
        <w:rPr>
          <w:lang w:val="en-US"/>
        </w:rPr>
      </w:pPr>
      <w:r>
        <w:rPr>
          <w:lang w:val="en-US"/>
        </w:rPr>
        <w:t xml:space="preserve">These two elements of the Regulations are the primary determinants of whether Aboriginal cultural heritage is protected through the regulatory framework, and as such, are the focus of the Options. </w:t>
      </w:r>
      <w:r w:rsidR="007C5C05">
        <w:rPr>
          <w:lang w:val="en-US"/>
        </w:rPr>
        <w:t>In summary</w:t>
      </w:r>
      <w:r w:rsidR="00750CC4">
        <w:rPr>
          <w:lang w:val="en-US"/>
        </w:rPr>
        <w:t>,</w:t>
      </w:r>
      <w:r w:rsidR="007C5C05">
        <w:rPr>
          <w:lang w:val="en-US"/>
        </w:rPr>
        <w:t xml:space="preserve"> the Options involve:</w:t>
      </w:r>
    </w:p>
    <w:p w14:paraId="0E5870DF" w14:textId="72A83C41" w:rsidR="007C5C05" w:rsidRDefault="007C5C05" w:rsidP="007C5C05">
      <w:pPr>
        <w:pStyle w:val="ListBullet"/>
        <w:rPr>
          <w:lang w:val="en-US"/>
        </w:rPr>
      </w:pPr>
      <w:r>
        <w:rPr>
          <w:lang w:val="en-US"/>
        </w:rPr>
        <w:t>Option 1: Re-make the Regulations</w:t>
      </w:r>
      <w:r w:rsidR="008D6E42">
        <w:rPr>
          <w:lang w:val="en-US"/>
        </w:rPr>
        <w:t xml:space="preserve"> as they are presently</w:t>
      </w:r>
      <w:r>
        <w:rPr>
          <w:lang w:val="en-US"/>
        </w:rPr>
        <w:t>.</w:t>
      </w:r>
    </w:p>
    <w:p w14:paraId="71EECD70" w14:textId="09690DB4" w:rsidR="007C5C05" w:rsidRPr="00E4212C" w:rsidRDefault="007C5C05" w:rsidP="007C5C05">
      <w:pPr>
        <w:pStyle w:val="ListBullet"/>
        <w:rPr>
          <w:lang w:val="en-US"/>
        </w:rPr>
      </w:pPr>
      <w:r w:rsidRPr="00E4212C">
        <w:rPr>
          <w:lang w:val="en-US"/>
        </w:rPr>
        <w:t xml:space="preserve">Option 2: Re-make the Regulations </w:t>
      </w:r>
      <w:r w:rsidR="00DF1C54">
        <w:rPr>
          <w:lang w:val="en-US"/>
        </w:rPr>
        <w:t xml:space="preserve">as in Option 1 </w:t>
      </w:r>
      <w:r w:rsidRPr="00E4212C">
        <w:rPr>
          <w:lang w:val="en-US"/>
        </w:rPr>
        <w:t>and provide for targeted changes to the triggers</w:t>
      </w:r>
      <w:r w:rsidR="006342AC">
        <w:rPr>
          <w:lang w:val="en-US"/>
        </w:rPr>
        <w:t xml:space="preserve"> for a CHMP</w:t>
      </w:r>
      <w:r w:rsidRPr="00E4212C">
        <w:rPr>
          <w:lang w:val="en-US"/>
        </w:rPr>
        <w:t xml:space="preserve"> to ensure </w:t>
      </w:r>
      <w:r w:rsidR="00B22F1C">
        <w:rPr>
          <w:lang w:val="en-US"/>
        </w:rPr>
        <w:t>better protection</w:t>
      </w:r>
      <w:r w:rsidRPr="00E4212C">
        <w:rPr>
          <w:lang w:val="en-US"/>
        </w:rPr>
        <w:t xml:space="preserve"> of Aboriginal heritage </w:t>
      </w:r>
      <w:r w:rsidR="00B22F1C">
        <w:rPr>
          <w:lang w:val="en-US"/>
        </w:rPr>
        <w:t>and better outcomes for land-users and sponsors</w:t>
      </w:r>
      <w:r w:rsidRPr="00E4212C">
        <w:rPr>
          <w:lang w:val="en-US"/>
        </w:rPr>
        <w:t>.</w:t>
      </w:r>
    </w:p>
    <w:p w14:paraId="714C24E4" w14:textId="5E9E1063" w:rsidR="007C5C05" w:rsidRDefault="00FD1AC6" w:rsidP="007C5C05">
      <w:pPr>
        <w:pStyle w:val="ListBullet"/>
        <w:rPr>
          <w:lang w:val="en-US"/>
        </w:rPr>
      </w:pPr>
      <w:r>
        <w:rPr>
          <w:lang w:val="en-US"/>
        </w:rPr>
        <w:t>Option 3</w:t>
      </w:r>
      <w:r w:rsidR="007C5C05" w:rsidRPr="00E4212C">
        <w:rPr>
          <w:lang w:val="en-US"/>
        </w:rPr>
        <w:t xml:space="preserve">: </w:t>
      </w:r>
      <w:r w:rsidR="00E4212C" w:rsidRPr="00E4212C">
        <w:rPr>
          <w:lang w:val="en-US"/>
        </w:rPr>
        <w:t>Re-make the Regulations as in Option 1, but amend the CHMP guide to provide greater clarity to CHMP sponsors and RAPs</w:t>
      </w:r>
      <w:r w:rsidR="00CE2D6B">
        <w:rPr>
          <w:lang w:val="en-US"/>
        </w:rPr>
        <w:t xml:space="preserve"> regarding the standards required for CHMPs</w:t>
      </w:r>
      <w:r w:rsidR="00E4212C" w:rsidRPr="00E4212C">
        <w:rPr>
          <w:lang w:val="en-US"/>
        </w:rPr>
        <w:t>.</w:t>
      </w:r>
    </w:p>
    <w:p w14:paraId="0D4845AF" w14:textId="4F6E49B4" w:rsidR="001910BF" w:rsidRPr="00C411EA" w:rsidRDefault="001910BF" w:rsidP="001910BF">
      <w:pPr>
        <w:pStyle w:val="PwCNormal"/>
      </w:pPr>
      <w:r>
        <w:t xml:space="preserve">The Options address the key elements of the Regulations – namely the triggers and standards for a CHMP – to improve the protection of Aboriginal cultural heritage and avoid unnecessary burden. There are some elements of the Regulations that </w:t>
      </w:r>
      <w:r w:rsidR="006736F5">
        <w:t>AV has chosen not to significantly amend. In particular, s</w:t>
      </w:r>
      <w:r>
        <w:t xml:space="preserve">ome stakeholders have previously expressed concerns about the high proportion of CHMPs requiring complex assessments. Complex assessments are required if the desktop and standard assessments are unable to determine the extent, nature or significance of the Aboriginal cultural heritage in the area. </w:t>
      </w:r>
      <w:r w:rsidRPr="00FC048A">
        <w:t>Natural environmental processes bury objects deposited in the past</w:t>
      </w:r>
      <w:r>
        <w:t xml:space="preserve"> and a</w:t>
      </w:r>
      <w:r w:rsidRPr="00FC048A">
        <w:t>s Victoria has a long Aboriginal history, the majority of Aboriginal cultural heritage is located in a subsurface context</w:t>
      </w:r>
      <w:r>
        <w:t xml:space="preserve">. As such, AV considers that it is appropriate that most CHMPs involve a complex assessment </w:t>
      </w:r>
      <w:r w:rsidRPr="00FC048A">
        <w:t>as a ground survey alone cannot establish the extent of Aboriginal cultural heritage in an activity area. AV has committed to improving guidance as to when a complex assessment is required. Although this may marginally reduce the number of complex assessments prepared each year, it is still appropriate</w:t>
      </w:r>
      <w:r>
        <w:t xml:space="preserve"> that</w:t>
      </w:r>
      <w:r w:rsidRPr="00FC048A">
        <w:t xml:space="preserve"> complex assessment are prepared in most instances.</w:t>
      </w:r>
      <w:r>
        <w:rPr>
          <w:rStyle w:val="FootnoteReference"/>
        </w:rPr>
        <w:footnoteReference w:id="46"/>
      </w:r>
    </w:p>
    <w:p w14:paraId="11302B8D" w14:textId="77777777" w:rsidR="00C2070A" w:rsidRDefault="00C2070A" w:rsidP="00165E3C">
      <w:pPr>
        <w:pStyle w:val="Heading7"/>
        <w:rPr>
          <w:lang w:val="en-US"/>
        </w:rPr>
      </w:pPr>
      <w:r>
        <w:rPr>
          <w:lang w:val="en-US"/>
        </w:rPr>
        <w:t>Option 1: Re-make the Regulations</w:t>
      </w:r>
    </w:p>
    <w:p w14:paraId="00038948" w14:textId="576408E8" w:rsidR="00C2070A" w:rsidRDefault="00015C8B" w:rsidP="00AC3FD6">
      <w:pPr>
        <w:pStyle w:val="PwCNormal"/>
        <w:rPr>
          <w:lang w:val="en-US"/>
        </w:rPr>
      </w:pPr>
      <w:r>
        <w:rPr>
          <w:lang w:val="en-US"/>
        </w:rPr>
        <w:t>Option 1 involves re-making the Regulations as is (s</w:t>
      </w:r>
      <w:r w:rsidR="00165E3C" w:rsidRPr="00015C8B">
        <w:rPr>
          <w:lang w:val="en-US"/>
        </w:rPr>
        <w:t>ee Section</w:t>
      </w:r>
      <w:r w:rsidR="00416481" w:rsidRPr="00015C8B">
        <w:rPr>
          <w:lang w:val="en-US"/>
        </w:rPr>
        <w:t xml:space="preserve"> </w:t>
      </w:r>
      <w:r w:rsidR="00416481" w:rsidRPr="00015C8B">
        <w:rPr>
          <w:lang w:val="en-US"/>
        </w:rPr>
        <w:fldChar w:fldCharType="begin"/>
      </w:r>
      <w:r w:rsidR="00416481" w:rsidRPr="00015C8B">
        <w:rPr>
          <w:lang w:val="en-US"/>
        </w:rPr>
        <w:instrText xml:space="preserve"> REF _Ref500692843 \r \h </w:instrText>
      </w:r>
      <w:r w:rsidR="00416481" w:rsidRPr="00015C8B">
        <w:rPr>
          <w:lang w:val="en-US"/>
        </w:rPr>
      </w:r>
      <w:r w:rsidR="00416481" w:rsidRPr="00015C8B">
        <w:rPr>
          <w:lang w:val="en-US"/>
        </w:rPr>
        <w:fldChar w:fldCharType="separate"/>
      </w:r>
      <w:r w:rsidR="000369A1">
        <w:rPr>
          <w:lang w:val="en-US"/>
        </w:rPr>
        <w:t>2.5</w:t>
      </w:r>
      <w:r w:rsidR="00416481" w:rsidRPr="00015C8B">
        <w:rPr>
          <w:lang w:val="en-US"/>
        </w:rPr>
        <w:fldChar w:fldCharType="end"/>
      </w:r>
      <w:r w:rsidR="008D6E42">
        <w:rPr>
          <w:lang w:val="en-US"/>
        </w:rPr>
        <w:t>).</w:t>
      </w:r>
    </w:p>
    <w:p w14:paraId="0DA58DA9" w14:textId="77777777" w:rsidR="00015C8B" w:rsidRPr="00935061" w:rsidRDefault="00015C8B" w:rsidP="00015C8B">
      <w:pPr>
        <w:numPr>
          <w:ilvl w:val="0"/>
          <w:numId w:val="9"/>
        </w:numPr>
        <w:spacing w:before="120" w:after="120"/>
        <w:rPr>
          <w:lang w:val="en-US"/>
        </w:rPr>
      </w:pPr>
      <w:r w:rsidRPr="00E83549">
        <w:rPr>
          <w:lang w:val="en-US"/>
        </w:rPr>
        <w:t>The existing</w:t>
      </w:r>
      <w:r w:rsidRPr="001A71BF">
        <w:rPr>
          <w:lang w:val="en-US"/>
        </w:rPr>
        <w:t xml:space="preserve"> Regulations are made under sections 47 and 194 of the </w:t>
      </w:r>
      <w:r w:rsidRPr="001A71BF">
        <w:rPr>
          <w:i/>
          <w:iCs/>
          <w:lang w:val="en-US"/>
        </w:rPr>
        <w:t>Aboriginal Heritage Act 2006</w:t>
      </w:r>
      <w:r w:rsidRPr="001A71BF">
        <w:rPr>
          <w:lang w:val="en-US"/>
        </w:rPr>
        <w:t>. As discussed, the objectives of the Regulations are to specify the circumstances in which a cultural heritage management plan is required, prescribe standards for the preparation of cultural heritage management plans and agreements, and prescribe a range of fees</w:t>
      </w:r>
      <w:r w:rsidRPr="00C4551D">
        <w:rPr>
          <w:lang w:val="en-US"/>
        </w:rPr>
        <w:t xml:space="preserve"> (fees are discussed in a subsequent chapter)</w:t>
      </w:r>
      <w:r w:rsidRPr="00386703">
        <w:rPr>
          <w:lang w:val="en-US"/>
        </w:rPr>
        <w:t xml:space="preserve">. </w:t>
      </w:r>
    </w:p>
    <w:p w14:paraId="23384963" w14:textId="77777777" w:rsidR="00015C8B" w:rsidRPr="00CC1AF0" w:rsidRDefault="00015C8B" w:rsidP="00015C8B">
      <w:pPr>
        <w:pStyle w:val="Caption"/>
      </w:pPr>
      <w:r w:rsidRPr="00CC1AF0">
        <w:t xml:space="preserve">Cultural heritage management plans </w:t>
      </w:r>
    </w:p>
    <w:p w14:paraId="41642F42" w14:textId="77777777" w:rsidR="00015C8B" w:rsidRPr="00E83549" w:rsidRDefault="00015C8B" w:rsidP="00015C8B">
      <w:pPr>
        <w:pStyle w:val="Heading9"/>
        <w:rPr>
          <w:lang w:val="en-US"/>
        </w:rPr>
      </w:pPr>
      <w:r w:rsidRPr="00CC1AF0">
        <w:rPr>
          <w:lang w:val="en-US"/>
        </w:rPr>
        <w:t xml:space="preserve">Circumstances in which a plan must be prepared </w:t>
      </w:r>
    </w:p>
    <w:p w14:paraId="3B75DE14" w14:textId="77777777" w:rsidR="00015C8B" w:rsidRPr="001A71BF" w:rsidRDefault="00015C8B" w:rsidP="00015C8B">
      <w:pPr>
        <w:numPr>
          <w:ilvl w:val="0"/>
          <w:numId w:val="9"/>
        </w:numPr>
        <w:spacing w:before="120" w:after="120"/>
        <w:rPr>
          <w:lang w:val="en-US"/>
        </w:rPr>
      </w:pPr>
      <w:r w:rsidRPr="001A71BF">
        <w:rPr>
          <w:lang w:val="en-US"/>
        </w:rPr>
        <w:t xml:space="preserve">A cultural heritage management plan is required for an activity if: </w:t>
      </w:r>
    </w:p>
    <w:p w14:paraId="33D57CB5" w14:textId="77777777" w:rsidR="00015C8B" w:rsidRPr="00386703" w:rsidRDefault="00015C8B" w:rsidP="00015C8B">
      <w:pPr>
        <w:numPr>
          <w:ilvl w:val="0"/>
          <w:numId w:val="34"/>
        </w:numPr>
        <w:spacing w:before="120" w:after="120"/>
        <w:rPr>
          <w:lang w:val="en-US"/>
        </w:rPr>
      </w:pPr>
      <w:r w:rsidRPr="001A71BF">
        <w:rPr>
          <w:lang w:val="en-US"/>
        </w:rPr>
        <w:t xml:space="preserve">all or part of the activity area for the activity is in an area of cultural heritage sensitivity that has not previously been significantly disturbed; and </w:t>
      </w:r>
      <w:r w:rsidRPr="00C4551D">
        <w:rPr>
          <w:rFonts w:ascii="MS Mincho" w:eastAsia="MS Mincho" w:hAnsi="MS Mincho" w:cs="MS Mincho"/>
          <w:lang w:val="en-US"/>
        </w:rPr>
        <w:t> </w:t>
      </w:r>
    </w:p>
    <w:p w14:paraId="201E049F" w14:textId="77777777" w:rsidR="00015C8B" w:rsidRPr="00C7088C" w:rsidRDefault="00015C8B" w:rsidP="00015C8B">
      <w:pPr>
        <w:numPr>
          <w:ilvl w:val="0"/>
          <w:numId w:val="34"/>
        </w:numPr>
        <w:spacing w:before="120" w:after="120"/>
        <w:rPr>
          <w:lang w:val="en-US"/>
        </w:rPr>
      </w:pPr>
      <w:r w:rsidRPr="00935061">
        <w:rPr>
          <w:lang w:val="en-US"/>
        </w:rPr>
        <w:t>a</w:t>
      </w:r>
      <w:r w:rsidRPr="00DE7880">
        <w:rPr>
          <w:lang w:val="en-US"/>
        </w:rPr>
        <w:t xml:space="preserve">ll or part of the activity is a high impact activity. </w:t>
      </w:r>
      <w:r w:rsidRPr="00B77F8B">
        <w:rPr>
          <w:rFonts w:ascii="MS Mincho" w:eastAsia="MS Mincho" w:hAnsi="MS Mincho" w:cs="MS Mincho"/>
          <w:lang w:val="en-US"/>
        </w:rPr>
        <w:t> </w:t>
      </w:r>
    </w:p>
    <w:p w14:paraId="3AA40B93" w14:textId="2C57C9F9" w:rsidR="00015C8B" w:rsidRPr="00E83549" w:rsidRDefault="00015C8B" w:rsidP="00015C8B">
      <w:pPr>
        <w:spacing w:after="240"/>
        <w:rPr>
          <w:lang w:val="en-US"/>
        </w:rPr>
      </w:pPr>
      <w:r w:rsidRPr="00C7088C">
        <w:rPr>
          <w:lang w:val="en-US"/>
        </w:rPr>
        <w:t>An area of cultural heritage sensitivity is an area in which Aboriginal cultural heritage is, or is likely to be, present. Division 3 of Part 2 of the Regulations sets out these areas, based on analys</w:t>
      </w:r>
      <w:r w:rsidRPr="00A424C2">
        <w:rPr>
          <w:lang w:val="en-US"/>
        </w:rPr>
        <w:t xml:space="preserve">is of where known </w:t>
      </w:r>
      <w:r w:rsidR="00D05AC9">
        <w:rPr>
          <w:lang w:val="en-US"/>
        </w:rPr>
        <w:t>places</w:t>
      </w:r>
      <w:r w:rsidR="00D05AC9" w:rsidRPr="00A424C2">
        <w:rPr>
          <w:lang w:val="en-US"/>
        </w:rPr>
        <w:t xml:space="preserve"> </w:t>
      </w:r>
      <w:r w:rsidRPr="00A424C2">
        <w:rPr>
          <w:lang w:val="en-US"/>
        </w:rPr>
        <w:t xml:space="preserve">are located in the database. This database has been developed over </w:t>
      </w:r>
      <w:r w:rsidR="00B22F1C">
        <w:rPr>
          <w:lang w:val="en-US"/>
        </w:rPr>
        <w:t>forty</w:t>
      </w:r>
      <w:r w:rsidR="00B22F1C" w:rsidRPr="00A424C2">
        <w:rPr>
          <w:lang w:val="en-US"/>
        </w:rPr>
        <w:t xml:space="preserve"> </w:t>
      </w:r>
      <w:r w:rsidRPr="00A424C2">
        <w:rPr>
          <w:lang w:val="en-US"/>
        </w:rPr>
        <w:t>years, and includes information such as the proxi</w:t>
      </w:r>
      <w:r w:rsidRPr="004A1566">
        <w:rPr>
          <w:lang w:val="en-US"/>
        </w:rPr>
        <w:t>mity of a</w:t>
      </w:r>
      <w:r w:rsidR="00B22F1C">
        <w:rPr>
          <w:lang w:val="en-US"/>
        </w:rPr>
        <w:t xml:space="preserve">n Aboriginal place </w:t>
      </w:r>
      <w:r w:rsidRPr="004A1566">
        <w:rPr>
          <w:lang w:val="en-US"/>
        </w:rPr>
        <w:t>to a waterway.</w:t>
      </w:r>
      <w:r w:rsidRPr="004A1566">
        <w:rPr>
          <w:rFonts w:ascii="MS Mincho" w:eastAsia="MS Mincho" w:hAnsi="MS Mincho" w:cs="MS Mincho"/>
          <w:lang w:val="en-US"/>
        </w:rPr>
        <w:t> </w:t>
      </w:r>
      <w:r w:rsidRPr="004A1566">
        <w:rPr>
          <w:lang w:val="en-US"/>
        </w:rPr>
        <w:t xml:space="preserve">The Regulations also make provision for prescribing areas of cultural heritage </w:t>
      </w:r>
      <w:r w:rsidRPr="00E83549">
        <w:rPr>
          <w:lang w:val="en-US"/>
        </w:rPr>
        <w:t>sensitivity in Schedule 1</w:t>
      </w:r>
      <w:r w:rsidR="00B22F1C">
        <w:rPr>
          <w:lang w:val="en-US"/>
        </w:rPr>
        <w:t>.</w:t>
      </w:r>
      <w:r w:rsidRPr="00E83549">
        <w:rPr>
          <w:lang w:val="en-US"/>
        </w:rPr>
        <w:t xml:space="preserve"> </w:t>
      </w:r>
    </w:p>
    <w:p w14:paraId="425CC8A4" w14:textId="77777777" w:rsidR="00015C8B" w:rsidRPr="00E83549" w:rsidRDefault="00015C8B" w:rsidP="00015C8B">
      <w:pPr>
        <w:numPr>
          <w:ilvl w:val="0"/>
          <w:numId w:val="9"/>
        </w:numPr>
        <w:spacing w:before="120" w:after="120"/>
        <w:rPr>
          <w:lang w:val="en-US"/>
        </w:rPr>
      </w:pPr>
      <w:r w:rsidRPr="00E83549">
        <w:rPr>
          <w:lang w:val="en-US"/>
        </w:rPr>
        <w:t xml:space="preserve">Numerous planning overlays affect similar parts of the state to the 'areas of cultural heritage sensitivity' in the Regulations. Most notable would be the suite of environment and landscape overlays (Environmental Significance Overlay, Vegetation Protection Overlay, Significant Landscape Overlay), which normally include planning controls for land near waterways, lakes or swamps, or in coastal environments. The areas covered by these overlays vary from council to council, may cover much larger or smaller areas than is appropriate for the protection and management of Aboriginal cultural heritage, and exist separately for a variety of different purposes. </w:t>
      </w:r>
    </w:p>
    <w:p w14:paraId="7C8A04EE" w14:textId="77777777" w:rsidR="00015C8B" w:rsidRPr="00E83549" w:rsidRDefault="00015C8B" w:rsidP="00015C8B">
      <w:pPr>
        <w:numPr>
          <w:ilvl w:val="0"/>
          <w:numId w:val="9"/>
        </w:numPr>
        <w:spacing w:before="120" w:after="120"/>
        <w:rPr>
          <w:lang w:val="en-US"/>
        </w:rPr>
      </w:pPr>
      <w:r w:rsidRPr="00E83549">
        <w:rPr>
          <w:lang w:val="en-US"/>
        </w:rPr>
        <w:t xml:space="preserve">A high impact activity is an activity that may have a high impact on Aboriginal cultural heritage. Examples of high impact activities under the Regulations include certain construction or building works; an activity for which an earth resource authorisation is required; certain timber production; and subdivisions into three or more lots if a dwelling may be constructed on each of the lots. </w:t>
      </w:r>
    </w:p>
    <w:p w14:paraId="55EC17FE" w14:textId="77777777" w:rsidR="00015C8B" w:rsidRPr="00E83549" w:rsidRDefault="00015C8B" w:rsidP="00015C8B">
      <w:pPr>
        <w:numPr>
          <w:ilvl w:val="0"/>
          <w:numId w:val="9"/>
        </w:numPr>
        <w:spacing w:before="120" w:after="120"/>
        <w:rPr>
          <w:lang w:val="en-US"/>
        </w:rPr>
      </w:pPr>
      <w:r w:rsidRPr="00E83549">
        <w:rPr>
          <w:lang w:val="en-US"/>
        </w:rPr>
        <w:t xml:space="preserve">A cultural heritage management plan is not required for exempt activities, such as building alterations, demolitions or removals; extensions to a dwelling; construction of one or two dwellings; construction of buildings ancillary to a dwelling such as a storage shed, garage, pool, fence or water tank; certain emergency works; subdivision of an existing building; sea–bed development and minor works. </w:t>
      </w:r>
    </w:p>
    <w:p w14:paraId="5D615D17" w14:textId="77777777" w:rsidR="00015C8B" w:rsidRPr="00E83549" w:rsidRDefault="00015C8B" w:rsidP="00015C8B">
      <w:pPr>
        <w:numPr>
          <w:ilvl w:val="0"/>
          <w:numId w:val="9"/>
        </w:numPr>
        <w:spacing w:before="120" w:after="120"/>
        <w:rPr>
          <w:lang w:val="en-US"/>
        </w:rPr>
      </w:pPr>
      <w:r w:rsidRPr="00E83549">
        <w:rPr>
          <w:lang w:val="en-US"/>
        </w:rPr>
        <w:t xml:space="preserve">These exempt activities were chosen because they were considered likely to have little or no impact on Aboriginal cultural heritage (minor works), are unavoidable (such as emergency activities), or are activities where cultural heritage issues should have been considered at an earlier stage (such as a single house development, where a plan is potentially required earlier at the subdivision stage). </w:t>
      </w:r>
    </w:p>
    <w:p w14:paraId="7B3D11D2" w14:textId="77777777" w:rsidR="00015C8B" w:rsidRPr="00E83549" w:rsidRDefault="00015C8B" w:rsidP="00015C8B">
      <w:pPr>
        <w:pStyle w:val="Caption"/>
        <w:rPr>
          <w:lang w:val="en-US"/>
        </w:rPr>
      </w:pPr>
      <w:r w:rsidRPr="00CC1AF0">
        <w:rPr>
          <w:lang w:val="en-US"/>
        </w:rPr>
        <w:t xml:space="preserve">Standards for conduct of an assessment </w:t>
      </w:r>
    </w:p>
    <w:p w14:paraId="70E196A7" w14:textId="41324F24" w:rsidR="00015C8B" w:rsidRPr="001A71BF" w:rsidRDefault="00015C8B" w:rsidP="00015C8B">
      <w:pPr>
        <w:numPr>
          <w:ilvl w:val="0"/>
          <w:numId w:val="9"/>
        </w:numPr>
        <w:spacing w:before="120" w:after="120"/>
        <w:rPr>
          <w:lang w:val="en-US"/>
        </w:rPr>
      </w:pPr>
      <w:r w:rsidRPr="001A71BF">
        <w:rPr>
          <w:lang w:val="en-US"/>
        </w:rPr>
        <w:t xml:space="preserve">When a heritage advisor carries out an assessment of an area to determine the nature of any Aboriginal cultural heritage present in the area (for the purposes of a </w:t>
      </w:r>
      <w:r w:rsidR="00B22F1C">
        <w:rPr>
          <w:lang w:val="en-US"/>
        </w:rPr>
        <w:t>CHMP</w:t>
      </w:r>
      <w:r w:rsidRPr="001A71BF">
        <w:rPr>
          <w:lang w:val="en-US"/>
        </w:rPr>
        <w:t xml:space="preserve"> or ahead of a </w:t>
      </w:r>
      <w:r w:rsidR="00B22F1C">
        <w:rPr>
          <w:lang w:val="en-US"/>
        </w:rPr>
        <w:t xml:space="preserve">CHP </w:t>
      </w:r>
      <w:r w:rsidRPr="001A71BF">
        <w:rPr>
          <w:lang w:val="en-US"/>
        </w:rPr>
        <w:t xml:space="preserve">application), the assessment must comply with the prescribed standards. </w:t>
      </w:r>
    </w:p>
    <w:p w14:paraId="195D7E21" w14:textId="5CE88B0D" w:rsidR="00015C8B" w:rsidRPr="00B77F8B" w:rsidRDefault="00015C8B" w:rsidP="00015C8B">
      <w:pPr>
        <w:numPr>
          <w:ilvl w:val="0"/>
          <w:numId w:val="9"/>
        </w:numPr>
        <w:spacing w:before="120" w:after="120"/>
        <w:rPr>
          <w:lang w:val="en-US"/>
        </w:rPr>
      </w:pPr>
      <w:r w:rsidRPr="00C4551D">
        <w:rPr>
          <w:lang w:val="en-US"/>
        </w:rPr>
        <w:t xml:space="preserve">To perform a desktop assessment, the advisor must access relevant information in the </w:t>
      </w:r>
      <w:r w:rsidR="00B22F1C">
        <w:rPr>
          <w:lang w:val="en-US"/>
        </w:rPr>
        <w:t xml:space="preserve">Victorian Aboriginal Heritage </w:t>
      </w:r>
      <w:r w:rsidRPr="00C4551D">
        <w:rPr>
          <w:lang w:val="en-US"/>
        </w:rPr>
        <w:t>Register, identify and determine the relevant geographic area, and review reports, published work, historical and ethno–historical accounts of Aboriginal occupation, t</w:t>
      </w:r>
      <w:r w:rsidRPr="00935061">
        <w:rPr>
          <w:lang w:val="en-US"/>
        </w:rPr>
        <w:t xml:space="preserve">he landforms or geomorphology, and the history of the use of the area. </w:t>
      </w:r>
      <w:r w:rsidRPr="00DE7880">
        <w:rPr>
          <w:rFonts w:ascii="MS Mincho" w:eastAsia="MS Mincho" w:hAnsi="MS Mincho" w:cs="MS Mincho"/>
          <w:lang w:val="en-US"/>
        </w:rPr>
        <w:t> </w:t>
      </w:r>
    </w:p>
    <w:p w14:paraId="32BC7C66" w14:textId="77777777" w:rsidR="00015C8B" w:rsidRPr="00E83549" w:rsidRDefault="00015C8B" w:rsidP="00015C8B">
      <w:pPr>
        <w:numPr>
          <w:ilvl w:val="0"/>
          <w:numId w:val="9"/>
        </w:numPr>
        <w:spacing w:before="120" w:after="120"/>
        <w:rPr>
          <w:lang w:val="en-US"/>
        </w:rPr>
      </w:pPr>
      <w:r w:rsidRPr="00A424C2">
        <w:rPr>
          <w:lang w:val="en-US"/>
        </w:rPr>
        <w:t>If it is possible that Aboriginal cultural heritage could be found in the area, a standard assessment is required. To perform a standard assessment, a ground survey must be conducted.</w:t>
      </w:r>
      <w:r w:rsidRPr="004A1566">
        <w:rPr>
          <w:lang w:val="en-US"/>
        </w:rPr>
        <w:t xml:space="preserve"> </w:t>
      </w:r>
      <w:r w:rsidRPr="004A1566">
        <w:rPr>
          <w:rFonts w:ascii="MS Mincho" w:eastAsia="MS Mincho" w:hAnsi="MS Mincho" w:cs="MS Mincho"/>
          <w:lang w:val="en-US"/>
        </w:rPr>
        <w:t> </w:t>
      </w:r>
    </w:p>
    <w:p w14:paraId="03FD28AE" w14:textId="77777777" w:rsidR="00015C8B" w:rsidRPr="00E83549" w:rsidRDefault="00015C8B" w:rsidP="00015C8B">
      <w:pPr>
        <w:numPr>
          <w:ilvl w:val="0"/>
          <w:numId w:val="9"/>
        </w:numPr>
        <w:spacing w:before="120" w:after="120"/>
        <w:rPr>
          <w:lang w:val="en-US"/>
        </w:rPr>
      </w:pPr>
      <w:r w:rsidRPr="00E83549">
        <w:rPr>
          <w:lang w:val="en-US"/>
        </w:rPr>
        <w:t xml:space="preserve">If it is necessary to identify the extent, nature and significance of the Aboriginal cultural heritage in the area, a complex assessment is required. To perform a complex assessment, a disturbance or excavation of all or part of the area must be conducted, supervised by a person appropriately qualified in archaeology. Controlled manual excavation must be used before any other disturbance or excavation is carried out. If machinery is used, it must be conducted on a detailed stratigraphic basis. If the use of machinery results in the finding of occupation deposits or features, they must be uncovered and assessed by a controlled manual excavation. </w:t>
      </w:r>
      <w:r w:rsidRPr="00E83549">
        <w:rPr>
          <w:rFonts w:ascii="MS Mincho" w:eastAsia="MS Mincho" w:hAnsi="MS Mincho" w:cs="MS Mincho"/>
          <w:lang w:val="en-US"/>
        </w:rPr>
        <w:t> </w:t>
      </w:r>
    </w:p>
    <w:p w14:paraId="220E4399" w14:textId="69AFBA56" w:rsidR="00015C8B" w:rsidRPr="00E83549" w:rsidRDefault="00015C8B">
      <w:pPr>
        <w:pStyle w:val="Heading9"/>
        <w:rPr>
          <w:lang w:val="en-US"/>
        </w:rPr>
      </w:pPr>
      <w:r w:rsidRPr="00CC1AF0">
        <w:rPr>
          <w:lang w:val="en-US"/>
        </w:rPr>
        <w:t>Standards for content of a cultural heritage management plan</w:t>
      </w:r>
    </w:p>
    <w:p w14:paraId="18441AC1" w14:textId="77777777" w:rsidR="00015C8B" w:rsidRPr="00C4551D" w:rsidRDefault="00015C8B" w:rsidP="00015C8B">
      <w:pPr>
        <w:numPr>
          <w:ilvl w:val="0"/>
          <w:numId w:val="9"/>
        </w:numPr>
        <w:spacing w:before="120" w:after="120"/>
        <w:rPr>
          <w:lang w:val="en-US"/>
        </w:rPr>
      </w:pPr>
      <w:r w:rsidRPr="001A71BF">
        <w:rPr>
          <w:lang w:val="en-US"/>
        </w:rPr>
        <w:t xml:space="preserve">A cultural heritage management plan must include certain content, see Box 3.1. This content is similar to previous Aboriginal Affairs Victoria guidelines. </w:t>
      </w:r>
      <w:r w:rsidRPr="00C4551D">
        <w:rPr>
          <w:rFonts w:ascii="MS Mincho" w:eastAsia="MS Mincho" w:hAnsi="MS Mincho" w:cs="MS Mincho"/>
          <w:lang w:val="en-US"/>
        </w:rPr>
        <w:t> </w:t>
      </w:r>
    </w:p>
    <w:tbl>
      <w:tblPr>
        <w:tblStyle w:val="Tables-APBas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015C8B" w:rsidRPr="00E83549" w14:paraId="09A3CE10" w14:textId="77777777" w:rsidTr="00AC3FD6">
        <w:trPr>
          <w:cnfStyle w:val="100000000000" w:firstRow="1" w:lastRow="0" w:firstColumn="0" w:lastColumn="0" w:oddVBand="0" w:evenVBand="0" w:oddHBand="0" w:evenHBand="0" w:firstRowFirstColumn="0" w:firstRowLastColumn="0" w:lastRowFirstColumn="0" w:lastRowLastColumn="0"/>
          <w:trHeight w:val="20"/>
          <w:tblHeader w:val="0"/>
        </w:trPr>
        <w:tc>
          <w:tcPr>
            <w:cnfStyle w:val="000000000100" w:firstRow="0" w:lastRow="0" w:firstColumn="0" w:lastColumn="0" w:oddVBand="0" w:evenVBand="0" w:oddHBand="0" w:evenHBand="0" w:firstRowFirstColumn="1" w:firstRowLastColumn="0" w:lastRowFirstColumn="0" w:lastRowLastColumn="0"/>
            <w:tcW w:w="8437" w:type="dxa"/>
            <w:tcBorders>
              <w:top w:val="none" w:sz="0" w:space="0" w:color="auto"/>
              <w:bottom w:val="none" w:sz="0" w:space="0" w:color="auto"/>
            </w:tcBorders>
            <w:shd w:val="clear" w:color="auto" w:fill="F4CACA" w:themeFill="text2" w:themeFillTint="33"/>
          </w:tcPr>
          <w:p w14:paraId="07C30D3F" w14:textId="77777777" w:rsidR="00015C8B" w:rsidRPr="00E83549" w:rsidRDefault="00015C8B" w:rsidP="00AC3FD6">
            <w:pPr>
              <w:keepLines/>
              <w:numPr>
                <w:ilvl w:val="0"/>
                <w:numId w:val="9"/>
              </w:numPr>
              <w:spacing w:before="120" w:after="120"/>
              <w:rPr>
                <w:lang w:val="en-US"/>
              </w:rPr>
            </w:pPr>
            <w:r w:rsidRPr="00CC1AF0">
              <w:rPr>
                <w:b/>
                <w:bCs/>
                <w:lang w:val="en-US"/>
              </w:rPr>
              <w:t>Content of Cultural Heritage Management Plans</w:t>
            </w:r>
          </w:p>
          <w:p w14:paraId="60DFE707" w14:textId="77777777" w:rsidR="00015C8B" w:rsidRPr="001A71BF" w:rsidRDefault="00015C8B" w:rsidP="00AC3FD6">
            <w:pPr>
              <w:keepLines/>
              <w:numPr>
                <w:ilvl w:val="0"/>
                <w:numId w:val="9"/>
              </w:numPr>
              <w:spacing w:before="120" w:after="120"/>
              <w:rPr>
                <w:lang w:val="en-US"/>
              </w:rPr>
            </w:pPr>
            <w:r w:rsidRPr="001A71BF">
              <w:rPr>
                <w:lang w:val="en-US"/>
              </w:rPr>
              <w:t xml:space="preserve">A cultural heritage management plan must include: </w:t>
            </w:r>
          </w:p>
          <w:p w14:paraId="08AED9C7" w14:textId="77777777" w:rsidR="00015C8B" w:rsidRPr="00FA4C79" w:rsidRDefault="00015C8B" w:rsidP="00015C8B">
            <w:pPr>
              <w:keepLines/>
              <w:numPr>
                <w:ilvl w:val="0"/>
                <w:numId w:val="35"/>
              </w:numPr>
              <w:spacing w:before="120" w:after="120"/>
              <w:rPr>
                <w:lang w:val="en-US"/>
              </w:rPr>
            </w:pPr>
            <w:r w:rsidRPr="001A71BF">
              <w:rPr>
                <w:lang w:val="en-US"/>
              </w:rPr>
              <w:t xml:space="preserve">a statement about which section of the Act required the plan to be prepared, or, if required to be prepared by the Regulations, a statement of the reasons why the Regulations required preparation of the plan; </w:t>
            </w:r>
            <w:r w:rsidRPr="00C4551D">
              <w:rPr>
                <w:rFonts w:ascii="MS Mincho" w:eastAsia="MS Mincho" w:hAnsi="MS Mincho" w:cs="MS Mincho"/>
                <w:lang w:val="en-US"/>
              </w:rPr>
              <w:t> </w:t>
            </w:r>
          </w:p>
          <w:p w14:paraId="36E55FCA" w14:textId="158C5E98" w:rsidR="00015C8B" w:rsidRPr="00A424C2" w:rsidRDefault="00015C8B" w:rsidP="00015C8B">
            <w:pPr>
              <w:keepLines/>
              <w:numPr>
                <w:ilvl w:val="0"/>
                <w:numId w:val="35"/>
              </w:numPr>
              <w:spacing w:before="120" w:after="120"/>
              <w:rPr>
                <w:lang w:val="en-US"/>
              </w:rPr>
            </w:pPr>
            <w:r w:rsidRPr="00935061">
              <w:rPr>
                <w:lang w:val="en-US"/>
              </w:rPr>
              <w:t xml:space="preserve">the name </w:t>
            </w:r>
            <w:r w:rsidR="00B22F1C">
              <w:rPr>
                <w:lang w:val="en-US"/>
              </w:rPr>
              <w:t xml:space="preserve">of the sponsor </w:t>
            </w:r>
            <w:r w:rsidRPr="00935061">
              <w:rPr>
                <w:lang w:val="en-US"/>
              </w:rPr>
              <w:t xml:space="preserve">and </w:t>
            </w:r>
            <w:r w:rsidR="00B22F1C">
              <w:rPr>
                <w:lang w:val="en-US"/>
              </w:rPr>
              <w:t xml:space="preserve">heritage </w:t>
            </w:r>
            <w:r w:rsidRPr="00935061">
              <w:rPr>
                <w:lang w:val="en-US"/>
              </w:rPr>
              <w:t>advisor, and the name of each Registered Aboriginal Party and its represen</w:t>
            </w:r>
            <w:r w:rsidRPr="00DE7880">
              <w:rPr>
                <w:lang w:val="en-US"/>
              </w:rPr>
              <w:t xml:space="preserve">tatives; </w:t>
            </w:r>
            <w:r w:rsidRPr="00B77F8B">
              <w:rPr>
                <w:rFonts w:ascii="MS Mincho" w:eastAsia="MS Mincho" w:hAnsi="MS Mincho" w:cs="MS Mincho"/>
                <w:lang w:val="en-US"/>
              </w:rPr>
              <w:t> </w:t>
            </w:r>
          </w:p>
          <w:p w14:paraId="1898A093" w14:textId="6BFBC4BA" w:rsidR="00015C8B" w:rsidRPr="00E83549" w:rsidRDefault="00015C8B" w:rsidP="00015C8B">
            <w:pPr>
              <w:keepLines/>
              <w:numPr>
                <w:ilvl w:val="0"/>
                <w:numId w:val="35"/>
              </w:numPr>
              <w:spacing w:before="120" w:after="120"/>
              <w:rPr>
                <w:lang w:val="en-US"/>
              </w:rPr>
            </w:pPr>
            <w:r w:rsidRPr="004A1566">
              <w:rPr>
                <w:lang w:val="en-US"/>
              </w:rPr>
              <w:t xml:space="preserve">a copy of the sponsor’s notice of intention to prepare a </w:t>
            </w:r>
            <w:r w:rsidR="00B22F1C">
              <w:rPr>
                <w:lang w:val="en-US"/>
              </w:rPr>
              <w:t>CHMP</w:t>
            </w:r>
            <w:r w:rsidRPr="004A1566">
              <w:rPr>
                <w:lang w:val="en-US"/>
              </w:rPr>
              <w:t xml:space="preserve">, and a copy of the </w:t>
            </w:r>
            <w:r w:rsidR="00B22F1C">
              <w:rPr>
                <w:lang w:val="en-US"/>
              </w:rPr>
              <w:t>RAP</w:t>
            </w:r>
            <w:r w:rsidRPr="004A1566">
              <w:rPr>
                <w:lang w:val="en-US"/>
              </w:rPr>
              <w:t xml:space="preserve">’s notice of intention to evaluate the plan; </w:t>
            </w:r>
            <w:r w:rsidRPr="00E83549">
              <w:rPr>
                <w:rFonts w:ascii="MS Mincho" w:eastAsia="MS Mincho" w:hAnsi="MS Mincho" w:cs="MS Mincho"/>
                <w:lang w:val="en-US"/>
              </w:rPr>
              <w:t> </w:t>
            </w:r>
          </w:p>
          <w:p w14:paraId="3254F93A" w14:textId="77777777" w:rsidR="00015C8B" w:rsidRPr="00E83549" w:rsidRDefault="00015C8B" w:rsidP="00015C8B">
            <w:pPr>
              <w:keepLines/>
              <w:numPr>
                <w:ilvl w:val="0"/>
                <w:numId w:val="35"/>
              </w:numPr>
              <w:spacing w:before="120" w:after="120"/>
              <w:rPr>
                <w:lang w:val="en-US"/>
              </w:rPr>
            </w:pPr>
            <w:r w:rsidRPr="00E83549">
              <w:rPr>
                <w:lang w:val="en-US"/>
              </w:rPr>
              <w:t xml:space="preserve">a description of the activity and the activity area including a map in a form approved by the Secretary; </w:t>
            </w:r>
            <w:r w:rsidRPr="00E83549">
              <w:rPr>
                <w:rFonts w:ascii="MS Mincho" w:eastAsia="MS Mincho" w:hAnsi="MS Mincho" w:cs="MS Mincho"/>
                <w:lang w:val="en-US"/>
              </w:rPr>
              <w:t> </w:t>
            </w:r>
          </w:p>
          <w:p w14:paraId="00E9E70A" w14:textId="72C27E95" w:rsidR="00015C8B" w:rsidRPr="00E83549" w:rsidRDefault="00015C8B" w:rsidP="00015C8B">
            <w:pPr>
              <w:keepLines/>
              <w:numPr>
                <w:ilvl w:val="0"/>
                <w:numId w:val="35"/>
              </w:numPr>
              <w:spacing w:before="120" w:after="120"/>
              <w:rPr>
                <w:lang w:val="en-US"/>
              </w:rPr>
            </w:pPr>
            <w:r w:rsidRPr="00E83549">
              <w:rPr>
                <w:lang w:val="en-US"/>
              </w:rPr>
              <w:t xml:space="preserve">the results of </w:t>
            </w:r>
            <w:r w:rsidR="00B22F1C">
              <w:rPr>
                <w:lang w:val="en-US"/>
              </w:rPr>
              <w:t xml:space="preserve">the </w:t>
            </w:r>
            <w:r w:rsidRPr="00E83549">
              <w:rPr>
                <w:lang w:val="en-US"/>
              </w:rPr>
              <w:t xml:space="preserve">desktop assessment, and if it is not possible that Aboriginal cultural heritage could be found in the area, the reasons for that decision; </w:t>
            </w:r>
            <w:r w:rsidRPr="00E83549">
              <w:rPr>
                <w:rFonts w:ascii="MS Mincho" w:eastAsia="MS Mincho" w:hAnsi="MS Mincho" w:cs="MS Mincho"/>
                <w:lang w:val="en-US"/>
              </w:rPr>
              <w:t> </w:t>
            </w:r>
          </w:p>
          <w:p w14:paraId="28510A41" w14:textId="77777777" w:rsidR="00015C8B" w:rsidRPr="00E83549" w:rsidRDefault="00015C8B" w:rsidP="00015C8B">
            <w:pPr>
              <w:keepLines/>
              <w:numPr>
                <w:ilvl w:val="0"/>
                <w:numId w:val="35"/>
              </w:numPr>
              <w:spacing w:before="120" w:after="120"/>
              <w:rPr>
                <w:lang w:val="en-US"/>
              </w:rPr>
            </w:pPr>
            <w:r w:rsidRPr="00E83549">
              <w:rPr>
                <w:lang w:val="en-US"/>
              </w:rPr>
              <w:t xml:space="preserve">if a standard assessment is undertaken, and the assessment is unable to identify Aboriginal cultural heritage in the area, the reasons for that decision; </w:t>
            </w:r>
            <w:r w:rsidRPr="00E83549">
              <w:rPr>
                <w:rFonts w:ascii="MS Mincho" w:eastAsia="MS Mincho" w:hAnsi="MS Mincho" w:cs="MS Mincho"/>
                <w:lang w:val="en-US"/>
              </w:rPr>
              <w:t> </w:t>
            </w:r>
          </w:p>
          <w:p w14:paraId="48032C1E" w14:textId="77777777" w:rsidR="00015C8B" w:rsidRPr="00E83549" w:rsidRDefault="00015C8B" w:rsidP="00015C8B">
            <w:pPr>
              <w:keepLines/>
              <w:numPr>
                <w:ilvl w:val="0"/>
                <w:numId w:val="35"/>
              </w:numPr>
              <w:spacing w:before="120" w:after="120"/>
              <w:rPr>
                <w:lang w:val="en-US"/>
              </w:rPr>
            </w:pPr>
            <w:r w:rsidRPr="00E83549">
              <w:rPr>
                <w:lang w:val="en-US"/>
              </w:rPr>
              <w:t xml:space="preserve">the method by which Aboriginal cultural heritage was assessed, and whether that method was agreed with the Registered Aboriginal Party; </w:t>
            </w:r>
            <w:r w:rsidRPr="00E83549">
              <w:rPr>
                <w:rFonts w:ascii="MS Mincho" w:eastAsia="MS Mincho" w:hAnsi="MS Mincho" w:cs="MS Mincho"/>
                <w:lang w:val="en-US"/>
              </w:rPr>
              <w:t> </w:t>
            </w:r>
          </w:p>
          <w:p w14:paraId="3CC04B56" w14:textId="77777777" w:rsidR="00015C8B" w:rsidRPr="00E83549" w:rsidRDefault="00015C8B" w:rsidP="00015C8B">
            <w:pPr>
              <w:keepLines/>
              <w:numPr>
                <w:ilvl w:val="0"/>
                <w:numId w:val="35"/>
              </w:numPr>
              <w:spacing w:before="120" w:after="120"/>
              <w:rPr>
                <w:lang w:val="en-US"/>
              </w:rPr>
            </w:pPr>
            <w:r w:rsidRPr="00E83549">
              <w:rPr>
                <w:lang w:val="en-US"/>
              </w:rPr>
              <w:t xml:space="preserve">the names of persons involved in the assessment; </w:t>
            </w:r>
            <w:r w:rsidRPr="00E83549">
              <w:rPr>
                <w:rFonts w:ascii="MS Mincho" w:eastAsia="MS Mincho" w:hAnsi="MS Mincho" w:cs="MS Mincho"/>
                <w:lang w:val="en-US"/>
              </w:rPr>
              <w:t> </w:t>
            </w:r>
          </w:p>
          <w:p w14:paraId="3816E887" w14:textId="77777777" w:rsidR="00015C8B" w:rsidRPr="00E83549" w:rsidRDefault="00015C8B" w:rsidP="00015C8B">
            <w:pPr>
              <w:keepLines/>
              <w:numPr>
                <w:ilvl w:val="0"/>
                <w:numId w:val="35"/>
              </w:numPr>
              <w:spacing w:before="120" w:after="120"/>
              <w:rPr>
                <w:lang w:val="en-US"/>
              </w:rPr>
            </w:pPr>
            <w:r w:rsidRPr="00E83549">
              <w:rPr>
                <w:lang w:val="en-US"/>
              </w:rPr>
              <w:t xml:space="preserve">a summary of information, if any, provided by a member of a relevant Registered Aboriginal </w:t>
            </w:r>
            <w:r w:rsidRPr="00E83549">
              <w:rPr>
                <w:rFonts w:ascii="MS Mincho" w:eastAsia="MS Mincho" w:hAnsi="MS Mincho" w:cs="MS Mincho"/>
                <w:lang w:val="en-US"/>
              </w:rPr>
              <w:t> </w:t>
            </w:r>
            <w:r w:rsidRPr="00E83549">
              <w:rPr>
                <w:lang w:val="en-US"/>
              </w:rPr>
              <w:t xml:space="preserve">Party or other person; </w:t>
            </w:r>
            <w:r w:rsidRPr="00E83549">
              <w:rPr>
                <w:rFonts w:ascii="MS Mincho" w:eastAsia="MS Mincho" w:hAnsi="MS Mincho" w:cs="MS Mincho"/>
                <w:lang w:val="en-US"/>
              </w:rPr>
              <w:t> </w:t>
            </w:r>
          </w:p>
          <w:p w14:paraId="61E3450E" w14:textId="6CE0774C" w:rsidR="00015C8B" w:rsidRPr="00E83549" w:rsidRDefault="00015C8B" w:rsidP="00015C8B">
            <w:pPr>
              <w:keepLines/>
              <w:numPr>
                <w:ilvl w:val="0"/>
                <w:numId w:val="35"/>
              </w:numPr>
              <w:spacing w:before="120" w:after="120"/>
              <w:rPr>
                <w:lang w:val="en-US"/>
              </w:rPr>
            </w:pPr>
            <w:r w:rsidRPr="00E83549">
              <w:rPr>
                <w:lang w:val="en-US"/>
              </w:rPr>
              <w:t xml:space="preserve">the results of the assessment including a description and location of Aboriginal cultural heritage that is found, identification of </w:t>
            </w:r>
            <w:r w:rsidR="00B22F1C">
              <w:rPr>
                <w:lang w:val="en-US"/>
              </w:rPr>
              <w:t xml:space="preserve">any </w:t>
            </w:r>
            <w:r w:rsidRPr="00E83549">
              <w:rPr>
                <w:lang w:val="en-US"/>
              </w:rPr>
              <w:t xml:space="preserve">problems in completing the assessment, and recommendations to address </w:t>
            </w:r>
            <w:r w:rsidR="00B22F1C">
              <w:rPr>
                <w:lang w:val="en-US"/>
              </w:rPr>
              <w:t xml:space="preserve">any </w:t>
            </w:r>
            <w:r w:rsidRPr="00E83549">
              <w:rPr>
                <w:lang w:val="en-US"/>
              </w:rPr>
              <w:t xml:space="preserve">problems, in completing the assessment; </w:t>
            </w:r>
            <w:r w:rsidRPr="00E83549">
              <w:rPr>
                <w:rFonts w:ascii="MS Mincho" w:eastAsia="MS Mincho" w:hAnsi="MS Mincho" w:cs="MS Mincho"/>
                <w:lang w:val="en-US"/>
              </w:rPr>
              <w:t> </w:t>
            </w:r>
          </w:p>
          <w:p w14:paraId="66DD04E6" w14:textId="77777777" w:rsidR="00015C8B" w:rsidRPr="00E83549" w:rsidRDefault="00015C8B" w:rsidP="00015C8B">
            <w:pPr>
              <w:keepLines/>
              <w:numPr>
                <w:ilvl w:val="0"/>
                <w:numId w:val="35"/>
              </w:numPr>
              <w:spacing w:before="120" w:after="120"/>
              <w:rPr>
                <w:lang w:val="en-US"/>
              </w:rPr>
            </w:pPr>
            <w:r w:rsidRPr="00E83549">
              <w:rPr>
                <w:lang w:val="en-US"/>
              </w:rPr>
              <w:t xml:space="preserve">a statement of how matters required by the Act were considered; </w:t>
            </w:r>
            <w:r w:rsidRPr="00E83549">
              <w:rPr>
                <w:rFonts w:ascii="MS Mincho" w:eastAsia="MS Mincho" w:hAnsi="MS Mincho" w:cs="MS Mincho"/>
                <w:lang w:val="en-US"/>
              </w:rPr>
              <w:t> </w:t>
            </w:r>
          </w:p>
          <w:p w14:paraId="4811CB17" w14:textId="09BDBA8C" w:rsidR="00015C8B" w:rsidRPr="00E83549" w:rsidRDefault="00015C8B" w:rsidP="00015C8B">
            <w:pPr>
              <w:keepLines/>
              <w:numPr>
                <w:ilvl w:val="0"/>
                <w:numId w:val="35"/>
              </w:numPr>
              <w:spacing w:before="120" w:after="120"/>
              <w:rPr>
                <w:lang w:val="en-US"/>
              </w:rPr>
            </w:pPr>
            <w:r w:rsidRPr="00E83549">
              <w:rPr>
                <w:lang w:val="en-US"/>
              </w:rPr>
              <w:t>recommendations for measures to be taken to manage and protect heritage identified in the</w:t>
            </w:r>
            <w:r w:rsidR="006F61FC">
              <w:rPr>
                <w:lang w:val="en-US"/>
              </w:rPr>
              <w:t xml:space="preserve"> </w:t>
            </w:r>
            <w:r w:rsidRPr="00E83549">
              <w:rPr>
                <w:lang w:val="en-US"/>
              </w:rPr>
              <w:t xml:space="preserve">assessment; </w:t>
            </w:r>
            <w:r w:rsidRPr="00E83549">
              <w:rPr>
                <w:rFonts w:ascii="MS Mincho" w:eastAsia="MS Mincho" w:hAnsi="MS Mincho" w:cs="MS Mincho"/>
                <w:lang w:val="en-US"/>
              </w:rPr>
              <w:t> </w:t>
            </w:r>
          </w:p>
          <w:p w14:paraId="6DA8FB88" w14:textId="7A4D90F2" w:rsidR="00015C8B" w:rsidRPr="00E83549" w:rsidRDefault="00015C8B" w:rsidP="00015C8B">
            <w:pPr>
              <w:keepLines/>
              <w:numPr>
                <w:ilvl w:val="0"/>
                <w:numId w:val="35"/>
              </w:numPr>
              <w:spacing w:before="120" w:after="120"/>
              <w:rPr>
                <w:lang w:val="en-US"/>
              </w:rPr>
            </w:pPr>
            <w:r w:rsidRPr="00E83549">
              <w:rPr>
                <w:lang w:val="en-US"/>
              </w:rPr>
              <w:t xml:space="preserve">how the sponsor and the Registered Aboriginal Party will resolve any disputes in relation to implementation of an approved </w:t>
            </w:r>
            <w:r w:rsidR="00B22F1C">
              <w:rPr>
                <w:lang w:val="en-US"/>
              </w:rPr>
              <w:t>CHMP</w:t>
            </w:r>
            <w:r w:rsidRPr="00E83549">
              <w:rPr>
                <w:lang w:val="en-US"/>
              </w:rPr>
              <w:t xml:space="preserve"> or the conduct of the activity; and </w:t>
            </w:r>
            <w:r w:rsidRPr="00E83549">
              <w:rPr>
                <w:rFonts w:ascii="MS Mincho" w:eastAsia="MS Mincho" w:hAnsi="MS Mincho" w:cs="MS Mincho"/>
                <w:lang w:val="en-US"/>
              </w:rPr>
              <w:t> </w:t>
            </w:r>
          </w:p>
          <w:p w14:paraId="06C689DE" w14:textId="77777777" w:rsidR="00015C8B" w:rsidRPr="00E83549" w:rsidRDefault="00015C8B" w:rsidP="00015C8B">
            <w:pPr>
              <w:keepLines/>
              <w:numPr>
                <w:ilvl w:val="0"/>
                <w:numId w:val="35"/>
              </w:numPr>
              <w:spacing w:before="120" w:after="120"/>
              <w:rPr>
                <w:lang w:val="en-US"/>
              </w:rPr>
            </w:pPr>
            <w:r w:rsidRPr="00E83549">
              <w:rPr>
                <w:lang w:val="en-US"/>
              </w:rPr>
              <w:t xml:space="preserve">if the activity is a subdivision, the sponsor’s description of how each lot will be used or developed, or the use or development permitted by the planning scheme. </w:t>
            </w:r>
            <w:r w:rsidRPr="00E83549">
              <w:rPr>
                <w:rFonts w:ascii="MS Mincho" w:eastAsia="MS Mincho" w:hAnsi="MS Mincho" w:cs="MS Mincho"/>
                <w:lang w:val="en-US"/>
              </w:rPr>
              <w:t> </w:t>
            </w:r>
          </w:p>
        </w:tc>
      </w:tr>
    </w:tbl>
    <w:p w14:paraId="6C24E911" w14:textId="7D9D93CD" w:rsidR="00015C8B" w:rsidRPr="00CC1AF0" w:rsidRDefault="00015C8B" w:rsidP="00015C8B">
      <w:pPr>
        <w:pStyle w:val="Caption"/>
      </w:pPr>
      <w:r w:rsidRPr="00CC1AF0">
        <w:t xml:space="preserve">Maps in </w:t>
      </w:r>
      <w:r w:rsidR="0047688D">
        <w:t>C</w:t>
      </w:r>
      <w:r w:rsidRPr="00CC1AF0">
        <w:t xml:space="preserve">ultural </w:t>
      </w:r>
      <w:r w:rsidR="00B22F1C">
        <w:t>H</w:t>
      </w:r>
      <w:r w:rsidRPr="00CC1AF0">
        <w:t xml:space="preserve">eritage </w:t>
      </w:r>
      <w:r w:rsidR="00B22F1C">
        <w:t>A</w:t>
      </w:r>
      <w:r w:rsidRPr="00CC1AF0">
        <w:t xml:space="preserve">greements </w:t>
      </w:r>
    </w:p>
    <w:p w14:paraId="5F0E264A" w14:textId="77777777" w:rsidR="00015C8B" w:rsidRPr="001A71BF" w:rsidRDefault="00015C8B" w:rsidP="00015C8B">
      <w:pPr>
        <w:numPr>
          <w:ilvl w:val="0"/>
          <w:numId w:val="9"/>
        </w:numPr>
        <w:spacing w:before="120" w:after="120"/>
        <w:rPr>
          <w:lang w:val="en-US"/>
        </w:rPr>
      </w:pPr>
      <w:r w:rsidRPr="00E83549">
        <w:rPr>
          <w:lang w:val="en-US"/>
        </w:rPr>
        <w:t xml:space="preserve">A map included in a cultural heritage agreement must include the location of the boundaries of the land, a description of what the map represents, a legend, a scale, an arrow indicating north, topographic features and a small diagram showing the location of the area in relation to the nearest town. If coordinates are shown, they must be standard coordinates. Standard coordinates are required to facilitate inclusion of the agreement on the Aboriginal Affairs Victoria Register and on land title. </w:t>
      </w:r>
    </w:p>
    <w:p w14:paraId="25A83884" w14:textId="213C0D8B" w:rsidR="0047688D" w:rsidRDefault="00015C8B" w:rsidP="00705BA8">
      <w:pPr>
        <w:pStyle w:val="Caption"/>
      </w:pPr>
      <w:r w:rsidRPr="00CC1AF0">
        <w:t xml:space="preserve">Fees </w:t>
      </w:r>
    </w:p>
    <w:p w14:paraId="13B8738F" w14:textId="4DF428BA" w:rsidR="00015C8B" w:rsidRPr="00FA4C79" w:rsidRDefault="00015C8B" w:rsidP="00015C8B">
      <w:pPr>
        <w:numPr>
          <w:ilvl w:val="0"/>
          <w:numId w:val="9"/>
        </w:numPr>
        <w:spacing w:before="120" w:after="120"/>
        <w:rPr>
          <w:lang w:val="en-US"/>
        </w:rPr>
      </w:pPr>
      <w:r w:rsidRPr="00FA4C79">
        <w:rPr>
          <w:lang w:val="en-US"/>
        </w:rPr>
        <w:t xml:space="preserve">Fees </w:t>
      </w:r>
      <w:r w:rsidR="00B35B81">
        <w:rPr>
          <w:lang w:val="en-US"/>
        </w:rPr>
        <w:t xml:space="preserve">are part of the Regulations </w:t>
      </w:r>
      <w:r w:rsidRPr="00FA4C79">
        <w:rPr>
          <w:lang w:val="en-US"/>
        </w:rPr>
        <w:t xml:space="preserve">are considered </w:t>
      </w:r>
      <w:r w:rsidR="00B35B81">
        <w:rPr>
          <w:lang w:val="en-US"/>
        </w:rPr>
        <w:t xml:space="preserve">separately </w:t>
      </w:r>
      <w:r w:rsidRPr="00FA4C79">
        <w:rPr>
          <w:lang w:val="en-US"/>
        </w:rPr>
        <w:t>in</w:t>
      </w:r>
      <w:r w:rsidR="009D36A7">
        <w:rPr>
          <w:lang w:val="en-US"/>
        </w:rPr>
        <w:t xml:space="preserve"> Section </w:t>
      </w:r>
      <w:r w:rsidR="009D36A7">
        <w:rPr>
          <w:lang w:val="en-US"/>
        </w:rPr>
        <w:fldChar w:fldCharType="begin"/>
      </w:r>
      <w:r w:rsidR="009D36A7">
        <w:rPr>
          <w:lang w:val="en-US"/>
        </w:rPr>
        <w:instrText xml:space="preserve"> REF _Ref504556259 \n \h </w:instrText>
      </w:r>
      <w:r w:rsidR="009D36A7">
        <w:rPr>
          <w:lang w:val="en-US"/>
        </w:rPr>
      </w:r>
      <w:r w:rsidR="009D36A7">
        <w:rPr>
          <w:lang w:val="en-US"/>
        </w:rPr>
        <w:fldChar w:fldCharType="separate"/>
      </w:r>
      <w:r w:rsidR="000369A1">
        <w:rPr>
          <w:lang w:val="en-US"/>
        </w:rPr>
        <w:t>8</w:t>
      </w:r>
      <w:r w:rsidR="009D36A7">
        <w:rPr>
          <w:lang w:val="en-US"/>
        </w:rPr>
        <w:fldChar w:fldCharType="end"/>
      </w:r>
      <w:r w:rsidR="00DF1C54">
        <w:rPr>
          <w:lang w:val="en-US"/>
        </w:rPr>
        <w:t xml:space="preserve"> of this RIS</w:t>
      </w:r>
      <w:r w:rsidR="009D36A7">
        <w:rPr>
          <w:lang w:val="en-US"/>
        </w:rPr>
        <w:t>.</w:t>
      </w:r>
    </w:p>
    <w:p w14:paraId="2635F0E5" w14:textId="77777777" w:rsidR="00015C8B" w:rsidRPr="00CC1AF0" w:rsidRDefault="00015C8B" w:rsidP="00015C8B">
      <w:pPr>
        <w:pStyle w:val="Caption"/>
      </w:pPr>
      <w:r w:rsidRPr="00CC1AF0">
        <w:t>Approved forms</w:t>
      </w:r>
    </w:p>
    <w:p w14:paraId="25BEFE97" w14:textId="550C22B8" w:rsidR="00015C8B" w:rsidRPr="00015C8B" w:rsidRDefault="00015C8B" w:rsidP="00015C8B">
      <w:pPr>
        <w:pStyle w:val="PwCNormal"/>
        <w:rPr>
          <w:lang w:val="en-US"/>
        </w:rPr>
      </w:pPr>
      <w:r w:rsidRPr="00E83549">
        <w:t>The Regulations set of a variety of approved forms.</w:t>
      </w:r>
    </w:p>
    <w:p w14:paraId="22B64675" w14:textId="468225E1" w:rsidR="00165E3C" w:rsidRDefault="006559A6" w:rsidP="00165E3C">
      <w:pPr>
        <w:pStyle w:val="Heading7"/>
        <w:rPr>
          <w:lang w:val="en-US"/>
        </w:rPr>
      </w:pPr>
      <w:bookmarkStart w:id="51" w:name="_Ref507678333"/>
      <w:r>
        <w:rPr>
          <w:lang w:val="en-US"/>
        </w:rPr>
        <w:t>Option 2</w:t>
      </w:r>
      <w:r w:rsidR="00165E3C">
        <w:rPr>
          <w:lang w:val="en-US"/>
        </w:rPr>
        <w:t xml:space="preserve">: </w:t>
      </w:r>
      <w:r w:rsidR="00CA737A">
        <w:rPr>
          <w:lang w:val="en-US"/>
        </w:rPr>
        <w:t>Targeted changes to triggers for a CHMP</w:t>
      </w:r>
      <w:bookmarkEnd w:id="51"/>
    </w:p>
    <w:p w14:paraId="7213382C" w14:textId="77777777" w:rsidR="000369A1" w:rsidRDefault="00FC1ABA" w:rsidP="005519AF">
      <w:pPr>
        <w:numPr>
          <w:ilvl w:val="0"/>
          <w:numId w:val="9"/>
        </w:numPr>
        <w:spacing w:before="120" w:after="120"/>
        <w:rPr>
          <w:lang w:val="en-US"/>
        </w:rPr>
      </w:pPr>
      <w:r>
        <w:rPr>
          <w:lang w:val="en-US"/>
        </w:rPr>
        <w:t>Option 2 is to re-make the Regulations with the following changes to the triggers for a CHMP</w:t>
      </w:r>
      <w:r w:rsidR="006559A6">
        <w:rPr>
          <w:lang w:val="en-US"/>
        </w:rPr>
        <w:t xml:space="preserve">. </w:t>
      </w:r>
      <w:r w:rsidR="006559A6" w:rsidRPr="006559A6">
        <w:rPr>
          <w:lang w:val="en-US"/>
        </w:rPr>
        <w:t>The proposed changes</w:t>
      </w:r>
      <w:r w:rsidR="00170E7B">
        <w:rPr>
          <w:lang w:val="en-US"/>
        </w:rPr>
        <w:t xml:space="preserve">, </w:t>
      </w:r>
      <w:r w:rsidR="00BE4171">
        <w:rPr>
          <w:lang w:val="en-US"/>
        </w:rPr>
        <w:t>the rationale for making them</w:t>
      </w:r>
      <w:r w:rsidR="00170E7B">
        <w:rPr>
          <w:lang w:val="en-US"/>
        </w:rPr>
        <w:t>, and decision-making process</w:t>
      </w:r>
      <w:r w:rsidR="006559A6" w:rsidRPr="006559A6">
        <w:rPr>
          <w:lang w:val="en-US"/>
        </w:rPr>
        <w:t xml:space="preserve"> are </w:t>
      </w:r>
      <w:r w:rsidR="00E84CCC" w:rsidRPr="006559A6">
        <w:rPr>
          <w:lang w:val="en-US"/>
        </w:rPr>
        <w:t xml:space="preserve">shown in </w:t>
      </w:r>
      <w:r w:rsidR="00E84CCC" w:rsidRPr="006559A6">
        <w:rPr>
          <w:lang w:val="en-US"/>
        </w:rPr>
        <w:fldChar w:fldCharType="begin"/>
      </w:r>
      <w:r w:rsidR="00E84CCC" w:rsidRPr="006559A6">
        <w:rPr>
          <w:lang w:val="en-US"/>
        </w:rPr>
        <w:instrText xml:space="preserve"> REF _Ref501386830 \h </w:instrText>
      </w:r>
      <w:r w:rsidR="006559A6">
        <w:rPr>
          <w:lang w:val="en-US"/>
        </w:rPr>
        <w:instrText xml:space="preserve"> \* MERGEFORMAT </w:instrText>
      </w:r>
      <w:r w:rsidR="00E84CCC" w:rsidRPr="006559A6">
        <w:rPr>
          <w:lang w:val="en-US"/>
        </w:rPr>
      </w:r>
      <w:r w:rsidR="00E84CCC" w:rsidRPr="006559A6">
        <w:rPr>
          <w:lang w:val="en-US"/>
        </w:rPr>
        <w:fldChar w:fldCharType="separate"/>
      </w:r>
    </w:p>
    <w:p w14:paraId="37FA57C8" w14:textId="68FE3C77" w:rsidR="007C0109" w:rsidRDefault="000369A1" w:rsidP="005519AF">
      <w:pPr>
        <w:numPr>
          <w:ilvl w:val="0"/>
          <w:numId w:val="9"/>
        </w:numPr>
        <w:spacing w:before="120" w:after="120"/>
        <w:rPr>
          <w:lang w:val="en-US"/>
        </w:rPr>
      </w:pPr>
      <w:r w:rsidRPr="00C35804">
        <w:rPr>
          <w:lang w:val="en-US"/>
        </w:rPr>
        <w:t xml:space="preserve">Table </w:t>
      </w:r>
      <w:r>
        <w:rPr>
          <w:noProof/>
        </w:rPr>
        <w:t>8</w:t>
      </w:r>
      <w:r w:rsidR="00E84CCC" w:rsidRPr="006559A6">
        <w:rPr>
          <w:lang w:val="en-US"/>
        </w:rPr>
        <w:fldChar w:fldCharType="end"/>
      </w:r>
      <w:r w:rsidR="00170E7B">
        <w:rPr>
          <w:lang w:val="en-US"/>
        </w:rPr>
        <w:t>.</w:t>
      </w:r>
      <w:bookmarkStart w:id="52" w:name="_Ref501386830"/>
    </w:p>
    <w:p w14:paraId="7F059E50" w14:textId="1A065F56" w:rsidR="00E84CCC" w:rsidRDefault="00E84CCC" w:rsidP="00E84CCC">
      <w:pPr>
        <w:pStyle w:val="Caption"/>
      </w:pPr>
      <w:r>
        <w:t xml:space="preserve">Table </w:t>
      </w:r>
      <w:r w:rsidR="00B47FE6">
        <w:fldChar w:fldCharType="begin"/>
      </w:r>
      <w:r w:rsidR="00B47FE6">
        <w:instrText xml:space="preserve"> SEQ Table \* ARABIC </w:instrText>
      </w:r>
      <w:r w:rsidR="00B47FE6">
        <w:fldChar w:fldCharType="separate"/>
      </w:r>
      <w:r w:rsidR="000369A1">
        <w:rPr>
          <w:noProof/>
        </w:rPr>
        <w:t>8</w:t>
      </w:r>
      <w:r w:rsidR="00B47FE6">
        <w:rPr>
          <w:noProof/>
        </w:rPr>
        <w:fldChar w:fldCharType="end"/>
      </w:r>
      <w:bookmarkEnd w:id="52"/>
      <w:r>
        <w:t>: Changes to CHMP triggers proposed in Option 2</w:t>
      </w:r>
    </w:p>
    <w:tbl>
      <w:tblPr>
        <w:tblStyle w:val="ListTable3-Accent11"/>
        <w:tblW w:w="9180" w:type="dxa"/>
        <w:tblBorders>
          <w:insideH w:val="single" w:sz="4" w:space="0" w:color="A32020" w:themeColor="accent1"/>
          <w:insideV w:val="single" w:sz="4" w:space="0" w:color="A32020" w:themeColor="accent1"/>
        </w:tblBorders>
        <w:tblLayout w:type="fixed"/>
        <w:tblLook w:val="04A0" w:firstRow="1" w:lastRow="0" w:firstColumn="1" w:lastColumn="0" w:noHBand="0" w:noVBand="1"/>
      </w:tblPr>
      <w:tblGrid>
        <w:gridCol w:w="700"/>
        <w:gridCol w:w="1960"/>
        <w:gridCol w:w="3260"/>
        <w:gridCol w:w="3260"/>
      </w:tblGrid>
      <w:tr w:rsidR="00212405" w14:paraId="462DA58E" w14:textId="5D5CF4D9" w:rsidTr="00C3580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0" w:type="dxa"/>
            <w:vAlign w:val="center"/>
          </w:tcPr>
          <w:p w14:paraId="15976B49" w14:textId="1120487E" w:rsidR="00212405" w:rsidRDefault="00212405" w:rsidP="00212405">
            <w:pPr>
              <w:jc w:val="center"/>
            </w:pPr>
            <w:r>
              <w:t xml:space="preserve">Reg. # </w:t>
            </w:r>
            <w:r>
              <w:rPr>
                <w:rStyle w:val="FootnoteReference"/>
              </w:rPr>
              <w:footnoteReference w:id="47"/>
            </w:r>
          </w:p>
        </w:tc>
        <w:tc>
          <w:tcPr>
            <w:tcW w:w="1960" w:type="dxa"/>
            <w:vAlign w:val="center"/>
          </w:tcPr>
          <w:p w14:paraId="6CFB8BAF" w14:textId="77777777" w:rsidR="00212405" w:rsidRDefault="00212405" w:rsidP="00212405">
            <w:pPr>
              <w:cnfStyle w:val="100000000000" w:firstRow="1" w:lastRow="0" w:firstColumn="0" w:lastColumn="0" w:oddVBand="0" w:evenVBand="0" w:oddHBand="0" w:evenHBand="0" w:firstRowFirstColumn="0" w:firstRowLastColumn="0" w:lastRowFirstColumn="0" w:lastRowLastColumn="0"/>
            </w:pPr>
            <w:r>
              <w:t>Description of change</w:t>
            </w:r>
          </w:p>
        </w:tc>
        <w:tc>
          <w:tcPr>
            <w:tcW w:w="3260" w:type="dxa"/>
            <w:vAlign w:val="center"/>
          </w:tcPr>
          <w:p w14:paraId="1F97B313" w14:textId="471F900C" w:rsidR="00212405" w:rsidRDefault="00212405" w:rsidP="00212405">
            <w:pPr>
              <w:cnfStyle w:val="100000000000" w:firstRow="1" w:lastRow="0" w:firstColumn="0" w:lastColumn="0" w:oddVBand="0" w:evenVBand="0" w:oddHBand="0" w:evenHBand="0" w:firstRowFirstColumn="0" w:firstRowLastColumn="0" w:lastRowFirstColumn="0" w:lastRowLastColumn="0"/>
            </w:pPr>
            <w:r>
              <w:t>Rationale</w:t>
            </w:r>
            <w:r>
              <w:rPr>
                <w:rStyle w:val="FootnoteReference"/>
              </w:rPr>
              <w:footnoteReference w:id="48"/>
            </w:r>
          </w:p>
        </w:tc>
        <w:tc>
          <w:tcPr>
            <w:tcW w:w="3260" w:type="dxa"/>
            <w:vAlign w:val="center"/>
          </w:tcPr>
          <w:p w14:paraId="13889DBB" w14:textId="57433DCD" w:rsidR="00212405" w:rsidRDefault="00257A68" w:rsidP="00FB5C8E">
            <w:pPr>
              <w:cnfStyle w:val="100000000000" w:firstRow="1" w:lastRow="0" w:firstColumn="0" w:lastColumn="0" w:oddVBand="0" w:evenVBand="0" w:oddHBand="0" w:evenHBand="0" w:firstRowFirstColumn="0" w:firstRowLastColumn="0" w:lastRowFirstColumn="0" w:lastRowLastColumn="0"/>
            </w:pPr>
            <w:r>
              <w:t>Decision-making p</w:t>
            </w:r>
            <w:r w:rsidR="00212405">
              <w:t>rocess</w:t>
            </w:r>
            <w:r w:rsidR="00212405">
              <w:rPr>
                <w:rStyle w:val="FootnoteReference"/>
              </w:rPr>
              <w:footnoteReference w:id="49"/>
            </w:r>
          </w:p>
        </w:tc>
      </w:tr>
      <w:tr w:rsidR="00212405" w14:paraId="3FF5C3CE" w14:textId="329DFC2C" w:rsidTr="00C35804">
        <w:trPr>
          <w:cnfStyle w:val="000000100000" w:firstRow="0" w:lastRow="0" w:firstColumn="0" w:lastColumn="0" w:oddVBand="0" w:evenVBand="0" w:oddHBand="1" w:evenHBand="0" w:firstRowFirstColumn="0" w:firstRowLastColumn="0" w:lastRowFirstColumn="0" w:lastRowLastColumn="0"/>
          <w:cantSplit/>
          <w:trHeight w:val="1858"/>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603519D7" w14:textId="5D38D506" w:rsidR="00212405" w:rsidRPr="002F2089" w:rsidRDefault="00212405" w:rsidP="00212405">
            <w:pPr>
              <w:jc w:val="center"/>
            </w:pPr>
            <w:r>
              <w:t>5</w:t>
            </w:r>
          </w:p>
        </w:tc>
        <w:tc>
          <w:tcPr>
            <w:tcW w:w="1960" w:type="dxa"/>
            <w:shd w:val="clear" w:color="auto" w:fill="auto"/>
            <w:vAlign w:val="center"/>
          </w:tcPr>
          <w:p w14:paraId="702D4477" w14:textId="77777777" w:rsidR="00212405" w:rsidRPr="002F2089" w:rsidRDefault="00212405" w:rsidP="00212405">
            <w:pPr>
              <w:cnfStyle w:val="000000100000" w:firstRow="0" w:lastRow="0" w:firstColumn="0" w:lastColumn="0" w:oddVBand="0" w:evenVBand="0" w:oddHBand="1" w:evenHBand="0" w:firstRowFirstColumn="0" w:firstRowLastColumn="0" w:lastRowFirstColumn="0" w:lastRowLastColumn="0"/>
            </w:pPr>
            <w:r>
              <w:t>Expand the definition of an area of cultural heritage sensitivity to include other parks and reserves managed for conservation purposes.</w:t>
            </w:r>
          </w:p>
        </w:tc>
        <w:tc>
          <w:tcPr>
            <w:tcW w:w="3260" w:type="dxa"/>
            <w:vAlign w:val="center"/>
          </w:tcPr>
          <w:p w14:paraId="1A3031E0" w14:textId="18347561" w:rsidR="00212405" w:rsidRDefault="00212405" w:rsidP="00212405">
            <w:pPr>
              <w:cnfStyle w:val="000000100000" w:firstRow="0" w:lastRow="0" w:firstColumn="0" w:lastColumn="0" w:oddVBand="0" w:evenVBand="0" w:oddHBand="1" w:evenHBand="0" w:firstRowFirstColumn="0" w:firstRowLastColumn="0" w:lastRowFirstColumn="0" w:lastRowLastColumn="0"/>
            </w:pPr>
            <w:r>
              <w:t>AV</w:t>
            </w:r>
            <w:r w:rsidRPr="008B7E49">
              <w:t xml:space="preserve"> identified the definition in the Regulations for Parks excludes nature conservation areas, which are more likely to be associated with intact Aboriginal cultural heritage.</w:t>
            </w:r>
          </w:p>
        </w:tc>
        <w:tc>
          <w:tcPr>
            <w:tcW w:w="3260" w:type="dxa"/>
            <w:vAlign w:val="center"/>
          </w:tcPr>
          <w:p w14:paraId="5B4793C5" w14:textId="0CFF07DA" w:rsidR="00212405" w:rsidRDefault="00212405" w:rsidP="00786EEC">
            <w:pPr>
              <w:cnfStyle w:val="000000100000" w:firstRow="0" w:lastRow="0" w:firstColumn="0" w:lastColumn="0" w:oddVBand="0" w:evenVBand="0" w:oddHBand="1" w:evenHBand="0" w:firstRowFirstColumn="0" w:firstRowLastColumn="0" w:lastRowFirstColumn="0" w:lastRowLastColumn="0"/>
            </w:pPr>
            <w:r>
              <w:t xml:space="preserve">Change based on stakeholder consultation. </w:t>
            </w:r>
            <w:r w:rsidRPr="007D0E93">
              <w:t xml:space="preserve">AV investigated several options for the definition of park, and </w:t>
            </w:r>
            <w:r w:rsidR="00786EEC">
              <w:t>determined</w:t>
            </w:r>
            <w:r w:rsidRPr="007D0E93">
              <w:t xml:space="preserve"> the proposed definition sufficiently accounts for land conserved </w:t>
            </w:r>
            <w:r w:rsidR="00786EEC">
              <w:t>for its</w:t>
            </w:r>
            <w:r w:rsidRPr="007D0E93">
              <w:t xml:space="preserve"> to minimal past land use</w:t>
            </w:r>
            <w:r>
              <w:t>.</w:t>
            </w:r>
          </w:p>
        </w:tc>
      </w:tr>
      <w:tr w:rsidR="00212405" w14:paraId="518A32BC" w14:textId="3786EB6E" w:rsidTr="00C35804">
        <w:trPr>
          <w:cantSplit/>
          <w:trHeight w:val="4"/>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52657E37" w14:textId="2EDCDFB5" w:rsidR="00212405" w:rsidRPr="002F2089" w:rsidRDefault="00212405" w:rsidP="00212405">
            <w:pPr>
              <w:jc w:val="center"/>
            </w:pPr>
            <w:r>
              <w:t>5</w:t>
            </w:r>
          </w:p>
        </w:tc>
        <w:tc>
          <w:tcPr>
            <w:tcW w:w="1960" w:type="dxa"/>
            <w:shd w:val="clear" w:color="auto" w:fill="auto"/>
            <w:vAlign w:val="center"/>
          </w:tcPr>
          <w:p w14:paraId="1AA7EFA8" w14:textId="492A80FE" w:rsidR="00212405" w:rsidRPr="002F2089" w:rsidRDefault="00212405" w:rsidP="00212405">
            <w:pPr>
              <w:cnfStyle w:val="000000000000" w:firstRow="0" w:lastRow="0" w:firstColumn="0" w:lastColumn="0" w:oddVBand="0" w:evenVBand="0" w:oddHBand="0" w:evenHBand="0" w:firstRowFirstColumn="0" w:firstRowLastColumn="0" w:lastRowFirstColumn="0" w:lastRowLastColumn="0"/>
            </w:pPr>
            <w:r>
              <w:t>Clarify the definitions of waterways to include channelised sections.</w:t>
            </w:r>
          </w:p>
        </w:tc>
        <w:tc>
          <w:tcPr>
            <w:tcW w:w="3260" w:type="dxa"/>
            <w:vAlign w:val="center"/>
          </w:tcPr>
          <w:p w14:paraId="0FEEBDA4" w14:textId="5D41D6AE" w:rsidR="00212405" w:rsidDel="0047688D" w:rsidRDefault="00212405" w:rsidP="00212405">
            <w:pPr>
              <w:cnfStyle w:val="000000000000" w:firstRow="0" w:lastRow="0" w:firstColumn="0" w:lastColumn="0" w:oddVBand="0" w:evenVBand="0" w:oddHBand="0" w:evenHBand="0" w:firstRowFirstColumn="0" w:firstRowLastColumn="0" w:lastRowFirstColumn="0" w:lastRowLastColumn="0"/>
            </w:pPr>
            <w:r>
              <w:t>AV</w:t>
            </w:r>
            <w:r w:rsidRPr="008B7E49">
              <w:t xml:space="preserve"> has noted that stakeholders, including land users and developers, have queried the definition of waterway included in the Regulations.</w:t>
            </w:r>
            <w:r>
              <w:t xml:space="preserve"> Channelised sections generally follow the original alignment of the waterway, and so </w:t>
            </w:r>
            <w:r w:rsidR="00786EEC">
              <w:t xml:space="preserve">the </w:t>
            </w:r>
            <w:r>
              <w:t xml:space="preserve">associated area of </w:t>
            </w:r>
            <w:r w:rsidR="0051144C">
              <w:t>cultural</w:t>
            </w:r>
            <w:r>
              <w:t xml:space="preserve"> heritage sensitivity remains relevant.</w:t>
            </w:r>
          </w:p>
        </w:tc>
        <w:tc>
          <w:tcPr>
            <w:tcW w:w="3260" w:type="dxa"/>
            <w:vAlign w:val="center"/>
          </w:tcPr>
          <w:p w14:paraId="4184686B" w14:textId="4109759D" w:rsidR="00212405" w:rsidRDefault="00212405" w:rsidP="00212405">
            <w:pPr>
              <w:cnfStyle w:val="000000000000" w:firstRow="0" w:lastRow="0" w:firstColumn="0" w:lastColumn="0" w:oddVBand="0" w:evenVBand="0" w:oddHBand="0" w:evenHBand="0" w:firstRowFirstColumn="0" w:firstRowLastColumn="0" w:lastRowFirstColumn="0" w:lastRowLastColumn="0"/>
            </w:pPr>
            <w:r>
              <w:t>Change based on a s</w:t>
            </w:r>
            <w:r w:rsidRPr="007D0E93">
              <w:t>ubmission to the discussion paper and stakeholder consultation</w:t>
            </w:r>
            <w:r>
              <w:t>. As an alternative, AV considered clarifying that artificially manipulated sections of watercourses should not be areas of cultural heritage sensitivity. AV believes artificially manipulated sections should be areas of cultural heritage sensitivity, because:</w:t>
            </w:r>
          </w:p>
          <w:p w14:paraId="4B7A258A" w14:textId="77777777" w:rsidR="00170E7B" w:rsidRDefault="00212405" w:rsidP="00385D64">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artificially manipulated sections generally follow the natural alignment of the watercourse</w:t>
            </w:r>
          </w:p>
          <w:p w14:paraId="1EFC636F" w14:textId="22F1E061" w:rsidR="00786EEC" w:rsidRDefault="00212405" w:rsidP="00385D64">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 xml:space="preserve">land within 200m of these sections </w:t>
            </w:r>
            <w:r w:rsidR="00786EEC">
              <w:t>remains</w:t>
            </w:r>
            <w:r>
              <w:t xml:space="preserve"> more likely to be associate with Aboriginal cultural heritage irrespective of the impacts to the watercourse itself</w:t>
            </w:r>
          </w:p>
          <w:p w14:paraId="75487EF3" w14:textId="0212DB5A" w:rsidR="00212405" w:rsidRPr="008B7E49" w:rsidRDefault="00786EEC" w:rsidP="00D63DFB">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t>Land disturbed through the construction of channelised sections is not an area of cultural heritage sensitivity.</w:t>
            </w:r>
            <w:r w:rsidR="00D63DFB">
              <w:t xml:space="preserve"> </w:t>
            </w:r>
            <w:r w:rsidR="00D63DFB" w:rsidRPr="00D63DFB">
              <w:t>This is because land that’s been previously subject to significant ground disturbance is not an area of cultural heritage sensitivity under the Regulations.</w:t>
            </w:r>
          </w:p>
        </w:tc>
      </w:tr>
      <w:tr w:rsidR="00212405" w14:paraId="67785B6E" w14:textId="590CEC13" w:rsidTr="00C35804">
        <w:trPr>
          <w:cnfStyle w:val="000000100000" w:firstRow="0" w:lastRow="0" w:firstColumn="0" w:lastColumn="0" w:oddVBand="0" w:evenVBand="0" w:oddHBand="1" w:evenHBand="0" w:firstRowFirstColumn="0" w:firstRowLastColumn="0" w:lastRowFirstColumn="0" w:lastRowLastColumn="0"/>
          <w:cantSplit/>
          <w:trHeight w:val="4"/>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2ABBF155" w14:textId="6489A3B2" w:rsidR="00212405" w:rsidRPr="002F2089" w:rsidRDefault="00212405" w:rsidP="00212405">
            <w:pPr>
              <w:jc w:val="center"/>
            </w:pPr>
            <w:r>
              <w:t>28, 34, 35, 36, 37, 39, 40, 41, 55</w:t>
            </w:r>
          </w:p>
        </w:tc>
        <w:tc>
          <w:tcPr>
            <w:tcW w:w="1960" w:type="dxa"/>
            <w:shd w:val="clear" w:color="auto" w:fill="auto"/>
            <w:vAlign w:val="center"/>
          </w:tcPr>
          <w:p w14:paraId="07261962" w14:textId="77777777" w:rsidR="00212405" w:rsidRPr="002F2089" w:rsidRDefault="00212405" w:rsidP="00212405">
            <w:pPr>
              <w:cnfStyle w:val="000000100000" w:firstRow="0" w:lastRow="0" w:firstColumn="0" w:lastColumn="0" w:oddVBand="0" w:evenVBand="0" w:oddHBand="1" w:evenHBand="0" w:firstRowFirstColumn="0" w:firstRowLastColumn="0" w:lastRowFirstColumn="0" w:lastRowLastColumn="0"/>
            </w:pPr>
            <w:r>
              <w:t>Rely on more recent geology data (from GeoVic map book) to update maps.</w:t>
            </w:r>
          </w:p>
        </w:tc>
        <w:tc>
          <w:tcPr>
            <w:tcW w:w="3260" w:type="dxa"/>
            <w:vAlign w:val="center"/>
          </w:tcPr>
          <w:p w14:paraId="0B5FA6B7" w14:textId="0F59C5C0" w:rsidR="00212405" w:rsidRDefault="00212405" w:rsidP="00C87469">
            <w:pPr>
              <w:cnfStyle w:val="000000100000" w:firstRow="0" w:lastRow="0" w:firstColumn="0" w:lastColumn="0" w:oddVBand="0" w:evenVBand="0" w:oddHBand="1" w:evenHBand="0" w:firstRowFirstColumn="0" w:firstRowLastColumn="0" w:lastRowFirstColumn="0" w:lastRowLastColumn="0"/>
            </w:pPr>
            <w:r>
              <w:t>AV</w:t>
            </w:r>
            <w:r w:rsidRPr="008B7E49">
              <w:t xml:space="preserve"> identified an opportunity to rely on more accurate geological mapping data</w:t>
            </w:r>
            <w:r w:rsidR="0051144C">
              <w:t xml:space="preserve"> to ensure that CHMPs </w:t>
            </w:r>
            <w:r w:rsidR="00C87469">
              <w:t>are</w:t>
            </w:r>
            <w:r w:rsidR="0051144C">
              <w:t xml:space="preserve"> undertaken only when necessary</w:t>
            </w:r>
            <w:r w:rsidRPr="008B7E49">
              <w:t>.</w:t>
            </w:r>
          </w:p>
        </w:tc>
        <w:tc>
          <w:tcPr>
            <w:tcW w:w="3260" w:type="dxa"/>
            <w:vAlign w:val="center"/>
          </w:tcPr>
          <w:p w14:paraId="6AB4DEFC" w14:textId="02040150" w:rsidR="00212405" w:rsidRDefault="00212405" w:rsidP="00212405">
            <w:pPr>
              <w:cnfStyle w:val="000000100000" w:firstRow="0" w:lastRow="0" w:firstColumn="0" w:lastColumn="0" w:oddVBand="0" w:evenVBand="0" w:oddHBand="1" w:evenHBand="0" w:firstRowFirstColumn="0" w:firstRowLastColumn="0" w:lastRowFirstColumn="0" w:lastRowLastColumn="0"/>
            </w:pPr>
            <w:r>
              <w:t>Change based on AV’s identification of an improvement, and a s</w:t>
            </w:r>
            <w:r w:rsidRPr="007C0109">
              <w:t>ub</w:t>
            </w:r>
            <w:r w:rsidRPr="001858DD">
              <w:t xml:space="preserve">mission to the discussion paper. </w:t>
            </w:r>
            <w:r w:rsidRPr="007D0E93">
              <w:t>AV investigated options to rely on digital data which may refined over time. AV identified such digi</w:t>
            </w:r>
            <w:r>
              <w:t xml:space="preserve">tal data is not suitable to be </w:t>
            </w:r>
            <w:r w:rsidRPr="007D0E93">
              <w:t>incorporated matter of the Regulations</w:t>
            </w:r>
            <w:r w:rsidR="00C87469">
              <w:t>, and that the published map book is most appropriate.</w:t>
            </w:r>
          </w:p>
        </w:tc>
      </w:tr>
      <w:tr w:rsidR="00212405" w14:paraId="3EF614B2" w14:textId="78CA42BC" w:rsidTr="00C35804">
        <w:trPr>
          <w:cantSplit/>
          <w:trHeight w:val="4"/>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14065AA0" w14:textId="6EB31421" w:rsidR="00212405" w:rsidRPr="00490033" w:rsidRDefault="00212405" w:rsidP="00212405">
            <w:pPr>
              <w:jc w:val="center"/>
            </w:pPr>
            <w:r w:rsidRPr="001858DD">
              <w:t>4</w:t>
            </w:r>
            <w:r w:rsidRPr="00C47E55">
              <w:t>6</w:t>
            </w:r>
          </w:p>
          <w:p w14:paraId="1789A688" w14:textId="67182D6D" w:rsidR="00212405" w:rsidRPr="00490033" w:rsidRDefault="00212405" w:rsidP="00212405">
            <w:pPr>
              <w:jc w:val="center"/>
            </w:pPr>
            <w:r w:rsidRPr="00490033">
              <w:t>(1) (b)</w:t>
            </w:r>
          </w:p>
        </w:tc>
        <w:tc>
          <w:tcPr>
            <w:tcW w:w="1960" w:type="dxa"/>
            <w:shd w:val="clear" w:color="auto" w:fill="auto"/>
            <w:vAlign w:val="center"/>
          </w:tcPr>
          <w:p w14:paraId="16C680C8" w14:textId="77777777" w:rsidR="00212405" w:rsidRPr="00CA737A" w:rsidRDefault="00212405" w:rsidP="00212405">
            <w:pPr>
              <w:cnfStyle w:val="000000000000" w:firstRow="0" w:lastRow="0" w:firstColumn="0" w:lastColumn="0" w:oddVBand="0" w:evenVBand="0" w:oddHBand="0" w:evenHBand="0" w:firstRowFirstColumn="0" w:firstRowLastColumn="0" w:lastRowFirstColumn="0" w:lastRowLastColumn="0"/>
            </w:pPr>
            <w:r>
              <w:t>Include development of residential villages as a high impact activity.</w:t>
            </w:r>
          </w:p>
        </w:tc>
        <w:tc>
          <w:tcPr>
            <w:tcW w:w="3260" w:type="dxa"/>
            <w:vAlign w:val="center"/>
          </w:tcPr>
          <w:p w14:paraId="5B121E90" w14:textId="7B323E3A" w:rsidR="00212405" w:rsidRDefault="00212405" w:rsidP="00212405">
            <w:pPr>
              <w:cnfStyle w:val="000000000000" w:firstRow="0" w:lastRow="0" w:firstColumn="0" w:lastColumn="0" w:oddVBand="0" w:evenVBand="0" w:oddHBand="0" w:evenHBand="0" w:firstRowFirstColumn="0" w:firstRowLastColumn="0" w:lastRowFirstColumn="0" w:lastRowLastColumn="0"/>
            </w:pPr>
            <w:r w:rsidRPr="008B7E49">
              <w:t xml:space="preserve">In its submission to the discussion paper for the review of the Regulations, </w:t>
            </w:r>
            <w:r>
              <w:t xml:space="preserve">the </w:t>
            </w:r>
            <w:r w:rsidRPr="008B7E49">
              <w:t>MAV noted that residential village is not defined as a high impact activity in the Regulations</w:t>
            </w:r>
            <w:r>
              <w:t>.</w:t>
            </w:r>
          </w:p>
        </w:tc>
        <w:tc>
          <w:tcPr>
            <w:tcW w:w="3260" w:type="dxa"/>
            <w:vAlign w:val="center"/>
          </w:tcPr>
          <w:p w14:paraId="07C176CD" w14:textId="7CBBAF8F" w:rsidR="00212405" w:rsidRPr="008B7E49" w:rsidRDefault="00212405" w:rsidP="00FB5C8E">
            <w:pPr>
              <w:cnfStyle w:val="000000000000" w:firstRow="0" w:lastRow="0" w:firstColumn="0" w:lastColumn="0" w:oddVBand="0" w:evenVBand="0" w:oddHBand="0" w:evenHBand="0" w:firstRowFirstColumn="0" w:firstRowLastColumn="0" w:lastRowFirstColumn="0" w:lastRowLastColumn="0"/>
            </w:pPr>
            <w:r>
              <w:t>Based on a submission to the discussion paper by the MAV, who considered that the current definition was inconsistent</w:t>
            </w:r>
            <w:r w:rsidR="0051144C">
              <w:t xml:space="preserve"> with other activities that are classified as high impact</w:t>
            </w:r>
            <w:r>
              <w:t>.</w:t>
            </w:r>
          </w:p>
        </w:tc>
      </w:tr>
      <w:tr w:rsidR="00212405" w14:paraId="22228D15" w14:textId="7A5ECE1D" w:rsidTr="00C35804">
        <w:trPr>
          <w:cnfStyle w:val="000000100000" w:firstRow="0" w:lastRow="0" w:firstColumn="0" w:lastColumn="0" w:oddVBand="0" w:evenVBand="0" w:oddHBand="1" w:evenHBand="0" w:firstRowFirstColumn="0" w:firstRowLastColumn="0" w:lastRowFirstColumn="0" w:lastRowLastColumn="0"/>
          <w:cantSplit/>
          <w:trHeight w:val="4"/>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77A676A3" w14:textId="228B34E0" w:rsidR="00212405" w:rsidRPr="007C0109" w:rsidRDefault="00212405" w:rsidP="00212405">
            <w:pPr>
              <w:jc w:val="center"/>
            </w:pPr>
            <w:r w:rsidRPr="00490033">
              <w:t>46 (1) (b)</w:t>
            </w:r>
          </w:p>
        </w:tc>
        <w:tc>
          <w:tcPr>
            <w:tcW w:w="1960" w:type="dxa"/>
            <w:shd w:val="clear" w:color="auto" w:fill="auto"/>
            <w:vAlign w:val="center"/>
          </w:tcPr>
          <w:p w14:paraId="482255FB" w14:textId="23F6ABC3" w:rsidR="00212405" w:rsidRDefault="00212405" w:rsidP="00212405">
            <w:pPr>
              <w:cnfStyle w:val="000000100000" w:firstRow="0" w:lastRow="0" w:firstColumn="0" w:lastColumn="0" w:oddVBand="0" w:evenVBand="0" w:oddHBand="1" w:evenHBand="0" w:firstRowFirstColumn="0" w:firstRowLastColumn="0" w:lastRowFirstColumn="0" w:lastRowLastColumn="0"/>
            </w:pPr>
            <w:r w:rsidRPr="00490033">
              <w:t>Include Residential Building as a high impact activity</w:t>
            </w:r>
            <w:r>
              <w:t>.</w:t>
            </w:r>
          </w:p>
        </w:tc>
        <w:tc>
          <w:tcPr>
            <w:tcW w:w="3260" w:type="dxa"/>
            <w:vAlign w:val="center"/>
          </w:tcPr>
          <w:p w14:paraId="07FD7949" w14:textId="328EC690" w:rsidR="00212405" w:rsidRPr="008B7E49" w:rsidRDefault="00212405" w:rsidP="00212405">
            <w:pPr>
              <w:cnfStyle w:val="000000100000" w:firstRow="0" w:lastRow="0" w:firstColumn="0" w:lastColumn="0" w:oddVBand="0" w:evenVBand="0" w:oddHBand="1" w:evenHBand="0" w:firstRowFirstColumn="0" w:firstRowLastColumn="0" w:lastRowFirstColumn="0" w:lastRowLastColumn="0"/>
            </w:pPr>
            <w:r w:rsidRPr="00490033">
              <w:t>Residential building includes residential hotels, residential aged care-facilities, boarding houses, and nursing homes. These activities would cause comparable ground disturbance as other similar development activities (such as dwellings and retirement villages) it is appropriate impact to Aboriginal cultural heritage is considered for these developments.</w:t>
            </w:r>
          </w:p>
        </w:tc>
        <w:tc>
          <w:tcPr>
            <w:tcW w:w="3260" w:type="dxa"/>
            <w:vAlign w:val="center"/>
          </w:tcPr>
          <w:p w14:paraId="63BC9FD7" w14:textId="2FD8A4CC" w:rsidR="00212405" w:rsidRPr="00490033" w:rsidRDefault="00212405" w:rsidP="00FB5C8E">
            <w:pPr>
              <w:cnfStyle w:val="000000100000" w:firstRow="0" w:lastRow="0" w:firstColumn="0" w:lastColumn="0" w:oddVBand="0" w:evenVBand="0" w:oddHBand="1" w:evenHBand="0" w:firstRowFirstColumn="0" w:firstRowLastColumn="0" w:lastRowFirstColumn="0" w:lastRowLastColumn="0"/>
            </w:pPr>
            <w:r w:rsidRPr="00490033">
              <w:t>Members of the Victorian Civil Administrative Tribunal advised AV should consider including ‘residential building’ as a high impact activity</w:t>
            </w:r>
            <w:r>
              <w:t xml:space="preserve"> </w:t>
            </w:r>
            <w:r w:rsidR="00072523">
              <w:t>to ensure</w:t>
            </w:r>
            <w:r>
              <w:t xml:space="preserve"> consistency</w:t>
            </w:r>
            <w:r w:rsidR="00C87469">
              <w:t xml:space="preserve"> in listing those activities under the Victorian Planning Provisions most at risk of causing harm to Aboriginal cultural heritage</w:t>
            </w:r>
            <w:r w:rsidRPr="00490033">
              <w:t>.</w:t>
            </w:r>
          </w:p>
        </w:tc>
      </w:tr>
      <w:tr w:rsidR="00212405" w14:paraId="624BD968" w14:textId="454BB118" w:rsidTr="00C35804">
        <w:trPr>
          <w:cantSplit/>
          <w:trHeight w:val="1460"/>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0184BAEC" w14:textId="25938D89" w:rsidR="00212405" w:rsidRPr="002F2089" w:rsidRDefault="00212405" w:rsidP="00212405">
            <w:pPr>
              <w:jc w:val="center"/>
            </w:pPr>
            <w:r>
              <w:t>46 (1) (b)</w:t>
            </w:r>
          </w:p>
        </w:tc>
        <w:tc>
          <w:tcPr>
            <w:tcW w:w="1960" w:type="dxa"/>
            <w:shd w:val="clear" w:color="auto" w:fill="auto"/>
            <w:vAlign w:val="center"/>
          </w:tcPr>
          <w:p w14:paraId="5C03A36F" w14:textId="3264F73A" w:rsidR="00212405" w:rsidRPr="00CA737A" w:rsidRDefault="00212405" w:rsidP="00212405">
            <w:pPr>
              <w:cnfStyle w:val="000000000000" w:firstRow="0" w:lastRow="0" w:firstColumn="0" w:lastColumn="0" w:oddVBand="0" w:evenVBand="0" w:oddHBand="0" w:evenHBand="0" w:firstRowFirstColumn="0" w:firstRowLastColumn="0" w:lastRowFirstColumn="0" w:lastRowLastColumn="0"/>
            </w:pPr>
            <w:r>
              <w:t>Include the construction of fuel breaks that require a permit to remove native vegetation.</w:t>
            </w:r>
          </w:p>
        </w:tc>
        <w:tc>
          <w:tcPr>
            <w:tcW w:w="3260" w:type="dxa"/>
            <w:vAlign w:val="center"/>
          </w:tcPr>
          <w:p w14:paraId="5A4A5FAB" w14:textId="666D4A54" w:rsidR="00212405" w:rsidRDefault="00212405" w:rsidP="00212405">
            <w:pPr>
              <w:cnfStyle w:val="000000000000" w:firstRow="0" w:lastRow="0" w:firstColumn="0" w:lastColumn="0" w:oddVBand="0" w:evenVBand="0" w:oddHBand="0" w:evenHBand="0" w:firstRowFirstColumn="0" w:firstRowLastColumn="0" w:lastRowFirstColumn="0" w:lastRowLastColumn="0"/>
            </w:pPr>
            <w:r w:rsidRPr="009B6048">
              <w:t>In its submission to the discussion paper for the review of the Regulations, Parks Victoria noted the construction of fuel breaks was not a listed high impact activity although impacts to Aboriginal cultural heritage are likely.</w:t>
            </w:r>
          </w:p>
        </w:tc>
        <w:tc>
          <w:tcPr>
            <w:tcW w:w="3260" w:type="dxa"/>
            <w:vAlign w:val="center"/>
          </w:tcPr>
          <w:p w14:paraId="5F60B941" w14:textId="08966CE1" w:rsidR="00212405" w:rsidRPr="009B6048" w:rsidRDefault="00212405" w:rsidP="00212405">
            <w:pPr>
              <w:cnfStyle w:val="000000000000" w:firstRow="0" w:lastRow="0" w:firstColumn="0" w:lastColumn="0" w:oddVBand="0" w:evenVBand="0" w:oddHBand="0" w:evenHBand="0" w:firstRowFirstColumn="0" w:firstRowLastColumn="0" w:lastRowFirstColumn="0" w:lastRowLastColumn="0"/>
            </w:pPr>
            <w:r>
              <w:t xml:space="preserve">Based on a submission to the discussion paper. </w:t>
            </w:r>
            <w:r w:rsidRPr="00490033">
              <w:t xml:space="preserve">AV considered the option that a CHMP is only required for fuel breaks of a certain size, however limiting the definition to fuel breaks which </w:t>
            </w:r>
            <w:r w:rsidRPr="00FB5C8E">
              <w:t xml:space="preserve">require </w:t>
            </w:r>
            <w:r w:rsidRPr="00384B37">
              <w:t>a permit to rem</w:t>
            </w:r>
            <w:r w:rsidRPr="006919D0">
              <w:t>ove native vegetation</w:t>
            </w:r>
            <w:r w:rsidRPr="00490033">
              <w:t xml:space="preserve"> provides the best outcome for heritage while ensuring the Regulations are practical.</w:t>
            </w:r>
            <w:r w:rsidR="00072523">
              <w:t xml:space="preserve"> </w:t>
            </w:r>
            <w:r w:rsidR="00072523" w:rsidRPr="00072523">
              <w:t xml:space="preserve">A </w:t>
            </w:r>
            <w:r w:rsidR="00072523">
              <w:t xml:space="preserve">native vegetation removal </w:t>
            </w:r>
            <w:r w:rsidR="00072523" w:rsidRPr="00072523">
              <w:t>permit is required for any impact, including lopping of limbs, to native vegetation, although some exemptions apply.</w:t>
            </w:r>
          </w:p>
        </w:tc>
      </w:tr>
      <w:tr w:rsidR="00212405" w14:paraId="5EEF72F5" w14:textId="2548786C" w:rsidTr="00C35804">
        <w:trPr>
          <w:cnfStyle w:val="000000100000" w:firstRow="0" w:lastRow="0" w:firstColumn="0" w:lastColumn="0" w:oddVBand="0" w:evenVBand="0" w:oddHBand="1" w:evenHBand="0" w:firstRowFirstColumn="0" w:firstRowLastColumn="0" w:lastRowFirstColumn="0" w:lastRowLastColumn="0"/>
          <w:cantSplit/>
          <w:trHeight w:val="4"/>
        </w:trPr>
        <w:tc>
          <w:tcPr>
            <w:cnfStyle w:val="001000000000" w:firstRow="0" w:lastRow="0" w:firstColumn="1" w:lastColumn="0" w:oddVBand="0" w:evenVBand="0" w:oddHBand="0" w:evenHBand="0" w:firstRowFirstColumn="0" w:firstRowLastColumn="0" w:lastRowFirstColumn="0" w:lastRowLastColumn="0"/>
            <w:tcW w:w="700" w:type="dxa"/>
            <w:shd w:val="clear" w:color="auto" w:fill="auto"/>
            <w:vAlign w:val="center"/>
          </w:tcPr>
          <w:p w14:paraId="49B63EAE" w14:textId="304E8537" w:rsidR="00212405" w:rsidRPr="002F2089" w:rsidRDefault="00212405" w:rsidP="00212405">
            <w:pPr>
              <w:jc w:val="center"/>
            </w:pPr>
            <w:r>
              <w:t>44 (1) (f)</w:t>
            </w:r>
          </w:p>
        </w:tc>
        <w:tc>
          <w:tcPr>
            <w:tcW w:w="1960" w:type="dxa"/>
            <w:shd w:val="clear" w:color="auto" w:fill="auto"/>
            <w:vAlign w:val="center"/>
          </w:tcPr>
          <w:p w14:paraId="6F8F8242" w14:textId="4A181D1C" w:rsidR="00212405" w:rsidRPr="00CA737A" w:rsidRDefault="00212405" w:rsidP="00212405">
            <w:pPr>
              <w:cnfStyle w:val="000000100000" w:firstRow="0" w:lastRow="0" w:firstColumn="0" w:lastColumn="0" w:oddVBand="0" w:evenVBand="0" w:oddHBand="1" w:evenHBand="0" w:firstRowFirstColumn="0" w:firstRowLastColumn="0" w:lastRowFirstColumn="0" w:lastRowLastColumn="0"/>
            </w:pPr>
            <w:r>
              <w:t>Exempt walking and bicycle tracks less than 500 metres long from requiring a CHMP.</w:t>
            </w:r>
          </w:p>
        </w:tc>
        <w:tc>
          <w:tcPr>
            <w:tcW w:w="3260" w:type="dxa"/>
            <w:vAlign w:val="center"/>
          </w:tcPr>
          <w:p w14:paraId="341E935B" w14:textId="39E55001" w:rsidR="00212405" w:rsidRDefault="00212405" w:rsidP="00212405">
            <w:pPr>
              <w:cnfStyle w:val="000000100000" w:firstRow="0" w:lastRow="0" w:firstColumn="0" w:lastColumn="0" w:oddVBand="0" w:evenVBand="0" w:oddHBand="1" w:evenHBand="0" w:firstRowFirstColumn="0" w:firstRowLastColumn="0" w:lastRowFirstColumn="0" w:lastRowLastColumn="0"/>
            </w:pPr>
            <w:r w:rsidRPr="00217A18">
              <w:t>In its submission to the discussion paper for the review of the Regulations, Parks Victoria argued a CHMP should not be required for small walking tracks which are unlikely to cause harm to Aboriginal cultural heritage.</w:t>
            </w:r>
            <w:r>
              <w:t xml:space="preserve"> </w:t>
            </w:r>
            <w:r w:rsidRPr="00490033">
              <w:t>AV determined a similar exemption for small bicycle tracks would be reasonable, and that activities of type do not impact Aboriginal cultural heritage</w:t>
            </w:r>
            <w:r>
              <w:t>.</w:t>
            </w:r>
          </w:p>
        </w:tc>
        <w:tc>
          <w:tcPr>
            <w:tcW w:w="3260" w:type="dxa"/>
            <w:vAlign w:val="center"/>
          </w:tcPr>
          <w:p w14:paraId="329DADB2" w14:textId="2B40C8E4" w:rsidR="00212405" w:rsidRPr="00217A18" w:rsidRDefault="00072523" w:rsidP="00FB5C8E">
            <w:pPr>
              <w:cnfStyle w:val="000000100000" w:firstRow="0" w:lastRow="0" w:firstColumn="0" w:lastColumn="0" w:oddVBand="0" w:evenVBand="0" w:oddHBand="1" w:evenHBand="0" w:firstRowFirstColumn="0" w:firstRowLastColumn="0" w:lastRowFirstColumn="0" w:lastRowLastColumn="0"/>
            </w:pPr>
            <w:r>
              <w:t>This change is b</w:t>
            </w:r>
            <w:r w:rsidR="00212405">
              <w:t>ased on a submission to the discussion paper, to reduce burden for land custodians such as Parks Victoria.</w:t>
            </w:r>
            <w:r>
              <w:t xml:space="preserve"> The 500 metres threshold, proposed by Parks Victoria, is based on exempting smaller-length tracks and is chosen to ensure simplicity for land-users.</w:t>
            </w:r>
            <w:r w:rsidR="00212405">
              <w:t xml:space="preserve"> </w:t>
            </w:r>
          </w:p>
        </w:tc>
      </w:tr>
    </w:tbl>
    <w:p w14:paraId="5A8488E8" w14:textId="77777777" w:rsidR="002F2089" w:rsidRDefault="002F2089" w:rsidP="00165E3C">
      <w:pPr>
        <w:pStyle w:val="PwCNormal"/>
        <w:numPr>
          <w:ilvl w:val="0"/>
          <w:numId w:val="0"/>
        </w:numPr>
        <w:rPr>
          <w:lang w:val="en-US"/>
        </w:rPr>
      </w:pPr>
    </w:p>
    <w:p w14:paraId="724DE224" w14:textId="0DF082E5" w:rsidR="00165E3C" w:rsidRPr="00165E3C" w:rsidRDefault="00165E3C" w:rsidP="00165E3C">
      <w:pPr>
        <w:pStyle w:val="Heading7"/>
        <w:rPr>
          <w:lang w:val="en-US"/>
        </w:rPr>
      </w:pPr>
      <w:bookmarkStart w:id="53" w:name="_Ref507700075"/>
      <w:r>
        <w:rPr>
          <w:lang w:val="en-US"/>
        </w:rPr>
        <w:t>O</w:t>
      </w:r>
      <w:r w:rsidR="006559A6">
        <w:rPr>
          <w:lang w:val="en-US"/>
        </w:rPr>
        <w:t>ption 3</w:t>
      </w:r>
      <w:r>
        <w:rPr>
          <w:lang w:val="en-US"/>
        </w:rPr>
        <w:t xml:space="preserve">: </w:t>
      </w:r>
      <w:r w:rsidR="000B49F1">
        <w:rPr>
          <w:lang w:val="en-US"/>
        </w:rPr>
        <w:t>Re-make the Regulations with updates to the</w:t>
      </w:r>
      <w:r w:rsidR="00E84CCC">
        <w:rPr>
          <w:lang w:val="en-US"/>
        </w:rPr>
        <w:t xml:space="preserve"> standards for CHMP assessments</w:t>
      </w:r>
      <w:bookmarkEnd w:id="53"/>
    </w:p>
    <w:p w14:paraId="13A59E8A" w14:textId="36E79EF5" w:rsidR="00F86DA5" w:rsidRDefault="006559A6" w:rsidP="00C2070A">
      <w:pPr>
        <w:pStyle w:val="PwCNormal"/>
        <w:numPr>
          <w:ilvl w:val="0"/>
          <w:numId w:val="0"/>
        </w:numPr>
        <w:rPr>
          <w:lang w:val="en-US"/>
        </w:rPr>
      </w:pPr>
      <w:r>
        <w:rPr>
          <w:lang w:val="en-US"/>
        </w:rPr>
        <w:t>Option 3</w:t>
      </w:r>
      <w:r w:rsidR="00E84CCC">
        <w:rPr>
          <w:lang w:val="en-US"/>
        </w:rPr>
        <w:t xml:space="preserve"> involves non-regulatory changes to </w:t>
      </w:r>
      <w:r w:rsidR="00AF35EF">
        <w:rPr>
          <w:lang w:val="en-US"/>
        </w:rPr>
        <w:t xml:space="preserve">further clarify </w:t>
      </w:r>
      <w:r w:rsidR="00E84CCC">
        <w:rPr>
          <w:lang w:val="en-US"/>
        </w:rPr>
        <w:t>the standards for CHMP assessments</w:t>
      </w:r>
      <w:r w:rsidR="00AF35EF">
        <w:rPr>
          <w:lang w:val="en-US"/>
        </w:rPr>
        <w:t>. This will involve amendments to various approved forms, practice notes and guides</w:t>
      </w:r>
      <w:r w:rsidR="00E84CCC">
        <w:rPr>
          <w:lang w:val="en-US"/>
        </w:rPr>
        <w:t xml:space="preserve">, as shown in </w:t>
      </w:r>
      <w:r w:rsidR="00E84CCC">
        <w:rPr>
          <w:lang w:val="en-US"/>
        </w:rPr>
        <w:fldChar w:fldCharType="begin"/>
      </w:r>
      <w:r w:rsidR="00E84CCC">
        <w:rPr>
          <w:lang w:val="en-US"/>
        </w:rPr>
        <w:instrText xml:space="preserve"> REF _Ref501387209 \h </w:instrText>
      </w:r>
      <w:r w:rsidR="00E84CCC">
        <w:rPr>
          <w:lang w:val="en-US"/>
        </w:rPr>
      </w:r>
      <w:r w:rsidR="00E84CCC">
        <w:rPr>
          <w:lang w:val="en-US"/>
        </w:rPr>
        <w:fldChar w:fldCharType="separate"/>
      </w:r>
      <w:r w:rsidR="000369A1">
        <w:t xml:space="preserve">Table </w:t>
      </w:r>
      <w:r w:rsidR="000369A1">
        <w:rPr>
          <w:noProof/>
        </w:rPr>
        <w:t>9</w:t>
      </w:r>
      <w:r w:rsidR="00E84CCC">
        <w:rPr>
          <w:lang w:val="en-US"/>
        </w:rPr>
        <w:fldChar w:fldCharType="end"/>
      </w:r>
      <w:r w:rsidR="00E84CCC">
        <w:rPr>
          <w:lang w:val="en-US"/>
        </w:rPr>
        <w:t>.</w:t>
      </w:r>
      <w:r w:rsidR="00F86DA5">
        <w:rPr>
          <w:lang w:val="en-US"/>
        </w:rPr>
        <w:t xml:space="preserve"> The process used by AV to formulate the changes in Option 3 is </w:t>
      </w:r>
      <w:r w:rsidR="00342AF6">
        <w:rPr>
          <w:lang w:val="en-US"/>
        </w:rPr>
        <w:t xml:space="preserve">shown in Section </w:t>
      </w:r>
      <w:r w:rsidR="00342AF6">
        <w:rPr>
          <w:lang w:val="en-US"/>
        </w:rPr>
        <w:fldChar w:fldCharType="begin"/>
      </w:r>
      <w:r w:rsidR="00342AF6">
        <w:rPr>
          <w:lang w:val="en-US"/>
        </w:rPr>
        <w:instrText xml:space="preserve"> REF _Ref507744392 \n \h </w:instrText>
      </w:r>
      <w:r w:rsidR="00342AF6">
        <w:rPr>
          <w:lang w:val="en-US"/>
        </w:rPr>
      </w:r>
      <w:r w:rsidR="00342AF6">
        <w:rPr>
          <w:lang w:val="en-US"/>
        </w:rPr>
        <w:fldChar w:fldCharType="separate"/>
      </w:r>
      <w:r w:rsidR="000369A1">
        <w:rPr>
          <w:lang w:val="en-US"/>
        </w:rPr>
        <w:t>5.1</w:t>
      </w:r>
      <w:r w:rsidR="00342AF6">
        <w:rPr>
          <w:lang w:val="en-US"/>
        </w:rPr>
        <w:fldChar w:fldCharType="end"/>
      </w:r>
      <w:r w:rsidR="00F86DA5">
        <w:rPr>
          <w:lang w:val="en-US"/>
        </w:rPr>
        <w:t>.</w:t>
      </w:r>
    </w:p>
    <w:p w14:paraId="094BD8E7" w14:textId="04239642" w:rsidR="00E84CCC" w:rsidRDefault="00E84CCC" w:rsidP="00E84CCC">
      <w:pPr>
        <w:pStyle w:val="Caption"/>
      </w:pPr>
      <w:bookmarkStart w:id="54" w:name="_Ref501387209"/>
      <w:r>
        <w:t xml:space="preserve">Table </w:t>
      </w:r>
      <w:r w:rsidR="00B47FE6">
        <w:fldChar w:fldCharType="begin"/>
      </w:r>
      <w:r w:rsidR="00B47FE6">
        <w:instrText xml:space="preserve"> SEQ Table \* ARABIC </w:instrText>
      </w:r>
      <w:r w:rsidR="00B47FE6">
        <w:fldChar w:fldCharType="separate"/>
      </w:r>
      <w:r w:rsidR="000369A1">
        <w:rPr>
          <w:noProof/>
        </w:rPr>
        <w:t>9</w:t>
      </w:r>
      <w:r w:rsidR="00B47FE6">
        <w:rPr>
          <w:noProof/>
        </w:rPr>
        <w:fldChar w:fldCharType="end"/>
      </w:r>
      <w:bookmarkEnd w:id="54"/>
      <w:r>
        <w:t>: Changes to CHMP standards</w:t>
      </w:r>
      <w:r w:rsidR="006559A6">
        <w:t xml:space="preserve"> proposed in Option 3</w:t>
      </w:r>
    </w:p>
    <w:tbl>
      <w:tblPr>
        <w:tblStyle w:val="ListTable3-Accent11"/>
        <w:tblW w:w="5000" w:type="pct"/>
        <w:tblBorders>
          <w:insideH w:val="single" w:sz="4" w:space="0" w:color="A32020" w:themeColor="accent1"/>
          <w:insideV w:val="single" w:sz="4" w:space="0" w:color="A32020" w:themeColor="accent1"/>
        </w:tblBorders>
        <w:tblLook w:val="04A0" w:firstRow="1" w:lastRow="0" w:firstColumn="1" w:lastColumn="0" w:noHBand="0" w:noVBand="1"/>
      </w:tblPr>
      <w:tblGrid>
        <w:gridCol w:w="1320"/>
        <w:gridCol w:w="1446"/>
        <w:gridCol w:w="1822"/>
        <w:gridCol w:w="1927"/>
        <w:gridCol w:w="1922"/>
      </w:tblGrid>
      <w:tr w:rsidR="00072523" w14:paraId="540EC359" w14:textId="719D354A" w:rsidTr="00C35804">
        <w:trPr>
          <w:cnfStyle w:val="100000000000" w:firstRow="1" w:lastRow="0" w:firstColumn="0" w:lastColumn="0" w:oddVBand="0" w:evenVBand="0" w:oddHBand="0" w:evenHBand="0" w:firstRowFirstColumn="0" w:firstRowLastColumn="0" w:lastRowFirstColumn="0" w:lastRowLastColumn="0"/>
          <w:cantSplit/>
          <w:trHeight w:val="141"/>
          <w:tblHeader/>
        </w:trPr>
        <w:tc>
          <w:tcPr>
            <w:cnfStyle w:val="001000000100" w:firstRow="0" w:lastRow="0" w:firstColumn="1" w:lastColumn="0" w:oddVBand="0" w:evenVBand="0" w:oddHBand="0" w:evenHBand="0" w:firstRowFirstColumn="1" w:firstRowLastColumn="0" w:lastRowFirstColumn="0" w:lastRowLastColumn="0"/>
            <w:tcW w:w="782" w:type="pct"/>
            <w:vAlign w:val="center"/>
          </w:tcPr>
          <w:p w14:paraId="3DCCD502" w14:textId="77777777" w:rsidR="00072523" w:rsidRPr="0038449D" w:rsidRDefault="00072523" w:rsidP="0038449D">
            <w:pPr>
              <w:jc w:val="center"/>
            </w:pPr>
            <w:r w:rsidRPr="0038449D">
              <w:t>Where</w:t>
            </w:r>
          </w:p>
        </w:tc>
        <w:tc>
          <w:tcPr>
            <w:tcW w:w="857" w:type="pct"/>
            <w:vAlign w:val="center"/>
          </w:tcPr>
          <w:p w14:paraId="76148551" w14:textId="1BD67F03" w:rsidR="00072523" w:rsidRPr="0038449D" w:rsidRDefault="00D63DFB" w:rsidP="0038449D">
            <w:pPr>
              <w:jc w:val="center"/>
              <w:cnfStyle w:val="100000000000" w:firstRow="1" w:lastRow="0" w:firstColumn="0" w:lastColumn="0" w:oddVBand="0" w:evenVBand="0" w:oddHBand="0" w:evenHBand="0" w:firstRowFirstColumn="0" w:firstRowLastColumn="0" w:lastRowFirstColumn="0" w:lastRowLastColumn="0"/>
            </w:pPr>
            <w:r w:rsidRPr="00D63DFB">
              <w:t>Regulation, Part or Schedule number</w:t>
            </w:r>
          </w:p>
        </w:tc>
        <w:tc>
          <w:tcPr>
            <w:tcW w:w="1080" w:type="pct"/>
            <w:vAlign w:val="center"/>
          </w:tcPr>
          <w:p w14:paraId="0C4B5B3B" w14:textId="77777777" w:rsidR="00072523" w:rsidRDefault="00072523" w:rsidP="0038449D">
            <w:pPr>
              <w:cnfStyle w:val="100000000000" w:firstRow="1" w:lastRow="0" w:firstColumn="0" w:lastColumn="0" w:oddVBand="0" w:evenVBand="0" w:oddHBand="0" w:evenHBand="0" w:firstRowFirstColumn="0" w:firstRowLastColumn="0" w:lastRowFirstColumn="0" w:lastRowLastColumn="0"/>
            </w:pPr>
            <w:r>
              <w:t>Description of change</w:t>
            </w:r>
          </w:p>
        </w:tc>
        <w:tc>
          <w:tcPr>
            <w:tcW w:w="1142" w:type="pct"/>
            <w:vAlign w:val="center"/>
          </w:tcPr>
          <w:p w14:paraId="2F7FBE87" w14:textId="2DEA435A" w:rsidR="00072523" w:rsidRDefault="00072523">
            <w:pPr>
              <w:cnfStyle w:val="100000000000" w:firstRow="1" w:lastRow="0" w:firstColumn="0" w:lastColumn="0" w:oddVBand="0" w:evenVBand="0" w:oddHBand="0" w:evenHBand="0" w:firstRowFirstColumn="0" w:firstRowLastColumn="0" w:lastRowFirstColumn="0" w:lastRowLastColumn="0"/>
            </w:pPr>
            <w:r>
              <w:t>Rationale</w:t>
            </w:r>
            <w:r>
              <w:rPr>
                <w:rStyle w:val="FootnoteReference"/>
              </w:rPr>
              <w:footnoteReference w:id="50"/>
            </w:r>
          </w:p>
        </w:tc>
        <w:tc>
          <w:tcPr>
            <w:tcW w:w="1140" w:type="pct"/>
            <w:vAlign w:val="center"/>
          </w:tcPr>
          <w:p w14:paraId="3712492D" w14:textId="44113C6D" w:rsidR="00072523" w:rsidRDefault="00CB64B5" w:rsidP="006919D0">
            <w:pPr>
              <w:cnfStyle w:val="100000000000" w:firstRow="1" w:lastRow="0" w:firstColumn="0" w:lastColumn="0" w:oddVBand="0" w:evenVBand="0" w:oddHBand="0" w:evenHBand="0" w:firstRowFirstColumn="0" w:firstRowLastColumn="0" w:lastRowFirstColumn="0" w:lastRowLastColumn="0"/>
            </w:pPr>
            <w:r>
              <w:t>Decision-making process</w:t>
            </w:r>
          </w:p>
        </w:tc>
      </w:tr>
      <w:tr w:rsidR="00072523" w14:paraId="58DC70D4" w14:textId="538E0F66" w:rsidTr="00C35804">
        <w:trPr>
          <w:cnfStyle w:val="000000100000" w:firstRow="0" w:lastRow="0" w:firstColumn="0" w:lastColumn="0" w:oddVBand="0" w:evenVBand="0" w:oddHBand="1" w:evenHBand="0" w:firstRowFirstColumn="0" w:firstRowLastColumn="0" w:lastRowFirstColumn="0" w:lastRowLastColumn="0"/>
          <w:cantSplit/>
          <w:trHeight w:val="428"/>
        </w:trPr>
        <w:tc>
          <w:tcPr>
            <w:cnfStyle w:val="001000000000" w:firstRow="0" w:lastRow="0" w:firstColumn="1" w:lastColumn="0" w:oddVBand="0" w:evenVBand="0" w:oddHBand="0" w:evenHBand="0" w:firstRowFirstColumn="0" w:firstRowLastColumn="0" w:lastRowFirstColumn="0" w:lastRowLastColumn="0"/>
            <w:tcW w:w="782" w:type="pct"/>
            <w:shd w:val="clear" w:color="auto" w:fill="auto"/>
            <w:vAlign w:val="center"/>
          </w:tcPr>
          <w:p w14:paraId="55691602" w14:textId="0E4EDD5E" w:rsidR="00072523" w:rsidRPr="0038449D" w:rsidRDefault="00072523" w:rsidP="0038449D">
            <w:pPr>
              <w:jc w:val="center"/>
            </w:pPr>
            <w:r>
              <w:t>Approved forms, practice notes and guide to preparing a CHMP</w:t>
            </w:r>
          </w:p>
        </w:tc>
        <w:tc>
          <w:tcPr>
            <w:tcW w:w="857" w:type="pct"/>
            <w:vAlign w:val="center"/>
          </w:tcPr>
          <w:p w14:paraId="3B7E1B0D" w14:textId="028F1D1E" w:rsidR="00072523" w:rsidRPr="0038449D" w:rsidRDefault="00072523" w:rsidP="0038449D">
            <w:pPr>
              <w:tabs>
                <w:tab w:val="left" w:pos="8609"/>
              </w:tabs>
              <w:jc w:val="center"/>
              <w:cnfStyle w:val="000000100000" w:firstRow="0" w:lastRow="0" w:firstColumn="0" w:lastColumn="0" w:oddVBand="0" w:evenVBand="0" w:oddHBand="1" w:evenHBand="0" w:firstRowFirstColumn="0" w:firstRowLastColumn="0" w:lastRowFirstColumn="0" w:lastRowLastColumn="0"/>
              <w:rPr>
                <w:b/>
              </w:rPr>
            </w:pPr>
            <w:r>
              <w:rPr>
                <w:b/>
              </w:rPr>
              <w:t>Part 3</w:t>
            </w:r>
          </w:p>
        </w:tc>
        <w:tc>
          <w:tcPr>
            <w:tcW w:w="1080" w:type="pct"/>
            <w:vAlign w:val="center"/>
          </w:tcPr>
          <w:p w14:paraId="6FE090C5" w14:textId="475CC3B1" w:rsidR="00072523" w:rsidRDefault="00072523" w:rsidP="001858DD">
            <w:pPr>
              <w:tabs>
                <w:tab w:val="left" w:pos="8609"/>
              </w:tabs>
              <w:cnfStyle w:val="000000100000" w:firstRow="0" w:lastRow="0" w:firstColumn="0" w:lastColumn="0" w:oddVBand="0" w:evenVBand="0" w:oddHBand="1" w:evenHBand="0" w:firstRowFirstColumn="0" w:firstRowLastColumn="0" w:lastRowFirstColumn="0" w:lastRowLastColumn="0"/>
            </w:pPr>
            <w:r>
              <w:t>Amend practice notes and guides to provide greater clarity to ensure that the information included in the desktop assessment explains what the information may mean for the likelihood of Aboriginal cultural heritage in the activity area.</w:t>
            </w:r>
          </w:p>
        </w:tc>
        <w:tc>
          <w:tcPr>
            <w:tcW w:w="1142" w:type="pct"/>
            <w:vAlign w:val="center"/>
          </w:tcPr>
          <w:p w14:paraId="3AFF6A4F" w14:textId="6C9B4676" w:rsidR="00072523" w:rsidRDefault="00AF295E" w:rsidP="00BD672E">
            <w:pPr>
              <w:tabs>
                <w:tab w:val="left" w:pos="8609"/>
              </w:tabs>
              <w:cnfStyle w:val="000000100000" w:firstRow="0" w:lastRow="0" w:firstColumn="0" w:lastColumn="0" w:oddVBand="0" w:evenVBand="0" w:oddHBand="1" w:evenHBand="0" w:firstRowFirstColumn="0" w:firstRowLastColumn="0" w:lastRowFirstColumn="0" w:lastRowLastColumn="0"/>
            </w:pPr>
            <w:r>
              <w:t>A</w:t>
            </w:r>
            <w:r w:rsidR="00072523" w:rsidRPr="00E065B7">
              <w:t xml:space="preserve"> submission to the discussion paper for the review of the Regulations queried the relevance of information detailed in some desktop assessments</w:t>
            </w:r>
            <w:r w:rsidR="00384467">
              <w:t xml:space="preserve"> </w:t>
            </w:r>
            <w:r w:rsidR="00BD672E">
              <w:t xml:space="preserve">in determining </w:t>
            </w:r>
            <w:r w:rsidR="00384467">
              <w:t>likelihood of finding Aboriginal cultural heritage in the activity area</w:t>
            </w:r>
            <w:r w:rsidR="00072523" w:rsidRPr="00E065B7">
              <w:t>.</w:t>
            </w:r>
          </w:p>
        </w:tc>
        <w:tc>
          <w:tcPr>
            <w:tcW w:w="1140" w:type="pct"/>
            <w:vAlign w:val="center"/>
          </w:tcPr>
          <w:p w14:paraId="0BF1A3E9" w14:textId="390C7751" w:rsidR="00072523" w:rsidRPr="00E065B7" w:rsidRDefault="00072523" w:rsidP="00627925">
            <w:pPr>
              <w:tabs>
                <w:tab w:val="left" w:pos="8609"/>
              </w:tabs>
              <w:cnfStyle w:val="000000100000" w:firstRow="0" w:lastRow="0" w:firstColumn="0" w:lastColumn="0" w:oddVBand="0" w:evenVBand="0" w:oddHBand="1" w:evenHBand="0" w:firstRowFirstColumn="0" w:firstRowLastColumn="0" w:lastRowFirstColumn="0" w:lastRowLastColumn="0"/>
            </w:pPr>
            <w:r w:rsidRPr="00072523">
              <w:t xml:space="preserve">The prescribed form for content of a CHMP is appropriately limited, with more detailed requirements presented in the approved form. AV considered </w:t>
            </w:r>
            <w:r w:rsidR="00384467">
              <w:t>that updating</w:t>
            </w:r>
            <w:r w:rsidRPr="00072523">
              <w:t xml:space="preserve"> the content of the approved form and guide </w:t>
            </w:r>
            <w:r w:rsidR="00BD672E">
              <w:t>to</w:t>
            </w:r>
            <w:r w:rsidRPr="00072523">
              <w:t xml:space="preserve"> preparing a CHMP, would best address th</w:t>
            </w:r>
            <w:r w:rsidR="00BD672E">
              <w:t>is</w:t>
            </w:r>
            <w:r w:rsidRPr="00072523">
              <w:t xml:space="preserve"> concern.</w:t>
            </w:r>
          </w:p>
        </w:tc>
      </w:tr>
      <w:tr w:rsidR="00072523" w14:paraId="0759A12F" w14:textId="5029CBAE" w:rsidTr="00C35804">
        <w:trPr>
          <w:cantSplit/>
          <w:trHeight w:val="428"/>
        </w:trPr>
        <w:tc>
          <w:tcPr>
            <w:cnfStyle w:val="001000000000" w:firstRow="0" w:lastRow="0" w:firstColumn="1" w:lastColumn="0" w:oddVBand="0" w:evenVBand="0" w:oddHBand="0" w:evenHBand="0" w:firstRowFirstColumn="0" w:firstRowLastColumn="0" w:lastRowFirstColumn="0" w:lastRowLastColumn="0"/>
            <w:tcW w:w="782" w:type="pct"/>
            <w:shd w:val="clear" w:color="auto" w:fill="auto"/>
            <w:vAlign w:val="center"/>
          </w:tcPr>
          <w:p w14:paraId="1BE167F5" w14:textId="1AE0DAB7" w:rsidR="00072523" w:rsidRPr="0038449D" w:rsidRDefault="00072523" w:rsidP="0038449D">
            <w:pPr>
              <w:jc w:val="center"/>
            </w:pPr>
            <w:r>
              <w:t>Guide to preparing a CHMP</w:t>
            </w:r>
          </w:p>
        </w:tc>
        <w:tc>
          <w:tcPr>
            <w:tcW w:w="857" w:type="pct"/>
            <w:vAlign w:val="center"/>
          </w:tcPr>
          <w:p w14:paraId="315DEDE8" w14:textId="3F3370D4" w:rsidR="00072523" w:rsidRPr="0038449D" w:rsidRDefault="00072523" w:rsidP="0038449D">
            <w:pPr>
              <w:jc w:val="center"/>
              <w:cnfStyle w:val="000000000000" w:firstRow="0" w:lastRow="0" w:firstColumn="0" w:lastColumn="0" w:oddVBand="0" w:evenVBand="0" w:oddHBand="0" w:evenHBand="0" w:firstRowFirstColumn="0" w:firstRowLastColumn="0" w:lastRowFirstColumn="0" w:lastRowLastColumn="0"/>
              <w:rPr>
                <w:b/>
              </w:rPr>
            </w:pPr>
            <w:r>
              <w:rPr>
                <w:b/>
              </w:rPr>
              <w:t>Part 3</w:t>
            </w:r>
          </w:p>
        </w:tc>
        <w:tc>
          <w:tcPr>
            <w:tcW w:w="1080" w:type="pct"/>
            <w:vAlign w:val="center"/>
          </w:tcPr>
          <w:p w14:paraId="7B7CB731" w14:textId="337C4065" w:rsidR="00072523" w:rsidRDefault="00376F53" w:rsidP="00FB5C8E">
            <w:pPr>
              <w:cnfStyle w:val="000000000000" w:firstRow="0" w:lastRow="0" w:firstColumn="0" w:lastColumn="0" w:oddVBand="0" w:evenVBand="0" w:oddHBand="0" w:evenHBand="0" w:firstRowFirstColumn="0" w:firstRowLastColumn="0" w:lastRowFirstColumn="0" w:lastRowLastColumn="0"/>
            </w:pPr>
            <w:r>
              <w:t>Amend the CHMP guide to p</w:t>
            </w:r>
            <w:r w:rsidR="00072523">
              <w:t>rovide greater clarity around when a CHMP should progress to the next tier of assessment (from a desktop to a standard assessment, or from a standard assessment to a complex assessment)</w:t>
            </w:r>
          </w:p>
        </w:tc>
        <w:tc>
          <w:tcPr>
            <w:tcW w:w="1142" w:type="pct"/>
            <w:vAlign w:val="center"/>
          </w:tcPr>
          <w:p w14:paraId="1778A4A2" w14:textId="2E4A3FC2" w:rsidR="00072523" w:rsidDel="008F58BC" w:rsidRDefault="00072523" w:rsidP="00BD672E">
            <w:pPr>
              <w:cnfStyle w:val="000000000000" w:firstRow="0" w:lastRow="0" w:firstColumn="0" w:lastColumn="0" w:oddVBand="0" w:evenVBand="0" w:oddHBand="0" w:evenHBand="0" w:firstRowFirstColumn="0" w:firstRowLastColumn="0" w:lastRowFirstColumn="0" w:lastRowLastColumn="0"/>
            </w:pPr>
            <w:r w:rsidRPr="00E065B7">
              <w:t>In submission</w:t>
            </w:r>
            <w:r w:rsidR="00BD672E">
              <w:t>s</w:t>
            </w:r>
            <w:r w:rsidRPr="00E065B7">
              <w:t xml:space="preserve"> to the discussion paper for the review of the Regulations, </w:t>
            </w:r>
            <w:r>
              <w:t xml:space="preserve">key stakeholders </w:t>
            </w:r>
            <w:r w:rsidRPr="00E065B7">
              <w:t>noted inconsistencies</w:t>
            </w:r>
            <w:r w:rsidR="00BD672E">
              <w:t xml:space="preserve"> in advice from heritage advisors</w:t>
            </w:r>
            <w:r w:rsidRPr="00E065B7">
              <w:t xml:space="preserve"> </w:t>
            </w:r>
            <w:r w:rsidR="006919D0">
              <w:t xml:space="preserve">when a CHMP should progress through assessment tiers </w:t>
            </w:r>
            <w:r w:rsidRPr="00E065B7">
              <w:t xml:space="preserve">in the interpretation of Regulation 60, </w:t>
            </w:r>
            <w:r w:rsidR="006919D0">
              <w:t>particularly</w:t>
            </w:r>
            <w:r w:rsidR="006919D0" w:rsidRPr="00E065B7">
              <w:t xml:space="preserve"> </w:t>
            </w:r>
            <w:r w:rsidRPr="00E065B7">
              <w:t>when a standard assessment should progress to a complex assessment.</w:t>
            </w:r>
          </w:p>
        </w:tc>
        <w:tc>
          <w:tcPr>
            <w:tcW w:w="1140" w:type="pct"/>
            <w:vAlign w:val="center"/>
          </w:tcPr>
          <w:p w14:paraId="6E77A83A" w14:textId="3761F34B" w:rsidR="00072523" w:rsidRPr="00E065B7" w:rsidRDefault="00072523" w:rsidP="00BD672E">
            <w:pPr>
              <w:cnfStyle w:val="000000000000" w:firstRow="0" w:lastRow="0" w:firstColumn="0" w:lastColumn="0" w:oddVBand="0" w:evenVBand="0" w:oddHBand="0" w:evenHBand="0" w:firstRowFirstColumn="0" w:firstRowLastColumn="0" w:lastRowFirstColumn="0" w:lastRowLastColumn="0"/>
            </w:pPr>
            <w:r w:rsidRPr="00072523">
              <w:t>AV investigated the prescribed form for the content of a CHMP and determined the thresholds for progressing through assessme</w:t>
            </w:r>
            <w:r w:rsidR="006919D0">
              <w:t xml:space="preserve">nts was clear and appropriate. </w:t>
            </w:r>
            <w:r w:rsidRPr="00072523">
              <w:t xml:space="preserve">AV therefore determined improvements to </w:t>
            </w:r>
            <w:r w:rsidR="00BD672E">
              <w:t xml:space="preserve">the </w:t>
            </w:r>
            <w:r w:rsidRPr="00072523">
              <w:t>guide</w:t>
            </w:r>
            <w:r w:rsidR="00BD672E">
              <w:t xml:space="preserve"> to preparing a CHMP</w:t>
            </w:r>
            <w:r w:rsidRPr="00072523">
              <w:t xml:space="preserve"> would provide greater clarity as to the expected considerations in deciding to progress to a higher assessment.</w:t>
            </w:r>
          </w:p>
        </w:tc>
      </w:tr>
      <w:tr w:rsidR="00072523" w14:paraId="18476B05" w14:textId="7F7DA6FD" w:rsidTr="00C35804">
        <w:trPr>
          <w:cnfStyle w:val="000000100000" w:firstRow="0" w:lastRow="0" w:firstColumn="0" w:lastColumn="0" w:oddVBand="0" w:evenVBand="0" w:oddHBand="1" w:evenHBand="0" w:firstRowFirstColumn="0" w:firstRowLastColumn="0" w:lastRowFirstColumn="0" w:lastRowLastColumn="0"/>
          <w:cantSplit/>
          <w:trHeight w:val="428"/>
        </w:trPr>
        <w:tc>
          <w:tcPr>
            <w:cnfStyle w:val="001000000000" w:firstRow="0" w:lastRow="0" w:firstColumn="1" w:lastColumn="0" w:oddVBand="0" w:evenVBand="0" w:oddHBand="0" w:evenHBand="0" w:firstRowFirstColumn="0" w:firstRowLastColumn="0" w:lastRowFirstColumn="0" w:lastRowLastColumn="0"/>
            <w:tcW w:w="782" w:type="pct"/>
            <w:shd w:val="clear" w:color="auto" w:fill="auto"/>
            <w:vAlign w:val="center"/>
          </w:tcPr>
          <w:p w14:paraId="1489375B" w14:textId="20B9F5F5" w:rsidR="00072523" w:rsidRPr="0038449D" w:rsidRDefault="00072523" w:rsidP="0038449D">
            <w:pPr>
              <w:jc w:val="center"/>
            </w:pPr>
            <w:r>
              <w:t>Guide to preparing a CHMP</w:t>
            </w:r>
          </w:p>
        </w:tc>
        <w:tc>
          <w:tcPr>
            <w:tcW w:w="857" w:type="pct"/>
            <w:vAlign w:val="center"/>
          </w:tcPr>
          <w:p w14:paraId="6F1D6922" w14:textId="191D828F" w:rsidR="00072523" w:rsidRPr="0038449D" w:rsidRDefault="00072523" w:rsidP="00FB5C8E">
            <w:pPr>
              <w:jc w:val="center"/>
              <w:cnfStyle w:val="000000100000" w:firstRow="0" w:lastRow="0" w:firstColumn="0" w:lastColumn="0" w:oddVBand="0" w:evenVBand="0" w:oddHBand="1" w:evenHBand="0" w:firstRowFirstColumn="0" w:firstRowLastColumn="0" w:lastRowFirstColumn="0" w:lastRowLastColumn="0"/>
              <w:rPr>
                <w:b/>
              </w:rPr>
            </w:pPr>
            <w:r w:rsidRPr="0038449D">
              <w:rPr>
                <w:b/>
              </w:rPr>
              <w:t>Sch</w:t>
            </w:r>
            <w:r>
              <w:rPr>
                <w:b/>
              </w:rPr>
              <w:t>.</w:t>
            </w:r>
            <w:r w:rsidRPr="0038449D">
              <w:rPr>
                <w:b/>
              </w:rPr>
              <w:t xml:space="preserve"> 2</w:t>
            </w:r>
          </w:p>
        </w:tc>
        <w:tc>
          <w:tcPr>
            <w:tcW w:w="1080" w:type="pct"/>
            <w:vAlign w:val="center"/>
          </w:tcPr>
          <w:p w14:paraId="56573DB4" w14:textId="1C267787" w:rsidR="00072523" w:rsidRPr="002F2089" w:rsidRDefault="00072523" w:rsidP="008F58BC">
            <w:pPr>
              <w:cnfStyle w:val="000000100000" w:firstRow="0" w:lastRow="0" w:firstColumn="0" w:lastColumn="0" w:oddVBand="0" w:evenVBand="0" w:oddHBand="1" w:evenHBand="0" w:firstRowFirstColumn="0" w:firstRowLastColumn="0" w:lastRowFirstColumn="0" w:lastRowLastColumn="0"/>
            </w:pPr>
            <w:r>
              <w:t>Provide greater clarity</w:t>
            </w:r>
            <w:r w:rsidR="00376F53">
              <w:t xml:space="preserve"> in the CHMP guide</w:t>
            </w:r>
            <w:r>
              <w:t xml:space="preserve"> as to what the cumulative impacts statement should include. </w:t>
            </w:r>
            <w:r w:rsidRPr="00072523">
              <w:t>This will be detailed in the guide to preparing a CHMP, and will include reasoning behind its inclusion in the approved form, and examples of what</w:t>
            </w:r>
            <w:r>
              <w:t xml:space="preserve"> is required.</w:t>
            </w:r>
          </w:p>
        </w:tc>
        <w:tc>
          <w:tcPr>
            <w:tcW w:w="1142" w:type="pct"/>
            <w:vAlign w:val="center"/>
          </w:tcPr>
          <w:p w14:paraId="53705026" w14:textId="0AC425C7" w:rsidR="00072523" w:rsidRDefault="00BD672E">
            <w:pPr>
              <w:cnfStyle w:val="000000100000" w:firstRow="0" w:lastRow="0" w:firstColumn="0" w:lastColumn="0" w:oddVBand="0" w:evenVBand="0" w:oddHBand="1" w:evenHBand="0" w:firstRowFirstColumn="0" w:firstRowLastColumn="0" w:lastRowFirstColumn="0" w:lastRowLastColumn="0"/>
            </w:pPr>
            <w:r>
              <w:t>Key stakeholders</w:t>
            </w:r>
            <w:r w:rsidR="00072523" w:rsidRPr="00E065B7">
              <w:t xml:space="preserve"> requested greater clarity regarding the cumulative impacts statement which must form part of a CHMP</w:t>
            </w:r>
            <w:r w:rsidR="00072523">
              <w:t xml:space="preserve">. </w:t>
            </w:r>
            <w:r w:rsidR="00072523" w:rsidRPr="001D3043">
              <w:t>The requirement for a cumulative impact statement in the CHMP was introduced in 2016</w:t>
            </w:r>
            <w:r w:rsidR="00072523">
              <w:t>.</w:t>
            </w:r>
          </w:p>
        </w:tc>
        <w:tc>
          <w:tcPr>
            <w:tcW w:w="1140" w:type="pct"/>
            <w:vAlign w:val="center"/>
          </w:tcPr>
          <w:p w14:paraId="127C23BC" w14:textId="6D26BC60" w:rsidR="00072523" w:rsidRPr="00E065B7" w:rsidRDefault="00072523" w:rsidP="00D12AE0">
            <w:pPr>
              <w:cnfStyle w:val="000000100000" w:firstRow="0" w:lastRow="0" w:firstColumn="0" w:lastColumn="0" w:oddVBand="0" w:evenVBand="0" w:oddHBand="1" w:evenHBand="0" w:firstRowFirstColumn="0" w:firstRowLastColumn="0" w:lastRowFirstColumn="0" w:lastRowLastColumn="0"/>
            </w:pPr>
            <w:r w:rsidRPr="00072523">
              <w:t xml:space="preserve">AV determined the guide to preparing a CHMP is the most appropriate resource for outlining the expected considerations in developing the cumulative impacts statement, allowing more detailed explanation, and examples, </w:t>
            </w:r>
            <w:r>
              <w:t>than could be presented in the S</w:t>
            </w:r>
            <w:r w:rsidRPr="00072523">
              <w:t>chedules of the Regulations.</w:t>
            </w:r>
          </w:p>
        </w:tc>
      </w:tr>
      <w:tr w:rsidR="00072523" w14:paraId="714B260D" w14:textId="3F73A575" w:rsidTr="00C35804">
        <w:trPr>
          <w:cantSplit/>
          <w:trHeight w:val="428"/>
        </w:trPr>
        <w:tc>
          <w:tcPr>
            <w:cnfStyle w:val="001000000000" w:firstRow="0" w:lastRow="0" w:firstColumn="1" w:lastColumn="0" w:oddVBand="0" w:evenVBand="0" w:oddHBand="0" w:evenHBand="0" w:firstRowFirstColumn="0" w:firstRowLastColumn="0" w:lastRowFirstColumn="0" w:lastRowLastColumn="0"/>
            <w:tcW w:w="782" w:type="pct"/>
            <w:shd w:val="clear" w:color="auto" w:fill="auto"/>
            <w:vAlign w:val="center"/>
          </w:tcPr>
          <w:p w14:paraId="06E169AC" w14:textId="21E9EB75" w:rsidR="00072523" w:rsidRPr="0038449D" w:rsidRDefault="00072523" w:rsidP="0038449D">
            <w:pPr>
              <w:jc w:val="center"/>
            </w:pPr>
            <w:r>
              <w:t>Guide to preparing a CHMP</w:t>
            </w:r>
          </w:p>
        </w:tc>
        <w:tc>
          <w:tcPr>
            <w:tcW w:w="857" w:type="pct"/>
            <w:vAlign w:val="center"/>
          </w:tcPr>
          <w:p w14:paraId="109FB092" w14:textId="25FAA8C5" w:rsidR="00072523" w:rsidRPr="0038449D" w:rsidRDefault="00072523" w:rsidP="00FB5C8E">
            <w:pPr>
              <w:jc w:val="center"/>
              <w:cnfStyle w:val="000000000000" w:firstRow="0" w:lastRow="0" w:firstColumn="0" w:lastColumn="0" w:oddVBand="0" w:evenVBand="0" w:oddHBand="0" w:evenHBand="0" w:firstRowFirstColumn="0" w:firstRowLastColumn="0" w:lastRowFirstColumn="0" w:lastRowLastColumn="0"/>
              <w:rPr>
                <w:b/>
              </w:rPr>
            </w:pPr>
            <w:r w:rsidRPr="0038449D">
              <w:rPr>
                <w:b/>
              </w:rPr>
              <w:t>Sch</w:t>
            </w:r>
            <w:r>
              <w:rPr>
                <w:b/>
              </w:rPr>
              <w:t>.</w:t>
            </w:r>
            <w:r w:rsidRPr="0038449D">
              <w:rPr>
                <w:b/>
              </w:rPr>
              <w:t xml:space="preserve"> 2</w:t>
            </w:r>
          </w:p>
        </w:tc>
        <w:tc>
          <w:tcPr>
            <w:tcW w:w="1080" w:type="pct"/>
            <w:vAlign w:val="center"/>
          </w:tcPr>
          <w:p w14:paraId="594596A5" w14:textId="3C3F9E02" w:rsidR="00072523" w:rsidRPr="002F2089" w:rsidRDefault="00072523" w:rsidP="00FF07E8">
            <w:pPr>
              <w:cnfStyle w:val="000000000000" w:firstRow="0" w:lastRow="0" w:firstColumn="0" w:lastColumn="0" w:oddVBand="0" w:evenVBand="0" w:oddHBand="0" w:evenHBand="0" w:firstRowFirstColumn="0" w:firstRowLastColumn="0" w:lastRowFirstColumn="0" w:lastRowLastColumn="0"/>
            </w:pPr>
            <w:r>
              <w:t xml:space="preserve">Provide greater clarity </w:t>
            </w:r>
            <w:r w:rsidR="00376F53">
              <w:t xml:space="preserve">in the CHMP guide </w:t>
            </w:r>
            <w:r>
              <w:t xml:space="preserve">to ensure that management conditions are not inconsistent with the conclusions of the assessment. </w:t>
            </w:r>
            <w:r w:rsidRPr="00072523">
              <w:t>Justification of management conditions using the conclusions of the assessment will result in more relevant management conditions and potentially a reduction in management costs in some instances.</w:t>
            </w:r>
          </w:p>
        </w:tc>
        <w:tc>
          <w:tcPr>
            <w:tcW w:w="1142" w:type="pct"/>
            <w:vAlign w:val="center"/>
          </w:tcPr>
          <w:p w14:paraId="4E4D2B6D" w14:textId="52BCF561" w:rsidR="00072523" w:rsidRDefault="00394108" w:rsidP="005D1DF1">
            <w:pPr>
              <w:cnfStyle w:val="000000000000" w:firstRow="0" w:lastRow="0" w:firstColumn="0" w:lastColumn="0" w:oddVBand="0" w:evenVBand="0" w:oddHBand="0" w:evenHBand="0" w:firstRowFirstColumn="0" w:firstRowLastColumn="0" w:lastRowFirstColumn="0" w:lastRowLastColumn="0"/>
            </w:pPr>
            <w:r w:rsidRPr="00394108">
              <w:t>In submissions to the discussion paper for the review of the Regulations, key stakeholders noted management conditions can sometimes appear inconsistent (ie the rationale was not clear) with the results of the assessment.</w:t>
            </w:r>
          </w:p>
        </w:tc>
        <w:tc>
          <w:tcPr>
            <w:tcW w:w="1140" w:type="pct"/>
            <w:vAlign w:val="center"/>
          </w:tcPr>
          <w:p w14:paraId="529F6241" w14:textId="523A15D5" w:rsidR="00072523" w:rsidRPr="00E065B7" w:rsidRDefault="00072523" w:rsidP="00D12AE0">
            <w:pPr>
              <w:cnfStyle w:val="000000000000" w:firstRow="0" w:lastRow="0" w:firstColumn="0" w:lastColumn="0" w:oddVBand="0" w:evenVBand="0" w:oddHBand="0" w:evenHBand="0" w:firstRowFirstColumn="0" w:firstRowLastColumn="0" w:lastRowFirstColumn="0" w:lastRowLastColumn="0"/>
            </w:pPr>
            <w:r w:rsidRPr="00072523">
              <w:t>Management conditions in a CHMP should account for the unique impacts to heritage proposed by the activity. In making its decision, the approval body must consider whether the management conditions are appropriate to the impact. AV will provide greater clarity in the guide to preparing a CHMP regarding how management conditions should be justified using the conclusions of the CHMP, and that this justification should be detailed in the CHMP.</w:t>
            </w:r>
          </w:p>
        </w:tc>
      </w:tr>
    </w:tbl>
    <w:p w14:paraId="4F1C1F58" w14:textId="77777777" w:rsidR="00C2070A" w:rsidRDefault="00C2070A">
      <w:pPr>
        <w:kinsoku/>
        <w:overflowPunct/>
        <w:autoSpaceDE/>
        <w:autoSpaceDN/>
        <w:adjustRightInd/>
        <w:snapToGrid/>
        <w:rPr>
          <w:lang w:val="en-US"/>
        </w:rPr>
      </w:pPr>
      <w:r>
        <w:rPr>
          <w:lang w:val="en-US"/>
        </w:rPr>
        <w:br w:type="page"/>
      </w:r>
    </w:p>
    <w:p w14:paraId="04EB61A4" w14:textId="77777777" w:rsidR="00C2070A" w:rsidRDefault="00C2070A" w:rsidP="00C2070A">
      <w:pPr>
        <w:pStyle w:val="Heading2"/>
        <w:rPr>
          <w:lang w:val="en-US"/>
        </w:rPr>
      </w:pPr>
      <w:bookmarkStart w:id="55" w:name="_Toc507761453"/>
      <w:r>
        <w:rPr>
          <w:lang w:val="en-US"/>
        </w:rPr>
        <w:t>Analysis</w:t>
      </w:r>
      <w:bookmarkEnd w:id="55"/>
    </w:p>
    <w:p w14:paraId="0430AC02" w14:textId="5235D6FD" w:rsidR="00B66ADE" w:rsidRPr="00AB10CA" w:rsidRDefault="00B66ADE" w:rsidP="00AB10CA">
      <w:pPr>
        <w:pStyle w:val="PwCNormal"/>
        <w:rPr>
          <w:lang w:val="en-US"/>
        </w:rPr>
      </w:pPr>
      <w:r w:rsidRPr="00AB10CA">
        <w:rPr>
          <w:lang w:val="en-US"/>
        </w:rPr>
        <w:t>This chapter looks at the costs and benefits of the options discussed in the previous chapter.</w:t>
      </w:r>
      <w:r w:rsidR="00AB10CA">
        <w:rPr>
          <w:lang w:val="en-US"/>
        </w:rPr>
        <w:t xml:space="preserve"> </w:t>
      </w:r>
      <w:r w:rsidRPr="00AB10CA">
        <w:rPr>
          <w:lang w:val="en-US"/>
        </w:rPr>
        <w:t>The costs and benefits of each option are calculated in comparison to the no regulation</w:t>
      </w:r>
      <w:r w:rsidR="00303E8A" w:rsidRPr="00AB10CA">
        <w:rPr>
          <w:lang w:val="en-US"/>
        </w:rPr>
        <w:t xml:space="preserve"> </w:t>
      </w:r>
      <w:r w:rsidRPr="00AB10CA">
        <w:rPr>
          <w:lang w:val="en-US"/>
        </w:rPr>
        <w:t>base case.</w:t>
      </w:r>
    </w:p>
    <w:p w14:paraId="5A438C03" w14:textId="77777777" w:rsidR="00C2070A" w:rsidRDefault="00B66ADE" w:rsidP="00376901">
      <w:pPr>
        <w:pStyle w:val="PwCNormal"/>
        <w:numPr>
          <w:ilvl w:val="0"/>
          <w:numId w:val="0"/>
        </w:numPr>
        <w:rPr>
          <w:lang w:val="en-US"/>
        </w:rPr>
      </w:pPr>
      <w:r w:rsidRPr="00303E8A">
        <w:rPr>
          <w:lang w:val="en-US"/>
        </w:rPr>
        <w:t xml:space="preserve">The focus of the RIS is on the higher impact requirements around </w:t>
      </w:r>
      <w:r w:rsidR="00303E8A">
        <w:rPr>
          <w:lang w:val="en-US"/>
        </w:rPr>
        <w:t xml:space="preserve">CHMPs </w:t>
      </w:r>
      <w:r w:rsidRPr="00303E8A">
        <w:rPr>
          <w:lang w:val="en-US"/>
        </w:rPr>
        <w:t xml:space="preserve">rather than more minor requirements around </w:t>
      </w:r>
      <w:r w:rsidR="00303E8A">
        <w:rPr>
          <w:lang w:val="en-US"/>
        </w:rPr>
        <w:t>prescribed forms, for which the burden is likely to be either incorporated into other requirements, or</w:t>
      </w:r>
      <w:r w:rsidR="000D2CCE">
        <w:rPr>
          <w:lang w:val="en-US"/>
        </w:rPr>
        <w:t xml:space="preserve"> be</w:t>
      </w:r>
      <w:r w:rsidR="00303E8A">
        <w:rPr>
          <w:lang w:val="en-US"/>
        </w:rPr>
        <w:t xml:space="preserve"> insignificant</w:t>
      </w:r>
      <w:r w:rsidR="000D2CCE">
        <w:rPr>
          <w:lang w:val="en-US"/>
        </w:rPr>
        <w:t xml:space="preserve"> compared to the key mechanisms</w:t>
      </w:r>
      <w:r w:rsidRPr="00303E8A">
        <w:rPr>
          <w:lang w:val="en-US"/>
        </w:rPr>
        <w:t>.</w:t>
      </w:r>
    </w:p>
    <w:p w14:paraId="51B32BF7" w14:textId="2DAF1F14" w:rsidR="009C4724" w:rsidRDefault="009C4724" w:rsidP="00376901">
      <w:pPr>
        <w:pStyle w:val="PwCNormal"/>
        <w:numPr>
          <w:ilvl w:val="0"/>
          <w:numId w:val="0"/>
        </w:numPr>
        <w:rPr>
          <w:lang w:val="en-US"/>
        </w:rPr>
      </w:pPr>
      <w:r>
        <w:t>As this RIS is assessing Regulations that are ‘sunsetting’, all options (including remaking the current Regulations) must be compared to the</w:t>
      </w:r>
      <w:r w:rsidR="000E554A">
        <w:t xml:space="preserve"> base case; that is,</w:t>
      </w:r>
      <w:r>
        <w:t xml:space="preserve"> situation where the Aboriginal Heritage Regulations were not remade, however, the </w:t>
      </w:r>
      <w:r w:rsidRPr="00896D52">
        <w:rPr>
          <w:i/>
        </w:rPr>
        <w:t>Aboriginal Heritage Act 2016</w:t>
      </w:r>
      <w:r>
        <w:t xml:space="preserve"> would still be in place.</w:t>
      </w:r>
      <w:r w:rsidR="000E554A">
        <w:t xml:space="preserve"> See Section </w:t>
      </w:r>
      <w:r w:rsidR="000E554A">
        <w:fldChar w:fldCharType="begin"/>
      </w:r>
      <w:r w:rsidR="000E554A">
        <w:instrText xml:space="preserve"> REF _Ref504141017 \n \h </w:instrText>
      </w:r>
      <w:r w:rsidR="000E554A">
        <w:fldChar w:fldCharType="separate"/>
      </w:r>
      <w:r w:rsidR="000369A1">
        <w:t>3.3</w:t>
      </w:r>
      <w:r w:rsidR="000E554A">
        <w:fldChar w:fldCharType="end"/>
      </w:r>
      <w:r w:rsidR="000E554A">
        <w:t xml:space="preserve"> for more detail on the base case.</w:t>
      </w:r>
    </w:p>
    <w:p w14:paraId="6C5F2D46" w14:textId="77777777" w:rsidR="00E84D5E" w:rsidRDefault="004A1866" w:rsidP="00E84D5E">
      <w:pPr>
        <w:pStyle w:val="Heading6"/>
        <w:rPr>
          <w:lang w:val="en-US"/>
        </w:rPr>
      </w:pPr>
      <w:r>
        <w:rPr>
          <w:lang w:val="en-US"/>
        </w:rPr>
        <w:t>Data</w:t>
      </w:r>
    </w:p>
    <w:p w14:paraId="313719F3" w14:textId="517A9E7F" w:rsidR="003536F5" w:rsidRPr="00FD66CD" w:rsidRDefault="003536F5" w:rsidP="00FD66CD">
      <w:pPr>
        <w:pStyle w:val="PwCNormal"/>
        <w:rPr>
          <w:rFonts w:asciiTheme="majorHAnsi" w:hAnsiTheme="majorHAnsi"/>
          <w:i/>
          <w:iCs/>
          <w:color w:val="A32020" w:themeColor="text2"/>
          <w:sz w:val="28"/>
          <w:szCs w:val="28"/>
          <w:lang w:val="en-US"/>
        </w:rPr>
      </w:pPr>
      <w:r>
        <w:rPr>
          <w:lang w:val="en-US"/>
        </w:rPr>
        <w:t xml:space="preserve">Data was primarily collected from AV or through consultations with key stakeholders such as RAPs, heritage advisors, sponsors and </w:t>
      </w:r>
      <w:r w:rsidR="008F58BC">
        <w:rPr>
          <w:lang w:val="en-US"/>
        </w:rPr>
        <w:t>local government</w:t>
      </w:r>
      <w:r w:rsidR="00CC7557">
        <w:rPr>
          <w:lang w:val="en-US"/>
        </w:rPr>
        <w:t>,</w:t>
      </w:r>
      <w:r w:rsidR="008F58BC">
        <w:rPr>
          <w:lang w:val="en-US"/>
        </w:rPr>
        <w:t xml:space="preserve"> </w:t>
      </w:r>
      <w:r>
        <w:rPr>
          <w:lang w:val="en-US"/>
        </w:rPr>
        <w:t>conducted over late-2017.</w:t>
      </w:r>
      <w:r w:rsidRPr="003536F5">
        <w:rPr>
          <w:lang w:val="en-US"/>
        </w:rPr>
        <w:t xml:space="preserve"> </w:t>
      </w:r>
      <w:r>
        <w:rPr>
          <w:lang w:val="en-US"/>
        </w:rPr>
        <w:t xml:space="preserve">Consultation </w:t>
      </w:r>
      <w:r w:rsidR="008C5A09">
        <w:rPr>
          <w:lang w:val="en-US"/>
        </w:rPr>
        <w:t xml:space="preserve">with stakeholders </w:t>
      </w:r>
      <w:r>
        <w:rPr>
          <w:lang w:val="en-US"/>
        </w:rPr>
        <w:t xml:space="preserve">was </w:t>
      </w:r>
      <w:r w:rsidR="008C5A09">
        <w:rPr>
          <w:lang w:val="en-US"/>
        </w:rPr>
        <w:t xml:space="preserve">primarily </w:t>
      </w:r>
      <w:r w:rsidR="00FD66CD">
        <w:rPr>
          <w:lang w:val="en-US"/>
        </w:rPr>
        <w:t xml:space="preserve">undertaken via surveys. </w:t>
      </w:r>
      <w:r w:rsidR="008458DE">
        <w:rPr>
          <w:lang w:val="en-US"/>
        </w:rPr>
        <w:t xml:space="preserve">270 stakeholders were surveyed, and 15 responded in sufficient detail to consider those responses complete. </w:t>
      </w:r>
      <w:r w:rsidR="00FD66CD">
        <w:rPr>
          <w:lang w:val="en-US"/>
        </w:rPr>
        <w:t xml:space="preserve">Further detail on the consultation is provided in </w:t>
      </w:r>
      <w:r w:rsidR="00FD66CD">
        <w:rPr>
          <w:lang w:val="en-US"/>
        </w:rPr>
        <w:fldChar w:fldCharType="begin"/>
      </w:r>
      <w:r w:rsidR="00FD66CD">
        <w:rPr>
          <w:lang w:val="en-US"/>
        </w:rPr>
        <w:instrText xml:space="preserve"> REF _Ref502161630 \n \h </w:instrText>
      </w:r>
      <w:r w:rsidR="00FD66CD">
        <w:rPr>
          <w:lang w:val="en-US"/>
        </w:rPr>
      </w:r>
      <w:r w:rsidR="00FD66CD">
        <w:rPr>
          <w:lang w:val="en-US"/>
        </w:rPr>
        <w:fldChar w:fldCharType="separate"/>
      </w:r>
      <w:r w:rsidR="000369A1">
        <w:rPr>
          <w:lang w:val="en-US"/>
        </w:rPr>
        <w:t>Appendix A</w:t>
      </w:r>
      <w:r w:rsidR="00FD66CD">
        <w:rPr>
          <w:lang w:val="en-US"/>
        </w:rPr>
        <w:fldChar w:fldCharType="end"/>
      </w:r>
      <w:r w:rsidR="00FD66CD">
        <w:rPr>
          <w:lang w:val="en-US"/>
        </w:rPr>
        <w:t>.</w:t>
      </w:r>
    </w:p>
    <w:p w14:paraId="60BBD051" w14:textId="29EB4CD4" w:rsidR="004A1866" w:rsidRDefault="0043378F" w:rsidP="003536F5">
      <w:pPr>
        <w:pStyle w:val="Heading7"/>
        <w:rPr>
          <w:lang w:val="en-US"/>
        </w:rPr>
      </w:pPr>
      <w:r>
        <w:rPr>
          <w:lang w:val="en-US"/>
        </w:rPr>
        <w:t>Key a</w:t>
      </w:r>
      <w:r w:rsidR="004A1866">
        <w:rPr>
          <w:lang w:val="en-US"/>
        </w:rPr>
        <w:t>ssumptions</w:t>
      </w:r>
    </w:p>
    <w:p w14:paraId="2033925D" w14:textId="77777777" w:rsidR="0080304A" w:rsidRPr="0080304A" w:rsidRDefault="0080304A" w:rsidP="0080304A">
      <w:pPr>
        <w:pStyle w:val="PwCNormal"/>
        <w:rPr>
          <w:lang w:val="en-US"/>
        </w:rPr>
      </w:pPr>
      <w:r>
        <w:rPr>
          <w:lang w:val="en-US"/>
        </w:rPr>
        <w:t>A number of assumptions were needed to undertake the cost-benefit analysis and fee estimates:</w:t>
      </w:r>
    </w:p>
    <w:p w14:paraId="7582B294" w14:textId="77777777" w:rsidR="00E84D5E" w:rsidRDefault="0080304A" w:rsidP="00E84D5E">
      <w:pPr>
        <w:pStyle w:val="ListBullet"/>
        <w:rPr>
          <w:lang w:val="en-US"/>
        </w:rPr>
      </w:pPr>
      <w:r>
        <w:rPr>
          <w:lang w:val="en-US"/>
        </w:rPr>
        <w:t xml:space="preserve">Sponsor time is </w:t>
      </w:r>
      <w:r w:rsidR="00B77C87">
        <w:rPr>
          <w:lang w:val="en-US"/>
        </w:rPr>
        <w:t>costed</w:t>
      </w:r>
      <w:r>
        <w:rPr>
          <w:lang w:val="en-US"/>
        </w:rPr>
        <w:t xml:space="preserve"> at a</w:t>
      </w:r>
      <w:r w:rsidR="00E84D5E">
        <w:rPr>
          <w:lang w:val="en-US"/>
        </w:rPr>
        <w:t>verage weekly earnings</w:t>
      </w:r>
      <w:r>
        <w:rPr>
          <w:lang w:val="en-US"/>
        </w:rPr>
        <w:t>.</w:t>
      </w:r>
    </w:p>
    <w:p w14:paraId="3CDD6BCB" w14:textId="7E89372D" w:rsidR="0043378F" w:rsidRDefault="0043378F" w:rsidP="00E84D5E">
      <w:pPr>
        <w:pStyle w:val="ListBullet"/>
        <w:rPr>
          <w:lang w:val="en-US"/>
        </w:rPr>
      </w:pPr>
      <w:r>
        <w:rPr>
          <w:lang w:val="en-US"/>
        </w:rPr>
        <w:t xml:space="preserve">For the purposes of the cost benefit analysis, 2016 volumes </w:t>
      </w:r>
      <w:r w:rsidR="00B77C87">
        <w:rPr>
          <w:lang w:val="en-US"/>
        </w:rPr>
        <w:t xml:space="preserve">of CHMPs </w:t>
      </w:r>
      <w:r>
        <w:rPr>
          <w:lang w:val="en-US"/>
        </w:rPr>
        <w:t xml:space="preserve">have been used where the available 2017 data does not show a significant increase. Where </w:t>
      </w:r>
      <w:r w:rsidR="00351937">
        <w:rPr>
          <w:lang w:val="en-US"/>
        </w:rPr>
        <w:t xml:space="preserve">the 2017 </w:t>
      </w:r>
      <w:r w:rsidR="00341757">
        <w:rPr>
          <w:lang w:val="en-US"/>
        </w:rPr>
        <w:t>volumes</w:t>
      </w:r>
      <w:r w:rsidR="005F12DB">
        <w:rPr>
          <w:lang w:val="en-US"/>
        </w:rPr>
        <w:t xml:space="preserve"> </w:t>
      </w:r>
      <w:r w:rsidR="00351937">
        <w:rPr>
          <w:lang w:val="en-US"/>
        </w:rPr>
        <w:t>are meaningfully different</w:t>
      </w:r>
      <w:r>
        <w:rPr>
          <w:lang w:val="en-US"/>
        </w:rPr>
        <w:t xml:space="preserve"> (i.e. as a result of the amendments to the Act and Regulations in mid-2016), 2017 data ha</w:t>
      </w:r>
      <w:r w:rsidR="00341757">
        <w:rPr>
          <w:lang w:val="en-US"/>
        </w:rPr>
        <w:t>ve</w:t>
      </w:r>
      <w:r>
        <w:rPr>
          <w:lang w:val="en-US"/>
        </w:rPr>
        <w:t xml:space="preserve"> been used</w:t>
      </w:r>
      <w:r w:rsidR="00B77C87">
        <w:rPr>
          <w:lang w:val="en-US"/>
        </w:rPr>
        <w:t xml:space="preserve">. (NB. This is only the case for </w:t>
      </w:r>
      <w:r>
        <w:rPr>
          <w:lang w:val="en-US"/>
        </w:rPr>
        <w:t>amendments to CHMPs</w:t>
      </w:r>
      <w:r w:rsidR="00B77C87">
        <w:rPr>
          <w:lang w:val="en-US"/>
        </w:rPr>
        <w:t>.)</w:t>
      </w:r>
    </w:p>
    <w:p w14:paraId="157D142E" w14:textId="468B0439" w:rsidR="00B77C87" w:rsidRDefault="00B77C87" w:rsidP="00B77C87">
      <w:pPr>
        <w:pStyle w:val="ListBullet2"/>
        <w:rPr>
          <w:lang w:val="en-US"/>
        </w:rPr>
      </w:pPr>
      <w:r>
        <w:rPr>
          <w:lang w:val="en-US"/>
        </w:rPr>
        <w:t>In both cases, the cost-benefit analysis has modelled a constant number of CHMPs taking place over 10 years. There have been fluctuations in the number of CHMPs over the past 10 years and as such, modelling any increase or decrease in numbers would represent false precision.</w:t>
      </w:r>
      <w:r w:rsidR="00694E81">
        <w:rPr>
          <w:lang w:val="en-US"/>
        </w:rPr>
        <w:t xml:space="preserve"> None of the Options involve changes that are anticipated to systematically cause CHMP numbers to vary from the Year 1 volume over the 10 year period.</w:t>
      </w:r>
      <w:r w:rsidR="00694E81">
        <w:rPr>
          <w:rStyle w:val="FootnoteReference"/>
          <w:lang w:val="en-US"/>
        </w:rPr>
        <w:footnoteReference w:id="51"/>
      </w:r>
    </w:p>
    <w:p w14:paraId="21244CF7" w14:textId="428B4D9F" w:rsidR="00370B6D" w:rsidRPr="008458DE" w:rsidRDefault="00B77C87" w:rsidP="00370B6D">
      <w:pPr>
        <w:pStyle w:val="ListBullet"/>
        <w:rPr>
          <w:lang w:val="en-US"/>
        </w:rPr>
      </w:pPr>
      <w:r w:rsidRPr="00370B6D">
        <w:rPr>
          <w:lang w:val="en-US"/>
        </w:rPr>
        <w:t xml:space="preserve">There was significant variation in </w:t>
      </w:r>
      <w:r w:rsidR="008458DE">
        <w:rPr>
          <w:lang w:val="en-US"/>
        </w:rPr>
        <w:t xml:space="preserve">the 15 </w:t>
      </w:r>
      <w:r w:rsidRPr="00370B6D">
        <w:rPr>
          <w:lang w:val="en-US"/>
        </w:rPr>
        <w:t xml:space="preserve">responses regarding </w:t>
      </w:r>
      <w:r w:rsidR="00F4225F">
        <w:rPr>
          <w:lang w:val="en-US"/>
        </w:rPr>
        <w:t xml:space="preserve">the </w:t>
      </w:r>
      <w:r w:rsidRPr="00370B6D">
        <w:rPr>
          <w:lang w:val="en-US"/>
        </w:rPr>
        <w:t xml:space="preserve">time and cost of activities, in particular, the cost of engaging a heritage advisor to </w:t>
      </w:r>
      <w:r w:rsidR="00392B48" w:rsidRPr="008458DE">
        <w:rPr>
          <w:lang w:val="en-US"/>
        </w:rPr>
        <w:t xml:space="preserve">prepare </w:t>
      </w:r>
      <w:r w:rsidRPr="008458DE">
        <w:rPr>
          <w:lang w:val="en-US"/>
        </w:rPr>
        <w:t>a CHMP</w:t>
      </w:r>
      <w:r w:rsidR="007019D8" w:rsidRPr="008458DE">
        <w:rPr>
          <w:lang w:val="en-US"/>
        </w:rPr>
        <w:t xml:space="preserve"> and the cost of management conditions</w:t>
      </w:r>
      <w:r w:rsidRPr="00370B6D">
        <w:rPr>
          <w:lang w:val="en-US"/>
        </w:rPr>
        <w:t xml:space="preserve">. </w:t>
      </w:r>
      <w:r w:rsidR="00370B6D" w:rsidRPr="00370B6D">
        <w:rPr>
          <w:lang w:val="en-US"/>
        </w:rPr>
        <w:t xml:space="preserve"> </w:t>
      </w:r>
      <w:r w:rsidRPr="00370B6D">
        <w:rPr>
          <w:lang w:val="en-US"/>
        </w:rPr>
        <w:t>The results of the survey to councils and sponsors were used to ‘sense-check’ data points with significant uncertainty.</w:t>
      </w:r>
      <w:r w:rsidR="00370B6D">
        <w:rPr>
          <w:lang w:val="en-US"/>
        </w:rPr>
        <w:t xml:space="preserve"> </w:t>
      </w:r>
      <w:r w:rsidR="00D01748">
        <w:rPr>
          <w:lang w:val="en-US"/>
        </w:rPr>
        <w:t>As an indication, t</w:t>
      </w:r>
      <w:r w:rsidR="00370B6D" w:rsidRPr="00370B6D">
        <w:rPr>
          <w:lang w:val="en-US"/>
        </w:rPr>
        <w:t>he lowest cost</w:t>
      </w:r>
      <w:r w:rsidR="00370B6D" w:rsidRPr="008458DE">
        <w:rPr>
          <w:lang w:val="en-US"/>
        </w:rPr>
        <w:t xml:space="preserve"> of </w:t>
      </w:r>
      <w:r w:rsidR="00D01748">
        <w:rPr>
          <w:lang w:val="en-US"/>
        </w:rPr>
        <w:t xml:space="preserve">a CHMP with a complex assessment </w:t>
      </w:r>
      <w:r w:rsidR="00370B6D" w:rsidRPr="008458DE">
        <w:rPr>
          <w:lang w:val="en-US"/>
        </w:rPr>
        <w:t xml:space="preserve">observed was </w:t>
      </w:r>
      <w:r w:rsidR="00D01748">
        <w:rPr>
          <w:lang w:val="en-US"/>
        </w:rPr>
        <w:t>$2,200,while</w:t>
      </w:r>
      <w:r w:rsidR="00370B6D" w:rsidRPr="008458DE">
        <w:rPr>
          <w:lang w:val="en-US"/>
        </w:rPr>
        <w:t xml:space="preserve"> the highest was </w:t>
      </w:r>
      <w:r w:rsidR="00684893">
        <w:rPr>
          <w:lang w:val="en-US"/>
        </w:rPr>
        <w:t>$80,000</w:t>
      </w:r>
      <w:r w:rsidR="00370B6D" w:rsidRPr="008458DE">
        <w:rPr>
          <w:lang w:val="en-US"/>
        </w:rPr>
        <w:t>.</w:t>
      </w:r>
    </w:p>
    <w:p w14:paraId="08A97215" w14:textId="08ACCCC2" w:rsidR="00370B6D" w:rsidRDefault="00370B6D" w:rsidP="00370B6D">
      <w:pPr>
        <w:pStyle w:val="ListBullet"/>
        <w:rPr>
          <w:lang w:val="en-US"/>
        </w:rPr>
      </w:pPr>
      <w:r>
        <w:rPr>
          <w:lang w:val="en-US"/>
        </w:rPr>
        <w:t xml:space="preserve">The </w:t>
      </w:r>
      <w:r w:rsidRPr="00370B6D">
        <w:rPr>
          <w:lang w:val="en-US"/>
        </w:rPr>
        <w:t xml:space="preserve">specific case </w:t>
      </w:r>
      <w:r>
        <w:rPr>
          <w:lang w:val="en-US"/>
        </w:rPr>
        <w:t xml:space="preserve">with the highest </w:t>
      </w:r>
      <w:r w:rsidR="00F4225F">
        <w:rPr>
          <w:lang w:val="en-US"/>
        </w:rPr>
        <w:t xml:space="preserve">cost </w:t>
      </w:r>
      <w:r w:rsidRPr="00370B6D">
        <w:rPr>
          <w:lang w:val="en-US"/>
        </w:rPr>
        <w:t xml:space="preserve">was considered </w:t>
      </w:r>
      <w:r>
        <w:rPr>
          <w:lang w:val="en-US"/>
        </w:rPr>
        <w:t xml:space="preserve">by AV </w:t>
      </w:r>
      <w:r w:rsidRPr="00370B6D">
        <w:rPr>
          <w:lang w:val="en-US"/>
        </w:rPr>
        <w:t xml:space="preserve">to be unusually complex and </w:t>
      </w:r>
      <w:r w:rsidR="00F4225F">
        <w:rPr>
          <w:lang w:val="en-US"/>
        </w:rPr>
        <w:t>resource intensive</w:t>
      </w:r>
      <w:r w:rsidRPr="00370B6D">
        <w:rPr>
          <w:lang w:val="en-US"/>
        </w:rPr>
        <w:t xml:space="preserve">, and so not representative of the typical cost of preparing a CHMP. Therefore, while it is feasible that in some </w:t>
      </w:r>
      <w:r w:rsidR="00684893">
        <w:rPr>
          <w:lang w:val="en-US"/>
        </w:rPr>
        <w:t xml:space="preserve">relatively infrequent </w:t>
      </w:r>
      <w:r w:rsidRPr="00370B6D">
        <w:rPr>
          <w:lang w:val="en-US"/>
        </w:rPr>
        <w:t>circumstances</w:t>
      </w:r>
      <w:r w:rsidR="00007F8D">
        <w:rPr>
          <w:lang w:val="en-US"/>
        </w:rPr>
        <w:t>, such as for</w:t>
      </w:r>
      <w:r w:rsidRPr="00370B6D">
        <w:rPr>
          <w:lang w:val="en-US"/>
        </w:rPr>
        <w:t xml:space="preserve"> </w:t>
      </w:r>
      <w:r w:rsidR="00684893">
        <w:rPr>
          <w:lang w:val="en-US"/>
        </w:rPr>
        <w:t xml:space="preserve">large infrastructure projects such as construction of freeways and public transport infrastructure, </w:t>
      </w:r>
      <w:r>
        <w:rPr>
          <w:lang w:val="en-US"/>
        </w:rPr>
        <w:t xml:space="preserve">these costs could be up to around </w:t>
      </w:r>
      <w:r w:rsidRPr="00370B6D">
        <w:rPr>
          <w:lang w:val="en-US"/>
        </w:rPr>
        <w:t>$</w:t>
      </w:r>
      <w:r w:rsidR="00684893">
        <w:rPr>
          <w:lang w:val="en-US"/>
        </w:rPr>
        <w:t>2 million</w:t>
      </w:r>
      <w:r w:rsidRPr="00370B6D">
        <w:rPr>
          <w:lang w:val="en-US"/>
        </w:rPr>
        <w:t xml:space="preserve">, the analysis in this RIS excludes this outlier </w:t>
      </w:r>
      <w:r>
        <w:rPr>
          <w:lang w:val="en-US"/>
        </w:rPr>
        <w:t xml:space="preserve">and uses a simple average of the </w:t>
      </w:r>
      <w:r w:rsidR="008458DE">
        <w:rPr>
          <w:lang w:val="en-US"/>
        </w:rPr>
        <w:t xml:space="preserve">costs noted in the </w:t>
      </w:r>
      <w:r>
        <w:rPr>
          <w:lang w:val="en-US"/>
        </w:rPr>
        <w:t xml:space="preserve">remaining </w:t>
      </w:r>
      <w:r w:rsidR="008458DE">
        <w:rPr>
          <w:lang w:val="en-US"/>
        </w:rPr>
        <w:t>14</w:t>
      </w:r>
      <w:r>
        <w:rPr>
          <w:lang w:val="en-US"/>
        </w:rPr>
        <w:t xml:space="preserve"> </w:t>
      </w:r>
      <w:r w:rsidR="008458DE">
        <w:rPr>
          <w:lang w:val="en-US"/>
        </w:rPr>
        <w:t>responses</w:t>
      </w:r>
      <w:r>
        <w:rPr>
          <w:lang w:val="en-US"/>
        </w:rPr>
        <w:t>.</w:t>
      </w:r>
    </w:p>
    <w:p w14:paraId="678A34A4" w14:textId="4237A712" w:rsidR="00370B6D" w:rsidRDefault="00370B6D" w:rsidP="00370B6D">
      <w:pPr>
        <w:pStyle w:val="ListBullet"/>
        <w:rPr>
          <w:lang w:val="en-US"/>
        </w:rPr>
      </w:pPr>
      <w:r>
        <w:rPr>
          <w:lang w:val="en-US"/>
        </w:rPr>
        <w:t xml:space="preserve">The resulting estimate is intended to </w:t>
      </w:r>
      <w:r w:rsidRPr="00370B6D">
        <w:rPr>
          <w:lang w:val="en-US"/>
        </w:rPr>
        <w:t xml:space="preserve">provide a more </w:t>
      </w:r>
      <w:r>
        <w:rPr>
          <w:lang w:val="en-US"/>
        </w:rPr>
        <w:t xml:space="preserve">credible </w:t>
      </w:r>
      <w:r w:rsidRPr="00370B6D">
        <w:rPr>
          <w:lang w:val="en-US"/>
        </w:rPr>
        <w:t xml:space="preserve">estimate of the typical cost of an individual CHMP, and of the expected annual costs to the sector of </w:t>
      </w:r>
      <w:r>
        <w:rPr>
          <w:lang w:val="en-US"/>
        </w:rPr>
        <w:t xml:space="preserve">complying with the </w:t>
      </w:r>
      <w:r w:rsidR="00007F8D">
        <w:rPr>
          <w:lang w:val="en-US"/>
        </w:rPr>
        <w:t>R</w:t>
      </w:r>
      <w:r>
        <w:rPr>
          <w:lang w:val="en-US"/>
        </w:rPr>
        <w:t>egulations (</w:t>
      </w:r>
      <w:r w:rsidRPr="00370B6D">
        <w:rPr>
          <w:lang w:val="en-US"/>
        </w:rPr>
        <w:t xml:space="preserve">on the assumption that </w:t>
      </w:r>
      <w:r>
        <w:rPr>
          <w:lang w:val="en-US"/>
        </w:rPr>
        <w:t xml:space="preserve">large outliers such as the one noted above are </w:t>
      </w:r>
      <w:r w:rsidRPr="00370B6D">
        <w:rPr>
          <w:lang w:val="en-US"/>
        </w:rPr>
        <w:t>rare</w:t>
      </w:r>
      <w:r>
        <w:rPr>
          <w:lang w:val="en-US"/>
        </w:rPr>
        <w:t>).</w:t>
      </w:r>
    </w:p>
    <w:p w14:paraId="5E6D4606" w14:textId="77777777" w:rsidR="00370B6D" w:rsidRPr="00370B6D" w:rsidRDefault="00370B6D" w:rsidP="00370B6D">
      <w:pPr>
        <w:pStyle w:val="ListBullet"/>
        <w:numPr>
          <w:ilvl w:val="0"/>
          <w:numId w:val="0"/>
        </w:numPr>
        <w:ind w:left="284"/>
        <w:rPr>
          <w:lang w:val="en-US"/>
        </w:rPr>
      </w:pPr>
    </w:p>
    <w:p w14:paraId="7CC66E97" w14:textId="77777777" w:rsidR="00303E8A" w:rsidRDefault="00303E8A" w:rsidP="00303E8A">
      <w:pPr>
        <w:pStyle w:val="Heading6"/>
        <w:rPr>
          <w:lang w:val="en-US"/>
        </w:rPr>
      </w:pPr>
      <w:bookmarkStart w:id="56" w:name="_Ref501619180"/>
      <w:r>
        <w:rPr>
          <w:lang w:val="en-US"/>
        </w:rPr>
        <w:t>Benefits of the options</w:t>
      </w:r>
      <w:bookmarkEnd w:id="56"/>
    </w:p>
    <w:p w14:paraId="0D984757" w14:textId="47962791" w:rsidR="00A14D49" w:rsidRDefault="00A14D49" w:rsidP="00A14D49">
      <w:pPr>
        <w:pStyle w:val="Heading7"/>
        <w:rPr>
          <w:lang w:val="en-US"/>
        </w:rPr>
      </w:pPr>
      <w:r>
        <w:rPr>
          <w:lang w:val="en-US"/>
        </w:rPr>
        <w:t>Benefits of the regulatory framework</w:t>
      </w:r>
    </w:p>
    <w:p w14:paraId="7B5F7488" w14:textId="7116A2D8" w:rsidR="00056F3B" w:rsidRDefault="00056F3B" w:rsidP="00056F3B">
      <w:pPr>
        <w:pStyle w:val="PwCNormal"/>
        <w:rPr>
          <w:lang w:val="en-US"/>
        </w:rPr>
      </w:pPr>
      <w:r>
        <w:rPr>
          <w:lang w:val="en-US"/>
        </w:rPr>
        <w:t>The Regulations primarily protect Aboriginal cultural heritage by setting out the circumstances in which a CHMP must be prepared and the standards for the preparation of CHMPs. How directly this translates into the protection of Aboriginal cultural heritage is hard to determine. In their assessment of the benefits of the Regulations, both heritage advisors and RAPs ra</w:t>
      </w:r>
      <w:r w:rsidR="007019D8">
        <w:rPr>
          <w:lang w:val="en-US"/>
        </w:rPr>
        <w:t>nked</w:t>
      </w:r>
      <w:r>
        <w:rPr>
          <w:lang w:val="en-US"/>
        </w:rPr>
        <w:t xml:space="preserve"> ‘ensuring a consistent approach is taken to managing Aboriginal cultural heritage’ higher than ‘a</w:t>
      </w:r>
      <w:r w:rsidRPr="00056F3B">
        <w:rPr>
          <w:lang w:val="en-US"/>
        </w:rPr>
        <w:t>voiding or reducing inadvertent damage to Aboriginal cultural heritage</w:t>
      </w:r>
      <w:r>
        <w:rPr>
          <w:lang w:val="en-US"/>
        </w:rPr>
        <w:t>’ or ‘p</w:t>
      </w:r>
      <w:r w:rsidRPr="00056F3B">
        <w:rPr>
          <w:lang w:val="en-US"/>
        </w:rPr>
        <w:t>roviding appropriate heritage management recommendations</w:t>
      </w:r>
      <w:r>
        <w:rPr>
          <w:lang w:val="en-US"/>
        </w:rPr>
        <w:t>’.</w:t>
      </w:r>
      <w:r w:rsidR="005A2819">
        <w:rPr>
          <w:lang w:val="en-US"/>
        </w:rPr>
        <w:t xml:space="preserve"> This was reflected in the responses to the qualitative questions, which stated </w:t>
      </w:r>
      <w:r w:rsidR="0068473A">
        <w:rPr>
          <w:lang w:val="en-US"/>
        </w:rPr>
        <w:t xml:space="preserve">that the CHMP process was often more focused around </w:t>
      </w:r>
      <w:r w:rsidR="005A2819">
        <w:rPr>
          <w:lang w:val="en-US"/>
        </w:rPr>
        <w:t>paperwork. Options 2 and 3 attempt to address this by closer linking the recommendations from a CHMP to the assessments.</w:t>
      </w:r>
      <w:r>
        <w:rPr>
          <w:rStyle w:val="FootnoteReference"/>
          <w:lang w:val="en-US"/>
        </w:rPr>
        <w:footnoteReference w:id="52"/>
      </w:r>
      <w:r>
        <w:rPr>
          <w:lang w:val="en-US"/>
        </w:rPr>
        <w:t xml:space="preserve"> </w:t>
      </w:r>
    </w:p>
    <w:p w14:paraId="18068264" w14:textId="0A05329D" w:rsidR="00056F3B" w:rsidRPr="00CD336F" w:rsidRDefault="00056F3B" w:rsidP="00056F3B">
      <w:pPr>
        <w:pStyle w:val="PwCNormal"/>
        <w:spacing w:before="180" w:after="180"/>
      </w:pPr>
      <w:r>
        <w:t>The</w:t>
      </w:r>
      <w:r w:rsidRPr="00913778">
        <w:t xml:space="preserve"> CHMP process means that assessment occurs before the planning permit</w:t>
      </w:r>
      <w:r w:rsidR="008F58BC">
        <w:t xml:space="preserve"> can be issued</w:t>
      </w:r>
      <w:r w:rsidRPr="00913778">
        <w:t>, providing an opportunity to avoid harm (through re-design), to minimise impacts or establish an agreed process to manage harm. No further monitoring or consents are required. Assessment is targeted at high impact activities in areas where there is likely to be Aboriginal cultural heritage.</w:t>
      </w:r>
      <w:r>
        <w:t xml:space="preserve"> </w:t>
      </w:r>
      <w:r w:rsidRPr="00913778">
        <w:t>The ‘triggers’ for a CHMP are designed to target developments involving high impact activities in areas where Aboriginal cultural heritage is most likely to be present</w:t>
      </w:r>
      <w:r>
        <w:t xml:space="preserve">. </w:t>
      </w:r>
    </w:p>
    <w:p w14:paraId="4CC4E8E7" w14:textId="77777777" w:rsidR="00056F3B" w:rsidRPr="00C411EA" w:rsidRDefault="00056F3B" w:rsidP="00056F3B">
      <w:pPr>
        <w:pStyle w:val="PwCNormal"/>
        <w:spacing w:before="180" w:after="180"/>
      </w:pPr>
      <w:r w:rsidRPr="00913778">
        <w:t>The CHMP process seeks to steer the management of Aboriginal cultural heritage towards protection by enshrining the hierarchy of ‘avoid, minimise, salvage’. The Act states that, when assessing whether a CHMP relating to an activity is to be approved, consideration must be given to:</w:t>
      </w:r>
    </w:p>
    <w:p w14:paraId="3927D70F" w14:textId="77777777" w:rsidR="00056F3B" w:rsidRPr="00C411EA" w:rsidRDefault="00056F3B" w:rsidP="00056F3B">
      <w:pPr>
        <w:pStyle w:val="ListBullet"/>
      </w:pPr>
      <w:r w:rsidRPr="00913778">
        <w:t>whether the activity will be conducted in a way that avoids harm to Aboriginal cultural heritage</w:t>
      </w:r>
    </w:p>
    <w:p w14:paraId="48723EEE" w14:textId="77777777" w:rsidR="00056F3B" w:rsidRPr="00C411EA" w:rsidRDefault="00056F3B" w:rsidP="00056F3B">
      <w:pPr>
        <w:pStyle w:val="ListBullet"/>
      </w:pPr>
      <w:r w:rsidRPr="00913778">
        <w:t xml:space="preserve">if it does not appear to be possible to conduct the activity in a way that avoids harm, whether the activity will be conducted in a way that minimises harm to Aboriginal cultural heritage, and </w:t>
      </w:r>
    </w:p>
    <w:p w14:paraId="61E4FA30" w14:textId="499FE35F" w:rsidR="00056F3B" w:rsidRDefault="00056F3B" w:rsidP="00056F3B">
      <w:pPr>
        <w:pStyle w:val="ListBullet"/>
      </w:pPr>
      <w:r w:rsidRPr="00913778">
        <w:t xml:space="preserve">any specific measures required for the management of Aboriginal cultural heritage likely to be </w:t>
      </w:r>
      <w:r w:rsidR="008F58BC">
        <w:t>impacted</w:t>
      </w:r>
      <w:r w:rsidR="008F58BC" w:rsidRPr="00913778">
        <w:t xml:space="preserve"> </w:t>
      </w:r>
      <w:r w:rsidRPr="00913778">
        <w:t>by the activity, both during and after the activity. This may include salvage, however Aboriginal cultural heritage is to be salvaged only when it is not possible for that cultural heritage to be preserved in situ.</w:t>
      </w:r>
    </w:p>
    <w:p w14:paraId="638D8646" w14:textId="15E295BF" w:rsidR="00DF1766" w:rsidRDefault="00450608" w:rsidP="00DF1766">
      <w:pPr>
        <w:pStyle w:val="Heading7"/>
        <w:rPr>
          <w:lang w:val="en-US"/>
        </w:rPr>
      </w:pPr>
      <w:bookmarkStart w:id="57" w:name="_Ref501484897"/>
      <w:bookmarkStart w:id="58" w:name="_Ref504550281"/>
      <w:r>
        <w:rPr>
          <w:lang w:val="en-US"/>
        </w:rPr>
        <w:t>Quantifi</w:t>
      </w:r>
      <w:r w:rsidR="00C028C0">
        <w:rPr>
          <w:lang w:val="en-US"/>
        </w:rPr>
        <w:t>ed</w:t>
      </w:r>
      <w:r>
        <w:rPr>
          <w:lang w:val="en-US"/>
        </w:rPr>
        <w:t xml:space="preserve"> benefits</w:t>
      </w:r>
      <w:bookmarkEnd w:id="57"/>
      <w:r w:rsidR="00575A6E">
        <w:rPr>
          <w:lang w:val="en-US"/>
        </w:rPr>
        <w:t xml:space="preserve"> of the Regulations</w:t>
      </w:r>
      <w:bookmarkEnd w:id="58"/>
    </w:p>
    <w:p w14:paraId="4765092A" w14:textId="0BA750FA" w:rsidR="008A25F5" w:rsidRPr="008A25F5" w:rsidRDefault="00056F3B" w:rsidP="008A25F5">
      <w:pPr>
        <w:pStyle w:val="PwCNormal"/>
        <w:rPr>
          <w:lang w:val="en-US"/>
        </w:rPr>
      </w:pPr>
      <w:r>
        <w:rPr>
          <w:lang w:val="en-US"/>
        </w:rPr>
        <w:t>When the CHMP process is successful in identifying and preserving Aboriginal cultural heritage,</w:t>
      </w:r>
      <w:r w:rsidR="00C028C0">
        <w:rPr>
          <w:lang w:val="en-US"/>
        </w:rPr>
        <w:t xml:space="preserve"> the benefits are often indirect. One way to quantify these benefits is through the stated values of Aboriginal cultural heritage.</w:t>
      </w:r>
      <w:r w:rsidR="005C54D5">
        <w:rPr>
          <w:lang w:val="en-US"/>
        </w:rPr>
        <w:t xml:space="preserve"> </w:t>
      </w:r>
    </w:p>
    <w:p w14:paraId="0A1D7304" w14:textId="372084B0" w:rsidR="00977916" w:rsidRDefault="00977916" w:rsidP="008A25F5">
      <w:pPr>
        <w:pStyle w:val="Caption"/>
        <w:spacing w:before="0"/>
        <w:rPr>
          <w:lang w:val="en-US"/>
        </w:rPr>
      </w:pPr>
      <w:r>
        <w:rPr>
          <w:lang w:val="en-US"/>
        </w:rPr>
        <w:t>Stated values of Aboriginal cultural heritage</w:t>
      </w:r>
    </w:p>
    <w:p w14:paraId="1EC6B52F" w14:textId="76C46187" w:rsidR="005C54D5" w:rsidRDefault="00DF1C54" w:rsidP="005C54D5">
      <w:pPr>
        <w:pStyle w:val="PwCNormal"/>
        <w:rPr>
          <w:lang w:val="en-US"/>
        </w:rPr>
      </w:pPr>
      <w:r>
        <w:t xml:space="preserve">Heritage is generally considered to be irreplaceable and therefore it could be argued that it is priceless. Nonetheless, for the purposes of this RIS, we have attempted to develop a proxy of the potential value of Aboriginal cultural heritage and the benefits of the Regulations. </w:t>
      </w:r>
      <w:r w:rsidR="005C54D5">
        <w:t>Using a 2003 study authored by John Rolfe and Jill Windle</w:t>
      </w:r>
      <w:r w:rsidR="008E735D">
        <w:rPr>
          <w:rStyle w:val="FootnoteReference"/>
        </w:rPr>
        <w:footnoteReference w:id="53"/>
      </w:r>
      <w:r w:rsidR="005C54D5">
        <w:t xml:space="preserve"> on the stated values of Aboriginal cultural heritage to </w:t>
      </w:r>
      <w:r w:rsidR="00BB2765">
        <w:t xml:space="preserve">Aboriginal </w:t>
      </w:r>
      <w:r w:rsidR="005C54D5">
        <w:t>and non-</w:t>
      </w:r>
      <w:r w:rsidR="00BB2765">
        <w:t xml:space="preserve">Aboriginal </w:t>
      </w:r>
      <w:r w:rsidR="005C54D5">
        <w:t xml:space="preserve">people, a </w:t>
      </w:r>
      <w:r w:rsidR="00960282">
        <w:t xml:space="preserve">current </w:t>
      </w:r>
      <w:r w:rsidR="005C54D5">
        <w:t xml:space="preserve">implied value per </w:t>
      </w:r>
      <w:r w:rsidR="00D05AC9">
        <w:t xml:space="preserve">place </w:t>
      </w:r>
      <w:r w:rsidR="005C54D5">
        <w:t>of $</w:t>
      </w:r>
      <w:r w:rsidR="00960282">
        <w:t>296,739</w:t>
      </w:r>
      <w:r w:rsidR="005C54D5">
        <w:t xml:space="preserve"> can be derived. This is primarily based on the value assigned by </w:t>
      </w:r>
      <w:r w:rsidR="00BB2765">
        <w:t xml:space="preserve">Aboriginal </w:t>
      </w:r>
      <w:r w:rsidR="005C54D5">
        <w:t>people, as the study estimated that non-</w:t>
      </w:r>
      <w:r w:rsidR="00BB2765">
        <w:t xml:space="preserve">Aboriginal </w:t>
      </w:r>
      <w:r w:rsidR="005C54D5">
        <w:t xml:space="preserve">people did not value Aboriginal cultural heritage relative to other forms of land management. The </w:t>
      </w:r>
      <w:r w:rsidR="00FD1AC6">
        <w:t xml:space="preserve">methodology and </w:t>
      </w:r>
      <w:r w:rsidR="005C54D5">
        <w:t>assumpti</w:t>
      </w:r>
      <w:r w:rsidR="00FD1AC6">
        <w:t xml:space="preserve">ons </w:t>
      </w:r>
      <w:r w:rsidR="008E735D">
        <w:t>behind these</w:t>
      </w:r>
      <w:r w:rsidR="005C54D5">
        <w:t xml:space="preserve"> finding</w:t>
      </w:r>
      <w:r w:rsidR="008E735D">
        <w:t>s</w:t>
      </w:r>
      <w:r w:rsidR="005C54D5">
        <w:t xml:space="preserve"> are discussed further </w:t>
      </w:r>
      <w:r w:rsidR="005C54D5">
        <w:rPr>
          <w:lang w:val="en-US"/>
        </w:rPr>
        <w:t xml:space="preserve">in </w:t>
      </w:r>
      <w:r w:rsidR="005C54D5">
        <w:rPr>
          <w:lang w:val="en-US"/>
        </w:rPr>
        <w:fldChar w:fldCharType="begin"/>
      </w:r>
      <w:r w:rsidR="005C54D5">
        <w:rPr>
          <w:lang w:val="en-US"/>
        </w:rPr>
        <w:instrText xml:space="preserve"> REF _Ref502158228 \n \h </w:instrText>
      </w:r>
      <w:r w:rsidR="005C54D5">
        <w:rPr>
          <w:lang w:val="en-US"/>
        </w:rPr>
      </w:r>
      <w:r w:rsidR="005C54D5">
        <w:rPr>
          <w:lang w:val="en-US"/>
        </w:rPr>
        <w:fldChar w:fldCharType="separate"/>
      </w:r>
      <w:r w:rsidR="000369A1">
        <w:rPr>
          <w:lang w:val="en-US"/>
        </w:rPr>
        <w:t>Appendix C</w:t>
      </w:r>
      <w:r w:rsidR="005C54D5">
        <w:rPr>
          <w:lang w:val="en-US"/>
        </w:rPr>
        <w:fldChar w:fldCharType="end"/>
      </w:r>
      <w:r w:rsidR="005C54D5">
        <w:rPr>
          <w:lang w:val="en-US"/>
        </w:rPr>
        <w:t>.</w:t>
      </w:r>
    </w:p>
    <w:p w14:paraId="6AC883EB" w14:textId="7C6295F7" w:rsidR="006E3E02" w:rsidRDefault="008E735D" w:rsidP="00C51AB2">
      <w:pPr>
        <w:pStyle w:val="PwCNormal"/>
        <w:numPr>
          <w:ilvl w:val="0"/>
          <w:numId w:val="0"/>
        </w:numPr>
      </w:pPr>
      <w:r w:rsidRPr="008E735D">
        <w:rPr>
          <w:lang w:val="en-US"/>
        </w:rPr>
        <w:t>Another choice modelling</w:t>
      </w:r>
      <w:r w:rsidR="00106BE1">
        <w:t xml:space="preserve"> exercise by </w:t>
      </w:r>
      <w:r w:rsidR="00DF1C54">
        <w:t>T</w:t>
      </w:r>
      <w:r w:rsidR="006E3E02">
        <w:t>he Allen Consulting Group in 2005</w:t>
      </w:r>
      <w:r w:rsidR="006E3E02">
        <w:rPr>
          <w:rStyle w:val="FootnoteReference"/>
        </w:rPr>
        <w:footnoteReference w:id="54"/>
      </w:r>
      <w:r w:rsidR="006E3E02">
        <w:t xml:space="preserve"> indicated </w:t>
      </w:r>
      <w:r>
        <w:t xml:space="preserve">that Australians valued a </w:t>
      </w:r>
      <w:r w:rsidR="006E3E02">
        <w:t xml:space="preserve">tightening of development controls and an increase in the number of heritage listings </w:t>
      </w:r>
      <w:r>
        <w:t xml:space="preserve">at </w:t>
      </w:r>
      <w:r w:rsidR="00A51BA0">
        <w:t>$105.90</w:t>
      </w:r>
      <w:r w:rsidR="006E3E02">
        <w:t xml:space="preserve"> (</w:t>
      </w:r>
      <w:r w:rsidR="00A51BA0">
        <w:t>$</w:t>
      </w:r>
      <w:r w:rsidR="00960282">
        <w:t>146.27</w:t>
      </w:r>
      <w:r w:rsidR="006E3E02">
        <w:t xml:space="preserve"> in 201</w:t>
      </w:r>
      <w:r w:rsidR="00960282">
        <w:t>8</w:t>
      </w:r>
      <w:r w:rsidR="006E3E02">
        <w:t xml:space="preserve"> dollars) per person per year. </w:t>
      </w:r>
    </w:p>
    <w:p w14:paraId="2979B925" w14:textId="6D2024C8" w:rsidR="00EF78B1" w:rsidRDefault="00EF78B1" w:rsidP="006E3E02">
      <w:pPr>
        <w:pStyle w:val="ListBullet"/>
        <w:numPr>
          <w:ilvl w:val="0"/>
          <w:numId w:val="0"/>
        </w:numPr>
      </w:pPr>
      <w:r>
        <w:t>As the Rolfe and Windle study foc</w:t>
      </w:r>
      <w:r w:rsidR="00106BE1">
        <w:t xml:space="preserve">used specifically on Aboriginal cultural heritage, the results of that study should be primary. However, </w:t>
      </w:r>
      <w:r w:rsidR="00DF1C54">
        <w:t>T</w:t>
      </w:r>
      <w:r w:rsidR="00106BE1">
        <w:t>he Allen Consulting Group’s study provides a useful check.</w:t>
      </w:r>
    </w:p>
    <w:p w14:paraId="4BC1EC7B" w14:textId="77777777" w:rsidR="00DF1766" w:rsidRDefault="00DF1766" w:rsidP="00705BA8">
      <w:pPr>
        <w:pStyle w:val="Heading7"/>
        <w:rPr>
          <w:lang w:val="en-US"/>
        </w:rPr>
      </w:pPr>
      <w:bookmarkStart w:id="59" w:name="_Ref504550292"/>
      <w:r>
        <w:rPr>
          <w:lang w:val="en-US"/>
        </w:rPr>
        <w:t>Non-quantified benefits</w:t>
      </w:r>
      <w:bookmarkEnd w:id="59"/>
    </w:p>
    <w:p w14:paraId="3950330F" w14:textId="61A2CC8A" w:rsidR="00C028C0" w:rsidRDefault="008C316A" w:rsidP="008C316A">
      <w:pPr>
        <w:pStyle w:val="PwCNormal"/>
        <w:rPr>
          <w:lang w:val="en-US"/>
        </w:rPr>
      </w:pPr>
      <w:r>
        <w:rPr>
          <w:lang w:val="en-US"/>
        </w:rPr>
        <w:t>There are significant benefits of Aboriginal cultural heritage that cannot be easily quantified. These p</w:t>
      </w:r>
      <w:r w:rsidR="004C5704">
        <w:rPr>
          <w:lang w:val="en-US"/>
        </w:rPr>
        <w:t xml:space="preserve">rimarily relate to improved social, psychological, educational and justice outcomes for </w:t>
      </w:r>
      <w:r w:rsidR="00B42EFF">
        <w:rPr>
          <w:lang w:val="en-US"/>
        </w:rPr>
        <w:t xml:space="preserve">Aboriginal </w:t>
      </w:r>
      <w:r w:rsidR="004C5704">
        <w:rPr>
          <w:lang w:val="en-US"/>
        </w:rPr>
        <w:t>people.</w:t>
      </w:r>
      <w:r w:rsidR="0010471A">
        <w:rPr>
          <w:rStyle w:val="FootnoteReference"/>
          <w:lang w:val="en-US"/>
        </w:rPr>
        <w:footnoteReference w:id="55"/>
      </w:r>
      <w:r w:rsidR="00C028C0">
        <w:rPr>
          <w:lang w:val="en-US"/>
        </w:rPr>
        <w:t xml:space="preserve"> In addition, there are some tourism benefits resulting from the protection of Aboriginal cultural heritage.</w:t>
      </w:r>
    </w:p>
    <w:p w14:paraId="75B287D4" w14:textId="3D8DA792" w:rsidR="00C028C0" w:rsidRDefault="00C028C0" w:rsidP="00705BA8">
      <w:pPr>
        <w:pStyle w:val="Caption"/>
        <w:rPr>
          <w:lang w:val="en-US"/>
        </w:rPr>
      </w:pPr>
      <w:r>
        <w:rPr>
          <w:lang w:val="en-US"/>
        </w:rPr>
        <w:t>Societal benefits of Aboriginal cultural heritage</w:t>
      </w:r>
    </w:p>
    <w:p w14:paraId="699A1382" w14:textId="7E6252EB" w:rsidR="008C316A" w:rsidRDefault="004C5704" w:rsidP="008C316A">
      <w:pPr>
        <w:pStyle w:val="PwCNormal"/>
        <w:rPr>
          <w:lang w:val="en-US"/>
        </w:rPr>
      </w:pPr>
      <w:r>
        <w:rPr>
          <w:lang w:val="en-US"/>
        </w:rPr>
        <w:t>Land</w:t>
      </w:r>
      <w:r w:rsidR="00B42EFF">
        <w:rPr>
          <w:lang w:val="en-US"/>
        </w:rPr>
        <w:t xml:space="preserve"> is</w:t>
      </w:r>
      <w:r>
        <w:rPr>
          <w:lang w:val="en-US"/>
        </w:rPr>
        <w:t xml:space="preserve"> fundamental to </w:t>
      </w:r>
      <w:r w:rsidR="00B42EFF">
        <w:rPr>
          <w:lang w:val="en-US"/>
        </w:rPr>
        <w:t xml:space="preserve">Aboriginal </w:t>
      </w:r>
      <w:r>
        <w:rPr>
          <w:lang w:val="en-US"/>
        </w:rPr>
        <w:t xml:space="preserve">people, and is at the core of all spirituality. </w:t>
      </w:r>
      <w:r w:rsidR="004A1EDD">
        <w:rPr>
          <w:lang w:val="en-US"/>
        </w:rPr>
        <w:t>Aboriginal and Torres Strait Islanders identify themselves through their land areas, and cultural heritage. This is made up of their relationships, stories, language, sacred sites, music, songs, dance, ceremony and visual arts.</w:t>
      </w:r>
      <w:r w:rsidR="004A1EDD">
        <w:rPr>
          <w:rStyle w:val="FootnoteReference"/>
          <w:lang w:val="en-US"/>
        </w:rPr>
        <w:footnoteReference w:id="56"/>
      </w:r>
      <w:r w:rsidR="004A1EDD">
        <w:rPr>
          <w:lang w:val="en-US"/>
        </w:rPr>
        <w:t xml:space="preserve"> </w:t>
      </w:r>
    </w:p>
    <w:p w14:paraId="56EB407C" w14:textId="77777777" w:rsidR="004A1EDD" w:rsidRDefault="004A1EDD" w:rsidP="008C316A">
      <w:pPr>
        <w:pStyle w:val="PwCNormal"/>
        <w:rPr>
          <w:lang w:val="en-US"/>
        </w:rPr>
      </w:pPr>
      <w:r>
        <w:rPr>
          <w:lang w:val="en-US"/>
        </w:rPr>
        <w:t>The Australian Human Rights Commission noted in 2008 that:</w:t>
      </w:r>
      <w:r>
        <w:rPr>
          <w:rStyle w:val="FootnoteReference"/>
          <w:lang w:val="en-US"/>
        </w:rPr>
        <w:footnoteReference w:id="57"/>
      </w:r>
    </w:p>
    <w:p w14:paraId="1A15C238" w14:textId="77777777" w:rsidR="004A1EDD" w:rsidRPr="004A1EDD" w:rsidRDefault="004A1EDD" w:rsidP="004A1EDD">
      <w:pPr>
        <w:pStyle w:val="PwCNormal"/>
        <w:rPr>
          <w:i/>
          <w:lang w:val="en-US"/>
        </w:rPr>
      </w:pPr>
      <w:r w:rsidRPr="004A1EDD">
        <w:rPr>
          <w:i/>
          <w:lang w:val="en-US"/>
        </w:rPr>
        <w:t>Maintaining Australia’s cultural heritage, in all its many forms, has both a human capital and an economic capital dividend. Respecting, nurturing and supporting intangible cultural heritage has clear social benefits (happy, better functioning, more vibrant communities) as well as health benefits (freedom of cultural expression and to practice aspects of traditional life builds social and emotional well-being, which directly improves population-level health outcomes – an important economic saving to the health system).</w:t>
      </w:r>
    </w:p>
    <w:p w14:paraId="4FC8AAC5" w14:textId="22960146" w:rsidR="004A1EDD" w:rsidRDefault="007C6DBE" w:rsidP="00E423D4">
      <w:pPr>
        <w:pStyle w:val="PwCNormal"/>
        <w:rPr>
          <w:lang w:val="en-US"/>
        </w:rPr>
      </w:pPr>
      <w:r w:rsidRPr="00E423D4">
        <w:rPr>
          <w:lang w:val="en-US"/>
        </w:rPr>
        <w:t xml:space="preserve">According to Mike Dockery of Curtin University, </w:t>
      </w:r>
      <w:r w:rsidR="00B42EFF">
        <w:rPr>
          <w:lang w:val="en-US"/>
        </w:rPr>
        <w:t>Aboriginal</w:t>
      </w:r>
      <w:r w:rsidR="00B42EFF" w:rsidRPr="00E423D4">
        <w:rPr>
          <w:lang w:val="en-US"/>
        </w:rPr>
        <w:t xml:space="preserve"> </w:t>
      </w:r>
      <w:r w:rsidRPr="00E423D4">
        <w:rPr>
          <w:lang w:val="en-US"/>
        </w:rPr>
        <w:t>Australians who are happiest, healthiest, have low rates of contact with the corrections system, and good educational outcomes are those with a strong attachment to their culture and a strong Aboriginal identity.</w:t>
      </w:r>
      <w:r>
        <w:rPr>
          <w:rStyle w:val="FootnoteReference"/>
          <w:lang w:val="en-US"/>
        </w:rPr>
        <w:footnoteReference w:id="58"/>
      </w:r>
      <w:r w:rsidR="00E423D4">
        <w:rPr>
          <w:lang w:val="en-US"/>
        </w:rPr>
        <w:t xml:space="preserve"> An ABS publication showed that</w:t>
      </w:r>
      <w:r w:rsidR="00E423D4" w:rsidRPr="00E423D4">
        <w:rPr>
          <w:lang w:val="en-US"/>
        </w:rPr>
        <w:t xml:space="preserve"> i</w:t>
      </w:r>
      <w:r w:rsidR="00E423D4">
        <w:rPr>
          <w:lang w:val="en-US"/>
        </w:rPr>
        <w:t>n remote areas, Aboriginal young people</w:t>
      </w:r>
      <w:r w:rsidR="00E423D4" w:rsidRPr="00E423D4">
        <w:rPr>
          <w:lang w:val="en-US"/>
        </w:rPr>
        <w:t xml:space="preserve"> (aged 15-24) who spoke an </w:t>
      </w:r>
      <w:r w:rsidR="00B42EFF">
        <w:rPr>
          <w:lang w:val="en-US"/>
        </w:rPr>
        <w:t>Aboriginal</w:t>
      </w:r>
      <w:r w:rsidR="00B42EFF" w:rsidRPr="00E423D4">
        <w:rPr>
          <w:lang w:val="en-US"/>
        </w:rPr>
        <w:t xml:space="preserve"> </w:t>
      </w:r>
      <w:r w:rsidR="00E423D4" w:rsidRPr="00E423D4">
        <w:rPr>
          <w:lang w:val="en-US"/>
        </w:rPr>
        <w:t xml:space="preserve">language were less likely than other Aboriginal youth to have </w:t>
      </w:r>
      <w:r w:rsidR="00E423D4">
        <w:rPr>
          <w:lang w:val="en-US"/>
        </w:rPr>
        <w:t xml:space="preserve">engaged in risky alcohol use (8 per cent </w:t>
      </w:r>
      <w:r w:rsidR="00E423D4" w:rsidRPr="00E423D4">
        <w:rPr>
          <w:lang w:val="en-US"/>
        </w:rPr>
        <w:t>compared to 18</w:t>
      </w:r>
      <w:r w:rsidR="00E423D4">
        <w:rPr>
          <w:lang w:val="en-US"/>
        </w:rPr>
        <w:t xml:space="preserve"> per cent</w:t>
      </w:r>
      <w:r w:rsidR="00E423D4" w:rsidRPr="00E423D4">
        <w:rPr>
          <w:lang w:val="en-US"/>
        </w:rPr>
        <w:t>) and illicit substance use (16</w:t>
      </w:r>
      <w:r w:rsidR="00E423D4">
        <w:rPr>
          <w:lang w:val="en-US"/>
        </w:rPr>
        <w:t xml:space="preserve"> per cent</w:t>
      </w:r>
      <w:r w:rsidR="00E423D4" w:rsidRPr="00E423D4">
        <w:rPr>
          <w:lang w:val="en-US"/>
        </w:rPr>
        <w:t xml:space="preserve"> compared to 26</w:t>
      </w:r>
      <w:r w:rsidR="00E423D4">
        <w:rPr>
          <w:lang w:val="en-US"/>
        </w:rPr>
        <w:t xml:space="preserve"> per cent</w:t>
      </w:r>
      <w:r w:rsidR="00E423D4" w:rsidRPr="00E423D4">
        <w:rPr>
          <w:lang w:val="en-US"/>
        </w:rPr>
        <w:t>).</w:t>
      </w:r>
      <w:r w:rsidR="00E423D4">
        <w:rPr>
          <w:rStyle w:val="FootnoteReference"/>
          <w:lang w:val="en-US"/>
        </w:rPr>
        <w:footnoteReference w:id="59"/>
      </w:r>
      <w:r w:rsidR="00106CAC">
        <w:rPr>
          <w:lang w:val="en-US"/>
        </w:rPr>
        <w:t xml:space="preserve"> While this finding</w:t>
      </w:r>
      <w:r w:rsidR="002C5A71">
        <w:rPr>
          <w:lang w:val="en-US"/>
        </w:rPr>
        <w:t xml:space="preserve"> is most directly relevant for </w:t>
      </w:r>
      <w:r w:rsidR="00106CAC">
        <w:rPr>
          <w:lang w:val="en-US"/>
        </w:rPr>
        <w:t xml:space="preserve">Aboriginal people in remote areas, it </w:t>
      </w:r>
      <w:r w:rsidR="002C5A71">
        <w:rPr>
          <w:lang w:val="en-US"/>
        </w:rPr>
        <w:t xml:space="preserve">indicates </w:t>
      </w:r>
      <w:r w:rsidR="00106CAC">
        <w:rPr>
          <w:lang w:val="en-US"/>
        </w:rPr>
        <w:t xml:space="preserve">the </w:t>
      </w:r>
      <w:r w:rsidR="002C5A71">
        <w:rPr>
          <w:lang w:val="en-US"/>
        </w:rPr>
        <w:t>positive impacts of connection with culture, heritage and language.</w:t>
      </w:r>
    </w:p>
    <w:p w14:paraId="0CBD9340" w14:textId="6B6ACF83" w:rsidR="00C028C0" w:rsidRDefault="00C028C0" w:rsidP="00705BA8">
      <w:pPr>
        <w:pStyle w:val="Caption"/>
        <w:rPr>
          <w:lang w:val="en-US"/>
        </w:rPr>
      </w:pPr>
      <w:r>
        <w:rPr>
          <w:lang w:val="en-US"/>
        </w:rPr>
        <w:t>Tourism benefits of Aboriginal cultural heritage</w:t>
      </w:r>
    </w:p>
    <w:p w14:paraId="5FC6AE47" w14:textId="0C722F15" w:rsidR="00C028C0" w:rsidRDefault="00C028C0" w:rsidP="00C028C0">
      <w:pPr>
        <w:pStyle w:val="PwCNormal"/>
      </w:pPr>
      <w:r>
        <w:t xml:space="preserve">The protection of places of Aboriginal cultural heritage significance protected can bring direct benefits to the Victorian economy, if tourists choose to travel to or within Victoria as a result of these places. </w:t>
      </w:r>
      <w:r w:rsidR="00221D83">
        <w:t>For example</w:t>
      </w:r>
      <w:r>
        <w:t>:</w:t>
      </w:r>
    </w:p>
    <w:p w14:paraId="6418C430" w14:textId="77777777" w:rsidR="00C028C0" w:rsidRDefault="00C028C0" w:rsidP="00C028C0">
      <w:pPr>
        <w:pStyle w:val="ListBullet"/>
      </w:pPr>
      <w:r>
        <w:t>in 2004, tourists who visited a heritage place spent an estimated $7.8 billion ($10.8 billion in 2017 dollars) on trips in which they visited at least one historic heritage site</w:t>
      </w:r>
      <w:r>
        <w:rPr>
          <w:rStyle w:val="FootnoteReference"/>
        </w:rPr>
        <w:footnoteReference w:id="60"/>
      </w:r>
    </w:p>
    <w:p w14:paraId="252B62F2" w14:textId="77777777" w:rsidR="00C028C0" w:rsidRDefault="00C028C0" w:rsidP="00C028C0">
      <w:pPr>
        <w:pStyle w:val="ListBullet"/>
      </w:pPr>
      <w:r>
        <w:t>in the year ending in June 2013, 73,800 international visitors and 66,000 domestic overnight visitors to and within Victoria participated in a local Aboriginal experience in the state</w:t>
      </w:r>
      <w:r>
        <w:rPr>
          <w:rStyle w:val="FootnoteReference"/>
        </w:rPr>
        <w:footnoteReference w:id="61"/>
      </w:r>
    </w:p>
    <w:p w14:paraId="0C7F9AE9" w14:textId="77777777" w:rsidR="00C028C0" w:rsidRDefault="00C028C0" w:rsidP="00C028C0">
      <w:pPr>
        <w:pStyle w:val="ListBullet"/>
      </w:pPr>
      <w:r>
        <w:t>according to the Department of Economic Development, Jobs, Transport and Resources, in the year ending September 2017, international tourists each spent around $2,700 on average per person in Victoria,</w:t>
      </w:r>
      <w:r>
        <w:rPr>
          <w:rStyle w:val="FootnoteReference"/>
        </w:rPr>
        <w:footnoteReference w:id="62"/>
      </w:r>
      <w:r>
        <w:t xml:space="preserve"> interstate domestic tourists spent $556 on average per person, and day-trip tourists spent $98 on average per person.</w:t>
      </w:r>
      <w:r>
        <w:rPr>
          <w:rStyle w:val="FootnoteReference"/>
        </w:rPr>
        <w:footnoteReference w:id="63"/>
      </w:r>
    </w:p>
    <w:p w14:paraId="16668A94" w14:textId="77777777" w:rsidR="00C028C0" w:rsidRDefault="00C028C0" w:rsidP="00C028C0">
      <w:pPr>
        <w:pStyle w:val="PwCNormal"/>
        <w:numPr>
          <w:ilvl w:val="0"/>
          <w:numId w:val="0"/>
        </w:numPr>
      </w:pPr>
      <w:r>
        <w:t xml:space="preserve">It is difficult to determine how much tourism spending is attributable to the presence of Aboriginal cultural heritage places. Of those international and interstate visitors that participated in a local Aboriginal experience, some may choose not to visit Victoria if these experiences weren’t available, while others may choose to go to another attraction in Victoria instead. </w:t>
      </w:r>
    </w:p>
    <w:p w14:paraId="74A5D126" w14:textId="77777777" w:rsidR="00C028C0" w:rsidRDefault="00C028C0" w:rsidP="00C028C0">
      <w:pPr>
        <w:pStyle w:val="PwCNormal"/>
        <w:rPr>
          <w:lang w:val="en-US"/>
        </w:rPr>
      </w:pPr>
      <w:r>
        <w:rPr>
          <w:lang w:val="en-US"/>
        </w:rPr>
        <w:t>While the direct impacts of these benefits are difficult to rigorously quantify, they are real and should be considered as part of the assessment of the Options.</w:t>
      </w:r>
    </w:p>
    <w:p w14:paraId="653CD258" w14:textId="77777777" w:rsidR="00DF1766" w:rsidRDefault="00DF1766" w:rsidP="00DF1766">
      <w:pPr>
        <w:pStyle w:val="Heading6"/>
        <w:rPr>
          <w:lang w:val="en-US"/>
        </w:rPr>
      </w:pPr>
      <w:r>
        <w:rPr>
          <w:lang w:val="en-US"/>
        </w:rPr>
        <w:t>Costs of each option</w:t>
      </w:r>
    </w:p>
    <w:p w14:paraId="0002909D" w14:textId="269B5A5A" w:rsidR="00F76599" w:rsidRDefault="00F76599" w:rsidP="00F76599">
      <w:pPr>
        <w:pStyle w:val="PwCNormal"/>
        <w:numPr>
          <w:ilvl w:val="0"/>
          <w:numId w:val="0"/>
        </w:numPr>
        <w:rPr>
          <w:lang w:val="en-US"/>
        </w:rPr>
      </w:pPr>
      <w:r w:rsidRPr="00837427">
        <w:rPr>
          <w:lang w:val="en-US"/>
        </w:rPr>
        <w:t>The significant</w:t>
      </w:r>
      <w:r>
        <w:rPr>
          <w:lang w:val="en-US"/>
        </w:rPr>
        <w:t xml:space="preserve"> costs </w:t>
      </w:r>
      <w:r w:rsidR="00396FD2">
        <w:rPr>
          <w:lang w:val="en-US"/>
        </w:rPr>
        <w:t xml:space="preserve">of </w:t>
      </w:r>
      <w:r>
        <w:rPr>
          <w:lang w:val="en-US"/>
        </w:rPr>
        <w:t xml:space="preserve">each option are set out below in relation to </w:t>
      </w:r>
      <w:r w:rsidR="00945AF6">
        <w:rPr>
          <w:lang w:val="en-US"/>
        </w:rPr>
        <w:t>four main cost categories</w:t>
      </w:r>
      <w:r>
        <w:rPr>
          <w:lang w:val="en-US"/>
        </w:rPr>
        <w:t>:</w:t>
      </w:r>
    </w:p>
    <w:p w14:paraId="7D729440" w14:textId="77777777" w:rsidR="00F76599" w:rsidRDefault="00F76599" w:rsidP="00E72362">
      <w:pPr>
        <w:pStyle w:val="ListBullet"/>
        <w:rPr>
          <w:lang w:val="en-US"/>
        </w:rPr>
      </w:pPr>
      <w:r>
        <w:rPr>
          <w:lang w:val="en-US"/>
        </w:rPr>
        <w:t>The cost to land-users to undertake a CHMP, including providing an NOI to prepare a CHMP, and then conducting a CHMP with desktop, standard or complex assessments.</w:t>
      </w:r>
    </w:p>
    <w:p w14:paraId="2FAE4474" w14:textId="77777777" w:rsidR="00F76599" w:rsidRDefault="00F76599" w:rsidP="00E72362">
      <w:pPr>
        <w:pStyle w:val="ListBullet"/>
        <w:rPr>
          <w:lang w:val="en-US"/>
        </w:rPr>
      </w:pPr>
      <w:r>
        <w:rPr>
          <w:lang w:val="en-US"/>
        </w:rPr>
        <w:t>The cost to land-users of implementing the management conditions (avoidance, minimisation and salvage) from a CHMP.</w:t>
      </w:r>
    </w:p>
    <w:p w14:paraId="5D255D56" w14:textId="138500CA" w:rsidR="00945AF6" w:rsidRDefault="00945AF6" w:rsidP="00E72362">
      <w:pPr>
        <w:pStyle w:val="ListBullet"/>
        <w:rPr>
          <w:lang w:val="en-US"/>
        </w:rPr>
      </w:pPr>
      <w:r>
        <w:rPr>
          <w:lang w:val="en-US"/>
        </w:rPr>
        <w:t xml:space="preserve">Government costs to monitor and enforce the Regulations, and to conduct </w:t>
      </w:r>
      <w:r w:rsidR="00036A09">
        <w:rPr>
          <w:lang w:val="en-US"/>
        </w:rPr>
        <w:t>evaluations</w:t>
      </w:r>
      <w:r>
        <w:rPr>
          <w:lang w:val="en-US"/>
        </w:rPr>
        <w:t>.</w:t>
      </w:r>
    </w:p>
    <w:p w14:paraId="7D7A8F72" w14:textId="707BF5C9" w:rsidR="00945AF6" w:rsidRDefault="00945AF6" w:rsidP="00E72362">
      <w:pPr>
        <w:pStyle w:val="ListBullet"/>
        <w:rPr>
          <w:lang w:val="en-US"/>
        </w:rPr>
      </w:pPr>
      <w:r>
        <w:rPr>
          <w:lang w:val="en-US"/>
        </w:rPr>
        <w:t xml:space="preserve">RAP costs to conduct </w:t>
      </w:r>
      <w:r w:rsidR="00036A09">
        <w:rPr>
          <w:lang w:val="en-US"/>
        </w:rPr>
        <w:t>evaluations</w:t>
      </w:r>
      <w:r>
        <w:rPr>
          <w:lang w:val="en-US"/>
        </w:rPr>
        <w:t>.</w:t>
      </w:r>
    </w:p>
    <w:p w14:paraId="697AB273" w14:textId="4922FF74" w:rsidR="00C028C0" w:rsidRDefault="00221D83" w:rsidP="00E72362">
      <w:pPr>
        <w:pStyle w:val="ListBullet"/>
        <w:rPr>
          <w:lang w:val="en-US"/>
        </w:rPr>
      </w:pPr>
      <w:r>
        <w:rPr>
          <w:lang w:val="en-US"/>
        </w:rPr>
        <w:t>C</w:t>
      </w:r>
      <w:r w:rsidR="00C028C0">
        <w:rPr>
          <w:lang w:val="en-US"/>
        </w:rPr>
        <w:t>osts</w:t>
      </w:r>
      <w:r>
        <w:rPr>
          <w:lang w:val="en-US"/>
        </w:rPr>
        <w:t xml:space="preserve"> that have not been quantified in the RIS,</w:t>
      </w:r>
      <w:r w:rsidR="00C028C0">
        <w:rPr>
          <w:lang w:val="en-US"/>
        </w:rPr>
        <w:t xml:space="preserve"> such as to undertake ACHLMAs, the burden imposed by prescribed forms, and the costs of reduced or delayed development as a result of the requirement to undertake a CHMP. See Section </w:t>
      </w:r>
      <w:r w:rsidR="00C028C0">
        <w:rPr>
          <w:lang w:val="en-US"/>
        </w:rPr>
        <w:fldChar w:fldCharType="begin"/>
      </w:r>
      <w:r w:rsidR="00C028C0">
        <w:rPr>
          <w:lang w:val="en-US"/>
        </w:rPr>
        <w:instrText xml:space="preserve"> REF _Ref504150779 \n \h </w:instrText>
      </w:r>
      <w:r w:rsidR="00C028C0">
        <w:rPr>
          <w:lang w:val="en-US"/>
        </w:rPr>
      </w:r>
      <w:r w:rsidR="00C028C0">
        <w:rPr>
          <w:lang w:val="en-US"/>
        </w:rPr>
        <w:fldChar w:fldCharType="separate"/>
      </w:r>
      <w:r w:rsidR="000369A1">
        <w:rPr>
          <w:lang w:val="en-US"/>
        </w:rPr>
        <w:t>6.4</w:t>
      </w:r>
      <w:r w:rsidR="00C028C0">
        <w:rPr>
          <w:lang w:val="en-US"/>
        </w:rPr>
        <w:fldChar w:fldCharType="end"/>
      </w:r>
      <w:r w:rsidR="00C028C0">
        <w:rPr>
          <w:lang w:val="en-US"/>
        </w:rPr>
        <w:t xml:space="preserve"> for further discussion of these costs</w:t>
      </w:r>
      <w:r>
        <w:rPr>
          <w:lang w:val="en-US"/>
        </w:rPr>
        <w:t>, and why they have not been quantified</w:t>
      </w:r>
      <w:r w:rsidR="00C028C0">
        <w:rPr>
          <w:lang w:val="en-US"/>
        </w:rPr>
        <w:t>.</w:t>
      </w:r>
    </w:p>
    <w:p w14:paraId="520BD582" w14:textId="775681B6" w:rsidR="00E72362" w:rsidRDefault="00E72362" w:rsidP="00E72362">
      <w:pPr>
        <w:pStyle w:val="PwCNormal"/>
        <w:rPr>
          <w:lang w:val="en-US"/>
        </w:rPr>
      </w:pPr>
      <w:r>
        <w:rPr>
          <w:lang w:val="en-US"/>
        </w:rPr>
        <w:t xml:space="preserve">The cost data is primarily based on the responses of 15 heritage advisors </w:t>
      </w:r>
      <w:r w:rsidR="0068473A">
        <w:rPr>
          <w:lang w:val="en-US"/>
        </w:rPr>
        <w:t xml:space="preserve">who responded </w:t>
      </w:r>
      <w:r>
        <w:rPr>
          <w:lang w:val="en-US"/>
        </w:rPr>
        <w:t>to a survey</w:t>
      </w:r>
      <w:r w:rsidR="002C5A71">
        <w:rPr>
          <w:lang w:val="en-US"/>
        </w:rPr>
        <w:t xml:space="preserve"> (out of a total of approximately 200 active heritage advisors)</w:t>
      </w:r>
      <w:r>
        <w:rPr>
          <w:lang w:val="en-US"/>
        </w:rPr>
        <w:t>, with responses from a separate survey of sponsors being used as a check.</w:t>
      </w:r>
    </w:p>
    <w:p w14:paraId="695E7839" w14:textId="77777777" w:rsidR="00837427" w:rsidRDefault="00DF1766" w:rsidP="00837427">
      <w:pPr>
        <w:pStyle w:val="Heading7"/>
        <w:rPr>
          <w:lang w:val="en-US"/>
        </w:rPr>
      </w:pPr>
      <w:r>
        <w:rPr>
          <w:lang w:val="en-US"/>
        </w:rPr>
        <w:t>Option 1: Re-make the Regulations</w:t>
      </w:r>
    </w:p>
    <w:p w14:paraId="3B67A1DC" w14:textId="52D87E51" w:rsidR="00837427" w:rsidRDefault="00837427" w:rsidP="00837427">
      <w:pPr>
        <w:pStyle w:val="Caption"/>
        <w:rPr>
          <w:lang w:val="en-US"/>
        </w:rPr>
      </w:pPr>
      <w:r>
        <w:rPr>
          <w:lang w:val="en-US"/>
        </w:rPr>
        <w:t>The cost</w:t>
      </w:r>
      <w:r w:rsidR="0035193C">
        <w:rPr>
          <w:lang w:val="en-US"/>
        </w:rPr>
        <w:t xml:space="preserve"> to </w:t>
      </w:r>
      <w:r w:rsidR="00F76599">
        <w:rPr>
          <w:lang w:val="en-US"/>
        </w:rPr>
        <w:t xml:space="preserve">land-users </w:t>
      </w:r>
      <w:r>
        <w:rPr>
          <w:lang w:val="en-US"/>
        </w:rPr>
        <w:t xml:space="preserve">to </w:t>
      </w:r>
      <w:r w:rsidR="00392B48">
        <w:rPr>
          <w:lang w:val="en-US"/>
        </w:rPr>
        <w:t xml:space="preserve">prepare </w:t>
      </w:r>
      <w:r>
        <w:rPr>
          <w:lang w:val="en-US"/>
        </w:rPr>
        <w:t>a CHMP</w:t>
      </w:r>
    </w:p>
    <w:p w14:paraId="11B942DA" w14:textId="3DD41E51" w:rsidR="006E6831" w:rsidRDefault="006E6831" w:rsidP="006E6831">
      <w:pPr>
        <w:pStyle w:val="PwCNormal"/>
      </w:pPr>
      <w:r>
        <w:t>This section shows the estimate</w:t>
      </w:r>
      <w:r w:rsidR="00392B48">
        <w:t>d</w:t>
      </w:r>
      <w:r>
        <w:t xml:space="preserve"> costs to </w:t>
      </w:r>
      <w:r w:rsidR="00F76599">
        <w:t xml:space="preserve">land-users to </w:t>
      </w:r>
      <w:r w:rsidR="00392B48">
        <w:t>prepare a</w:t>
      </w:r>
      <w:r>
        <w:t xml:space="preserve"> CHMP.</w:t>
      </w:r>
      <w:r w:rsidR="0009734D">
        <w:t xml:space="preserve"> As discussed in Section</w:t>
      </w:r>
      <w:r w:rsidR="001429B1">
        <w:t xml:space="preserve"> </w:t>
      </w:r>
      <w:r w:rsidR="001429B1">
        <w:fldChar w:fldCharType="begin"/>
      </w:r>
      <w:r w:rsidR="001429B1">
        <w:instrText xml:space="preserve"> REF _Ref504141017 \n \h </w:instrText>
      </w:r>
      <w:r w:rsidR="001429B1">
        <w:fldChar w:fldCharType="separate"/>
      </w:r>
      <w:r w:rsidR="000369A1">
        <w:t>3.3</w:t>
      </w:r>
      <w:r w:rsidR="001429B1">
        <w:fldChar w:fldCharType="end"/>
      </w:r>
      <w:r w:rsidR="0009734D">
        <w:t xml:space="preserve">, </w:t>
      </w:r>
      <w:r w:rsidR="002C5A71">
        <w:t xml:space="preserve">these costs </w:t>
      </w:r>
      <w:r w:rsidR="0009734D">
        <w:t xml:space="preserve">do not include the costs of those CHMPs </w:t>
      </w:r>
      <w:r w:rsidR="00392B48">
        <w:t xml:space="preserve">prepared </w:t>
      </w:r>
      <w:r w:rsidR="0043077A">
        <w:t xml:space="preserve">voluntarily, however, </w:t>
      </w:r>
      <w:r w:rsidR="002C5A71">
        <w:t xml:space="preserve">do </w:t>
      </w:r>
      <w:r w:rsidR="0043077A">
        <w:t xml:space="preserve">include the cost of </w:t>
      </w:r>
      <w:r w:rsidR="00392B48">
        <w:t xml:space="preserve">preparing </w:t>
      </w:r>
      <w:r w:rsidR="002C5A71">
        <w:t xml:space="preserve">the 11 </w:t>
      </w:r>
      <w:r w:rsidR="0043077A">
        <w:t>CHMP</w:t>
      </w:r>
      <w:r w:rsidR="002C5A71">
        <w:t>s</w:t>
      </w:r>
      <w:r w:rsidR="0043077A">
        <w:t xml:space="preserve"> required by the Act (as the standards in the Regulations dictate most of the cost of the CHMP).</w:t>
      </w:r>
    </w:p>
    <w:p w14:paraId="0B465514" w14:textId="4CBB26C4" w:rsidR="0035193C" w:rsidRPr="006E6831" w:rsidRDefault="0035193C" w:rsidP="006E6831">
      <w:pPr>
        <w:pStyle w:val="PwCNormal"/>
      </w:pPr>
      <w:r w:rsidRPr="006E6831">
        <w:t xml:space="preserve">Note that the estimated costs to Government and RAPs to undertake the </w:t>
      </w:r>
      <w:r w:rsidR="00036A09">
        <w:t>evaluation</w:t>
      </w:r>
      <w:r w:rsidR="00036A09" w:rsidRPr="006E6831">
        <w:t xml:space="preserve"> </w:t>
      </w:r>
      <w:r w:rsidRPr="006E6831">
        <w:t>of CHMPs are shown in the Fees section, and are considered as transfers as they are paid (through the fees) by sponsors.</w:t>
      </w:r>
    </w:p>
    <w:p w14:paraId="243A965E" w14:textId="0D9BD2B6" w:rsidR="00376901" w:rsidRDefault="00376901" w:rsidP="00376901">
      <w:pPr>
        <w:pStyle w:val="Heading9"/>
        <w:rPr>
          <w:lang w:val="en-US"/>
        </w:rPr>
      </w:pPr>
      <w:r>
        <w:rPr>
          <w:lang w:val="en-US"/>
        </w:rPr>
        <w:t>Notice of Intent</w:t>
      </w:r>
      <w:r w:rsidR="00392B48">
        <w:rPr>
          <w:lang w:val="en-US"/>
        </w:rPr>
        <w:t>ion</w:t>
      </w:r>
      <w:r>
        <w:rPr>
          <w:lang w:val="en-US"/>
        </w:rPr>
        <w:t xml:space="preserve"> to </w:t>
      </w:r>
      <w:r w:rsidR="00392B48">
        <w:rPr>
          <w:lang w:val="en-US"/>
        </w:rPr>
        <w:t xml:space="preserve">prepare </w:t>
      </w:r>
      <w:r>
        <w:rPr>
          <w:lang w:val="en-US"/>
        </w:rPr>
        <w:t>a CHMP</w:t>
      </w:r>
    </w:p>
    <w:p w14:paraId="76A74D2A" w14:textId="26AF48AB" w:rsidR="00837427" w:rsidRDefault="00837427" w:rsidP="00837427">
      <w:pPr>
        <w:pStyle w:val="PwCNormal"/>
        <w:rPr>
          <w:lang w:val="en-US"/>
        </w:rPr>
      </w:pPr>
      <w:r w:rsidRPr="00376901">
        <w:rPr>
          <w:lang w:val="en-US"/>
        </w:rPr>
        <w:t>If a sponsor believes that they are conducting a high impact activity, in an area of cultural heritage sensitivity,</w:t>
      </w:r>
      <w:r w:rsidR="00376901" w:rsidRPr="00376901">
        <w:rPr>
          <w:lang w:val="en-US"/>
        </w:rPr>
        <w:t xml:space="preserve"> they provide a NOI</w:t>
      </w:r>
      <w:r w:rsidR="00E84D5E">
        <w:rPr>
          <w:lang w:val="en-US"/>
        </w:rPr>
        <w:t xml:space="preserve"> to prepare </w:t>
      </w:r>
      <w:r w:rsidRPr="00376901">
        <w:rPr>
          <w:lang w:val="en-US"/>
        </w:rPr>
        <w:t>a CHMP to the RAP (or in the case of areas with no RAP assigned), to AV. According to surveys of heritage advisors and sponso</w:t>
      </w:r>
      <w:r w:rsidR="00E1123B">
        <w:rPr>
          <w:lang w:val="en-US"/>
        </w:rPr>
        <w:t xml:space="preserve">rs undertaken for this RIS, the Regulations impose a cost of </w:t>
      </w:r>
      <w:r w:rsidRPr="00376901">
        <w:rPr>
          <w:lang w:val="en-US"/>
        </w:rPr>
        <w:t>approximately $</w:t>
      </w:r>
      <w:r w:rsidR="00E1123B">
        <w:rPr>
          <w:lang w:val="en-US"/>
        </w:rPr>
        <w:t>29</w:t>
      </w:r>
      <w:r w:rsidR="008A7F38">
        <w:rPr>
          <w:lang w:val="en-US"/>
        </w:rPr>
        <w:t>9</w:t>
      </w:r>
      <w:r w:rsidRPr="00376901">
        <w:rPr>
          <w:lang w:val="en-US"/>
        </w:rPr>
        <w:t xml:space="preserve"> </w:t>
      </w:r>
      <w:r w:rsidR="00376901" w:rsidRPr="00376901">
        <w:rPr>
          <w:lang w:val="en-US"/>
        </w:rPr>
        <w:t>for a sponsor to commission</w:t>
      </w:r>
      <w:r w:rsidR="00E1123B">
        <w:rPr>
          <w:lang w:val="en-US"/>
        </w:rPr>
        <w:t xml:space="preserve"> an NOI</w:t>
      </w:r>
      <w:r w:rsidRPr="00376901">
        <w:rPr>
          <w:lang w:val="en-US"/>
        </w:rPr>
        <w:t xml:space="preserve">. </w:t>
      </w:r>
      <w:r w:rsidR="00376901" w:rsidRPr="00376901">
        <w:rPr>
          <w:lang w:val="en-US"/>
        </w:rPr>
        <w:t>The</w:t>
      </w:r>
      <w:r w:rsidR="007D0564">
        <w:rPr>
          <w:lang w:val="en-US"/>
        </w:rPr>
        <w:t xml:space="preserve"> number of NOIs per year is anticipated to be similar to current levels at</w:t>
      </w:r>
      <w:r w:rsidR="00376901" w:rsidRPr="00376901">
        <w:rPr>
          <w:lang w:val="en-US"/>
        </w:rPr>
        <w:t xml:space="preserve"> around 759 NOIs per year,</w:t>
      </w:r>
      <w:r w:rsidR="007D0564">
        <w:rPr>
          <w:rStyle w:val="FootnoteReference"/>
          <w:lang w:val="en-US"/>
        </w:rPr>
        <w:footnoteReference w:id="64"/>
      </w:r>
      <w:r w:rsidR="00376901" w:rsidRPr="00376901">
        <w:rPr>
          <w:lang w:val="en-US"/>
        </w:rPr>
        <w:t xml:space="preserve"> </w:t>
      </w:r>
      <w:r w:rsidR="00376901">
        <w:rPr>
          <w:lang w:val="en-US"/>
        </w:rPr>
        <w:t>implying</w:t>
      </w:r>
      <w:r w:rsidR="00376901" w:rsidRPr="00376901">
        <w:rPr>
          <w:lang w:val="en-US"/>
        </w:rPr>
        <w:t xml:space="preserve"> a total </w:t>
      </w:r>
      <w:r w:rsidR="00E1123B">
        <w:rPr>
          <w:lang w:val="en-US"/>
        </w:rPr>
        <w:t xml:space="preserve">attributable </w:t>
      </w:r>
      <w:r w:rsidR="00376901" w:rsidRPr="00376901">
        <w:rPr>
          <w:lang w:val="en-US"/>
        </w:rPr>
        <w:t>cost per year of $</w:t>
      </w:r>
      <w:r w:rsidR="008A7F38">
        <w:rPr>
          <w:lang w:val="en-US"/>
        </w:rPr>
        <w:t>161,102</w:t>
      </w:r>
      <w:r w:rsidR="00376901">
        <w:rPr>
          <w:lang w:val="en-US"/>
        </w:rPr>
        <w:t xml:space="preserve"> per annum.</w:t>
      </w:r>
    </w:p>
    <w:p w14:paraId="0B484D3B" w14:textId="77777777" w:rsidR="00376901" w:rsidRDefault="00376901" w:rsidP="00376901">
      <w:pPr>
        <w:pStyle w:val="Heading9"/>
        <w:rPr>
          <w:lang w:val="en-US"/>
        </w:rPr>
      </w:pPr>
      <w:r>
        <w:rPr>
          <w:lang w:val="en-US"/>
        </w:rPr>
        <w:t>CHMP</w:t>
      </w:r>
      <w:r w:rsidR="00CF2797">
        <w:rPr>
          <w:lang w:val="en-US"/>
        </w:rPr>
        <w:t>s</w:t>
      </w:r>
      <w:r>
        <w:rPr>
          <w:lang w:val="en-US"/>
        </w:rPr>
        <w:t xml:space="preserve"> with </w:t>
      </w:r>
      <w:r w:rsidR="00267DAE">
        <w:rPr>
          <w:lang w:val="en-US"/>
        </w:rPr>
        <w:t>desktop, standard and complex a</w:t>
      </w:r>
      <w:r>
        <w:rPr>
          <w:lang w:val="en-US"/>
        </w:rPr>
        <w:t>ssessment</w:t>
      </w:r>
      <w:r w:rsidR="00267DAE">
        <w:rPr>
          <w:lang w:val="en-US"/>
        </w:rPr>
        <w:t>s</w:t>
      </w:r>
    </w:p>
    <w:p w14:paraId="6FC78568" w14:textId="77777777" w:rsidR="00267DAE" w:rsidRDefault="00E23A0D" w:rsidP="00837427">
      <w:pPr>
        <w:pStyle w:val="PwCNormal"/>
        <w:rPr>
          <w:lang w:val="en-US"/>
        </w:rPr>
      </w:pPr>
      <w:r>
        <w:rPr>
          <w:lang w:val="en-US"/>
        </w:rPr>
        <w:t xml:space="preserve">If the Sponsor decides to proceed with the CHMP, the first step is to conduct a desktop assessment. </w:t>
      </w:r>
      <w:r w:rsidR="00267DAE">
        <w:rPr>
          <w:lang w:val="en-US"/>
        </w:rPr>
        <w:t>If it is possible that Aboriginal cultural heritage could be found in the area, a standard assessment is required as part of a CHMP.</w:t>
      </w:r>
      <w:r w:rsidR="00267DAE" w:rsidRPr="00267DAE">
        <w:rPr>
          <w:lang w:val="en-US"/>
        </w:rPr>
        <w:t xml:space="preserve"> </w:t>
      </w:r>
      <w:r w:rsidR="00267DAE">
        <w:rPr>
          <w:lang w:val="en-US"/>
        </w:rPr>
        <w:t>If, following a standard assessment, it is necessary to identify the extent, nature and significance of Aboriginal cultural heritage in an area, a complex assessment is required.</w:t>
      </w:r>
    </w:p>
    <w:p w14:paraId="5455D0BB" w14:textId="2A1D97C1" w:rsidR="00014279" w:rsidRDefault="00014279" w:rsidP="00837427">
      <w:pPr>
        <w:pStyle w:val="PwCNormal"/>
        <w:rPr>
          <w:lang w:val="en-US"/>
        </w:rPr>
      </w:pPr>
      <w:r>
        <w:rPr>
          <w:lang w:val="en-US"/>
        </w:rPr>
        <w:t xml:space="preserve">The number and costs of CHMPs by type are </w:t>
      </w:r>
      <w:r w:rsidRPr="00533381">
        <w:t>summarised</w:t>
      </w:r>
      <w:r>
        <w:rPr>
          <w:lang w:val="en-US"/>
        </w:rPr>
        <w:t xml:space="preserve"> in</w:t>
      </w:r>
      <w:r w:rsidR="00697735">
        <w:rPr>
          <w:lang w:val="en-US"/>
        </w:rPr>
        <w:t xml:space="preserve"> </w:t>
      </w:r>
      <w:r w:rsidR="00697735">
        <w:rPr>
          <w:lang w:val="en-US"/>
        </w:rPr>
        <w:fldChar w:fldCharType="begin"/>
      </w:r>
      <w:r w:rsidR="00697735">
        <w:rPr>
          <w:lang w:val="en-US"/>
        </w:rPr>
        <w:instrText xml:space="preserve"> REF _Ref500933588 \h </w:instrText>
      </w:r>
      <w:r w:rsidR="00697735">
        <w:rPr>
          <w:lang w:val="en-US"/>
        </w:rPr>
      </w:r>
      <w:r w:rsidR="00697735">
        <w:rPr>
          <w:lang w:val="en-US"/>
        </w:rPr>
        <w:fldChar w:fldCharType="separate"/>
      </w:r>
      <w:r w:rsidR="000369A1">
        <w:t xml:space="preserve">Table </w:t>
      </w:r>
      <w:r w:rsidR="000369A1">
        <w:rPr>
          <w:noProof/>
        </w:rPr>
        <w:t>10</w:t>
      </w:r>
      <w:r w:rsidR="00697735">
        <w:rPr>
          <w:lang w:val="en-US"/>
        </w:rPr>
        <w:fldChar w:fldCharType="end"/>
      </w:r>
      <w:r>
        <w:rPr>
          <w:lang w:val="en-US"/>
        </w:rPr>
        <w:t>.</w:t>
      </w:r>
    </w:p>
    <w:p w14:paraId="217B7BDE" w14:textId="77777777" w:rsidR="002D2D87" w:rsidRDefault="002D2D87" w:rsidP="00837427">
      <w:pPr>
        <w:pStyle w:val="PwCNormal"/>
        <w:rPr>
          <w:lang w:val="en-US"/>
        </w:rPr>
      </w:pPr>
    </w:p>
    <w:p w14:paraId="7B3569C6" w14:textId="4C5385FA" w:rsidR="00697735" w:rsidRDefault="00697735" w:rsidP="00697735">
      <w:pPr>
        <w:pStyle w:val="Caption"/>
      </w:pPr>
      <w:bookmarkStart w:id="60" w:name="_Ref500933588"/>
      <w:r>
        <w:t xml:space="preserve">Table </w:t>
      </w:r>
      <w:r w:rsidR="00B47FE6">
        <w:fldChar w:fldCharType="begin"/>
      </w:r>
      <w:r w:rsidR="00B47FE6">
        <w:instrText xml:space="preserve"> SEQ Table \* ARABIC </w:instrText>
      </w:r>
      <w:r w:rsidR="00B47FE6">
        <w:fldChar w:fldCharType="separate"/>
      </w:r>
      <w:r w:rsidR="000369A1">
        <w:rPr>
          <w:noProof/>
        </w:rPr>
        <w:t>10</w:t>
      </w:r>
      <w:r w:rsidR="00B47FE6">
        <w:rPr>
          <w:noProof/>
        </w:rPr>
        <w:fldChar w:fldCharType="end"/>
      </w:r>
      <w:bookmarkEnd w:id="60"/>
      <w:r>
        <w:t xml:space="preserve">: Number </w:t>
      </w:r>
      <w:r w:rsidR="00D37FEB">
        <w:t>and cost of CHMPs, by type (2018</w:t>
      </w:r>
      <w:r>
        <w:t xml:space="preserve"> dollars)</w:t>
      </w:r>
    </w:p>
    <w:tbl>
      <w:tblPr>
        <w:tblStyle w:val="ListTable3-Accent11"/>
        <w:tblW w:w="8497" w:type="dxa"/>
        <w:tblCellMar>
          <w:top w:w="57" w:type="dxa"/>
          <w:bottom w:w="57" w:type="dxa"/>
        </w:tblCellMar>
        <w:tblLook w:val="04A0" w:firstRow="1" w:lastRow="0" w:firstColumn="1" w:lastColumn="0" w:noHBand="0" w:noVBand="1"/>
      </w:tblPr>
      <w:tblGrid>
        <w:gridCol w:w="2090"/>
        <w:gridCol w:w="2135"/>
        <w:gridCol w:w="2136"/>
        <w:gridCol w:w="2136"/>
      </w:tblGrid>
      <w:tr w:rsidR="00533381" w14:paraId="51218F33" w14:textId="77777777" w:rsidTr="008A7F38">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2090" w:type="dxa"/>
            <w:vAlign w:val="center"/>
          </w:tcPr>
          <w:p w14:paraId="4B27DAF2" w14:textId="77777777" w:rsidR="00014279" w:rsidRDefault="00533381" w:rsidP="009F1FC2">
            <w:r>
              <w:t>CHMP type</w:t>
            </w:r>
          </w:p>
        </w:tc>
        <w:tc>
          <w:tcPr>
            <w:tcW w:w="2135" w:type="dxa"/>
            <w:vAlign w:val="center"/>
          </w:tcPr>
          <w:p w14:paraId="5307663B" w14:textId="77777777" w:rsidR="00014279" w:rsidRDefault="00533381" w:rsidP="008A7F38">
            <w:pPr>
              <w:jc w:val="center"/>
              <w:cnfStyle w:val="100000000000" w:firstRow="1" w:lastRow="0" w:firstColumn="0" w:lastColumn="0" w:oddVBand="0" w:evenVBand="0" w:oddHBand="0" w:evenHBand="0" w:firstRowFirstColumn="0" w:firstRowLastColumn="0" w:lastRowFirstColumn="0" w:lastRowLastColumn="0"/>
            </w:pPr>
            <w:r>
              <w:t>Desktop assessment</w:t>
            </w:r>
          </w:p>
        </w:tc>
        <w:tc>
          <w:tcPr>
            <w:tcW w:w="2136" w:type="dxa"/>
            <w:vAlign w:val="center"/>
          </w:tcPr>
          <w:p w14:paraId="5DE9C9FC" w14:textId="77777777" w:rsidR="00014279" w:rsidRDefault="00533381" w:rsidP="008A7F38">
            <w:pPr>
              <w:jc w:val="center"/>
              <w:cnfStyle w:val="100000000000" w:firstRow="1" w:lastRow="0" w:firstColumn="0" w:lastColumn="0" w:oddVBand="0" w:evenVBand="0" w:oddHBand="0" w:evenHBand="0" w:firstRowFirstColumn="0" w:firstRowLastColumn="0" w:lastRowFirstColumn="0" w:lastRowLastColumn="0"/>
            </w:pPr>
            <w:r>
              <w:t>Standard assessment</w:t>
            </w:r>
          </w:p>
        </w:tc>
        <w:tc>
          <w:tcPr>
            <w:tcW w:w="2136" w:type="dxa"/>
            <w:vAlign w:val="center"/>
          </w:tcPr>
          <w:p w14:paraId="6CF6BF9B" w14:textId="77777777" w:rsidR="00014279" w:rsidRDefault="00533381" w:rsidP="008A7F38">
            <w:pPr>
              <w:jc w:val="center"/>
              <w:cnfStyle w:val="100000000000" w:firstRow="1" w:lastRow="0" w:firstColumn="0" w:lastColumn="0" w:oddVBand="0" w:evenVBand="0" w:oddHBand="0" w:evenHBand="0" w:firstRowFirstColumn="0" w:firstRowLastColumn="0" w:lastRowFirstColumn="0" w:lastRowLastColumn="0"/>
            </w:pPr>
            <w:r>
              <w:t>Complex assessment</w:t>
            </w:r>
          </w:p>
        </w:tc>
      </w:tr>
      <w:tr w:rsidR="00533381" w14:paraId="76E51026" w14:textId="77777777" w:rsidTr="00E113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0F7F74F7" w14:textId="1C94FCB5" w:rsidR="00014279" w:rsidRPr="009F1FC2" w:rsidRDefault="007D0564" w:rsidP="009F1FC2">
            <w:pPr>
              <w:rPr>
                <w:color w:val="FFFFFF" w:themeColor="background1"/>
              </w:rPr>
            </w:pPr>
            <w:r>
              <w:rPr>
                <w:color w:val="FFFFFF" w:themeColor="background1"/>
              </w:rPr>
              <w:t>Anticipated n</w:t>
            </w:r>
            <w:r w:rsidR="00533381" w:rsidRPr="009F1FC2">
              <w:rPr>
                <w:color w:val="FFFFFF" w:themeColor="background1"/>
              </w:rPr>
              <w:t xml:space="preserve">umber </w:t>
            </w:r>
            <w:r w:rsidR="009F1FC2">
              <w:rPr>
                <w:color w:val="FFFFFF" w:themeColor="background1"/>
              </w:rPr>
              <w:t xml:space="preserve">completed </w:t>
            </w:r>
            <w:r w:rsidR="00533381" w:rsidRPr="009F1FC2">
              <w:rPr>
                <w:color w:val="FFFFFF" w:themeColor="background1"/>
              </w:rPr>
              <w:t>annually</w:t>
            </w:r>
            <w:r w:rsidR="00CF2797" w:rsidRPr="009F1FC2">
              <w:rPr>
                <w:color w:val="FFFFFF" w:themeColor="background1"/>
              </w:rPr>
              <w:t xml:space="preserve"> due to the Regulations</w:t>
            </w:r>
            <w:r w:rsidR="0083188B" w:rsidRPr="009F1FC2">
              <w:rPr>
                <w:rStyle w:val="FootnoteReference"/>
                <w:color w:val="FFFFFF" w:themeColor="background1"/>
              </w:rPr>
              <w:footnoteReference w:id="65"/>
            </w:r>
          </w:p>
        </w:tc>
        <w:tc>
          <w:tcPr>
            <w:tcW w:w="2135" w:type="dxa"/>
            <w:vAlign w:val="center"/>
          </w:tcPr>
          <w:p w14:paraId="27B6EE9D" w14:textId="77777777" w:rsidR="00014279" w:rsidRDefault="00CF2797" w:rsidP="009F1FC2">
            <w:pPr>
              <w:jc w:val="center"/>
              <w:cnfStyle w:val="000000100000" w:firstRow="0" w:lastRow="0" w:firstColumn="0" w:lastColumn="0" w:oddVBand="0" w:evenVBand="0" w:oddHBand="1" w:evenHBand="0" w:firstRowFirstColumn="0" w:firstRowLastColumn="0" w:lastRowFirstColumn="0" w:lastRowLastColumn="0"/>
            </w:pPr>
            <w:r>
              <w:t>37</w:t>
            </w:r>
            <w:r w:rsidR="00533381">
              <w:t xml:space="preserve"> (6% of the total)</w:t>
            </w:r>
          </w:p>
        </w:tc>
        <w:tc>
          <w:tcPr>
            <w:tcW w:w="2136" w:type="dxa"/>
            <w:vAlign w:val="center"/>
          </w:tcPr>
          <w:p w14:paraId="2FECD06F" w14:textId="77777777" w:rsidR="00014279" w:rsidRDefault="00CF2797" w:rsidP="009F1FC2">
            <w:pPr>
              <w:jc w:val="center"/>
              <w:cnfStyle w:val="000000100000" w:firstRow="0" w:lastRow="0" w:firstColumn="0" w:lastColumn="0" w:oddVBand="0" w:evenVBand="0" w:oddHBand="1" w:evenHBand="0" w:firstRowFirstColumn="0" w:firstRowLastColumn="0" w:lastRowFirstColumn="0" w:lastRowLastColumn="0"/>
            </w:pPr>
            <w:r>
              <w:t>88</w:t>
            </w:r>
            <w:r w:rsidR="00533381">
              <w:t xml:space="preserve"> (14% of the total)</w:t>
            </w:r>
          </w:p>
        </w:tc>
        <w:tc>
          <w:tcPr>
            <w:tcW w:w="2136" w:type="dxa"/>
            <w:vAlign w:val="center"/>
          </w:tcPr>
          <w:p w14:paraId="2B04EC2C" w14:textId="65D073DF" w:rsidR="00014279" w:rsidRDefault="0043077A" w:rsidP="009F1FC2">
            <w:pPr>
              <w:jc w:val="center"/>
              <w:cnfStyle w:val="000000100000" w:firstRow="0" w:lastRow="0" w:firstColumn="0" w:lastColumn="0" w:oddVBand="0" w:evenVBand="0" w:oddHBand="1" w:evenHBand="0" w:firstRowFirstColumn="0" w:firstRowLastColumn="0" w:lastRowFirstColumn="0" w:lastRowLastColumn="0"/>
            </w:pPr>
            <w:r>
              <w:t>511</w:t>
            </w:r>
            <w:r w:rsidR="00533381">
              <w:t xml:space="preserve"> (80% of the total)</w:t>
            </w:r>
          </w:p>
        </w:tc>
      </w:tr>
      <w:tr w:rsidR="00533381" w14:paraId="7E0176CC" w14:textId="77777777" w:rsidTr="00E1133A">
        <w:trPr>
          <w:trHeight w:val="433"/>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4CA97C89" w14:textId="77777777" w:rsidR="00014279" w:rsidRPr="009F1FC2" w:rsidRDefault="00F10180" w:rsidP="009F1FC2">
            <w:pPr>
              <w:rPr>
                <w:color w:val="FFFFFF" w:themeColor="background1"/>
              </w:rPr>
            </w:pPr>
            <w:r w:rsidRPr="009F1FC2">
              <w:rPr>
                <w:color w:val="FFFFFF" w:themeColor="background1"/>
              </w:rPr>
              <w:t>Average cost of commissioning a heritage advisor</w:t>
            </w:r>
            <w:r w:rsidR="0083188B" w:rsidRPr="009F1FC2">
              <w:rPr>
                <w:rStyle w:val="FootnoteReference"/>
                <w:color w:val="FFFFFF" w:themeColor="background1"/>
              </w:rPr>
              <w:footnoteReference w:id="66"/>
            </w:r>
          </w:p>
        </w:tc>
        <w:tc>
          <w:tcPr>
            <w:tcW w:w="2135" w:type="dxa"/>
            <w:vAlign w:val="center"/>
          </w:tcPr>
          <w:p w14:paraId="1D1B81FE" w14:textId="1AAF757C" w:rsidR="00014279" w:rsidRDefault="00F10180" w:rsidP="008A7F38">
            <w:pPr>
              <w:jc w:val="center"/>
              <w:cnfStyle w:val="000000000000" w:firstRow="0" w:lastRow="0" w:firstColumn="0" w:lastColumn="0" w:oddVBand="0" w:evenVBand="0" w:oddHBand="0" w:evenHBand="0" w:firstRowFirstColumn="0" w:firstRowLastColumn="0" w:lastRowFirstColumn="0" w:lastRowLastColumn="0"/>
            </w:pPr>
            <w:r>
              <w:t>$</w:t>
            </w:r>
            <w:r w:rsidR="008A7F38">
              <w:t>5,264</w:t>
            </w:r>
          </w:p>
        </w:tc>
        <w:tc>
          <w:tcPr>
            <w:tcW w:w="2136" w:type="dxa"/>
            <w:vAlign w:val="center"/>
          </w:tcPr>
          <w:p w14:paraId="4356A82B" w14:textId="583AE5B2" w:rsidR="00014279" w:rsidRDefault="00F10180" w:rsidP="008A7F38">
            <w:pPr>
              <w:jc w:val="center"/>
              <w:cnfStyle w:val="000000000000" w:firstRow="0" w:lastRow="0" w:firstColumn="0" w:lastColumn="0" w:oddVBand="0" w:evenVBand="0" w:oddHBand="0" w:evenHBand="0" w:firstRowFirstColumn="0" w:firstRowLastColumn="0" w:lastRowFirstColumn="0" w:lastRowLastColumn="0"/>
            </w:pPr>
            <w:r>
              <w:t>$</w:t>
            </w:r>
            <w:r w:rsidR="008A7F38">
              <w:t>15,104</w:t>
            </w:r>
          </w:p>
        </w:tc>
        <w:tc>
          <w:tcPr>
            <w:tcW w:w="2136" w:type="dxa"/>
            <w:vAlign w:val="center"/>
          </w:tcPr>
          <w:p w14:paraId="6E7E4A9E" w14:textId="668ABAB9" w:rsidR="00014279" w:rsidRDefault="00F10180" w:rsidP="008A7F38">
            <w:pPr>
              <w:jc w:val="center"/>
              <w:cnfStyle w:val="000000000000" w:firstRow="0" w:lastRow="0" w:firstColumn="0" w:lastColumn="0" w:oddVBand="0" w:evenVBand="0" w:oddHBand="0" w:evenHBand="0" w:firstRowFirstColumn="0" w:firstRowLastColumn="0" w:lastRowFirstColumn="0" w:lastRowLastColumn="0"/>
            </w:pPr>
            <w:r>
              <w:t>$</w:t>
            </w:r>
            <w:r w:rsidR="008A7F38">
              <w:t>28,319</w:t>
            </w:r>
          </w:p>
        </w:tc>
      </w:tr>
      <w:tr w:rsidR="00533381" w14:paraId="3F28B013" w14:textId="77777777" w:rsidTr="00E1133A">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5102664F" w14:textId="364BA775" w:rsidR="00014279" w:rsidRPr="009F1FC2" w:rsidRDefault="008558EB" w:rsidP="008558EB">
            <w:pPr>
              <w:rPr>
                <w:color w:val="FFFFFF" w:themeColor="background1"/>
              </w:rPr>
            </w:pPr>
            <w:r>
              <w:rPr>
                <w:color w:val="FFFFFF" w:themeColor="background1"/>
              </w:rPr>
              <w:t>Total s</w:t>
            </w:r>
            <w:r w:rsidR="00F10180" w:rsidRPr="009F1FC2">
              <w:rPr>
                <w:color w:val="FFFFFF" w:themeColor="background1"/>
              </w:rPr>
              <w:t>ponsor time required</w:t>
            </w:r>
            <w:r w:rsidR="0083188B" w:rsidRPr="009F1FC2">
              <w:rPr>
                <w:rStyle w:val="FootnoteReference"/>
                <w:color w:val="FFFFFF" w:themeColor="background1"/>
              </w:rPr>
              <w:footnoteReference w:id="67"/>
            </w:r>
          </w:p>
        </w:tc>
        <w:tc>
          <w:tcPr>
            <w:tcW w:w="2135" w:type="dxa"/>
            <w:vAlign w:val="center"/>
          </w:tcPr>
          <w:p w14:paraId="641BC8CD"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14.5 hours</w:t>
            </w:r>
          </w:p>
        </w:tc>
        <w:tc>
          <w:tcPr>
            <w:tcW w:w="2136" w:type="dxa"/>
            <w:vAlign w:val="center"/>
          </w:tcPr>
          <w:p w14:paraId="18F35417"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20.6 hours</w:t>
            </w:r>
          </w:p>
        </w:tc>
        <w:tc>
          <w:tcPr>
            <w:tcW w:w="2136" w:type="dxa"/>
            <w:vAlign w:val="center"/>
          </w:tcPr>
          <w:p w14:paraId="49EDB43F"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32.8 hours</w:t>
            </w:r>
          </w:p>
        </w:tc>
      </w:tr>
      <w:tr w:rsidR="00E1133A" w14:paraId="155C498A" w14:textId="77777777" w:rsidTr="00E1133A">
        <w:trPr>
          <w:trHeight w:val="433"/>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552504F7" w14:textId="217DD07C" w:rsidR="00E1133A" w:rsidRPr="009F1FC2" w:rsidRDefault="00E1133A" w:rsidP="00E1133A">
            <w:pPr>
              <w:rPr>
                <w:color w:val="FFFFFF" w:themeColor="background1"/>
              </w:rPr>
            </w:pPr>
            <w:r>
              <w:rPr>
                <w:color w:val="FFFFFF" w:themeColor="background1"/>
              </w:rPr>
              <w:t>Value of sponsor’s time</w:t>
            </w:r>
          </w:p>
        </w:tc>
        <w:tc>
          <w:tcPr>
            <w:tcW w:w="2135" w:type="dxa"/>
            <w:vAlign w:val="center"/>
          </w:tcPr>
          <w:p w14:paraId="083C53D2" w14:textId="0F6411D8" w:rsidR="00E1133A" w:rsidRDefault="00E1133A" w:rsidP="008A7F38">
            <w:pPr>
              <w:jc w:val="center"/>
              <w:cnfStyle w:val="000000000000" w:firstRow="0" w:lastRow="0" w:firstColumn="0" w:lastColumn="0" w:oddVBand="0" w:evenVBand="0" w:oddHBand="0" w:evenHBand="0" w:firstRowFirstColumn="0" w:firstRowLastColumn="0" w:lastRowFirstColumn="0" w:lastRowLastColumn="0"/>
            </w:pPr>
            <w:r w:rsidRPr="006E46ED">
              <w:t>$</w:t>
            </w:r>
            <w:r w:rsidR="008A7F38">
              <w:t>664</w:t>
            </w:r>
          </w:p>
        </w:tc>
        <w:tc>
          <w:tcPr>
            <w:tcW w:w="2136" w:type="dxa"/>
            <w:vAlign w:val="center"/>
          </w:tcPr>
          <w:p w14:paraId="0D685BD6" w14:textId="0D0D32E2" w:rsidR="00E1133A" w:rsidRDefault="00E1133A" w:rsidP="008A7F38">
            <w:pPr>
              <w:jc w:val="center"/>
              <w:cnfStyle w:val="000000000000" w:firstRow="0" w:lastRow="0" w:firstColumn="0" w:lastColumn="0" w:oddVBand="0" w:evenVBand="0" w:oddHBand="0" w:evenHBand="0" w:firstRowFirstColumn="0" w:firstRowLastColumn="0" w:lastRowFirstColumn="0" w:lastRowLastColumn="0"/>
            </w:pPr>
            <w:r w:rsidRPr="006E46ED">
              <w:t>$</w:t>
            </w:r>
            <w:r w:rsidR="008A7F38">
              <w:t>943</w:t>
            </w:r>
          </w:p>
        </w:tc>
        <w:tc>
          <w:tcPr>
            <w:tcW w:w="2136" w:type="dxa"/>
            <w:vAlign w:val="center"/>
          </w:tcPr>
          <w:p w14:paraId="7797CB39" w14:textId="4E65D068" w:rsidR="00E1133A" w:rsidRDefault="00E1133A" w:rsidP="008A7F38">
            <w:pPr>
              <w:jc w:val="center"/>
              <w:cnfStyle w:val="000000000000" w:firstRow="0" w:lastRow="0" w:firstColumn="0" w:lastColumn="0" w:oddVBand="0" w:evenVBand="0" w:oddHBand="0" w:evenHBand="0" w:firstRowFirstColumn="0" w:firstRowLastColumn="0" w:lastRowFirstColumn="0" w:lastRowLastColumn="0"/>
            </w:pPr>
            <w:r w:rsidRPr="006E46ED">
              <w:t>$</w:t>
            </w:r>
            <w:r w:rsidR="008A7F38">
              <w:t>1,502</w:t>
            </w:r>
          </w:p>
        </w:tc>
      </w:tr>
      <w:tr w:rsidR="00533381" w14:paraId="49F30384" w14:textId="77777777" w:rsidTr="00E1133A">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16F7A4EB" w14:textId="77777777" w:rsidR="00014279" w:rsidRPr="009F1FC2" w:rsidRDefault="00F10180" w:rsidP="009F1FC2">
            <w:pPr>
              <w:rPr>
                <w:color w:val="FFFFFF" w:themeColor="background1"/>
              </w:rPr>
            </w:pPr>
            <w:r w:rsidRPr="009F1FC2">
              <w:rPr>
                <w:color w:val="FFFFFF" w:themeColor="background1"/>
              </w:rPr>
              <w:t>Percentage attributable to the Regulations</w:t>
            </w:r>
            <w:r w:rsidR="0083188B" w:rsidRPr="009F1FC2">
              <w:rPr>
                <w:rStyle w:val="FootnoteReference"/>
                <w:color w:val="FFFFFF" w:themeColor="background1"/>
              </w:rPr>
              <w:footnoteReference w:id="68"/>
            </w:r>
          </w:p>
        </w:tc>
        <w:tc>
          <w:tcPr>
            <w:tcW w:w="2135" w:type="dxa"/>
            <w:vAlign w:val="center"/>
          </w:tcPr>
          <w:p w14:paraId="357E80F2"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71%</w:t>
            </w:r>
          </w:p>
        </w:tc>
        <w:tc>
          <w:tcPr>
            <w:tcW w:w="2136" w:type="dxa"/>
            <w:vAlign w:val="center"/>
          </w:tcPr>
          <w:p w14:paraId="512598E2"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71%</w:t>
            </w:r>
          </w:p>
        </w:tc>
        <w:tc>
          <w:tcPr>
            <w:tcW w:w="2136" w:type="dxa"/>
            <w:vAlign w:val="center"/>
          </w:tcPr>
          <w:p w14:paraId="2A66EF31" w14:textId="77777777" w:rsidR="00014279" w:rsidRDefault="00F10180" w:rsidP="009F1FC2">
            <w:pPr>
              <w:jc w:val="center"/>
              <w:cnfStyle w:val="000000100000" w:firstRow="0" w:lastRow="0" w:firstColumn="0" w:lastColumn="0" w:oddVBand="0" w:evenVBand="0" w:oddHBand="1" w:evenHBand="0" w:firstRowFirstColumn="0" w:firstRowLastColumn="0" w:lastRowFirstColumn="0" w:lastRowLastColumn="0"/>
            </w:pPr>
            <w:r>
              <w:t>71%</w:t>
            </w:r>
          </w:p>
        </w:tc>
      </w:tr>
      <w:tr w:rsidR="0046089B" w14:paraId="5839C53C" w14:textId="77777777" w:rsidTr="0046089B">
        <w:trPr>
          <w:trHeight w:val="433"/>
        </w:trPr>
        <w:tc>
          <w:tcPr>
            <w:cnfStyle w:val="001000000000" w:firstRow="0" w:lastRow="0" w:firstColumn="1" w:lastColumn="0" w:oddVBand="0" w:evenVBand="0" w:oddHBand="0" w:evenHBand="0" w:firstRowFirstColumn="0" w:firstRowLastColumn="0" w:lastRowFirstColumn="0" w:lastRowLastColumn="0"/>
            <w:tcW w:w="2090" w:type="dxa"/>
            <w:shd w:val="clear" w:color="auto" w:fill="808080" w:themeFill="background1" w:themeFillShade="80"/>
            <w:vAlign w:val="center"/>
          </w:tcPr>
          <w:p w14:paraId="0ADABB32" w14:textId="77777777" w:rsidR="0046089B" w:rsidRPr="009D7ECA" w:rsidRDefault="0046089B" w:rsidP="0046089B">
            <w:pPr>
              <w:rPr>
                <w:color w:val="FFFFFF" w:themeColor="background1"/>
              </w:rPr>
            </w:pPr>
            <w:r w:rsidRPr="009D7ECA">
              <w:rPr>
                <w:color w:val="FFFFFF" w:themeColor="background1"/>
              </w:rPr>
              <w:t>Attributable total annual cost</w:t>
            </w:r>
          </w:p>
        </w:tc>
        <w:tc>
          <w:tcPr>
            <w:tcW w:w="2135" w:type="dxa"/>
            <w:vAlign w:val="center"/>
          </w:tcPr>
          <w:p w14:paraId="044C1149" w14:textId="32F90A7C" w:rsidR="0046089B" w:rsidRPr="0046089B" w:rsidRDefault="0046089B" w:rsidP="008A7F38">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sidR="008A7F38">
              <w:rPr>
                <w:b/>
              </w:rPr>
              <w:t>155,248</w:t>
            </w:r>
          </w:p>
        </w:tc>
        <w:tc>
          <w:tcPr>
            <w:tcW w:w="2136" w:type="dxa"/>
            <w:vAlign w:val="center"/>
          </w:tcPr>
          <w:p w14:paraId="753FBFC2" w14:textId="171415AF" w:rsidR="0046089B" w:rsidRPr="0046089B" w:rsidRDefault="0046089B" w:rsidP="008A7F38">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sidR="00D53D08">
              <w:rPr>
                <w:b/>
              </w:rPr>
              <w:t>1.0</w:t>
            </w:r>
            <w:r w:rsidR="008A7F38">
              <w:rPr>
                <w:b/>
              </w:rPr>
              <w:t xml:space="preserve"> million</w:t>
            </w:r>
          </w:p>
        </w:tc>
        <w:tc>
          <w:tcPr>
            <w:tcW w:w="2136" w:type="dxa"/>
            <w:vAlign w:val="center"/>
          </w:tcPr>
          <w:p w14:paraId="29AC760E" w14:textId="78909DDB" w:rsidR="0046089B" w:rsidRPr="0083188B" w:rsidRDefault="0046089B" w:rsidP="0046089B">
            <w:pPr>
              <w:jc w:val="center"/>
              <w:cnfStyle w:val="000000000000" w:firstRow="0" w:lastRow="0" w:firstColumn="0" w:lastColumn="0" w:oddVBand="0" w:evenVBand="0" w:oddHBand="0" w:evenHBand="0" w:firstRowFirstColumn="0" w:firstRowLastColumn="0" w:lastRowFirstColumn="0" w:lastRowLastColumn="0"/>
              <w:rPr>
                <w:b/>
              </w:rPr>
            </w:pPr>
            <w:r>
              <w:rPr>
                <w:b/>
                <w:lang w:val="en-US"/>
              </w:rPr>
              <w:t>$10.</w:t>
            </w:r>
            <w:r w:rsidR="00D53D08">
              <w:rPr>
                <w:b/>
                <w:lang w:val="en-US"/>
              </w:rPr>
              <w:t>8</w:t>
            </w:r>
            <w:r w:rsidRPr="0083188B">
              <w:rPr>
                <w:b/>
                <w:lang w:val="en-US"/>
              </w:rPr>
              <w:t xml:space="preserve"> million</w:t>
            </w:r>
          </w:p>
        </w:tc>
      </w:tr>
    </w:tbl>
    <w:p w14:paraId="3B5079F2" w14:textId="77777777" w:rsidR="0035193C" w:rsidRDefault="0035193C" w:rsidP="0035193C">
      <w:pPr>
        <w:pStyle w:val="Heading9"/>
        <w:rPr>
          <w:lang w:val="en-US"/>
        </w:rPr>
      </w:pPr>
      <w:r>
        <w:rPr>
          <w:lang w:val="en-US"/>
        </w:rPr>
        <w:t>Amendments to CHMPs</w:t>
      </w:r>
    </w:p>
    <w:p w14:paraId="19630904" w14:textId="02BE1F07" w:rsidR="0035193C" w:rsidRDefault="0035193C" w:rsidP="006752A8">
      <w:pPr>
        <w:pStyle w:val="PwCNormal"/>
        <w:rPr>
          <w:lang w:val="en-US"/>
        </w:rPr>
      </w:pPr>
      <w:r>
        <w:rPr>
          <w:lang w:val="en-US"/>
        </w:rPr>
        <w:t xml:space="preserve">A sponsor may apply to amend a CHMP within five years of the CHMP’s original approval date. </w:t>
      </w:r>
      <w:r w:rsidR="00E84D5E">
        <w:rPr>
          <w:lang w:val="en-US"/>
        </w:rPr>
        <w:t xml:space="preserve">Approximately 36 CHMPs are </w:t>
      </w:r>
      <w:r w:rsidR="00B42EFF">
        <w:rPr>
          <w:lang w:val="en-US"/>
        </w:rPr>
        <w:t>anticipated to be amended each year</w:t>
      </w:r>
      <w:r w:rsidR="00CF2797">
        <w:rPr>
          <w:lang w:val="en-US"/>
        </w:rPr>
        <w:t>.</w:t>
      </w:r>
      <w:r w:rsidR="00B42EFF">
        <w:rPr>
          <w:rStyle w:val="FootnoteReference"/>
          <w:lang w:val="en-US"/>
        </w:rPr>
        <w:footnoteReference w:id="69"/>
      </w:r>
      <w:r w:rsidR="00CF2797">
        <w:rPr>
          <w:lang w:val="en-US"/>
        </w:rPr>
        <w:t xml:space="preserve"> It is estimated that amendments to CHMPs cost approximately 36 per cent of a full CHMP</w:t>
      </w:r>
      <w:r w:rsidR="0046089B">
        <w:rPr>
          <w:lang w:val="en-US"/>
        </w:rPr>
        <w:t>,</w:t>
      </w:r>
      <w:r w:rsidR="003517CC">
        <w:rPr>
          <w:rStyle w:val="FootnoteReference"/>
          <w:lang w:val="en-US"/>
        </w:rPr>
        <w:footnoteReference w:id="70"/>
      </w:r>
      <w:r w:rsidR="0046089B">
        <w:rPr>
          <w:lang w:val="en-US"/>
        </w:rPr>
        <w:t xml:space="preserve"> equating to a </w:t>
      </w:r>
      <w:r w:rsidR="00CF2797">
        <w:rPr>
          <w:lang w:val="en-US"/>
        </w:rPr>
        <w:t>weighted (by type) attrib</w:t>
      </w:r>
      <w:r w:rsidR="0046089B">
        <w:rPr>
          <w:lang w:val="en-US"/>
        </w:rPr>
        <w:t>utable cost of an amended CHMP of $</w:t>
      </w:r>
      <w:r w:rsidR="007B0434">
        <w:rPr>
          <w:lang w:val="en-US"/>
        </w:rPr>
        <w:t>6,779</w:t>
      </w:r>
      <w:r w:rsidR="00CF2797">
        <w:rPr>
          <w:lang w:val="en-US"/>
        </w:rPr>
        <w:t>,</w:t>
      </w:r>
      <w:r w:rsidR="00CF2797">
        <w:rPr>
          <w:rStyle w:val="FootnoteReference"/>
          <w:lang w:val="en-US"/>
        </w:rPr>
        <w:footnoteReference w:id="71"/>
      </w:r>
      <w:r w:rsidR="00CF2797">
        <w:rPr>
          <w:lang w:val="en-US"/>
        </w:rPr>
        <w:t xml:space="preserve"> </w:t>
      </w:r>
      <w:r w:rsidR="0046089B">
        <w:rPr>
          <w:lang w:val="en-US"/>
        </w:rPr>
        <w:t>and $</w:t>
      </w:r>
      <w:r w:rsidR="007B0434">
        <w:rPr>
          <w:lang w:val="en-US"/>
        </w:rPr>
        <w:t>244,031</w:t>
      </w:r>
      <w:r w:rsidR="00CF2797">
        <w:rPr>
          <w:lang w:val="en-US"/>
        </w:rPr>
        <w:t xml:space="preserve"> per </w:t>
      </w:r>
      <w:r w:rsidR="00511629">
        <w:rPr>
          <w:lang w:val="en-US"/>
        </w:rPr>
        <w:t>year</w:t>
      </w:r>
      <w:r w:rsidR="00CF2797">
        <w:rPr>
          <w:lang w:val="en-US"/>
        </w:rPr>
        <w:t>.</w:t>
      </w:r>
    </w:p>
    <w:p w14:paraId="7A53B2F5" w14:textId="77777777" w:rsidR="00C63D79" w:rsidRDefault="00C63D79" w:rsidP="00C63D79">
      <w:pPr>
        <w:pStyle w:val="Heading9"/>
        <w:rPr>
          <w:lang w:val="en-US"/>
        </w:rPr>
      </w:pPr>
      <w:r>
        <w:rPr>
          <w:lang w:val="en-US"/>
        </w:rPr>
        <w:t>Cost of incomplete CHMPs</w:t>
      </w:r>
    </w:p>
    <w:p w14:paraId="4FCF57C4" w14:textId="02BEB7B2" w:rsidR="00595EF1" w:rsidRDefault="00C63D79" w:rsidP="00C63D79">
      <w:pPr>
        <w:pStyle w:val="PwCNormal"/>
        <w:rPr>
          <w:lang w:val="en-US"/>
        </w:rPr>
      </w:pPr>
      <w:r>
        <w:rPr>
          <w:lang w:val="en-US"/>
        </w:rPr>
        <w:t xml:space="preserve">It is estimated that for every five CHMPs prepared and completed by land-users, nearly one is </w:t>
      </w:r>
      <w:r w:rsidR="00315179">
        <w:rPr>
          <w:lang w:val="en-US"/>
        </w:rPr>
        <w:t>abandoned,</w:t>
      </w:r>
      <w:r w:rsidR="00595EF1">
        <w:rPr>
          <w:rStyle w:val="FootnoteReference"/>
          <w:lang w:val="en-US"/>
        </w:rPr>
        <w:footnoteReference w:id="72"/>
      </w:r>
      <w:r w:rsidR="00315179">
        <w:rPr>
          <w:lang w:val="en-US"/>
        </w:rPr>
        <w:t xml:space="preserve"> totaling 123 partially completed CHMPs per year.</w:t>
      </w:r>
      <w:r>
        <w:rPr>
          <w:lang w:val="en-US"/>
        </w:rPr>
        <w:t xml:space="preserve"> </w:t>
      </w:r>
      <w:r w:rsidR="00315179">
        <w:rPr>
          <w:lang w:val="en-US"/>
        </w:rPr>
        <w:t>Assuming that land-users typically reach a standard level of assessment,</w:t>
      </w:r>
      <w:r w:rsidR="006A5FB1">
        <w:rPr>
          <w:rStyle w:val="FootnoteReference"/>
          <w:lang w:val="en-US"/>
        </w:rPr>
        <w:footnoteReference w:id="73"/>
      </w:r>
      <w:r w:rsidR="00315179">
        <w:rPr>
          <w:lang w:val="en-US"/>
        </w:rPr>
        <w:t xml:space="preserve"> the average cost of an incomplete CHMP is estimated to be $11,393 per year, equating to a total cost of $1.4 million per year</w:t>
      </w:r>
      <w:r w:rsidR="00791FFB">
        <w:rPr>
          <w:lang w:val="en-US"/>
        </w:rPr>
        <w:t>. This estimate does not include any construction-related sunk costs from land-users ceasing their development activity</w:t>
      </w:r>
      <w:r w:rsidR="006A5FB1">
        <w:rPr>
          <w:lang w:val="en-US"/>
        </w:rPr>
        <w:t xml:space="preserve"> (this is addressed in Section </w:t>
      </w:r>
      <w:r w:rsidR="006A5FB1">
        <w:rPr>
          <w:lang w:val="en-US"/>
        </w:rPr>
        <w:fldChar w:fldCharType="begin"/>
      </w:r>
      <w:r w:rsidR="006A5FB1">
        <w:rPr>
          <w:lang w:val="en-US"/>
        </w:rPr>
        <w:instrText xml:space="preserve"> REF _Ref506995382 \n \h </w:instrText>
      </w:r>
      <w:r w:rsidR="006A5FB1">
        <w:rPr>
          <w:lang w:val="en-US"/>
        </w:rPr>
      </w:r>
      <w:r w:rsidR="006A5FB1">
        <w:rPr>
          <w:lang w:val="en-US"/>
        </w:rPr>
        <w:fldChar w:fldCharType="separate"/>
      </w:r>
      <w:r w:rsidR="000369A1">
        <w:rPr>
          <w:lang w:val="en-US"/>
        </w:rPr>
        <w:t>6.4.3</w:t>
      </w:r>
      <w:r w:rsidR="006A5FB1">
        <w:rPr>
          <w:lang w:val="en-US"/>
        </w:rPr>
        <w:fldChar w:fldCharType="end"/>
      </w:r>
      <w:r w:rsidR="006A5FB1">
        <w:rPr>
          <w:lang w:val="en-US"/>
        </w:rPr>
        <w:t>)</w:t>
      </w:r>
      <w:r w:rsidR="00791FFB">
        <w:rPr>
          <w:lang w:val="en-US"/>
        </w:rPr>
        <w:t>.</w:t>
      </w:r>
    </w:p>
    <w:p w14:paraId="53ECBF20" w14:textId="1C776F10" w:rsidR="00511629" w:rsidRDefault="00511629" w:rsidP="00511629">
      <w:pPr>
        <w:pStyle w:val="Heading9"/>
        <w:rPr>
          <w:lang w:val="en-US"/>
        </w:rPr>
      </w:pPr>
      <w:r>
        <w:rPr>
          <w:lang w:val="en-US"/>
        </w:rPr>
        <w:t xml:space="preserve">Total cost of </w:t>
      </w:r>
      <w:r w:rsidR="00392B48">
        <w:rPr>
          <w:lang w:val="en-US"/>
        </w:rPr>
        <w:t xml:space="preserve">preparing </w:t>
      </w:r>
      <w:r>
        <w:rPr>
          <w:lang w:val="en-US"/>
        </w:rPr>
        <w:t>CHMPs</w:t>
      </w:r>
    </w:p>
    <w:p w14:paraId="4BD571F7" w14:textId="1B73A128" w:rsidR="000C1213" w:rsidRDefault="000C1213" w:rsidP="000C1213">
      <w:pPr>
        <w:pStyle w:val="PwCNormal"/>
        <w:rPr>
          <w:lang w:val="en-US"/>
        </w:rPr>
      </w:pPr>
      <w:r>
        <w:rPr>
          <w:lang w:val="en-US"/>
        </w:rPr>
        <w:t xml:space="preserve">In total, the </w:t>
      </w:r>
      <w:r w:rsidR="00595EF1">
        <w:rPr>
          <w:lang w:val="en-US"/>
        </w:rPr>
        <w:t xml:space="preserve">attributable </w:t>
      </w:r>
      <w:r>
        <w:rPr>
          <w:lang w:val="en-US"/>
        </w:rPr>
        <w:t xml:space="preserve">cost of </w:t>
      </w:r>
      <w:r w:rsidR="00392B48">
        <w:rPr>
          <w:lang w:val="en-US"/>
        </w:rPr>
        <w:t xml:space="preserve">preparing </w:t>
      </w:r>
      <w:r>
        <w:rPr>
          <w:lang w:val="en-US"/>
        </w:rPr>
        <w:t>CHMPs equates to approximately $</w:t>
      </w:r>
      <w:r w:rsidR="00D53D08">
        <w:rPr>
          <w:lang w:val="en-US"/>
        </w:rPr>
        <w:t>13.8</w:t>
      </w:r>
      <w:r>
        <w:rPr>
          <w:lang w:val="en-US"/>
        </w:rPr>
        <w:t xml:space="preserve"> million per year.</w:t>
      </w:r>
    </w:p>
    <w:p w14:paraId="075D989A" w14:textId="77777777" w:rsidR="00837427" w:rsidRDefault="00837427" w:rsidP="00837427">
      <w:pPr>
        <w:pStyle w:val="Caption"/>
        <w:rPr>
          <w:lang w:val="en-US"/>
        </w:rPr>
      </w:pPr>
      <w:r>
        <w:rPr>
          <w:lang w:val="en-US"/>
        </w:rPr>
        <w:t xml:space="preserve">The cost to implement the </w:t>
      </w:r>
      <w:r w:rsidR="006E6831">
        <w:rPr>
          <w:lang w:val="en-US"/>
        </w:rPr>
        <w:t xml:space="preserve">management conditions </w:t>
      </w:r>
      <w:r>
        <w:rPr>
          <w:lang w:val="en-US"/>
        </w:rPr>
        <w:t>of a CHMP</w:t>
      </w:r>
    </w:p>
    <w:p w14:paraId="2CB3FDA0" w14:textId="3DFA3A19" w:rsidR="00837427" w:rsidRDefault="006E6831" w:rsidP="00837427">
      <w:pPr>
        <w:rPr>
          <w:lang w:val="en-US"/>
        </w:rPr>
      </w:pPr>
      <w:r>
        <w:rPr>
          <w:lang w:val="en-US"/>
        </w:rPr>
        <w:t xml:space="preserve">A CHMP can contain conditions and recommendations for managing and protecting Aboriginal cultural </w:t>
      </w:r>
      <w:r w:rsidR="00887C7E">
        <w:rPr>
          <w:lang w:val="en-US"/>
        </w:rPr>
        <w:t>heritage that</w:t>
      </w:r>
      <w:r>
        <w:rPr>
          <w:lang w:val="en-US"/>
        </w:rPr>
        <w:t xml:space="preserve"> the sponsor must </w:t>
      </w:r>
      <w:r w:rsidR="00392B48">
        <w:rPr>
          <w:lang w:val="en-US"/>
        </w:rPr>
        <w:t xml:space="preserve">implement </w:t>
      </w:r>
      <w:r>
        <w:rPr>
          <w:lang w:val="en-US"/>
        </w:rPr>
        <w:t>if the CHMP is approved. There are three</w:t>
      </w:r>
      <w:r w:rsidR="00B42EFF">
        <w:rPr>
          <w:lang w:val="en-US"/>
        </w:rPr>
        <w:t xml:space="preserve"> common</w:t>
      </w:r>
      <w:r>
        <w:rPr>
          <w:lang w:val="en-US"/>
        </w:rPr>
        <w:t xml:space="preserve"> categories of recommendations:</w:t>
      </w:r>
    </w:p>
    <w:p w14:paraId="1015A703" w14:textId="77777777" w:rsidR="006E6831" w:rsidRDefault="00EC2088" w:rsidP="006E6831">
      <w:pPr>
        <w:pStyle w:val="ListBullet"/>
        <w:rPr>
          <w:lang w:val="en-US"/>
        </w:rPr>
      </w:pPr>
      <w:r>
        <w:rPr>
          <w:lang w:val="en-US"/>
        </w:rPr>
        <w:t>Avoid harm</w:t>
      </w:r>
      <w:r w:rsidR="006E6831">
        <w:rPr>
          <w:lang w:val="en-US"/>
        </w:rPr>
        <w:t xml:space="preserve">: </w:t>
      </w:r>
      <w:r w:rsidR="00887C7E">
        <w:rPr>
          <w:lang w:val="en-US"/>
        </w:rPr>
        <w:t xml:space="preserve">If the sponsor can avoid any harm to the Aboriginal cultural heritage in the activity area, this is </w:t>
      </w:r>
      <w:r>
        <w:rPr>
          <w:lang w:val="en-US"/>
        </w:rPr>
        <w:t xml:space="preserve">the </w:t>
      </w:r>
      <w:r w:rsidR="00887C7E">
        <w:rPr>
          <w:lang w:val="en-US"/>
        </w:rPr>
        <w:t>best scenario</w:t>
      </w:r>
      <w:r w:rsidR="0057710F">
        <w:rPr>
          <w:lang w:val="en-US"/>
        </w:rPr>
        <w:t>.</w:t>
      </w:r>
    </w:p>
    <w:p w14:paraId="29B4E74C" w14:textId="77777777" w:rsidR="00887C7E" w:rsidRDefault="00887C7E" w:rsidP="006E6831">
      <w:pPr>
        <w:pStyle w:val="ListBullet"/>
        <w:rPr>
          <w:lang w:val="en-US"/>
        </w:rPr>
      </w:pPr>
      <w:r>
        <w:rPr>
          <w:lang w:val="en-US"/>
        </w:rPr>
        <w:t>Minimise harm: Where the sponsor conducts the activity in a way that minimises harm to Aboriginal cultural heritage</w:t>
      </w:r>
      <w:r w:rsidR="00D72C6A">
        <w:rPr>
          <w:lang w:val="en-US"/>
        </w:rPr>
        <w:t>.</w:t>
      </w:r>
    </w:p>
    <w:p w14:paraId="1C1A13D8" w14:textId="112B2744" w:rsidR="00887C7E" w:rsidRDefault="00887C7E" w:rsidP="006E6831">
      <w:pPr>
        <w:pStyle w:val="ListBullet"/>
        <w:rPr>
          <w:lang w:val="en-US"/>
        </w:rPr>
      </w:pPr>
      <w:r>
        <w:rPr>
          <w:lang w:val="en-US"/>
        </w:rPr>
        <w:t xml:space="preserve">Salvage: A salvage excavation </w:t>
      </w:r>
      <w:r w:rsidR="00B42EFF">
        <w:rPr>
          <w:lang w:val="en-US"/>
        </w:rPr>
        <w:t xml:space="preserve">may be </w:t>
      </w:r>
      <w:r>
        <w:rPr>
          <w:lang w:val="en-US"/>
        </w:rPr>
        <w:t>required where it is not possible to avoid or minimi</w:t>
      </w:r>
      <w:r w:rsidR="00B42EFF">
        <w:rPr>
          <w:lang w:val="en-US"/>
        </w:rPr>
        <w:t>s</w:t>
      </w:r>
      <w:r>
        <w:rPr>
          <w:lang w:val="en-US"/>
        </w:rPr>
        <w:t>e harm to Aboriginal cultural heritage in the activity area. This may include controlled surface collection or salvage excavation.</w:t>
      </w:r>
    </w:p>
    <w:p w14:paraId="2F781904" w14:textId="42CB0C96" w:rsidR="0057710F" w:rsidRDefault="00887C7E" w:rsidP="0057710F">
      <w:pPr>
        <w:pStyle w:val="ListBullet"/>
        <w:numPr>
          <w:ilvl w:val="0"/>
          <w:numId w:val="0"/>
        </w:numPr>
        <w:rPr>
          <w:lang w:val="en-US"/>
        </w:rPr>
      </w:pPr>
      <w:r>
        <w:rPr>
          <w:lang w:val="en-US"/>
        </w:rPr>
        <w:t xml:space="preserve">Management conditions are not </w:t>
      </w:r>
      <w:r w:rsidR="00B42EFF">
        <w:rPr>
          <w:lang w:val="en-US"/>
        </w:rPr>
        <w:t xml:space="preserve">usually </w:t>
      </w:r>
      <w:r>
        <w:rPr>
          <w:lang w:val="en-US"/>
        </w:rPr>
        <w:t xml:space="preserve">put in place if a CHMP only involves a desktop assessment, as this </w:t>
      </w:r>
      <w:r w:rsidR="004C414D">
        <w:rPr>
          <w:lang w:val="en-US"/>
        </w:rPr>
        <w:t xml:space="preserve">generally </w:t>
      </w:r>
      <w:r>
        <w:rPr>
          <w:lang w:val="en-US"/>
        </w:rPr>
        <w:t xml:space="preserve">indicates that Aboriginal cultural heritage </w:t>
      </w:r>
      <w:r w:rsidR="004C414D">
        <w:rPr>
          <w:lang w:val="en-US"/>
        </w:rPr>
        <w:t>is unlikely</w:t>
      </w:r>
      <w:r>
        <w:rPr>
          <w:lang w:val="en-US"/>
        </w:rPr>
        <w:t xml:space="preserve"> be found in the </w:t>
      </w:r>
      <w:r w:rsidR="004C414D">
        <w:rPr>
          <w:lang w:val="en-US"/>
        </w:rPr>
        <w:t xml:space="preserve">activity </w:t>
      </w:r>
      <w:r>
        <w:rPr>
          <w:lang w:val="en-US"/>
        </w:rPr>
        <w:t>area</w:t>
      </w:r>
      <w:r w:rsidR="0057710F">
        <w:rPr>
          <w:lang w:val="en-US"/>
        </w:rPr>
        <w:t>.</w:t>
      </w:r>
      <w:r w:rsidR="009F1FC2">
        <w:rPr>
          <w:lang w:val="en-US"/>
        </w:rPr>
        <w:t xml:space="preserve"> </w:t>
      </w:r>
      <w:r w:rsidR="009F1FC2">
        <w:rPr>
          <w:lang w:val="en-US"/>
        </w:rPr>
        <w:fldChar w:fldCharType="begin"/>
      </w:r>
      <w:r w:rsidR="009F1FC2">
        <w:rPr>
          <w:lang w:val="en-US"/>
        </w:rPr>
        <w:instrText xml:space="preserve"> REF _Ref500950990 \h </w:instrText>
      </w:r>
      <w:r w:rsidR="009F1FC2">
        <w:rPr>
          <w:lang w:val="en-US"/>
        </w:rPr>
      </w:r>
      <w:r w:rsidR="009F1FC2">
        <w:rPr>
          <w:lang w:val="en-US"/>
        </w:rPr>
        <w:fldChar w:fldCharType="separate"/>
      </w:r>
      <w:r w:rsidR="000369A1">
        <w:t xml:space="preserve">Table </w:t>
      </w:r>
      <w:r w:rsidR="000369A1">
        <w:rPr>
          <w:noProof/>
        </w:rPr>
        <w:t>11</w:t>
      </w:r>
      <w:r w:rsidR="009F1FC2">
        <w:rPr>
          <w:lang w:val="en-US"/>
        </w:rPr>
        <w:fldChar w:fldCharType="end"/>
      </w:r>
      <w:r w:rsidR="009F1FC2">
        <w:rPr>
          <w:lang w:val="en-US"/>
        </w:rPr>
        <w:t xml:space="preserve"> shows the frequency and cost of management conditions imposed by CHMPs.</w:t>
      </w:r>
    </w:p>
    <w:p w14:paraId="2D64763C" w14:textId="48F9A002" w:rsidR="009F1FC2" w:rsidRDefault="009F1FC2" w:rsidP="009F1FC2">
      <w:pPr>
        <w:pStyle w:val="Caption"/>
      </w:pPr>
      <w:bookmarkStart w:id="61" w:name="_Ref500950990"/>
      <w:r>
        <w:t xml:space="preserve">Table </w:t>
      </w:r>
      <w:r w:rsidR="00B47FE6">
        <w:fldChar w:fldCharType="begin"/>
      </w:r>
      <w:r w:rsidR="00B47FE6">
        <w:instrText xml:space="preserve"> SEQ Table \* ARABIC </w:instrText>
      </w:r>
      <w:r w:rsidR="00B47FE6">
        <w:fldChar w:fldCharType="separate"/>
      </w:r>
      <w:r w:rsidR="000369A1">
        <w:rPr>
          <w:noProof/>
        </w:rPr>
        <w:t>11</w:t>
      </w:r>
      <w:r w:rsidR="00B47FE6">
        <w:rPr>
          <w:noProof/>
        </w:rPr>
        <w:fldChar w:fldCharType="end"/>
      </w:r>
      <w:bookmarkEnd w:id="61"/>
      <w:r>
        <w:t>: Frequency and cost of CHMP management conditions</w:t>
      </w:r>
      <w:r w:rsidR="00012029">
        <w:t xml:space="preserve"> (2018 dollars)</w:t>
      </w:r>
    </w:p>
    <w:tbl>
      <w:tblPr>
        <w:tblStyle w:val="ListTable3-Accent11"/>
        <w:tblW w:w="9180" w:type="dxa"/>
        <w:tblLayout w:type="fixed"/>
        <w:tblCellMar>
          <w:top w:w="57" w:type="dxa"/>
          <w:bottom w:w="57" w:type="dxa"/>
        </w:tblCellMar>
        <w:tblLook w:val="04A0" w:firstRow="1" w:lastRow="0" w:firstColumn="1" w:lastColumn="0" w:noHBand="0" w:noVBand="1"/>
      </w:tblPr>
      <w:tblGrid>
        <w:gridCol w:w="2093"/>
        <w:gridCol w:w="1559"/>
        <w:gridCol w:w="1559"/>
        <w:gridCol w:w="1881"/>
        <w:gridCol w:w="94"/>
        <w:gridCol w:w="1994"/>
      </w:tblGrid>
      <w:tr w:rsidR="00510AC7" w14:paraId="1BB317FF" w14:textId="77777777" w:rsidTr="00E1133A">
        <w:trPr>
          <w:cnfStyle w:val="100000000000" w:firstRow="1" w:lastRow="0" w:firstColumn="0" w:lastColumn="0" w:oddVBand="0" w:evenVBand="0" w:oddHBand="0" w:evenHBand="0" w:firstRowFirstColumn="0" w:firstRowLastColumn="0" w:lastRowFirstColumn="0" w:lastRowLastColumn="0"/>
          <w:cantSplit/>
          <w:trHeight w:val="259"/>
        </w:trPr>
        <w:tc>
          <w:tcPr>
            <w:cnfStyle w:val="001000000100" w:firstRow="0" w:lastRow="0" w:firstColumn="1" w:lastColumn="0" w:oddVBand="0" w:evenVBand="0" w:oddHBand="0" w:evenHBand="0" w:firstRowFirstColumn="1" w:firstRowLastColumn="0" w:lastRowFirstColumn="0" w:lastRowLastColumn="0"/>
            <w:tcW w:w="2093" w:type="dxa"/>
            <w:vMerge w:val="restart"/>
            <w:vAlign w:val="center"/>
          </w:tcPr>
          <w:p w14:paraId="0218B617" w14:textId="77777777" w:rsidR="00510AC7" w:rsidRDefault="00510AC7" w:rsidP="009F1FC2">
            <w:r>
              <w:t>Management condition type</w:t>
            </w:r>
          </w:p>
        </w:tc>
        <w:tc>
          <w:tcPr>
            <w:tcW w:w="1559" w:type="dxa"/>
            <w:vMerge w:val="restart"/>
            <w:vAlign w:val="center"/>
          </w:tcPr>
          <w:p w14:paraId="090E3F1D" w14:textId="3321E082" w:rsidR="00510AC7" w:rsidRDefault="00510AC7" w:rsidP="00510AC7">
            <w:pPr>
              <w:jc w:val="center"/>
              <w:cnfStyle w:val="100000000000" w:firstRow="1" w:lastRow="0" w:firstColumn="0" w:lastColumn="0" w:oddVBand="0" w:evenVBand="0" w:oddHBand="0" w:evenHBand="0" w:firstRowFirstColumn="0" w:firstRowLastColumn="0" w:lastRowFirstColumn="0" w:lastRowLastColumn="0"/>
            </w:pPr>
            <w:r>
              <w:t>Frequency</w:t>
            </w:r>
            <w:r w:rsidR="00776738">
              <w:t xml:space="preserve"> in total CHMPs</w:t>
            </w:r>
            <w:r>
              <w:rPr>
                <w:rStyle w:val="FootnoteReference"/>
              </w:rPr>
              <w:footnoteReference w:id="74"/>
            </w:r>
          </w:p>
        </w:tc>
        <w:tc>
          <w:tcPr>
            <w:tcW w:w="5528" w:type="dxa"/>
            <w:gridSpan w:val="4"/>
            <w:vAlign w:val="center"/>
          </w:tcPr>
          <w:p w14:paraId="0297FC34" w14:textId="77777777" w:rsidR="00510AC7" w:rsidRDefault="00510AC7" w:rsidP="00510AC7">
            <w:pPr>
              <w:jc w:val="center"/>
              <w:cnfStyle w:val="100000000000" w:firstRow="1" w:lastRow="0" w:firstColumn="0" w:lastColumn="0" w:oddVBand="0" w:evenVBand="0" w:oddHBand="0" w:evenHBand="0" w:firstRowFirstColumn="0" w:firstRowLastColumn="0" w:lastRowFirstColumn="0" w:lastRowLastColumn="0"/>
            </w:pPr>
            <w:r>
              <w:t>Cost of management conditions</w:t>
            </w:r>
            <w:r>
              <w:rPr>
                <w:rStyle w:val="FootnoteReference"/>
              </w:rPr>
              <w:footnoteReference w:id="75"/>
            </w:r>
          </w:p>
        </w:tc>
      </w:tr>
      <w:tr w:rsidR="00510AC7" w14:paraId="28A5D0B9" w14:textId="77777777" w:rsidTr="00E1133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14:paraId="40AC564D" w14:textId="77777777" w:rsidR="00510AC7" w:rsidRDefault="00510AC7" w:rsidP="009F1FC2"/>
        </w:tc>
        <w:tc>
          <w:tcPr>
            <w:tcW w:w="1559" w:type="dxa"/>
            <w:vMerge/>
            <w:vAlign w:val="center"/>
          </w:tcPr>
          <w:p w14:paraId="2E77A88E" w14:textId="77777777" w:rsidR="00510AC7" w:rsidRDefault="00510AC7" w:rsidP="00510AC7">
            <w:pPr>
              <w:jc w:val="cente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D88F8C" w:themeFill="accent3" w:themeFillTint="66"/>
            <w:vAlign w:val="center"/>
          </w:tcPr>
          <w:p w14:paraId="3F8A2E98" w14:textId="42AE9163" w:rsidR="00510AC7" w:rsidRPr="00510AC7" w:rsidRDefault="00510AC7" w:rsidP="00510AC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10AC7">
              <w:rPr>
                <w:b/>
                <w:color w:val="FFFFFF" w:themeColor="background1"/>
              </w:rPr>
              <w:t>Desktop assessment</w:t>
            </w:r>
            <w:r w:rsidR="00635BBF">
              <w:rPr>
                <w:rStyle w:val="FootnoteReference"/>
                <w:b/>
                <w:color w:val="FFFFFF" w:themeColor="background1"/>
              </w:rPr>
              <w:footnoteReference w:id="76"/>
            </w:r>
          </w:p>
        </w:tc>
        <w:tc>
          <w:tcPr>
            <w:tcW w:w="1975" w:type="dxa"/>
            <w:gridSpan w:val="2"/>
            <w:shd w:val="clear" w:color="auto" w:fill="D88F8C" w:themeFill="accent3" w:themeFillTint="66"/>
            <w:vAlign w:val="center"/>
          </w:tcPr>
          <w:p w14:paraId="332A6359" w14:textId="77777777" w:rsidR="00510AC7" w:rsidRPr="00510AC7" w:rsidRDefault="00510AC7" w:rsidP="00510AC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10AC7">
              <w:rPr>
                <w:b/>
                <w:color w:val="FFFFFF" w:themeColor="background1"/>
              </w:rPr>
              <w:t>Standard assessment</w:t>
            </w:r>
          </w:p>
        </w:tc>
        <w:tc>
          <w:tcPr>
            <w:tcW w:w="1994" w:type="dxa"/>
            <w:shd w:val="clear" w:color="auto" w:fill="D88F8C" w:themeFill="accent3" w:themeFillTint="66"/>
            <w:vAlign w:val="center"/>
          </w:tcPr>
          <w:p w14:paraId="7C3216E9" w14:textId="77777777" w:rsidR="00510AC7" w:rsidRPr="00510AC7" w:rsidRDefault="00510AC7" w:rsidP="00510AC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10AC7">
              <w:rPr>
                <w:b/>
                <w:color w:val="FFFFFF" w:themeColor="background1"/>
              </w:rPr>
              <w:t>Complex assessment</w:t>
            </w:r>
          </w:p>
        </w:tc>
      </w:tr>
      <w:tr w:rsidR="00033441" w14:paraId="3C871080" w14:textId="77777777" w:rsidTr="00705BA8">
        <w:trPr>
          <w:cantSplit/>
          <w:trHeight w:val="504"/>
        </w:trPr>
        <w:tc>
          <w:tcPr>
            <w:cnfStyle w:val="001000000000" w:firstRow="0" w:lastRow="0" w:firstColumn="1" w:lastColumn="0" w:oddVBand="0" w:evenVBand="0" w:oddHBand="0" w:evenHBand="0" w:firstRowFirstColumn="0" w:firstRowLastColumn="0" w:lastRowFirstColumn="0" w:lastRowLastColumn="0"/>
            <w:tcW w:w="2093" w:type="dxa"/>
            <w:shd w:val="clear" w:color="auto" w:fill="808080" w:themeFill="background1" w:themeFillShade="80"/>
            <w:vAlign w:val="center"/>
          </w:tcPr>
          <w:p w14:paraId="7C450838" w14:textId="77777777" w:rsidR="00033441" w:rsidRPr="009F1FC2" w:rsidRDefault="00033441" w:rsidP="00033441">
            <w:pPr>
              <w:rPr>
                <w:color w:val="FFFFFF" w:themeColor="background1"/>
              </w:rPr>
            </w:pPr>
            <w:r w:rsidRPr="009F1FC2">
              <w:rPr>
                <w:color w:val="FFFFFF" w:themeColor="background1"/>
              </w:rPr>
              <w:t>Average cost of avoiding harm</w:t>
            </w:r>
          </w:p>
        </w:tc>
        <w:tc>
          <w:tcPr>
            <w:tcW w:w="1559" w:type="dxa"/>
            <w:shd w:val="clear" w:color="auto" w:fill="D9D9D9" w:themeFill="background1" w:themeFillShade="D9"/>
            <w:vAlign w:val="center"/>
          </w:tcPr>
          <w:p w14:paraId="7F594354" w14:textId="77777777" w:rsidR="00033441" w:rsidRPr="009F1FC2" w:rsidRDefault="00033441" w:rsidP="00033441">
            <w:pPr>
              <w:jc w:val="center"/>
              <w:cnfStyle w:val="000000000000" w:firstRow="0" w:lastRow="0" w:firstColumn="0" w:lastColumn="0" w:oddVBand="0" w:evenVBand="0" w:oddHBand="0" w:evenHBand="0" w:firstRowFirstColumn="0" w:firstRowLastColumn="0" w:lastRowFirstColumn="0" w:lastRowLastColumn="0"/>
            </w:pPr>
            <w:r w:rsidRPr="009F1FC2">
              <w:t>10%</w:t>
            </w:r>
          </w:p>
        </w:tc>
        <w:tc>
          <w:tcPr>
            <w:tcW w:w="1559" w:type="dxa"/>
            <w:vAlign w:val="center"/>
          </w:tcPr>
          <w:p w14:paraId="1E78D871" w14:textId="77777777" w:rsidR="00033441" w:rsidRDefault="00033441" w:rsidP="00033441">
            <w:pPr>
              <w:jc w:val="center"/>
              <w:cnfStyle w:val="000000000000" w:firstRow="0" w:lastRow="0" w:firstColumn="0" w:lastColumn="0" w:oddVBand="0" w:evenVBand="0" w:oddHBand="0" w:evenHBand="0" w:firstRowFirstColumn="0" w:firstRowLastColumn="0" w:lastRowFirstColumn="0" w:lastRowLastColumn="0"/>
            </w:pPr>
            <w:r>
              <w:t>N/A</w:t>
            </w:r>
          </w:p>
        </w:tc>
        <w:tc>
          <w:tcPr>
            <w:tcW w:w="1881" w:type="dxa"/>
            <w:vAlign w:val="center"/>
          </w:tcPr>
          <w:p w14:paraId="1D142252" w14:textId="0EAB617B" w:rsidR="00033441" w:rsidRDefault="00033441">
            <w:pPr>
              <w:jc w:val="center"/>
              <w:cnfStyle w:val="000000000000" w:firstRow="0" w:lastRow="0" w:firstColumn="0" w:lastColumn="0" w:oddVBand="0" w:evenVBand="0" w:oddHBand="0" w:evenHBand="0" w:firstRowFirstColumn="0" w:firstRowLastColumn="0" w:lastRowFirstColumn="0" w:lastRowLastColumn="0"/>
            </w:pPr>
            <w:r w:rsidRPr="00D41CF6">
              <w:t xml:space="preserve">$3,825 </w:t>
            </w:r>
          </w:p>
        </w:tc>
        <w:tc>
          <w:tcPr>
            <w:tcW w:w="2088" w:type="dxa"/>
            <w:gridSpan w:val="2"/>
            <w:vAlign w:val="center"/>
          </w:tcPr>
          <w:p w14:paraId="28757144" w14:textId="5FC76FF1" w:rsidR="00033441" w:rsidRDefault="00033441">
            <w:pPr>
              <w:jc w:val="center"/>
              <w:cnfStyle w:val="000000000000" w:firstRow="0" w:lastRow="0" w:firstColumn="0" w:lastColumn="0" w:oddVBand="0" w:evenVBand="0" w:oddHBand="0" w:evenHBand="0" w:firstRowFirstColumn="0" w:firstRowLastColumn="0" w:lastRowFirstColumn="0" w:lastRowLastColumn="0"/>
            </w:pPr>
            <w:r w:rsidRPr="00897EAF">
              <w:t xml:space="preserve">$3,889 </w:t>
            </w:r>
          </w:p>
        </w:tc>
      </w:tr>
      <w:tr w:rsidR="00033441" w14:paraId="25BDB64E" w14:textId="77777777" w:rsidTr="00705BA8">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2093" w:type="dxa"/>
            <w:shd w:val="clear" w:color="auto" w:fill="808080" w:themeFill="background1" w:themeFillShade="80"/>
            <w:vAlign w:val="center"/>
          </w:tcPr>
          <w:p w14:paraId="2490CD54" w14:textId="77777777" w:rsidR="00033441" w:rsidRPr="009F1FC2" w:rsidRDefault="00033441" w:rsidP="00033441">
            <w:pPr>
              <w:rPr>
                <w:color w:val="FFFFFF" w:themeColor="background1"/>
              </w:rPr>
            </w:pPr>
            <w:r w:rsidRPr="009F1FC2">
              <w:rPr>
                <w:color w:val="FFFFFF" w:themeColor="background1"/>
              </w:rPr>
              <w:t>Average cost of minimising harm</w:t>
            </w:r>
          </w:p>
        </w:tc>
        <w:tc>
          <w:tcPr>
            <w:tcW w:w="1559" w:type="dxa"/>
            <w:shd w:val="clear" w:color="auto" w:fill="D9D9D9" w:themeFill="background1" w:themeFillShade="D9"/>
            <w:vAlign w:val="center"/>
          </w:tcPr>
          <w:p w14:paraId="6221C649" w14:textId="77777777" w:rsidR="00033441" w:rsidRPr="009F1FC2" w:rsidRDefault="00033441" w:rsidP="00033441">
            <w:pPr>
              <w:jc w:val="center"/>
              <w:cnfStyle w:val="000000100000" w:firstRow="0" w:lastRow="0" w:firstColumn="0" w:lastColumn="0" w:oddVBand="0" w:evenVBand="0" w:oddHBand="1" w:evenHBand="0" w:firstRowFirstColumn="0" w:firstRowLastColumn="0" w:lastRowFirstColumn="0" w:lastRowLastColumn="0"/>
            </w:pPr>
            <w:r w:rsidRPr="009F1FC2">
              <w:t>12%</w:t>
            </w:r>
          </w:p>
        </w:tc>
        <w:tc>
          <w:tcPr>
            <w:tcW w:w="1559" w:type="dxa"/>
            <w:vAlign w:val="center"/>
          </w:tcPr>
          <w:p w14:paraId="44C0D641" w14:textId="77777777" w:rsidR="00033441" w:rsidRDefault="00033441" w:rsidP="00033441">
            <w:pPr>
              <w:jc w:val="center"/>
              <w:cnfStyle w:val="000000100000" w:firstRow="0" w:lastRow="0" w:firstColumn="0" w:lastColumn="0" w:oddVBand="0" w:evenVBand="0" w:oddHBand="1" w:evenHBand="0" w:firstRowFirstColumn="0" w:firstRowLastColumn="0" w:lastRowFirstColumn="0" w:lastRowLastColumn="0"/>
            </w:pPr>
            <w:r>
              <w:t>N/A</w:t>
            </w:r>
          </w:p>
        </w:tc>
        <w:tc>
          <w:tcPr>
            <w:tcW w:w="1881" w:type="dxa"/>
            <w:vAlign w:val="center"/>
          </w:tcPr>
          <w:p w14:paraId="34E85F7E" w14:textId="011E5C9A" w:rsidR="00033441" w:rsidRDefault="00033441">
            <w:pPr>
              <w:jc w:val="center"/>
              <w:cnfStyle w:val="000000100000" w:firstRow="0" w:lastRow="0" w:firstColumn="0" w:lastColumn="0" w:oddVBand="0" w:evenVBand="0" w:oddHBand="1" w:evenHBand="0" w:firstRowFirstColumn="0" w:firstRowLastColumn="0" w:lastRowFirstColumn="0" w:lastRowLastColumn="0"/>
            </w:pPr>
            <w:r w:rsidRPr="00D41CF6">
              <w:t xml:space="preserve">$3,315 </w:t>
            </w:r>
          </w:p>
        </w:tc>
        <w:tc>
          <w:tcPr>
            <w:tcW w:w="2088" w:type="dxa"/>
            <w:gridSpan w:val="2"/>
            <w:vAlign w:val="center"/>
          </w:tcPr>
          <w:p w14:paraId="51A4437B" w14:textId="04D33094" w:rsidR="00033441" w:rsidRDefault="00033441">
            <w:pPr>
              <w:jc w:val="center"/>
              <w:cnfStyle w:val="000000100000" w:firstRow="0" w:lastRow="0" w:firstColumn="0" w:lastColumn="0" w:oddVBand="0" w:evenVBand="0" w:oddHBand="1" w:evenHBand="0" w:firstRowFirstColumn="0" w:firstRowLastColumn="0" w:lastRowFirstColumn="0" w:lastRowLastColumn="0"/>
            </w:pPr>
            <w:r w:rsidRPr="00897EAF">
              <w:t xml:space="preserve">$5,929 </w:t>
            </w:r>
          </w:p>
        </w:tc>
      </w:tr>
      <w:tr w:rsidR="00033441" w14:paraId="4182FB7D" w14:textId="77777777" w:rsidTr="00705BA8">
        <w:trPr>
          <w:cantSplit/>
          <w:trHeight w:val="259"/>
        </w:trPr>
        <w:tc>
          <w:tcPr>
            <w:cnfStyle w:val="001000000000" w:firstRow="0" w:lastRow="0" w:firstColumn="1" w:lastColumn="0" w:oddVBand="0" w:evenVBand="0" w:oddHBand="0" w:evenHBand="0" w:firstRowFirstColumn="0" w:firstRowLastColumn="0" w:lastRowFirstColumn="0" w:lastRowLastColumn="0"/>
            <w:tcW w:w="2093" w:type="dxa"/>
            <w:shd w:val="clear" w:color="auto" w:fill="808080" w:themeFill="background1" w:themeFillShade="80"/>
            <w:vAlign w:val="center"/>
          </w:tcPr>
          <w:p w14:paraId="7A078209" w14:textId="77777777" w:rsidR="00033441" w:rsidRPr="009F1FC2" w:rsidRDefault="00033441" w:rsidP="00033441">
            <w:pPr>
              <w:rPr>
                <w:color w:val="FFFFFF" w:themeColor="background1"/>
              </w:rPr>
            </w:pPr>
            <w:r w:rsidRPr="009F1FC2">
              <w:rPr>
                <w:color w:val="FFFFFF" w:themeColor="background1"/>
              </w:rPr>
              <w:t>Average cost of salvage</w:t>
            </w:r>
          </w:p>
        </w:tc>
        <w:tc>
          <w:tcPr>
            <w:tcW w:w="1559" w:type="dxa"/>
            <w:shd w:val="clear" w:color="auto" w:fill="D9D9D9" w:themeFill="background1" w:themeFillShade="D9"/>
            <w:vAlign w:val="center"/>
          </w:tcPr>
          <w:p w14:paraId="0D1479DA" w14:textId="77777777" w:rsidR="00033441" w:rsidRPr="009F1FC2" w:rsidRDefault="00033441" w:rsidP="00033441">
            <w:pPr>
              <w:jc w:val="center"/>
              <w:cnfStyle w:val="000000000000" w:firstRow="0" w:lastRow="0" w:firstColumn="0" w:lastColumn="0" w:oddVBand="0" w:evenVBand="0" w:oddHBand="0" w:evenHBand="0" w:firstRowFirstColumn="0" w:firstRowLastColumn="0" w:lastRowFirstColumn="0" w:lastRowLastColumn="0"/>
            </w:pPr>
            <w:r w:rsidRPr="009F1FC2">
              <w:t>16%</w:t>
            </w:r>
          </w:p>
        </w:tc>
        <w:tc>
          <w:tcPr>
            <w:tcW w:w="1559" w:type="dxa"/>
            <w:vAlign w:val="center"/>
          </w:tcPr>
          <w:p w14:paraId="659346EE" w14:textId="77777777" w:rsidR="00033441" w:rsidRDefault="00033441" w:rsidP="00033441">
            <w:pPr>
              <w:jc w:val="center"/>
              <w:cnfStyle w:val="000000000000" w:firstRow="0" w:lastRow="0" w:firstColumn="0" w:lastColumn="0" w:oddVBand="0" w:evenVBand="0" w:oddHBand="0" w:evenHBand="0" w:firstRowFirstColumn="0" w:firstRowLastColumn="0" w:lastRowFirstColumn="0" w:lastRowLastColumn="0"/>
            </w:pPr>
            <w:r>
              <w:t>N/A</w:t>
            </w:r>
          </w:p>
        </w:tc>
        <w:tc>
          <w:tcPr>
            <w:tcW w:w="1881" w:type="dxa"/>
            <w:vAlign w:val="center"/>
          </w:tcPr>
          <w:p w14:paraId="5E151524" w14:textId="34FB4CD3" w:rsidR="00033441" w:rsidRDefault="00033441">
            <w:pPr>
              <w:jc w:val="center"/>
              <w:cnfStyle w:val="000000000000" w:firstRow="0" w:lastRow="0" w:firstColumn="0" w:lastColumn="0" w:oddVBand="0" w:evenVBand="0" w:oddHBand="0" w:evenHBand="0" w:firstRowFirstColumn="0" w:firstRowLastColumn="0" w:lastRowFirstColumn="0" w:lastRowLastColumn="0"/>
            </w:pPr>
            <w:r w:rsidRPr="00D41CF6">
              <w:t>$6,</w:t>
            </w:r>
            <w:r>
              <w:t>885</w:t>
            </w:r>
          </w:p>
        </w:tc>
        <w:tc>
          <w:tcPr>
            <w:tcW w:w="2088" w:type="dxa"/>
            <w:gridSpan w:val="2"/>
            <w:vAlign w:val="center"/>
          </w:tcPr>
          <w:p w14:paraId="69D8E981" w14:textId="27BEFC53" w:rsidR="00033441" w:rsidRDefault="00033441">
            <w:pPr>
              <w:jc w:val="center"/>
              <w:cnfStyle w:val="000000000000" w:firstRow="0" w:lastRow="0" w:firstColumn="0" w:lastColumn="0" w:oddVBand="0" w:evenVBand="0" w:oddHBand="0" w:evenHBand="0" w:firstRowFirstColumn="0" w:firstRowLastColumn="0" w:lastRowFirstColumn="0" w:lastRowLastColumn="0"/>
            </w:pPr>
            <w:r w:rsidRPr="00897EAF">
              <w:t>$</w:t>
            </w:r>
            <w:r>
              <w:t>63,183</w:t>
            </w:r>
            <w:r w:rsidRPr="00897EAF">
              <w:t xml:space="preserve"> </w:t>
            </w:r>
          </w:p>
        </w:tc>
      </w:tr>
      <w:tr w:rsidR="00D72C6A" w14:paraId="162A86D8" w14:textId="77777777" w:rsidTr="00705BA8">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2093" w:type="dxa"/>
            <w:shd w:val="clear" w:color="auto" w:fill="808080" w:themeFill="background1" w:themeFillShade="80"/>
            <w:vAlign w:val="center"/>
          </w:tcPr>
          <w:p w14:paraId="58F6CD64" w14:textId="77777777" w:rsidR="00D72C6A" w:rsidRPr="009F1FC2" w:rsidRDefault="00D72C6A" w:rsidP="009F1FC2">
            <w:pPr>
              <w:rPr>
                <w:color w:val="FFFFFF" w:themeColor="background1"/>
              </w:rPr>
            </w:pPr>
            <w:r w:rsidRPr="009F1FC2">
              <w:rPr>
                <w:color w:val="FFFFFF" w:themeColor="background1"/>
              </w:rPr>
              <w:t>Average weighted cost of management conditions</w:t>
            </w:r>
            <w:r w:rsidRPr="009F1FC2">
              <w:rPr>
                <w:rStyle w:val="FootnoteReference"/>
                <w:color w:val="FFFFFF" w:themeColor="background1"/>
              </w:rPr>
              <w:footnoteReference w:id="77"/>
            </w:r>
          </w:p>
        </w:tc>
        <w:tc>
          <w:tcPr>
            <w:tcW w:w="1559" w:type="dxa"/>
            <w:shd w:val="clear" w:color="auto" w:fill="D9D9D9" w:themeFill="background1" w:themeFillShade="D9"/>
            <w:vAlign w:val="center"/>
          </w:tcPr>
          <w:p w14:paraId="0F324D26" w14:textId="77777777" w:rsidR="00D72C6A" w:rsidRPr="009F1FC2" w:rsidRDefault="00D72C6A" w:rsidP="00510AC7">
            <w:pPr>
              <w:jc w:val="center"/>
              <w:cnfStyle w:val="000000100000" w:firstRow="0" w:lastRow="0" w:firstColumn="0" w:lastColumn="0" w:oddVBand="0" w:evenVBand="0" w:oddHBand="1" w:evenHBand="0" w:firstRowFirstColumn="0" w:firstRowLastColumn="0" w:lastRowFirstColumn="0" w:lastRowLastColumn="0"/>
            </w:pPr>
            <w:r w:rsidRPr="009F1FC2">
              <w:t>-</w:t>
            </w:r>
          </w:p>
        </w:tc>
        <w:tc>
          <w:tcPr>
            <w:tcW w:w="1559" w:type="dxa"/>
            <w:vAlign w:val="center"/>
          </w:tcPr>
          <w:p w14:paraId="17C659CA" w14:textId="77777777" w:rsidR="00D72C6A" w:rsidRDefault="009F1FC2" w:rsidP="00510AC7">
            <w:pPr>
              <w:jc w:val="center"/>
              <w:cnfStyle w:val="000000100000" w:firstRow="0" w:lastRow="0" w:firstColumn="0" w:lastColumn="0" w:oddVBand="0" w:evenVBand="0" w:oddHBand="1" w:evenHBand="0" w:firstRowFirstColumn="0" w:firstRowLastColumn="0" w:lastRowFirstColumn="0" w:lastRowLastColumn="0"/>
            </w:pPr>
            <w:r>
              <w:t>N/A</w:t>
            </w:r>
          </w:p>
        </w:tc>
        <w:tc>
          <w:tcPr>
            <w:tcW w:w="1881" w:type="dxa"/>
            <w:vAlign w:val="center"/>
          </w:tcPr>
          <w:p w14:paraId="2F6F4997" w14:textId="64E2C325" w:rsidR="00D72C6A" w:rsidRDefault="007B0434">
            <w:pPr>
              <w:jc w:val="center"/>
              <w:cnfStyle w:val="000000100000" w:firstRow="0" w:lastRow="0" w:firstColumn="0" w:lastColumn="0" w:oddVBand="0" w:evenVBand="0" w:oddHBand="1" w:evenHBand="0" w:firstRowFirstColumn="0" w:firstRowLastColumn="0" w:lastRowFirstColumn="0" w:lastRowLastColumn="0"/>
            </w:pPr>
            <w:r w:rsidRPr="007B0434">
              <w:t>$</w:t>
            </w:r>
            <w:r w:rsidR="00033441">
              <w:t>1,882</w:t>
            </w:r>
          </w:p>
        </w:tc>
        <w:tc>
          <w:tcPr>
            <w:tcW w:w="2088" w:type="dxa"/>
            <w:gridSpan w:val="2"/>
            <w:vAlign w:val="center"/>
          </w:tcPr>
          <w:p w14:paraId="5B66E9F7" w14:textId="6A655378" w:rsidR="00D72C6A" w:rsidRDefault="007B0434">
            <w:pPr>
              <w:jc w:val="center"/>
              <w:cnfStyle w:val="000000100000" w:firstRow="0" w:lastRow="0" w:firstColumn="0" w:lastColumn="0" w:oddVBand="0" w:evenVBand="0" w:oddHBand="1" w:evenHBand="0" w:firstRowFirstColumn="0" w:firstRowLastColumn="0" w:lastRowFirstColumn="0" w:lastRowLastColumn="0"/>
            </w:pPr>
            <w:r w:rsidRPr="007B0434">
              <w:t>$</w:t>
            </w:r>
            <w:r w:rsidR="00033441">
              <w:t>11,210</w:t>
            </w:r>
          </w:p>
        </w:tc>
      </w:tr>
      <w:tr w:rsidR="009F1FC2" w14:paraId="6A683B9A" w14:textId="77777777" w:rsidTr="00705BA8">
        <w:trPr>
          <w:cantSplit/>
          <w:trHeight w:val="259"/>
        </w:trPr>
        <w:tc>
          <w:tcPr>
            <w:cnfStyle w:val="001000000000" w:firstRow="0" w:lastRow="0" w:firstColumn="1" w:lastColumn="0" w:oddVBand="0" w:evenVBand="0" w:oddHBand="0" w:evenHBand="0" w:firstRowFirstColumn="0" w:firstRowLastColumn="0" w:lastRowFirstColumn="0" w:lastRowLastColumn="0"/>
            <w:tcW w:w="2093" w:type="dxa"/>
            <w:shd w:val="clear" w:color="auto" w:fill="808080" w:themeFill="background1" w:themeFillShade="80"/>
            <w:vAlign w:val="center"/>
          </w:tcPr>
          <w:p w14:paraId="7883C556" w14:textId="77777777" w:rsidR="009F1FC2" w:rsidRPr="009F1FC2" w:rsidRDefault="009F1FC2" w:rsidP="009F1FC2">
            <w:pPr>
              <w:rPr>
                <w:color w:val="FFFFFF" w:themeColor="background1"/>
              </w:rPr>
            </w:pPr>
            <w:r>
              <w:rPr>
                <w:color w:val="FFFFFF" w:themeColor="background1"/>
              </w:rPr>
              <w:t>Total annual cost of management conditions</w:t>
            </w:r>
          </w:p>
        </w:tc>
        <w:tc>
          <w:tcPr>
            <w:tcW w:w="1559" w:type="dxa"/>
            <w:shd w:val="clear" w:color="auto" w:fill="D9D9D9" w:themeFill="background1" w:themeFillShade="D9"/>
            <w:vAlign w:val="center"/>
          </w:tcPr>
          <w:p w14:paraId="72366F46" w14:textId="77777777" w:rsidR="009F1FC2" w:rsidRPr="009F1FC2" w:rsidRDefault="009F1FC2" w:rsidP="009F1FC2">
            <w:pPr>
              <w:jc w:val="center"/>
              <w:cnfStyle w:val="000000000000" w:firstRow="0" w:lastRow="0" w:firstColumn="0" w:lastColumn="0" w:oddVBand="0" w:evenVBand="0" w:oddHBand="0" w:evenHBand="0" w:firstRowFirstColumn="0" w:firstRowLastColumn="0" w:lastRowFirstColumn="0" w:lastRowLastColumn="0"/>
              <w:rPr>
                <w:b/>
              </w:rPr>
            </w:pPr>
            <w:r w:rsidRPr="009F1FC2">
              <w:rPr>
                <w:b/>
              </w:rPr>
              <w:t>-</w:t>
            </w:r>
          </w:p>
        </w:tc>
        <w:tc>
          <w:tcPr>
            <w:tcW w:w="1559" w:type="dxa"/>
            <w:vAlign w:val="center"/>
          </w:tcPr>
          <w:p w14:paraId="2D57B429" w14:textId="77777777" w:rsidR="009F1FC2" w:rsidRPr="009F1FC2" w:rsidRDefault="009F1FC2" w:rsidP="009F1FC2">
            <w:pPr>
              <w:jc w:val="center"/>
              <w:cnfStyle w:val="000000000000" w:firstRow="0" w:lastRow="0" w:firstColumn="0" w:lastColumn="0" w:oddVBand="0" w:evenVBand="0" w:oddHBand="0" w:evenHBand="0" w:firstRowFirstColumn="0" w:firstRowLastColumn="0" w:lastRowFirstColumn="0" w:lastRowLastColumn="0"/>
              <w:rPr>
                <w:b/>
              </w:rPr>
            </w:pPr>
            <w:r w:rsidRPr="009F1FC2">
              <w:rPr>
                <w:b/>
              </w:rPr>
              <w:t>N/A</w:t>
            </w:r>
          </w:p>
        </w:tc>
        <w:tc>
          <w:tcPr>
            <w:tcW w:w="1881" w:type="dxa"/>
            <w:vAlign w:val="center"/>
          </w:tcPr>
          <w:p w14:paraId="18A759BF" w14:textId="4C400FD7" w:rsidR="009F1FC2" w:rsidRPr="009F1FC2" w:rsidRDefault="009F1FC2">
            <w:pPr>
              <w:jc w:val="center"/>
              <w:cnfStyle w:val="000000000000" w:firstRow="0" w:lastRow="0" w:firstColumn="0" w:lastColumn="0" w:oddVBand="0" w:evenVBand="0" w:oddHBand="0" w:evenHBand="0" w:firstRowFirstColumn="0" w:firstRowLastColumn="0" w:lastRowFirstColumn="0" w:lastRowLastColumn="0"/>
              <w:rPr>
                <w:b/>
              </w:rPr>
            </w:pPr>
            <w:r w:rsidRPr="009F1FC2">
              <w:rPr>
                <w:b/>
              </w:rPr>
              <w:t>$</w:t>
            </w:r>
            <w:r w:rsidR="00033441">
              <w:rPr>
                <w:b/>
              </w:rPr>
              <w:t>149,888</w:t>
            </w:r>
          </w:p>
        </w:tc>
        <w:tc>
          <w:tcPr>
            <w:tcW w:w="2088" w:type="dxa"/>
            <w:gridSpan w:val="2"/>
            <w:vAlign w:val="center"/>
          </w:tcPr>
          <w:p w14:paraId="672AA77C" w14:textId="047DD4B6" w:rsidR="009F1FC2" w:rsidRPr="009F1FC2" w:rsidRDefault="009F1FC2">
            <w:pPr>
              <w:jc w:val="center"/>
              <w:cnfStyle w:val="000000000000" w:firstRow="0" w:lastRow="0" w:firstColumn="0" w:lastColumn="0" w:oddVBand="0" w:evenVBand="0" w:oddHBand="0" w:evenHBand="0" w:firstRowFirstColumn="0" w:firstRowLastColumn="0" w:lastRowFirstColumn="0" w:lastRowLastColumn="0"/>
              <w:rPr>
                <w:b/>
              </w:rPr>
            </w:pPr>
            <w:r w:rsidRPr="009F1FC2">
              <w:rPr>
                <w:b/>
              </w:rPr>
              <w:t>$</w:t>
            </w:r>
            <w:r w:rsidR="00D53D08">
              <w:rPr>
                <w:b/>
              </w:rPr>
              <w:t>5.2</w:t>
            </w:r>
            <w:r w:rsidR="00033441">
              <w:rPr>
                <w:b/>
              </w:rPr>
              <w:t xml:space="preserve"> million</w:t>
            </w:r>
          </w:p>
        </w:tc>
      </w:tr>
    </w:tbl>
    <w:p w14:paraId="0AD1F76D" w14:textId="73E1DC88" w:rsidR="00F73516" w:rsidRDefault="009F1FC2" w:rsidP="00635BBF">
      <w:pPr>
        <w:pStyle w:val="Sources"/>
        <w:rPr>
          <w:lang w:val="en-US"/>
        </w:rPr>
      </w:pPr>
      <w:r>
        <w:rPr>
          <w:lang w:val="en-US"/>
        </w:rPr>
        <w:t>Note</w:t>
      </w:r>
      <w:r w:rsidR="00F73516">
        <w:rPr>
          <w:lang w:val="en-US"/>
        </w:rPr>
        <w:t xml:space="preserve">: </w:t>
      </w:r>
      <w:r>
        <w:rPr>
          <w:lang w:val="en-US"/>
        </w:rPr>
        <w:t xml:space="preserve">The number of CHMPs with standard assessments and complex assessments is slightly lower than in </w:t>
      </w:r>
      <w:r>
        <w:rPr>
          <w:lang w:val="en-US"/>
        </w:rPr>
        <w:fldChar w:fldCharType="begin"/>
      </w:r>
      <w:r>
        <w:rPr>
          <w:lang w:val="en-US"/>
        </w:rPr>
        <w:instrText xml:space="preserve"> REF _Ref500933588 \h </w:instrText>
      </w:r>
      <w:r w:rsidR="00463190">
        <w:rPr>
          <w:lang w:val="en-US"/>
        </w:rPr>
        <w:instrText xml:space="preserve"> \* MERGEFORMAT </w:instrText>
      </w:r>
      <w:r>
        <w:rPr>
          <w:lang w:val="en-US"/>
        </w:rPr>
      </w:r>
      <w:r>
        <w:rPr>
          <w:lang w:val="en-US"/>
        </w:rPr>
        <w:fldChar w:fldCharType="separate"/>
      </w:r>
      <w:r w:rsidR="000369A1">
        <w:t xml:space="preserve">Table </w:t>
      </w:r>
      <w:r w:rsidR="000369A1">
        <w:rPr>
          <w:noProof/>
        </w:rPr>
        <w:t>10</w:t>
      </w:r>
      <w:r>
        <w:rPr>
          <w:lang w:val="en-US"/>
        </w:rPr>
        <w:fldChar w:fldCharType="end"/>
      </w:r>
      <w:r>
        <w:rPr>
          <w:lang w:val="en-US"/>
        </w:rPr>
        <w:t xml:space="preserve"> as management conditions are assumed to only occur for CHMPs that are approved. 92 per cent of CHMPs are estimated to be approved.</w:t>
      </w:r>
      <w:r>
        <w:rPr>
          <w:rStyle w:val="FootnoteReference"/>
          <w:lang w:val="en-US"/>
        </w:rPr>
        <w:footnoteReference w:id="78"/>
      </w:r>
      <w:r w:rsidR="00F73516">
        <w:rPr>
          <w:lang w:val="en-US"/>
        </w:rPr>
        <w:t xml:space="preserve"> </w:t>
      </w:r>
    </w:p>
    <w:p w14:paraId="2DA2AC24" w14:textId="290FC04A" w:rsidR="00012029" w:rsidRDefault="00012029" w:rsidP="00705BA8">
      <w:pPr>
        <w:pStyle w:val="PwCNormal"/>
        <w:rPr>
          <w:lang w:val="en-US"/>
        </w:rPr>
      </w:pPr>
      <w:r>
        <w:rPr>
          <w:lang w:val="en-US"/>
        </w:rPr>
        <w:t>The average costs of management conditions</w:t>
      </w:r>
      <w:r w:rsidRPr="00012029">
        <w:rPr>
          <w:lang w:val="en-US"/>
        </w:rPr>
        <w:t xml:space="preserve"> are derived </w:t>
      </w:r>
      <w:r>
        <w:rPr>
          <w:lang w:val="en-US"/>
        </w:rPr>
        <w:t>from a survey of heritage advisors, and cross-checked against data from the survey of councils. The survey of CHMP sponsors did not provide sufficient responses to include, however, based on the submissions to AV’s 2017 discussion paper, some land-users stated that the cost of management conditions could exceed $100,000.</w:t>
      </w:r>
      <w:r>
        <w:rPr>
          <w:rStyle w:val="FootnoteReference"/>
          <w:lang w:val="en-US"/>
        </w:rPr>
        <w:footnoteReference w:id="79"/>
      </w:r>
    </w:p>
    <w:p w14:paraId="0B7001CA" w14:textId="6C114803" w:rsidR="00012029" w:rsidRDefault="00012029" w:rsidP="00705BA8">
      <w:pPr>
        <w:pStyle w:val="PwCNormal"/>
        <w:rPr>
          <w:lang w:val="en-US"/>
        </w:rPr>
      </w:pPr>
      <w:r>
        <w:rPr>
          <w:lang w:val="en-US"/>
        </w:rPr>
        <w:t xml:space="preserve">The data shown in </w:t>
      </w:r>
      <w:r>
        <w:rPr>
          <w:lang w:val="en-US"/>
        </w:rPr>
        <w:fldChar w:fldCharType="begin"/>
      </w:r>
      <w:r>
        <w:rPr>
          <w:lang w:val="en-US"/>
        </w:rPr>
        <w:instrText xml:space="preserve"> REF _Ref500950990 \h </w:instrText>
      </w:r>
      <w:r>
        <w:rPr>
          <w:lang w:val="en-US"/>
        </w:rPr>
      </w:r>
      <w:r>
        <w:rPr>
          <w:lang w:val="en-US"/>
        </w:rPr>
        <w:fldChar w:fldCharType="separate"/>
      </w:r>
      <w:r w:rsidR="000369A1">
        <w:t xml:space="preserve">Table </w:t>
      </w:r>
      <w:r w:rsidR="000369A1">
        <w:rPr>
          <w:noProof/>
        </w:rPr>
        <w:t>11</w:t>
      </w:r>
      <w:r>
        <w:rPr>
          <w:lang w:val="en-US"/>
        </w:rPr>
        <w:fldChar w:fldCharType="end"/>
      </w:r>
      <w:r>
        <w:rPr>
          <w:lang w:val="en-US"/>
        </w:rPr>
        <w:t xml:space="preserve"> </w:t>
      </w:r>
      <w:r w:rsidRPr="00012029">
        <w:rPr>
          <w:lang w:val="en-US"/>
        </w:rPr>
        <w:t xml:space="preserve">excludes one </w:t>
      </w:r>
      <w:r>
        <w:rPr>
          <w:lang w:val="en-US"/>
        </w:rPr>
        <w:t>outlier set of responses, which was</w:t>
      </w:r>
      <w:r w:rsidRPr="00012029">
        <w:rPr>
          <w:lang w:val="en-US"/>
        </w:rPr>
        <w:t xml:space="preserve"> significantly higher than other responses. </w:t>
      </w:r>
      <w:r w:rsidR="00613FE5">
        <w:rPr>
          <w:lang w:val="en-US"/>
        </w:rPr>
        <w:t xml:space="preserve">Although these costs may not be representative of most projects, it may be typical of the </w:t>
      </w:r>
      <w:r w:rsidRPr="00012029">
        <w:rPr>
          <w:lang w:val="en-US"/>
        </w:rPr>
        <w:t xml:space="preserve">costs of management conditions </w:t>
      </w:r>
      <w:r w:rsidR="00613FE5">
        <w:rPr>
          <w:lang w:val="en-US"/>
        </w:rPr>
        <w:t xml:space="preserve">that </w:t>
      </w:r>
      <w:r w:rsidRPr="00012029">
        <w:rPr>
          <w:lang w:val="en-US"/>
        </w:rPr>
        <w:t xml:space="preserve">are incurred in major infrastructure projects (eg for a freeway, NBN infrastructure or a pipeline), </w:t>
      </w:r>
      <w:r w:rsidR="00613FE5">
        <w:rPr>
          <w:lang w:val="en-US"/>
        </w:rPr>
        <w:t xml:space="preserve">which tend to occur </w:t>
      </w:r>
      <w:r w:rsidR="00FA0A66">
        <w:rPr>
          <w:lang w:val="en-US"/>
        </w:rPr>
        <w:t>in approximately one in fifteen CHMPs</w:t>
      </w:r>
      <w:r w:rsidR="00613FE5">
        <w:rPr>
          <w:lang w:val="en-US"/>
        </w:rPr>
        <w:t>.</w:t>
      </w:r>
      <w:r w:rsidR="00FA0A66">
        <w:rPr>
          <w:rStyle w:val="FootnoteReference"/>
          <w:lang w:val="en-US"/>
        </w:rPr>
        <w:footnoteReference w:id="80"/>
      </w:r>
      <w:r w:rsidR="00613FE5">
        <w:rPr>
          <w:lang w:val="en-US"/>
        </w:rPr>
        <w:t xml:space="preserve"> Thus</w:t>
      </w:r>
      <w:r w:rsidRPr="00012029">
        <w:rPr>
          <w:lang w:val="en-US"/>
        </w:rPr>
        <w:t xml:space="preserve">,  the actual </w:t>
      </w:r>
      <w:r w:rsidR="00613FE5">
        <w:rPr>
          <w:lang w:val="en-US"/>
        </w:rPr>
        <w:t xml:space="preserve">total </w:t>
      </w:r>
      <w:r w:rsidRPr="00012029">
        <w:rPr>
          <w:lang w:val="en-US"/>
        </w:rPr>
        <w:t>cost of mana</w:t>
      </w:r>
      <w:r>
        <w:rPr>
          <w:lang w:val="en-US"/>
        </w:rPr>
        <w:t xml:space="preserve">gement conditions </w:t>
      </w:r>
      <w:r w:rsidR="005D1DF1">
        <w:rPr>
          <w:lang w:val="en-US"/>
        </w:rPr>
        <w:t xml:space="preserve">will </w:t>
      </w:r>
      <w:r>
        <w:rPr>
          <w:lang w:val="en-US"/>
        </w:rPr>
        <w:t xml:space="preserve">be higher than in </w:t>
      </w:r>
      <w:r>
        <w:rPr>
          <w:lang w:val="en-US"/>
        </w:rPr>
        <w:fldChar w:fldCharType="begin"/>
      </w:r>
      <w:r>
        <w:rPr>
          <w:lang w:val="en-US"/>
        </w:rPr>
        <w:instrText xml:space="preserve"> REF _Ref500950990 \h </w:instrText>
      </w:r>
      <w:r>
        <w:rPr>
          <w:lang w:val="en-US"/>
        </w:rPr>
      </w:r>
      <w:r>
        <w:rPr>
          <w:lang w:val="en-US"/>
        </w:rPr>
        <w:fldChar w:fldCharType="separate"/>
      </w:r>
      <w:r w:rsidR="000369A1">
        <w:t xml:space="preserve">Table </w:t>
      </w:r>
      <w:r w:rsidR="000369A1">
        <w:rPr>
          <w:noProof/>
        </w:rPr>
        <w:t>11</w:t>
      </w:r>
      <w:r>
        <w:rPr>
          <w:lang w:val="en-US"/>
        </w:rPr>
        <w:fldChar w:fldCharType="end"/>
      </w:r>
      <w:r>
        <w:rPr>
          <w:lang w:val="en-US"/>
        </w:rPr>
        <w:t>.</w:t>
      </w:r>
    </w:p>
    <w:p w14:paraId="7F9D8904" w14:textId="5EDEB64E" w:rsidR="00945AF6" w:rsidRDefault="00945AF6" w:rsidP="00945AF6">
      <w:pPr>
        <w:pStyle w:val="Caption"/>
        <w:rPr>
          <w:lang w:val="en-US"/>
        </w:rPr>
      </w:pPr>
      <w:r>
        <w:rPr>
          <w:lang w:val="en-US"/>
        </w:rPr>
        <w:t>Government costs</w:t>
      </w:r>
    </w:p>
    <w:p w14:paraId="7EA6C4F4" w14:textId="49722222" w:rsidR="00945AF6" w:rsidRDefault="00945AF6" w:rsidP="00945AF6">
      <w:pPr>
        <w:pStyle w:val="PwCNormal"/>
        <w:rPr>
          <w:lang w:val="en-US"/>
        </w:rPr>
      </w:pPr>
      <w:r>
        <w:rPr>
          <w:lang w:val="en-US"/>
        </w:rPr>
        <w:t xml:space="preserve">The costs to government include those relating to monitoring and enforcing compliance with the Regulations, eg ensuring a CHMP is </w:t>
      </w:r>
      <w:r w:rsidR="00392B48">
        <w:rPr>
          <w:lang w:val="en-US"/>
        </w:rPr>
        <w:t xml:space="preserve">prepared </w:t>
      </w:r>
      <w:r>
        <w:rPr>
          <w:lang w:val="en-US"/>
        </w:rPr>
        <w:t>when required. These total approximately $</w:t>
      </w:r>
      <w:r w:rsidR="00020F2B" w:rsidRPr="00705BA8">
        <w:rPr>
          <w:lang w:val="en-US"/>
        </w:rPr>
        <w:t>598,583</w:t>
      </w:r>
      <w:r>
        <w:rPr>
          <w:lang w:val="en-US"/>
        </w:rPr>
        <w:t xml:space="preserve"> per year.</w:t>
      </w:r>
    </w:p>
    <w:p w14:paraId="6842C24D" w14:textId="1ED677E2" w:rsidR="00945AF6" w:rsidRPr="00945AF6" w:rsidRDefault="00945AF6" w:rsidP="00945AF6">
      <w:pPr>
        <w:pStyle w:val="PwCNormal"/>
        <w:rPr>
          <w:lang w:val="en-US"/>
        </w:rPr>
      </w:pPr>
      <w:r>
        <w:rPr>
          <w:lang w:val="en-US"/>
        </w:rPr>
        <w:t xml:space="preserve">In addition, the government incurs costs conducting </w:t>
      </w:r>
      <w:r w:rsidR="00036A09">
        <w:rPr>
          <w:lang w:val="en-US"/>
        </w:rPr>
        <w:t xml:space="preserve">evaluations </w:t>
      </w:r>
      <w:r>
        <w:rPr>
          <w:lang w:val="en-US"/>
        </w:rPr>
        <w:t>of mechanisms such as CHP</w:t>
      </w:r>
      <w:r w:rsidR="00036A09">
        <w:rPr>
          <w:lang w:val="en-US"/>
        </w:rPr>
        <w:t xml:space="preserve"> applications</w:t>
      </w:r>
      <w:r>
        <w:rPr>
          <w:lang w:val="en-US"/>
        </w:rPr>
        <w:t xml:space="preserve">, PAHTs and CHMPs. These are </w:t>
      </w:r>
      <w:r w:rsidR="00FE2954">
        <w:rPr>
          <w:lang w:val="en-US"/>
        </w:rPr>
        <w:t xml:space="preserve">to be </w:t>
      </w:r>
      <w:r w:rsidR="00347E51">
        <w:rPr>
          <w:lang w:val="en-US"/>
        </w:rPr>
        <w:t xml:space="preserve">passed on through </w:t>
      </w:r>
      <w:r>
        <w:rPr>
          <w:lang w:val="en-US"/>
        </w:rPr>
        <w:t>fees</w:t>
      </w:r>
      <w:r w:rsidR="00C66B66">
        <w:rPr>
          <w:lang w:val="en-US"/>
        </w:rPr>
        <w:t xml:space="preserve"> included in the proposed Regulations</w:t>
      </w:r>
      <w:r>
        <w:rPr>
          <w:lang w:val="en-US"/>
        </w:rPr>
        <w:t xml:space="preserve"> (which are discussed in</w:t>
      </w:r>
      <w:r w:rsidR="007F2DAB">
        <w:rPr>
          <w:lang w:val="en-US"/>
        </w:rPr>
        <w:t xml:space="preserve"> Section </w:t>
      </w:r>
      <w:r w:rsidR="007F2DAB">
        <w:rPr>
          <w:lang w:val="en-US"/>
        </w:rPr>
        <w:fldChar w:fldCharType="begin"/>
      </w:r>
      <w:r w:rsidR="007F2DAB">
        <w:rPr>
          <w:lang w:val="en-US"/>
        </w:rPr>
        <w:instrText xml:space="preserve"> REF _Ref504556259 \n \h </w:instrText>
      </w:r>
      <w:r w:rsidR="007F2DAB">
        <w:rPr>
          <w:lang w:val="en-US"/>
        </w:rPr>
      </w:r>
      <w:r w:rsidR="007F2DAB">
        <w:rPr>
          <w:lang w:val="en-US"/>
        </w:rPr>
        <w:fldChar w:fldCharType="separate"/>
      </w:r>
      <w:r w:rsidR="000369A1">
        <w:rPr>
          <w:lang w:val="en-US"/>
        </w:rPr>
        <w:t>8</w:t>
      </w:r>
      <w:r w:rsidR="007F2DAB">
        <w:rPr>
          <w:lang w:val="en-US"/>
        </w:rPr>
        <w:fldChar w:fldCharType="end"/>
      </w:r>
      <w:r w:rsidR="00D81598">
        <w:rPr>
          <w:lang w:val="en-US"/>
        </w:rPr>
        <w:t xml:space="preserve"> </w:t>
      </w:r>
      <w:r>
        <w:rPr>
          <w:lang w:val="en-US"/>
        </w:rPr>
        <w:t>) to land-users</w:t>
      </w:r>
      <w:r w:rsidR="00347E51">
        <w:rPr>
          <w:lang w:val="en-US"/>
        </w:rPr>
        <w:t xml:space="preserve">. Based on the </w:t>
      </w:r>
      <w:r w:rsidR="007A7D2A">
        <w:rPr>
          <w:lang w:val="en-US"/>
        </w:rPr>
        <w:t xml:space="preserve">anticipated </w:t>
      </w:r>
      <w:r w:rsidR="00347E51">
        <w:rPr>
          <w:lang w:val="en-US"/>
        </w:rPr>
        <w:t>volumes</w:t>
      </w:r>
      <w:r w:rsidR="007A7D2A">
        <w:rPr>
          <w:lang w:val="en-US"/>
        </w:rPr>
        <w:t xml:space="preserve"> under Option 2</w:t>
      </w:r>
      <w:r w:rsidR="00347E51">
        <w:rPr>
          <w:lang w:val="en-US"/>
        </w:rPr>
        <w:t xml:space="preserve">, government </w:t>
      </w:r>
      <w:r w:rsidR="00BC550B">
        <w:rPr>
          <w:lang w:val="en-US"/>
        </w:rPr>
        <w:t xml:space="preserve">evaluation </w:t>
      </w:r>
      <w:r w:rsidR="00347E51">
        <w:rPr>
          <w:lang w:val="en-US"/>
        </w:rPr>
        <w:t>costs total approximately $</w:t>
      </w:r>
      <w:r w:rsidR="007A7D2A">
        <w:rPr>
          <w:lang w:val="en-US"/>
        </w:rPr>
        <w:t>2.0 million</w:t>
      </w:r>
      <w:r w:rsidR="00347E51">
        <w:rPr>
          <w:lang w:val="en-US"/>
        </w:rPr>
        <w:t xml:space="preserve"> per year. </w:t>
      </w:r>
    </w:p>
    <w:p w14:paraId="5668665B" w14:textId="7E2B9010" w:rsidR="00945AF6" w:rsidRPr="00945AF6" w:rsidRDefault="00945AF6" w:rsidP="00945AF6">
      <w:pPr>
        <w:pStyle w:val="Caption"/>
        <w:rPr>
          <w:lang w:val="en-US"/>
        </w:rPr>
      </w:pPr>
      <w:r>
        <w:rPr>
          <w:lang w:val="en-US"/>
        </w:rPr>
        <w:t>RAP costs</w:t>
      </w:r>
    </w:p>
    <w:p w14:paraId="599E67CC" w14:textId="36F3FC98" w:rsidR="00945AF6" w:rsidRDefault="00945AF6" w:rsidP="00B73ECA">
      <w:pPr>
        <w:pStyle w:val="PwCNormal"/>
        <w:rPr>
          <w:lang w:val="en-US"/>
        </w:rPr>
      </w:pPr>
      <w:r>
        <w:rPr>
          <w:lang w:val="en-US"/>
        </w:rPr>
        <w:t xml:space="preserve">RAPs incur costs conducting </w:t>
      </w:r>
      <w:r w:rsidR="00BC550B">
        <w:rPr>
          <w:lang w:val="en-US"/>
        </w:rPr>
        <w:t xml:space="preserve">evaluations </w:t>
      </w:r>
      <w:r>
        <w:rPr>
          <w:lang w:val="en-US"/>
        </w:rPr>
        <w:t>of CHP</w:t>
      </w:r>
      <w:r w:rsidR="00BC550B">
        <w:rPr>
          <w:lang w:val="en-US"/>
        </w:rPr>
        <w:t xml:space="preserve"> applications</w:t>
      </w:r>
      <w:r>
        <w:rPr>
          <w:lang w:val="en-US"/>
        </w:rPr>
        <w:t xml:space="preserve"> and CHMPs. As with the government costs of </w:t>
      </w:r>
      <w:r w:rsidR="00BC550B">
        <w:rPr>
          <w:lang w:val="en-US"/>
        </w:rPr>
        <w:t>evaluation</w:t>
      </w:r>
      <w:r>
        <w:rPr>
          <w:lang w:val="en-US"/>
        </w:rPr>
        <w:t xml:space="preserve">, these are </w:t>
      </w:r>
      <w:r w:rsidR="00FE2954">
        <w:rPr>
          <w:lang w:val="en-US"/>
        </w:rPr>
        <w:t>to be recovered through fees</w:t>
      </w:r>
      <w:r w:rsidR="00020F2B">
        <w:rPr>
          <w:lang w:val="en-US"/>
        </w:rPr>
        <w:t xml:space="preserve"> included in the proposed</w:t>
      </w:r>
      <w:r w:rsidR="00C66B66">
        <w:rPr>
          <w:lang w:val="en-US"/>
        </w:rPr>
        <w:t xml:space="preserve"> Regulations</w:t>
      </w:r>
      <w:r w:rsidR="00FE2954">
        <w:rPr>
          <w:lang w:val="en-US"/>
        </w:rPr>
        <w:t xml:space="preserve"> </w:t>
      </w:r>
      <w:r w:rsidR="00C66B66">
        <w:rPr>
          <w:lang w:val="en-US"/>
        </w:rPr>
        <w:t>(</w:t>
      </w:r>
      <w:r w:rsidR="00FE2954">
        <w:rPr>
          <w:lang w:val="en-US"/>
        </w:rPr>
        <w:t>shown</w:t>
      </w:r>
      <w:r>
        <w:rPr>
          <w:lang w:val="en-US"/>
        </w:rPr>
        <w:t xml:space="preserve"> in</w:t>
      </w:r>
      <w:r w:rsidR="00D81598">
        <w:rPr>
          <w:lang w:val="en-US"/>
        </w:rPr>
        <w:t xml:space="preserve"> </w:t>
      </w:r>
      <w:r w:rsidR="007F2DAB">
        <w:rPr>
          <w:lang w:val="en-US"/>
        </w:rPr>
        <w:t xml:space="preserve">Section </w:t>
      </w:r>
      <w:r w:rsidR="007F2DAB">
        <w:rPr>
          <w:lang w:val="en-US"/>
        </w:rPr>
        <w:fldChar w:fldCharType="begin"/>
      </w:r>
      <w:r w:rsidR="007F2DAB">
        <w:rPr>
          <w:lang w:val="en-US"/>
        </w:rPr>
        <w:instrText xml:space="preserve"> REF _Ref504556259 \n \h </w:instrText>
      </w:r>
      <w:r w:rsidR="007F2DAB">
        <w:rPr>
          <w:lang w:val="en-US"/>
        </w:rPr>
      </w:r>
      <w:r w:rsidR="007F2DAB">
        <w:rPr>
          <w:lang w:val="en-US"/>
        </w:rPr>
        <w:fldChar w:fldCharType="separate"/>
      </w:r>
      <w:r w:rsidR="000369A1">
        <w:rPr>
          <w:lang w:val="en-US"/>
        </w:rPr>
        <w:t>8</w:t>
      </w:r>
      <w:r w:rsidR="007F2DAB">
        <w:rPr>
          <w:lang w:val="en-US"/>
        </w:rPr>
        <w:fldChar w:fldCharType="end"/>
      </w:r>
      <w:r w:rsidR="00C66B66">
        <w:rPr>
          <w:lang w:val="en-US"/>
        </w:rPr>
        <w:t>)</w:t>
      </w:r>
      <w:r>
        <w:rPr>
          <w:lang w:val="en-US"/>
        </w:rPr>
        <w:t xml:space="preserve">, </w:t>
      </w:r>
      <w:r w:rsidR="00347E51">
        <w:rPr>
          <w:lang w:val="en-US"/>
        </w:rPr>
        <w:t>and are ultimately paid by land-users. Based on current volumes, RAP assessment costs total approximately $</w:t>
      </w:r>
      <w:r w:rsidR="007B0434">
        <w:rPr>
          <w:lang w:val="en-US"/>
        </w:rPr>
        <w:t>376,798</w:t>
      </w:r>
      <w:r w:rsidR="00347E51">
        <w:rPr>
          <w:lang w:val="en-US"/>
        </w:rPr>
        <w:t xml:space="preserve"> per year.</w:t>
      </w:r>
    </w:p>
    <w:p w14:paraId="53D099E7" w14:textId="739273FD" w:rsidR="00B73ECA" w:rsidRDefault="00B73ECA" w:rsidP="00B73ECA">
      <w:pPr>
        <w:pStyle w:val="PwCNormal"/>
        <w:rPr>
          <w:lang w:val="en-US"/>
        </w:rPr>
      </w:pPr>
      <w:r>
        <w:rPr>
          <w:lang w:val="en-US"/>
        </w:rPr>
        <w:t xml:space="preserve">The total costs of Option 1 over 10 years are shown in </w:t>
      </w:r>
      <w:r w:rsidR="00047950">
        <w:rPr>
          <w:lang w:val="en-US"/>
        </w:rPr>
        <w:fldChar w:fldCharType="begin"/>
      </w:r>
      <w:r w:rsidR="00047950">
        <w:rPr>
          <w:lang w:val="en-US"/>
        </w:rPr>
        <w:instrText xml:space="preserve"> REF _Ref501042136 \h </w:instrText>
      </w:r>
      <w:r w:rsidR="00047950">
        <w:rPr>
          <w:lang w:val="en-US"/>
        </w:rPr>
      </w:r>
      <w:r w:rsidR="00047950">
        <w:rPr>
          <w:lang w:val="en-US"/>
        </w:rPr>
        <w:fldChar w:fldCharType="separate"/>
      </w:r>
      <w:r w:rsidR="000369A1">
        <w:t xml:space="preserve">Table </w:t>
      </w:r>
      <w:r w:rsidR="000369A1">
        <w:rPr>
          <w:noProof/>
        </w:rPr>
        <w:t>12</w:t>
      </w:r>
      <w:r w:rsidR="00047950">
        <w:rPr>
          <w:lang w:val="en-US"/>
        </w:rPr>
        <w:fldChar w:fldCharType="end"/>
      </w:r>
      <w:r>
        <w:rPr>
          <w:lang w:val="en-US"/>
        </w:rPr>
        <w:t>.</w:t>
      </w:r>
    </w:p>
    <w:p w14:paraId="04AD1048" w14:textId="4FAAFA6B" w:rsidR="00047950" w:rsidRDefault="00047950" w:rsidP="00047950">
      <w:pPr>
        <w:pStyle w:val="Caption"/>
      </w:pPr>
      <w:bookmarkStart w:id="62" w:name="_Ref501042136"/>
      <w:r>
        <w:t xml:space="preserve">Table </w:t>
      </w:r>
      <w:r w:rsidR="00B47FE6">
        <w:fldChar w:fldCharType="begin"/>
      </w:r>
      <w:r w:rsidR="00B47FE6">
        <w:instrText xml:space="preserve"> SEQ Table \* ARABIC </w:instrText>
      </w:r>
      <w:r w:rsidR="00B47FE6">
        <w:fldChar w:fldCharType="separate"/>
      </w:r>
      <w:r w:rsidR="000369A1">
        <w:rPr>
          <w:noProof/>
        </w:rPr>
        <w:t>12</w:t>
      </w:r>
      <w:r w:rsidR="00B47FE6">
        <w:rPr>
          <w:noProof/>
        </w:rPr>
        <w:fldChar w:fldCharType="end"/>
      </w:r>
      <w:bookmarkEnd w:id="62"/>
      <w:r>
        <w:t>: Breakdown of the costs of Option 1 ($ million</w:t>
      </w:r>
      <w:r w:rsidR="001B04AA">
        <w:t>, 2018 dollars</w:t>
      </w:r>
      <w:r>
        <w:t>)</w:t>
      </w:r>
    </w:p>
    <w:tbl>
      <w:tblPr>
        <w:tblW w:w="9214" w:type="dxa"/>
        <w:tblInd w:w="-601"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CellMar>
          <w:top w:w="57" w:type="dxa"/>
          <w:bottom w:w="57" w:type="dxa"/>
        </w:tblCellMar>
        <w:tblLook w:val="04A0" w:firstRow="1" w:lastRow="0" w:firstColumn="1" w:lastColumn="0" w:noHBand="0" w:noVBand="1"/>
      </w:tblPr>
      <w:tblGrid>
        <w:gridCol w:w="1783"/>
        <w:gridCol w:w="2187"/>
        <w:gridCol w:w="2409"/>
        <w:gridCol w:w="2835"/>
      </w:tblGrid>
      <w:tr w:rsidR="001B04AA" w:rsidRPr="00047950" w14:paraId="612D2EB5" w14:textId="77777777" w:rsidTr="00C35804">
        <w:trPr>
          <w:cantSplit/>
          <w:trHeight w:val="273"/>
          <w:tblHeader/>
        </w:trPr>
        <w:tc>
          <w:tcPr>
            <w:tcW w:w="1783" w:type="dxa"/>
            <w:shd w:val="clear" w:color="auto" w:fill="A32020" w:themeFill="text2"/>
            <w:noWrap/>
            <w:vAlign w:val="center"/>
            <w:hideMark/>
          </w:tcPr>
          <w:p w14:paraId="7E565A11" w14:textId="77777777" w:rsidR="001B04AA" w:rsidRPr="00047950" w:rsidRDefault="001B04AA" w:rsidP="00047950">
            <w:pPr>
              <w:kinsoku/>
              <w:overflowPunct/>
              <w:autoSpaceDE/>
              <w:autoSpaceDN/>
              <w:adjustRightInd/>
              <w:snapToGrid/>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Option 1</w:t>
            </w:r>
          </w:p>
        </w:tc>
        <w:tc>
          <w:tcPr>
            <w:tcW w:w="2187" w:type="dxa"/>
            <w:shd w:val="clear" w:color="auto" w:fill="A32020" w:themeFill="text2"/>
            <w:vAlign w:val="center"/>
            <w:hideMark/>
          </w:tcPr>
          <w:p w14:paraId="51CA3C0E" w14:textId="3B41FA9E" w:rsidR="001B04AA" w:rsidRPr="00047950" w:rsidRDefault="001B04AA" w:rsidP="00047950">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10 year</w:t>
            </w:r>
            <w:r>
              <w:rPr>
                <w:rFonts w:asciiTheme="majorHAnsi" w:hAnsiTheme="majorHAnsi"/>
                <w:b/>
                <w:bCs/>
                <w:snapToGrid/>
                <w:color w:val="FFFFFF"/>
                <w:sz w:val="18"/>
                <w:szCs w:val="16"/>
                <w:lang w:eastAsia="en-AU"/>
              </w:rPr>
              <w:t xml:space="preserve"> total</w:t>
            </w:r>
            <w:r w:rsidRPr="00047950">
              <w:rPr>
                <w:rFonts w:asciiTheme="majorHAnsi" w:hAnsiTheme="majorHAnsi"/>
                <w:b/>
                <w:bCs/>
                <w:snapToGrid/>
                <w:color w:val="FFFFFF"/>
                <w:sz w:val="18"/>
                <w:szCs w:val="16"/>
                <w:lang w:eastAsia="en-AU"/>
              </w:rPr>
              <w:t xml:space="preserve"> (NPV)</w:t>
            </w:r>
          </w:p>
        </w:tc>
        <w:tc>
          <w:tcPr>
            <w:tcW w:w="2409" w:type="dxa"/>
            <w:shd w:val="clear" w:color="auto" w:fill="A32020" w:themeFill="text2"/>
            <w:vAlign w:val="center"/>
            <w:hideMark/>
          </w:tcPr>
          <w:p w14:paraId="566EC4EB" w14:textId="7608661A" w:rsidR="001B04AA" w:rsidRPr="00047950" w:rsidRDefault="001B04AA" w:rsidP="00047950">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10 year</w:t>
            </w:r>
            <w:r>
              <w:rPr>
                <w:rFonts w:asciiTheme="majorHAnsi" w:hAnsiTheme="majorHAnsi"/>
                <w:b/>
                <w:bCs/>
                <w:snapToGrid/>
                <w:color w:val="FFFFFF"/>
                <w:sz w:val="18"/>
                <w:szCs w:val="16"/>
                <w:lang w:eastAsia="en-AU"/>
              </w:rPr>
              <w:t xml:space="preserve"> total</w:t>
            </w:r>
            <w:r w:rsidRPr="00047950">
              <w:rPr>
                <w:rFonts w:asciiTheme="majorHAnsi" w:hAnsiTheme="majorHAnsi"/>
                <w:b/>
                <w:bCs/>
                <w:snapToGrid/>
                <w:color w:val="FFFFFF"/>
                <w:sz w:val="18"/>
                <w:szCs w:val="16"/>
                <w:lang w:eastAsia="en-AU"/>
              </w:rPr>
              <w:t xml:space="preserve"> (nominal)</w:t>
            </w:r>
          </w:p>
        </w:tc>
        <w:tc>
          <w:tcPr>
            <w:tcW w:w="2835" w:type="dxa"/>
            <w:shd w:val="clear" w:color="auto" w:fill="A32020" w:themeFill="text2"/>
            <w:vAlign w:val="center"/>
            <w:hideMark/>
          </w:tcPr>
          <w:p w14:paraId="7285516C" w14:textId="492E21D1" w:rsidR="001B04AA" w:rsidRPr="00047950" w:rsidRDefault="001B04AA" w:rsidP="00047950">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Annual cost for Y</w:t>
            </w:r>
            <w:r w:rsidRPr="00047950">
              <w:rPr>
                <w:rFonts w:asciiTheme="majorHAnsi" w:hAnsiTheme="majorHAnsi"/>
                <w:b/>
                <w:bCs/>
                <w:snapToGrid/>
                <w:color w:val="FFFFFF"/>
                <w:sz w:val="18"/>
                <w:szCs w:val="16"/>
                <w:lang w:eastAsia="en-AU"/>
              </w:rPr>
              <w:t>ear</w:t>
            </w:r>
            <w:r>
              <w:rPr>
                <w:rFonts w:asciiTheme="majorHAnsi" w:hAnsiTheme="majorHAnsi"/>
                <w:b/>
                <w:bCs/>
                <w:snapToGrid/>
                <w:color w:val="FFFFFF"/>
                <w:sz w:val="18"/>
                <w:szCs w:val="16"/>
                <w:lang w:eastAsia="en-AU"/>
              </w:rPr>
              <w:t>s</w:t>
            </w:r>
            <w:r w:rsidRPr="00047950">
              <w:rPr>
                <w:rFonts w:asciiTheme="majorHAnsi" w:hAnsiTheme="majorHAnsi"/>
                <w:b/>
                <w:bCs/>
                <w:snapToGrid/>
                <w:color w:val="FFFFFF"/>
                <w:sz w:val="18"/>
                <w:szCs w:val="16"/>
                <w:lang w:eastAsia="en-AU"/>
              </w:rPr>
              <w:t xml:space="preserve"> 1</w:t>
            </w:r>
            <w:r>
              <w:rPr>
                <w:rFonts w:asciiTheme="majorHAnsi" w:hAnsiTheme="majorHAnsi"/>
                <w:b/>
                <w:bCs/>
                <w:snapToGrid/>
                <w:color w:val="FFFFFF"/>
                <w:sz w:val="18"/>
                <w:szCs w:val="16"/>
                <w:lang w:eastAsia="en-AU"/>
              </w:rPr>
              <w:t xml:space="preserve"> – 10</w:t>
            </w:r>
          </w:p>
        </w:tc>
      </w:tr>
      <w:tr w:rsidR="00A31D50" w:rsidRPr="00047950" w14:paraId="7F7BF84B" w14:textId="77777777" w:rsidTr="00C35804">
        <w:trPr>
          <w:cantSplit/>
          <w:trHeight w:val="273"/>
        </w:trPr>
        <w:tc>
          <w:tcPr>
            <w:tcW w:w="1783" w:type="dxa"/>
            <w:shd w:val="clear" w:color="auto" w:fill="7F7F7F" w:themeFill="text1" w:themeFillTint="80"/>
            <w:vAlign w:val="center"/>
            <w:hideMark/>
          </w:tcPr>
          <w:p w14:paraId="1D65AF25"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CHMP processes</w:t>
            </w:r>
          </w:p>
        </w:tc>
        <w:tc>
          <w:tcPr>
            <w:tcW w:w="2187" w:type="dxa"/>
            <w:shd w:val="clear" w:color="auto" w:fill="auto"/>
            <w:vAlign w:val="center"/>
            <w:hideMark/>
          </w:tcPr>
          <w:p w14:paraId="60FCECAA" w14:textId="09D43D86" w:rsidR="00A31D50" w:rsidRPr="00047950"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116.3 </w:t>
            </w:r>
          </w:p>
        </w:tc>
        <w:tc>
          <w:tcPr>
            <w:tcW w:w="2409" w:type="dxa"/>
            <w:shd w:val="clear" w:color="auto" w:fill="auto"/>
            <w:vAlign w:val="center"/>
            <w:hideMark/>
          </w:tcPr>
          <w:p w14:paraId="621027DF" w14:textId="2E48F50E"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137.9 </w:t>
            </w:r>
          </w:p>
        </w:tc>
        <w:tc>
          <w:tcPr>
            <w:tcW w:w="2835" w:type="dxa"/>
            <w:shd w:val="clear" w:color="auto" w:fill="auto"/>
            <w:vAlign w:val="center"/>
            <w:hideMark/>
          </w:tcPr>
          <w:p w14:paraId="20D6885B" w14:textId="3FEDD67A"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13.8 </w:t>
            </w:r>
          </w:p>
        </w:tc>
      </w:tr>
      <w:tr w:rsidR="00A31D50" w:rsidRPr="00047950" w14:paraId="1B4D423D" w14:textId="77777777" w:rsidTr="00C35804">
        <w:trPr>
          <w:cantSplit/>
          <w:trHeight w:val="407"/>
        </w:trPr>
        <w:tc>
          <w:tcPr>
            <w:tcW w:w="1783" w:type="dxa"/>
            <w:shd w:val="clear" w:color="auto" w:fill="7F7F7F" w:themeFill="text1" w:themeFillTint="80"/>
            <w:vAlign w:val="center"/>
            <w:hideMark/>
          </w:tcPr>
          <w:p w14:paraId="51F14843"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Management conditions</w:t>
            </w:r>
          </w:p>
        </w:tc>
        <w:tc>
          <w:tcPr>
            <w:tcW w:w="2187" w:type="dxa"/>
            <w:shd w:val="clear" w:color="auto" w:fill="auto"/>
            <w:vAlign w:val="center"/>
            <w:hideMark/>
          </w:tcPr>
          <w:p w14:paraId="306E0549" w14:textId="2249EF99" w:rsidR="00A31D50" w:rsidRPr="00047950"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44.8 </w:t>
            </w:r>
          </w:p>
        </w:tc>
        <w:tc>
          <w:tcPr>
            <w:tcW w:w="2409" w:type="dxa"/>
            <w:shd w:val="clear" w:color="auto" w:fill="auto"/>
            <w:vAlign w:val="center"/>
            <w:hideMark/>
          </w:tcPr>
          <w:p w14:paraId="07CD9E49" w14:textId="09797BEE"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53.1 </w:t>
            </w:r>
          </w:p>
        </w:tc>
        <w:tc>
          <w:tcPr>
            <w:tcW w:w="2835" w:type="dxa"/>
            <w:shd w:val="clear" w:color="auto" w:fill="auto"/>
            <w:vAlign w:val="center"/>
            <w:hideMark/>
          </w:tcPr>
          <w:p w14:paraId="763E050C" w14:textId="1494078B"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5.3 </w:t>
            </w:r>
          </w:p>
        </w:tc>
      </w:tr>
      <w:tr w:rsidR="00A31D50" w:rsidRPr="00047950" w14:paraId="312DE7CC" w14:textId="77777777" w:rsidTr="00C35804">
        <w:trPr>
          <w:cantSplit/>
          <w:trHeight w:val="407"/>
        </w:trPr>
        <w:tc>
          <w:tcPr>
            <w:tcW w:w="1783" w:type="dxa"/>
            <w:shd w:val="clear" w:color="auto" w:fill="7F7F7F" w:themeFill="text1" w:themeFillTint="80"/>
            <w:vAlign w:val="center"/>
          </w:tcPr>
          <w:p w14:paraId="5883D8DB" w14:textId="4922553A"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Government costs (excl. transfers)</w:t>
            </w:r>
          </w:p>
        </w:tc>
        <w:tc>
          <w:tcPr>
            <w:tcW w:w="2187" w:type="dxa"/>
            <w:shd w:val="clear" w:color="auto" w:fill="auto"/>
            <w:vAlign w:val="center"/>
          </w:tcPr>
          <w:p w14:paraId="552329C4" w14:textId="0DF22E2D" w:rsidR="00A31D50" w:rsidRPr="00047950"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5 </w:t>
            </w:r>
          </w:p>
        </w:tc>
        <w:tc>
          <w:tcPr>
            <w:tcW w:w="2409" w:type="dxa"/>
            <w:shd w:val="clear" w:color="auto" w:fill="auto"/>
            <w:vAlign w:val="center"/>
          </w:tcPr>
          <w:p w14:paraId="410626BC" w14:textId="1EE21D30"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6 </w:t>
            </w:r>
          </w:p>
        </w:tc>
        <w:tc>
          <w:tcPr>
            <w:tcW w:w="2835" w:type="dxa"/>
            <w:shd w:val="clear" w:color="auto" w:fill="auto"/>
            <w:vAlign w:val="center"/>
          </w:tcPr>
          <w:p w14:paraId="2408CEAB" w14:textId="63866DB0" w:rsidR="00A31D50" w:rsidRPr="000479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0.6 </w:t>
            </w:r>
          </w:p>
        </w:tc>
      </w:tr>
      <w:tr w:rsidR="00A31D50" w:rsidRPr="00047950" w14:paraId="17EA689F" w14:textId="77777777" w:rsidTr="00C35804">
        <w:trPr>
          <w:cantSplit/>
          <w:trHeight w:val="407"/>
        </w:trPr>
        <w:tc>
          <w:tcPr>
            <w:tcW w:w="1783" w:type="dxa"/>
            <w:shd w:val="clear" w:color="auto" w:fill="7F7F7F" w:themeFill="text1" w:themeFillTint="80"/>
            <w:vAlign w:val="center"/>
          </w:tcPr>
          <w:p w14:paraId="63A59725" w14:textId="372ADC12"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 xml:space="preserve">Government </w:t>
            </w:r>
            <w:r>
              <w:rPr>
                <w:rFonts w:asciiTheme="majorHAnsi" w:hAnsiTheme="majorHAnsi"/>
                <w:b/>
                <w:bCs/>
                <w:snapToGrid/>
                <w:color w:val="FFFFFF" w:themeColor="background1"/>
                <w:sz w:val="18"/>
                <w:szCs w:val="16"/>
                <w:lang w:eastAsia="en-AU"/>
              </w:rPr>
              <w:t>evaluation</w:t>
            </w:r>
            <w:r w:rsidRPr="008F5599">
              <w:rPr>
                <w:rFonts w:asciiTheme="majorHAnsi" w:hAnsiTheme="majorHAnsi"/>
                <w:b/>
                <w:bCs/>
                <w:snapToGrid/>
                <w:color w:val="FFFFFF" w:themeColor="background1"/>
                <w:sz w:val="18"/>
                <w:szCs w:val="16"/>
                <w:lang w:eastAsia="en-AU"/>
              </w:rPr>
              <w:t xml:space="preserve"> costs</w:t>
            </w:r>
          </w:p>
        </w:tc>
        <w:tc>
          <w:tcPr>
            <w:tcW w:w="2187" w:type="dxa"/>
            <w:shd w:val="clear" w:color="auto" w:fill="auto"/>
            <w:vAlign w:val="center"/>
          </w:tcPr>
          <w:p w14:paraId="62A46525" w14:textId="02495DEF" w:rsidR="00A31D50"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16.6 </w:t>
            </w:r>
          </w:p>
        </w:tc>
        <w:tc>
          <w:tcPr>
            <w:tcW w:w="2409" w:type="dxa"/>
            <w:shd w:val="clear" w:color="auto" w:fill="auto"/>
            <w:vAlign w:val="center"/>
          </w:tcPr>
          <w:p w14:paraId="57C91C33" w14:textId="53A54090" w:rsidR="00A31D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19.7 </w:t>
            </w:r>
          </w:p>
        </w:tc>
        <w:tc>
          <w:tcPr>
            <w:tcW w:w="2835" w:type="dxa"/>
            <w:shd w:val="clear" w:color="auto" w:fill="auto"/>
            <w:vAlign w:val="center"/>
          </w:tcPr>
          <w:p w14:paraId="594BAF9C" w14:textId="05AAAAA3" w:rsidR="00A31D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2</w:t>
            </w:r>
            <w:r>
              <w:t>.0</w:t>
            </w:r>
            <w:r w:rsidRPr="000A238C">
              <w:t xml:space="preserve"> </w:t>
            </w:r>
          </w:p>
        </w:tc>
      </w:tr>
      <w:tr w:rsidR="00A31D50" w:rsidRPr="00047950" w14:paraId="22D00F10" w14:textId="77777777" w:rsidTr="00C35804">
        <w:trPr>
          <w:cantSplit/>
          <w:trHeight w:val="407"/>
        </w:trPr>
        <w:tc>
          <w:tcPr>
            <w:tcW w:w="1783" w:type="dxa"/>
            <w:shd w:val="clear" w:color="auto" w:fill="7F7F7F" w:themeFill="text1" w:themeFillTint="80"/>
            <w:vAlign w:val="center"/>
          </w:tcPr>
          <w:p w14:paraId="34C0A954" w14:textId="7F60DCEB"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 xml:space="preserve">RAP </w:t>
            </w:r>
            <w:r>
              <w:rPr>
                <w:rFonts w:asciiTheme="majorHAnsi" w:hAnsiTheme="majorHAnsi"/>
                <w:b/>
                <w:bCs/>
                <w:snapToGrid/>
                <w:color w:val="FFFFFF" w:themeColor="background1"/>
                <w:sz w:val="18"/>
                <w:szCs w:val="16"/>
                <w:lang w:eastAsia="en-AU"/>
              </w:rPr>
              <w:t>evaluation</w:t>
            </w:r>
            <w:r w:rsidRPr="008F5599">
              <w:rPr>
                <w:rFonts w:asciiTheme="majorHAnsi" w:hAnsiTheme="majorHAnsi"/>
                <w:b/>
                <w:bCs/>
                <w:snapToGrid/>
                <w:color w:val="FFFFFF" w:themeColor="background1"/>
                <w:sz w:val="18"/>
                <w:szCs w:val="16"/>
                <w:lang w:eastAsia="en-AU"/>
              </w:rPr>
              <w:t xml:space="preserve"> costs</w:t>
            </w:r>
          </w:p>
        </w:tc>
        <w:tc>
          <w:tcPr>
            <w:tcW w:w="2187" w:type="dxa"/>
            <w:shd w:val="clear" w:color="auto" w:fill="auto"/>
            <w:vAlign w:val="center"/>
          </w:tcPr>
          <w:p w14:paraId="5E2CC04C" w14:textId="42081BEE" w:rsidR="00A31D50"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3.2 </w:t>
            </w:r>
          </w:p>
        </w:tc>
        <w:tc>
          <w:tcPr>
            <w:tcW w:w="2409" w:type="dxa"/>
            <w:shd w:val="clear" w:color="auto" w:fill="auto"/>
            <w:vAlign w:val="center"/>
          </w:tcPr>
          <w:p w14:paraId="75DA1A11" w14:textId="4C245D57" w:rsidR="00A31D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3.8 </w:t>
            </w:r>
          </w:p>
        </w:tc>
        <w:tc>
          <w:tcPr>
            <w:tcW w:w="2835" w:type="dxa"/>
            <w:shd w:val="clear" w:color="auto" w:fill="auto"/>
            <w:vAlign w:val="center"/>
          </w:tcPr>
          <w:p w14:paraId="4B27050C" w14:textId="2A1DB151" w:rsidR="00A31D50" w:rsidRDefault="00A31D50">
            <w:pPr>
              <w:kinsoku/>
              <w:overflowPunct/>
              <w:autoSpaceDE/>
              <w:autoSpaceDN/>
              <w:adjustRightInd/>
              <w:snapToGrid/>
              <w:jc w:val="center"/>
              <w:rPr>
                <w:rFonts w:asciiTheme="majorHAnsi" w:hAnsiTheme="majorHAnsi"/>
                <w:snapToGrid/>
                <w:color w:val="000000"/>
                <w:sz w:val="18"/>
                <w:szCs w:val="16"/>
                <w:lang w:eastAsia="en-AU"/>
              </w:rPr>
            </w:pPr>
            <w:r w:rsidRPr="000A238C">
              <w:t xml:space="preserve">0.4 </w:t>
            </w:r>
          </w:p>
        </w:tc>
      </w:tr>
      <w:tr w:rsidR="00A31D50" w:rsidRPr="00047950" w14:paraId="03255071" w14:textId="77777777" w:rsidTr="00C35804">
        <w:trPr>
          <w:cantSplit/>
          <w:trHeight w:val="179"/>
        </w:trPr>
        <w:tc>
          <w:tcPr>
            <w:tcW w:w="1783" w:type="dxa"/>
            <w:shd w:val="clear" w:color="auto" w:fill="7F7F7F" w:themeFill="text1" w:themeFillTint="80"/>
            <w:vAlign w:val="center"/>
            <w:hideMark/>
          </w:tcPr>
          <w:p w14:paraId="7DF2E543"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Total</w:t>
            </w:r>
          </w:p>
        </w:tc>
        <w:tc>
          <w:tcPr>
            <w:tcW w:w="2187" w:type="dxa"/>
            <w:shd w:val="clear" w:color="auto" w:fill="auto"/>
            <w:vAlign w:val="center"/>
            <w:hideMark/>
          </w:tcPr>
          <w:p w14:paraId="6A524A00" w14:textId="50283AAE" w:rsidR="00A31D50" w:rsidRPr="00D53D08" w:rsidRDefault="00A31D50" w:rsidP="00A31D50">
            <w:pPr>
              <w:kinsoku/>
              <w:overflowPunct/>
              <w:autoSpaceDE/>
              <w:autoSpaceDN/>
              <w:adjustRightInd/>
              <w:snapToGrid/>
              <w:jc w:val="center"/>
              <w:rPr>
                <w:rFonts w:asciiTheme="majorHAnsi" w:hAnsiTheme="majorHAnsi"/>
                <w:b/>
                <w:snapToGrid/>
                <w:color w:val="000000"/>
                <w:sz w:val="18"/>
                <w:szCs w:val="16"/>
                <w:lang w:eastAsia="en-AU"/>
              </w:rPr>
            </w:pPr>
            <w:r w:rsidRPr="000A238C">
              <w:t xml:space="preserve">185.9 </w:t>
            </w:r>
          </w:p>
        </w:tc>
        <w:tc>
          <w:tcPr>
            <w:tcW w:w="2409" w:type="dxa"/>
            <w:shd w:val="clear" w:color="auto" w:fill="auto"/>
            <w:vAlign w:val="center"/>
            <w:hideMark/>
          </w:tcPr>
          <w:p w14:paraId="71EDDC35" w14:textId="325FFF47" w:rsidR="00A31D50" w:rsidRPr="00D53D08" w:rsidRDefault="00A31D50">
            <w:pPr>
              <w:kinsoku/>
              <w:overflowPunct/>
              <w:autoSpaceDE/>
              <w:autoSpaceDN/>
              <w:adjustRightInd/>
              <w:snapToGrid/>
              <w:jc w:val="center"/>
              <w:rPr>
                <w:rFonts w:asciiTheme="majorHAnsi" w:hAnsiTheme="majorHAnsi"/>
                <w:b/>
                <w:snapToGrid/>
                <w:color w:val="000000"/>
                <w:sz w:val="18"/>
                <w:szCs w:val="16"/>
                <w:lang w:eastAsia="en-AU"/>
              </w:rPr>
            </w:pPr>
            <w:r w:rsidRPr="000A238C">
              <w:t xml:space="preserve">220.4 </w:t>
            </w:r>
          </w:p>
        </w:tc>
        <w:tc>
          <w:tcPr>
            <w:tcW w:w="2835" w:type="dxa"/>
            <w:shd w:val="clear" w:color="auto" w:fill="auto"/>
            <w:vAlign w:val="center"/>
            <w:hideMark/>
          </w:tcPr>
          <w:p w14:paraId="4D25C0E8" w14:textId="27D10702" w:rsidR="00A31D50" w:rsidRPr="00D53D08" w:rsidRDefault="00A31D50">
            <w:pPr>
              <w:kinsoku/>
              <w:overflowPunct/>
              <w:autoSpaceDE/>
              <w:autoSpaceDN/>
              <w:adjustRightInd/>
              <w:snapToGrid/>
              <w:jc w:val="center"/>
              <w:rPr>
                <w:rFonts w:asciiTheme="majorHAnsi" w:hAnsiTheme="majorHAnsi"/>
                <w:b/>
                <w:snapToGrid/>
                <w:color w:val="000000"/>
                <w:sz w:val="18"/>
                <w:szCs w:val="16"/>
                <w:lang w:eastAsia="en-AU"/>
              </w:rPr>
            </w:pPr>
            <w:r w:rsidRPr="000A238C">
              <w:t>22</w:t>
            </w:r>
            <w:r>
              <w:t>.0</w:t>
            </w:r>
            <w:r w:rsidRPr="000A238C">
              <w:t xml:space="preserve"> </w:t>
            </w:r>
          </w:p>
        </w:tc>
      </w:tr>
    </w:tbl>
    <w:p w14:paraId="498BA065" w14:textId="77777777" w:rsidR="00B73ECA" w:rsidRDefault="00B73ECA" w:rsidP="00B73ECA">
      <w:pPr>
        <w:pStyle w:val="PwCNormal"/>
        <w:rPr>
          <w:lang w:val="en-US"/>
        </w:rPr>
      </w:pPr>
    </w:p>
    <w:p w14:paraId="0C951604" w14:textId="325EBCCF" w:rsidR="00CC09A0" w:rsidRDefault="00CC09A0" w:rsidP="00CC09A0">
      <w:pPr>
        <w:pStyle w:val="Heading7"/>
        <w:rPr>
          <w:lang w:val="en-US"/>
        </w:rPr>
      </w:pPr>
      <w:bookmarkStart w:id="63" w:name="_Ref506999149"/>
      <w:r>
        <w:rPr>
          <w:lang w:val="en-US"/>
        </w:rPr>
        <w:t>Option 2: Re-make the Regulations with targeted improvements</w:t>
      </w:r>
      <w:r w:rsidR="00555165">
        <w:rPr>
          <w:lang w:val="en-US"/>
        </w:rPr>
        <w:t xml:space="preserve"> to the triggers for a CHMP</w:t>
      </w:r>
      <w:bookmarkEnd w:id="63"/>
    </w:p>
    <w:p w14:paraId="016FD428" w14:textId="3BF2B729" w:rsidR="00212405" w:rsidRDefault="00212405" w:rsidP="004A6198">
      <w:pPr>
        <w:pStyle w:val="PwCNormal"/>
      </w:pPr>
      <w:r>
        <w:t xml:space="preserve">The changes proposed as part of Option 2, and their impacts are shown in </w:t>
      </w:r>
      <w:r>
        <w:fldChar w:fldCharType="begin"/>
      </w:r>
      <w:r>
        <w:instrText xml:space="preserve"> REF _Ref507658795 \h </w:instrText>
      </w:r>
      <w:r>
        <w:fldChar w:fldCharType="separate"/>
      </w:r>
      <w:r w:rsidR="000369A1">
        <w:t xml:space="preserve">Table </w:t>
      </w:r>
      <w:r w:rsidR="000369A1">
        <w:rPr>
          <w:noProof/>
        </w:rPr>
        <w:t>13</w:t>
      </w:r>
      <w:r>
        <w:fldChar w:fldCharType="end"/>
      </w:r>
      <w:r>
        <w:t>.</w:t>
      </w:r>
    </w:p>
    <w:p w14:paraId="62CA87D2" w14:textId="77612B09" w:rsidR="00212405" w:rsidRDefault="00212405" w:rsidP="00212405">
      <w:pPr>
        <w:pStyle w:val="Caption"/>
      </w:pPr>
      <w:bookmarkStart w:id="64" w:name="_Ref507658795"/>
      <w:r>
        <w:t xml:space="preserve">Table </w:t>
      </w:r>
      <w:r w:rsidR="00B47FE6">
        <w:fldChar w:fldCharType="begin"/>
      </w:r>
      <w:r w:rsidR="00B47FE6">
        <w:instrText xml:space="preserve"> SEQ Table \* ARABIC </w:instrText>
      </w:r>
      <w:r w:rsidR="00B47FE6">
        <w:fldChar w:fldCharType="separate"/>
      </w:r>
      <w:r w:rsidR="000369A1">
        <w:rPr>
          <w:noProof/>
        </w:rPr>
        <w:t>13</w:t>
      </w:r>
      <w:r w:rsidR="00B47FE6">
        <w:rPr>
          <w:noProof/>
        </w:rPr>
        <w:fldChar w:fldCharType="end"/>
      </w:r>
      <w:bookmarkEnd w:id="64"/>
      <w:r>
        <w:t xml:space="preserve">: </w:t>
      </w:r>
      <w:r w:rsidR="00660A78">
        <w:t>The effect of c</w:t>
      </w:r>
      <w:r>
        <w:t>hanges proposed in Option 2</w:t>
      </w:r>
    </w:p>
    <w:tbl>
      <w:tblPr>
        <w:tblStyle w:val="ListTable3-Accent11"/>
        <w:tblW w:w="9113" w:type="dxa"/>
        <w:tblBorders>
          <w:insideH w:val="single" w:sz="4" w:space="0" w:color="A32020" w:themeColor="accent1"/>
          <w:insideV w:val="single" w:sz="4" w:space="0" w:color="A32020" w:themeColor="accent1"/>
        </w:tblBorders>
        <w:tblLayout w:type="fixed"/>
        <w:tblLook w:val="04A0" w:firstRow="1" w:lastRow="0" w:firstColumn="1" w:lastColumn="0" w:noHBand="0" w:noVBand="1"/>
      </w:tblPr>
      <w:tblGrid>
        <w:gridCol w:w="1125"/>
        <w:gridCol w:w="3661"/>
        <w:gridCol w:w="4327"/>
      </w:tblGrid>
      <w:tr w:rsidR="00212405" w14:paraId="59DF1679" w14:textId="77777777" w:rsidTr="007C0109">
        <w:trPr>
          <w:cnfStyle w:val="100000000000" w:firstRow="1" w:lastRow="0" w:firstColumn="0" w:lastColumn="0" w:oddVBand="0" w:evenVBand="0" w:oddHBand="0" w:evenHBand="0" w:firstRowFirstColumn="0" w:firstRowLastColumn="0" w:lastRowFirstColumn="0" w:lastRowLastColumn="0"/>
          <w:trHeight w:val="130"/>
        </w:trPr>
        <w:tc>
          <w:tcPr>
            <w:cnfStyle w:val="001000000100" w:firstRow="0" w:lastRow="0" w:firstColumn="1" w:lastColumn="0" w:oddVBand="0" w:evenVBand="0" w:oddHBand="0" w:evenHBand="0" w:firstRowFirstColumn="1" w:firstRowLastColumn="0" w:lastRowFirstColumn="0" w:lastRowLastColumn="0"/>
            <w:tcW w:w="1125" w:type="dxa"/>
            <w:vAlign w:val="center"/>
          </w:tcPr>
          <w:p w14:paraId="0EC96ED1" w14:textId="77777777" w:rsidR="00212405" w:rsidRDefault="00212405" w:rsidP="00257A68">
            <w:pPr>
              <w:jc w:val="center"/>
            </w:pPr>
            <w:r>
              <w:t xml:space="preserve">Reg. # </w:t>
            </w:r>
            <w:r>
              <w:rPr>
                <w:rStyle w:val="FootnoteReference"/>
              </w:rPr>
              <w:footnoteReference w:id="81"/>
            </w:r>
          </w:p>
        </w:tc>
        <w:tc>
          <w:tcPr>
            <w:tcW w:w="3661" w:type="dxa"/>
            <w:vAlign w:val="center"/>
          </w:tcPr>
          <w:p w14:paraId="60ACEE23" w14:textId="77777777" w:rsidR="00212405" w:rsidRDefault="00212405" w:rsidP="00257A68">
            <w:pPr>
              <w:cnfStyle w:val="100000000000" w:firstRow="1" w:lastRow="0" w:firstColumn="0" w:lastColumn="0" w:oddVBand="0" w:evenVBand="0" w:oddHBand="0" w:evenHBand="0" w:firstRowFirstColumn="0" w:firstRowLastColumn="0" w:lastRowFirstColumn="0" w:lastRowLastColumn="0"/>
            </w:pPr>
            <w:r>
              <w:t>Description of change</w:t>
            </w:r>
          </w:p>
        </w:tc>
        <w:tc>
          <w:tcPr>
            <w:tcW w:w="4327" w:type="dxa"/>
            <w:vAlign w:val="center"/>
          </w:tcPr>
          <w:p w14:paraId="496AC519" w14:textId="287313BB" w:rsidR="00212405" w:rsidRDefault="00212405" w:rsidP="00FB5C8E">
            <w:pPr>
              <w:cnfStyle w:val="100000000000" w:firstRow="1" w:lastRow="0" w:firstColumn="0" w:lastColumn="0" w:oddVBand="0" w:evenVBand="0" w:oddHBand="0" w:evenHBand="0" w:firstRowFirstColumn="0" w:firstRowLastColumn="0" w:lastRowFirstColumn="0" w:lastRowLastColumn="0"/>
            </w:pPr>
            <w:r>
              <w:t>Effect</w:t>
            </w:r>
          </w:p>
        </w:tc>
      </w:tr>
      <w:tr w:rsidR="00212405" w14:paraId="01E662BE" w14:textId="77777777" w:rsidTr="007C0109">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5E6E14EB" w14:textId="77777777" w:rsidR="00212405" w:rsidRPr="002F2089" w:rsidRDefault="00212405" w:rsidP="00257A68">
            <w:pPr>
              <w:jc w:val="center"/>
            </w:pPr>
            <w:r>
              <w:t>5</w:t>
            </w:r>
          </w:p>
        </w:tc>
        <w:tc>
          <w:tcPr>
            <w:tcW w:w="3661" w:type="dxa"/>
            <w:shd w:val="clear" w:color="auto" w:fill="auto"/>
            <w:vAlign w:val="center"/>
          </w:tcPr>
          <w:p w14:paraId="402569F7" w14:textId="77777777" w:rsidR="00212405" w:rsidRPr="002F2089" w:rsidRDefault="00212405" w:rsidP="00257A68">
            <w:pPr>
              <w:cnfStyle w:val="000000100000" w:firstRow="0" w:lastRow="0" w:firstColumn="0" w:lastColumn="0" w:oddVBand="0" w:evenVBand="0" w:oddHBand="1" w:evenHBand="0" w:firstRowFirstColumn="0" w:firstRowLastColumn="0" w:lastRowFirstColumn="0" w:lastRowLastColumn="0"/>
            </w:pPr>
            <w:r>
              <w:t>Expand the definition of an area of cultural heritage sensitivity to include other parks and reserves managed for conservation purposes.</w:t>
            </w:r>
          </w:p>
        </w:tc>
        <w:tc>
          <w:tcPr>
            <w:tcW w:w="4327" w:type="dxa"/>
            <w:vAlign w:val="center"/>
          </w:tcPr>
          <w:p w14:paraId="3687E5FD" w14:textId="6FCFB826" w:rsidR="00212405" w:rsidRDefault="00212405" w:rsidP="00257A68">
            <w:pPr>
              <w:cnfStyle w:val="000000100000" w:firstRow="0" w:lastRow="0" w:firstColumn="0" w:lastColumn="0" w:oddVBand="0" w:evenVBand="0" w:oddHBand="1" w:evenHBand="0" w:firstRowFirstColumn="0" w:firstRowLastColumn="0" w:lastRowFirstColumn="0" w:lastRowLastColumn="0"/>
            </w:pPr>
            <w:r w:rsidRPr="003A2247">
              <w:t xml:space="preserve">The effect of the proposed change on the number of CHMPs prepared each year will be </w:t>
            </w:r>
            <w:r>
              <w:t xml:space="preserve">approximately </w:t>
            </w:r>
            <w:r w:rsidRPr="00705BA8">
              <w:rPr>
                <w:b/>
              </w:rPr>
              <w:t>1.7 more</w:t>
            </w:r>
            <w:r>
              <w:t xml:space="preserve"> CHMPs prepared per year</w:t>
            </w:r>
            <w:r w:rsidR="00F86DA5">
              <w:t xml:space="preserve"> on average</w:t>
            </w:r>
            <w:r>
              <w:t>.</w:t>
            </w:r>
            <w:r w:rsidR="00041B16">
              <w:rPr>
                <w:rStyle w:val="FootnoteReference"/>
              </w:rPr>
              <w:footnoteReference w:id="82"/>
            </w:r>
          </w:p>
        </w:tc>
      </w:tr>
      <w:tr w:rsidR="00212405" w14:paraId="6D838515" w14:textId="77777777" w:rsidTr="007C0109">
        <w:trPr>
          <w:trHeight w:val="2"/>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7E66B8DC" w14:textId="77777777" w:rsidR="00212405" w:rsidRPr="002F2089" w:rsidRDefault="00212405" w:rsidP="00257A68">
            <w:pPr>
              <w:jc w:val="center"/>
            </w:pPr>
            <w:r>
              <w:t>5</w:t>
            </w:r>
          </w:p>
        </w:tc>
        <w:tc>
          <w:tcPr>
            <w:tcW w:w="3661" w:type="dxa"/>
            <w:shd w:val="clear" w:color="auto" w:fill="auto"/>
            <w:vAlign w:val="center"/>
          </w:tcPr>
          <w:p w14:paraId="45CEC5B6" w14:textId="77777777" w:rsidR="00212405" w:rsidRPr="002F2089" w:rsidRDefault="00212405" w:rsidP="00257A68">
            <w:pPr>
              <w:cnfStyle w:val="000000000000" w:firstRow="0" w:lastRow="0" w:firstColumn="0" w:lastColumn="0" w:oddVBand="0" w:evenVBand="0" w:oddHBand="0" w:evenHBand="0" w:firstRowFirstColumn="0" w:firstRowLastColumn="0" w:lastRowFirstColumn="0" w:lastRowLastColumn="0"/>
            </w:pPr>
            <w:r>
              <w:t>Clarify the definitions of waterways to include channelised sections.</w:t>
            </w:r>
          </w:p>
        </w:tc>
        <w:tc>
          <w:tcPr>
            <w:tcW w:w="4327" w:type="dxa"/>
            <w:vAlign w:val="center"/>
          </w:tcPr>
          <w:p w14:paraId="4664A6FC" w14:textId="01FD2BB0" w:rsidR="00212405" w:rsidRDefault="00212405" w:rsidP="00FB5C8E">
            <w:pPr>
              <w:cnfStyle w:val="000000000000" w:firstRow="0" w:lastRow="0" w:firstColumn="0" w:lastColumn="0" w:oddVBand="0" w:evenVBand="0" w:oddHBand="0" w:evenHBand="0" w:firstRowFirstColumn="0" w:firstRowLastColumn="0" w:lastRowFirstColumn="0" w:lastRowLastColumn="0"/>
            </w:pPr>
            <w:r w:rsidRPr="00881E03">
              <w:t>The proposed change is unlikely to significantly affect the number of CHMPs prepared each year. Clarification of the definition of wa</w:t>
            </w:r>
            <w:r>
              <w:t xml:space="preserve">terway </w:t>
            </w:r>
            <w:r w:rsidR="001B6EB3">
              <w:t xml:space="preserve">may </w:t>
            </w:r>
            <w:r>
              <w:t>reduce</w:t>
            </w:r>
            <w:r w:rsidRPr="00F62D5C">
              <w:t xml:space="preserve"> the time o</w:t>
            </w:r>
            <w:r>
              <w:t>f CHMP s</w:t>
            </w:r>
            <w:r w:rsidRPr="00881E03">
              <w:t xml:space="preserve">ponsors and </w:t>
            </w:r>
            <w:r>
              <w:t>heritage a</w:t>
            </w:r>
            <w:r w:rsidRPr="00881E03">
              <w:t>dvisors in determining whether a CHMP is required</w:t>
            </w:r>
            <w:r>
              <w:t xml:space="preserve"> for </w:t>
            </w:r>
            <w:r w:rsidRPr="00FB5C8E">
              <w:t xml:space="preserve">the </w:t>
            </w:r>
            <w:r w:rsidR="00F86DA5" w:rsidRPr="007C0109">
              <w:t>429</w:t>
            </w:r>
            <w:r w:rsidRPr="007C0109">
              <w:t xml:space="preserve"> NOIs</w:t>
            </w:r>
            <w:r>
              <w:t xml:space="preserve"> to prepare a CHMP triggered by proximity to a waterway each year</w:t>
            </w:r>
            <w:r w:rsidR="001B6EB3">
              <w:t>, however, the actual impact is unknown</w:t>
            </w:r>
            <w:r w:rsidRPr="00881E03">
              <w:t>.</w:t>
            </w:r>
            <w:r w:rsidR="00041B16">
              <w:rPr>
                <w:rStyle w:val="FootnoteReference"/>
              </w:rPr>
              <w:footnoteReference w:id="83"/>
            </w:r>
          </w:p>
        </w:tc>
      </w:tr>
      <w:tr w:rsidR="00212405" w14:paraId="32E1FBF9" w14:textId="77777777" w:rsidTr="007C0109">
        <w:trPr>
          <w:cnfStyle w:val="000000100000" w:firstRow="0" w:lastRow="0" w:firstColumn="0" w:lastColumn="0" w:oddVBand="0" w:evenVBand="0" w:oddHBand="1"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69956B4A" w14:textId="77777777" w:rsidR="00212405" w:rsidRPr="002F2089" w:rsidRDefault="00212405" w:rsidP="00257A68">
            <w:pPr>
              <w:jc w:val="center"/>
            </w:pPr>
            <w:r>
              <w:t>28, 34, 35, 36, 37, 39, 40, 41, 55</w:t>
            </w:r>
          </w:p>
        </w:tc>
        <w:tc>
          <w:tcPr>
            <w:tcW w:w="3661" w:type="dxa"/>
            <w:shd w:val="clear" w:color="auto" w:fill="auto"/>
            <w:vAlign w:val="center"/>
          </w:tcPr>
          <w:p w14:paraId="2441EF0B" w14:textId="77777777" w:rsidR="00212405" w:rsidRPr="002F2089" w:rsidRDefault="00212405" w:rsidP="00257A68">
            <w:pPr>
              <w:cnfStyle w:val="000000100000" w:firstRow="0" w:lastRow="0" w:firstColumn="0" w:lastColumn="0" w:oddVBand="0" w:evenVBand="0" w:oddHBand="1" w:evenHBand="0" w:firstRowFirstColumn="0" w:firstRowLastColumn="0" w:lastRowFirstColumn="0" w:lastRowLastColumn="0"/>
            </w:pPr>
            <w:r>
              <w:t>Rely on more recent geology data (from GeoVic map book) to update maps.</w:t>
            </w:r>
          </w:p>
        </w:tc>
        <w:tc>
          <w:tcPr>
            <w:tcW w:w="4327" w:type="dxa"/>
            <w:vAlign w:val="center"/>
          </w:tcPr>
          <w:p w14:paraId="0ADC206E" w14:textId="29C63792" w:rsidR="00212405" w:rsidRDefault="00212405" w:rsidP="00257A68">
            <w:pPr>
              <w:cnfStyle w:val="000000100000" w:firstRow="0" w:lastRow="0" w:firstColumn="0" w:lastColumn="0" w:oddVBand="0" w:evenVBand="0" w:oddHBand="1" w:evenHBand="0" w:firstRowFirstColumn="0" w:firstRowLastColumn="0" w:lastRowFirstColumn="0" w:lastRowLastColumn="0"/>
            </w:pPr>
            <w:r>
              <w:rPr>
                <w:b/>
              </w:rPr>
              <w:t>8.4</w:t>
            </w:r>
            <w:r w:rsidRPr="00705BA8">
              <w:rPr>
                <w:b/>
              </w:rPr>
              <w:t xml:space="preserve"> more</w:t>
            </w:r>
            <w:r>
              <w:t xml:space="preserve"> CHMPs per year</w:t>
            </w:r>
            <w:r w:rsidR="00F86DA5">
              <w:t xml:space="preserve"> on average</w:t>
            </w:r>
            <w:r>
              <w:t>.</w:t>
            </w:r>
            <w:r w:rsidR="00F86DA5">
              <w:rPr>
                <w:rStyle w:val="FootnoteReference"/>
              </w:rPr>
              <w:footnoteReference w:id="84"/>
            </w:r>
          </w:p>
        </w:tc>
      </w:tr>
      <w:tr w:rsidR="00212405" w14:paraId="4F6EEB30" w14:textId="77777777" w:rsidTr="007C0109">
        <w:trPr>
          <w:trHeight w:val="2"/>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228C5E2B" w14:textId="77777777" w:rsidR="00212405" w:rsidRPr="00490033" w:rsidRDefault="00212405" w:rsidP="00257A68">
            <w:pPr>
              <w:jc w:val="center"/>
            </w:pPr>
            <w:r w:rsidRPr="001858DD">
              <w:t>4</w:t>
            </w:r>
            <w:r w:rsidRPr="00C47E55">
              <w:t>6</w:t>
            </w:r>
          </w:p>
          <w:p w14:paraId="7E0561DF" w14:textId="77777777" w:rsidR="00212405" w:rsidRPr="00490033" w:rsidRDefault="00212405" w:rsidP="00257A68">
            <w:pPr>
              <w:jc w:val="center"/>
            </w:pPr>
            <w:r w:rsidRPr="00490033">
              <w:t>(1) (b)</w:t>
            </w:r>
          </w:p>
        </w:tc>
        <w:tc>
          <w:tcPr>
            <w:tcW w:w="3661" w:type="dxa"/>
            <w:shd w:val="clear" w:color="auto" w:fill="auto"/>
            <w:vAlign w:val="center"/>
          </w:tcPr>
          <w:p w14:paraId="2F88A871" w14:textId="77777777" w:rsidR="00212405" w:rsidRPr="00CA737A" w:rsidRDefault="00212405" w:rsidP="00257A68">
            <w:pPr>
              <w:cnfStyle w:val="000000000000" w:firstRow="0" w:lastRow="0" w:firstColumn="0" w:lastColumn="0" w:oddVBand="0" w:evenVBand="0" w:oddHBand="0" w:evenHBand="0" w:firstRowFirstColumn="0" w:firstRowLastColumn="0" w:lastRowFirstColumn="0" w:lastRowLastColumn="0"/>
            </w:pPr>
            <w:r>
              <w:t>Include development of residential villages as a high impact activity.</w:t>
            </w:r>
          </w:p>
        </w:tc>
        <w:tc>
          <w:tcPr>
            <w:tcW w:w="4327" w:type="dxa"/>
            <w:vAlign w:val="center"/>
          </w:tcPr>
          <w:p w14:paraId="6B333878" w14:textId="3FC7467A" w:rsidR="00212405" w:rsidRPr="00855F44" w:rsidRDefault="00212405" w:rsidP="00257A68">
            <w:pPr>
              <w:cnfStyle w:val="000000000000" w:firstRow="0" w:lastRow="0" w:firstColumn="0" w:lastColumn="0" w:oddVBand="0" w:evenVBand="0" w:oddHBand="0" w:evenHBand="0" w:firstRowFirstColumn="0" w:firstRowLastColumn="0" w:lastRowFirstColumn="0" w:lastRowLastColumn="0"/>
            </w:pPr>
            <w:r>
              <w:rPr>
                <w:b/>
              </w:rPr>
              <w:t xml:space="preserve">2 more </w:t>
            </w:r>
            <w:r>
              <w:t>CHMPs per year</w:t>
            </w:r>
            <w:r w:rsidR="00F86DA5">
              <w:t xml:space="preserve"> on average.</w:t>
            </w:r>
            <w:r w:rsidR="00F86DA5">
              <w:rPr>
                <w:rStyle w:val="FootnoteReference"/>
              </w:rPr>
              <w:footnoteReference w:id="85"/>
            </w:r>
          </w:p>
        </w:tc>
      </w:tr>
      <w:tr w:rsidR="00212405" w14:paraId="0429AB06" w14:textId="77777777" w:rsidTr="007C0109">
        <w:trPr>
          <w:cnfStyle w:val="000000100000" w:firstRow="0" w:lastRow="0" w:firstColumn="0" w:lastColumn="0" w:oddVBand="0" w:evenVBand="0" w:oddHBand="1"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6D416B40" w14:textId="77777777" w:rsidR="00212405" w:rsidRPr="003F706A" w:rsidRDefault="00212405" w:rsidP="00257A68">
            <w:pPr>
              <w:jc w:val="center"/>
            </w:pPr>
            <w:r w:rsidRPr="00490033">
              <w:t>46 (1) (b)</w:t>
            </w:r>
          </w:p>
        </w:tc>
        <w:tc>
          <w:tcPr>
            <w:tcW w:w="3661" w:type="dxa"/>
            <w:shd w:val="clear" w:color="auto" w:fill="auto"/>
            <w:vAlign w:val="center"/>
          </w:tcPr>
          <w:p w14:paraId="01BC55CA" w14:textId="77777777" w:rsidR="00212405" w:rsidRDefault="00212405" w:rsidP="00257A68">
            <w:pPr>
              <w:cnfStyle w:val="000000100000" w:firstRow="0" w:lastRow="0" w:firstColumn="0" w:lastColumn="0" w:oddVBand="0" w:evenVBand="0" w:oddHBand="1" w:evenHBand="0" w:firstRowFirstColumn="0" w:firstRowLastColumn="0" w:lastRowFirstColumn="0" w:lastRowLastColumn="0"/>
            </w:pPr>
            <w:r w:rsidRPr="00490033">
              <w:t>Include Residential Building as a high impact activity</w:t>
            </w:r>
            <w:r>
              <w:t>.</w:t>
            </w:r>
          </w:p>
        </w:tc>
        <w:tc>
          <w:tcPr>
            <w:tcW w:w="4327" w:type="dxa"/>
            <w:vAlign w:val="center"/>
          </w:tcPr>
          <w:p w14:paraId="2AE3B97F" w14:textId="5983D483" w:rsidR="00212405" w:rsidRPr="001858DD" w:rsidDel="00855F44" w:rsidRDefault="00212405" w:rsidP="00257A68">
            <w:pPr>
              <w:cnfStyle w:val="000000100000" w:firstRow="0" w:lastRow="0" w:firstColumn="0" w:lastColumn="0" w:oddVBand="0" w:evenVBand="0" w:oddHBand="1" w:evenHBand="0" w:firstRowFirstColumn="0" w:firstRowLastColumn="0" w:lastRowFirstColumn="0" w:lastRowLastColumn="0"/>
              <w:rPr>
                <w:b/>
              </w:rPr>
            </w:pPr>
            <w:r w:rsidRPr="00490033">
              <w:rPr>
                <w:b/>
              </w:rPr>
              <w:t xml:space="preserve">6 more </w:t>
            </w:r>
            <w:r w:rsidRPr="003F706A">
              <w:t>CHMPs each year</w:t>
            </w:r>
            <w:r w:rsidR="00F86DA5">
              <w:t xml:space="preserve"> on average</w:t>
            </w:r>
            <w:r>
              <w:t>.</w:t>
            </w:r>
            <w:r w:rsidR="00F86DA5">
              <w:rPr>
                <w:rStyle w:val="FootnoteReference"/>
                <w:b/>
              </w:rPr>
              <w:footnoteReference w:id="86"/>
            </w:r>
          </w:p>
        </w:tc>
      </w:tr>
      <w:tr w:rsidR="00212405" w14:paraId="64DAD482" w14:textId="77777777" w:rsidTr="007C0109">
        <w:trPr>
          <w:trHeight w:val="837"/>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4D92AF10" w14:textId="77777777" w:rsidR="00212405" w:rsidRPr="002F2089" w:rsidRDefault="00212405" w:rsidP="00257A68">
            <w:pPr>
              <w:jc w:val="center"/>
            </w:pPr>
            <w:r>
              <w:t>46 (1) (b)</w:t>
            </w:r>
          </w:p>
        </w:tc>
        <w:tc>
          <w:tcPr>
            <w:tcW w:w="3661" w:type="dxa"/>
            <w:shd w:val="clear" w:color="auto" w:fill="auto"/>
            <w:vAlign w:val="center"/>
          </w:tcPr>
          <w:p w14:paraId="0F52E743" w14:textId="77777777" w:rsidR="00212405" w:rsidRPr="00CA737A" w:rsidRDefault="00212405" w:rsidP="00257A68">
            <w:pPr>
              <w:cnfStyle w:val="000000000000" w:firstRow="0" w:lastRow="0" w:firstColumn="0" w:lastColumn="0" w:oddVBand="0" w:evenVBand="0" w:oddHBand="0" w:evenHBand="0" w:firstRowFirstColumn="0" w:firstRowLastColumn="0" w:lastRowFirstColumn="0" w:lastRowLastColumn="0"/>
            </w:pPr>
            <w:r>
              <w:t>Include the construction of fuel breaks that require a permit to remove native vegetation.</w:t>
            </w:r>
          </w:p>
        </w:tc>
        <w:tc>
          <w:tcPr>
            <w:tcW w:w="4327" w:type="dxa"/>
            <w:vAlign w:val="center"/>
          </w:tcPr>
          <w:p w14:paraId="669DFCED" w14:textId="087EC073" w:rsidR="00212405" w:rsidRDefault="00F86DA5" w:rsidP="00FB5C8E">
            <w:pPr>
              <w:cnfStyle w:val="000000000000" w:firstRow="0" w:lastRow="0" w:firstColumn="0" w:lastColumn="0" w:oddVBand="0" w:evenVBand="0" w:oddHBand="0" w:evenHBand="0" w:firstRowFirstColumn="0" w:firstRowLastColumn="0" w:lastRowFirstColumn="0" w:lastRowLastColumn="0"/>
            </w:pPr>
            <w:r>
              <w:rPr>
                <w:b/>
              </w:rPr>
              <w:t>0.5</w:t>
            </w:r>
            <w:r w:rsidR="00212405" w:rsidRPr="003F706A">
              <w:rPr>
                <w:b/>
              </w:rPr>
              <w:t xml:space="preserve"> more</w:t>
            </w:r>
            <w:r w:rsidR="00212405">
              <w:t xml:space="preserve"> CHMPs per year</w:t>
            </w:r>
            <w:r>
              <w:t xml:space="preserve"> on average</w:t>
            </w:r>
            <w:r w:rsidR="00212405">
              <w:t>.</w:t>
            </w:r>
            <w:r>
              <w:rPr>
                <w:rStyle w:val="FootnoteReference"/>
              </w:rPr>
              <w:footnoteReference w:id="87"/>
            </w:r>
          </w:p>
        </w:tc>
      </w:tr>
      <w:tr w:rsidR="00212405" w14:paraId="53E0D305" w14:textId="77777777" w:rsidTr="007C0109">
        <w:trPr>
          <w:cnfStyle w:val="000000100000" w:firstRow="0" w:lastRow="0" w:firstColumn="0" w:lastColumn="0" w:oddVBand="0" w:evenVBand="0" w:oddHBand="1"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center"/>
          </w:tcPr>
          <w:p w14:paraId="3A177CE2" w14:textId="77777777" w:rsidR="00212405" w:rsidRPr="002F2089" w:rsidRDefault="00212405" w:rsidP="00257A68">
            <w:pPr>
              <w:jc w:val="center"/>
            </w:pPr>
            <w:r>
              <w:t>44 (1) (f)</w:t>
            </w:r>
          </w:p>
        </w:tc>
        <w:tc>
          <w:tcPr>
            <w:tcW w:w="3661" w:type="dxa"/>
            <w:shd w:val="clear" w:color="auto" w:fill="auto"/>
            <w:vAlign w:val="center"/>
          </w:tcPr>
          <w:p w14:paraId="321EB508" w14:textId="77777777" w:rsidR="00212405" w:rsidRPr="00CA737A" w:rsidRDefault="00212405" w:rsidP="00257A68">
            <w:pPr>
              <w:cnfStyle w:val="000000100000" w:firstRow="0" w:lastRow="0" w:firstColumn="0" w:lastColumn="0" w:oddVBand="0" w:evenVBand="0" w:oddHBand="1" w:evenHBand="0" w:firstRowFirstColumn="0" w:firstRowLastColumn="0" w:lastRowFirstColumn="0" w:lastRowLastColumn="0"/>
            </w:pPr>
            <w:r>
              <w:t>Exempt walking and bicycle tracks less than 500 metres long from requiring a CHMP.</w:t>
            </w:r>
          </w:p>
        </w:tc>
        <w:tc>
          <w:tcPr>
            <w:tcW w:w="4327" w:type="dxa"/>
            <w:vAlign w:val="center"/>
          </w:tcPr>
          <w:p w14:paraId="13B801DC" w14:textId="59305EBA" w:rsidR="00212405" w:rsidRDefault="00212405" w:rsidP="00257A68">
            <w:pPr>
              <w:cnfStyle w:val="000000100000" w:firstRow="0" w:lastRow="0" w:firstColumn="0" w:lastColumn="0" w:oddVBand="0" w:evenVBand="0" w:oddHBand="1" w:evenHBand="0" w:firstRowFirstColumn="0" w:firstRowLastColumn="0" w:lastRowFirstColumn="0" w:lastRowLastColumn="0"/>
            </w:pPr>
            <w:r>
              <w:t>Minimal impact, as few CHMPs per year have historically been prepared for this activity.</w:t>
            </w:r>
            <w:r w:rsidR="00041B16">
              <w:rPr>
                <w:rStyle w:val="FootnoteReference"/>
              </w:rPr>
              <w:footnoteReference w:id="88"/>
            </w:r>
          </w:p>
        </w:tc>
      </w:tr>
    </w:tbl>
    <w:p w14:paraId="6439A749" w14:textId="77777777" w:rsidR="000369A1" w:rsidRDefault="00CE1A10" w:rsidP="005519AF">
      <w:pPr>
        <w:numPr>
          <w:ilvl w:val="0"/>
          <w:numId w:val="9"/>
        </w:numPr>
        <w:spacing w:before="120" w:after="120"/>
        <w:rPr>
          <w:lang w:val="en-US"/>
        </w:rPr>
      </w:pPr>
      <w:r>
        <w:t>The costs of Option 2</w:t>
      </w:r>
      <w:r w:rsidR="004A6198">
        <w:t xml:space="preserve"> have been estimated using the same methodology as Option 1. Compared to Option 1, there will be </w:t>
      </w:r>
      <w:r w:rsidR="00FB5C8E">
        <w:t xml:space="preserve">18.6 more </w:t>
      </w:r>
      <w:r w:rsidR="004A6198">
        <w:t>CHMPs undertaken</w:t>
      </w:r>
      <w:r w:rsidR="00FB5C8E">
        <w:t xml:space="preserve"> in total</w:t>
      </w:r>
      <w:r w:rsidR="004A6198">
        <w:t xml:space="preserve">, as shown in </w:t>
      </w:r>
      <w:r w:rsidR="004A6198">
        <w:fldChar w:fldCharType="begin"/>
      </w:r>
      <w:r w:rsidR="004A6198">
        <w:instrText xml:space="preserve"> REF _Ref501386830 \h </w:instrText>
      </w:r>
      <w:r w:rsidR="004A6198">
        <w:fldChar w:fldCharType="separate"/>
      </w:r>
    </w:p>
    <w:p w14:paraId="1B24CD26" w14:textId="215655A0" w:rsidR="004A6198" w:rsidRDefault="000369A1" w:rsidP="00587855">
      <w:pPr>
        <w:pStyle w:val="PwCNormal"/>
        <w:spacing w:before="240"/>
      </w:pPr>
      <w:r>
        <w:t xml:space="preserve">Table </w:t>
      </w:r>
      <w:r>
        <w:rPr>
          <w:noProof/>
        </w:rPr>
        <w:t>8</w:t>
      </w:r>
      <w:r w:rsidR="004A6198">
        <w:fldChar w:fldCharType="end"/>
      </w:r>
      <w:r w:rsidR="004A6198">
        <w:t>. It is anticipated that under Option 2, there will be a 2.</w:t>
      </w:r>
      <w:r w:rsidR="00F86DA5">
        <w:t>9</w:t>
      </w:r>
      <w:r w:rsidR="004A6198">
        <w:t xml:space="preserve"> per cent growth in the number of CHMPs. This means that:</w:t>
      </w:r>
    </w:p>
    <w:p w14:paraId="6DDEEFBC" w14:textId="75D92D7B" w:rsidR="004A6198" w:rsidRPr="00FB5C8E" w:rsidRDefault="008C7365" w:rsidP="004A6198">
      <w:pPr>
        <w:pStyle w:val="ListBullet"/>
      </w:pPr>
      <w:r w:rsidRPr="007C0109">
        <w:t>781</w:t>
      </w:r>
      <w:r w:rsidR="004A6198" w:rsidRPr="00FB5C8E">
        <w:t xml:space="preserve"> NOIs to prepare a CHMP will be undertaken</w:t>
      </w:r>
    </w:p>
    <w:p w14:paraId="1CA003B3" w14:textId="009168C3" w:rsidR="004A6198" w:rsidRPr="00FB5C8E" w:rsidRDefault="004A6198" w:rsidP="004A6198">
      <w:pPr>
        <w:pStyle w:val="ListBullet"/>
      </w:pPr>
      <w:r w:rsidRPr="00FB5C8E">
        <w:t xml:space="preserve"> </w:t>
      </w:r>
      <w:r w:rsidRPr="007C0109">
        <w:t>65</w:t>
      </w:r>
      <w:r w:rsidR="00F86DA5" w:rsidRPr="007C0109">
        <w:t>5</w:t>
      </w:r>
      <w:r w:rsidRPr="00FB5C8E">
        <w:t xml:space="preserve"> CHMPs will be evaluated as a result of the Regulations</w:t>
      </w:r>
    </w:p>
    <w:p w14:paraId="41BA9C01" w14:textId="1834233F" w:rsidR="004A6198" w:rsidRPr="00FB5C8E" w:rsidRDefault="004A6198" w:rsidP="004A6198">
      <w:pPr>
        <w:pStyle w:val="ListBullet"/>
      </w:pPr>
      <w:r w:rsidRPr="007C0109">
        <w:t>5</w:t>
      </w:r>
      <w:r w:rsidR="00F86DA5" w:rsidRPr="007C0109">
        <w:t>90</w:t>
      </w:r>
      <w:r w:rsidRPr="00FB5C8E">
        <w:t xml:space="preserve"> CHMPs will be approved as a result of the Regulations</w:t>
      </w:r>
    </w:p>
    <w:p w14:paraId="2EFFB21F" w14:textId="45D4C306" w:rsidR="004A6198" w:rsidRDefault="004A6198" w:rsidP="004A6198">
      <w:pPr>
        <w:pStyle w:val="ListBullet"/>
      </w:pPr>
      <w:r w:rsidRPr="007C0109">
        <w:t>37</w:t>
      </w:r>
      <w:r w:rsidRPr="00FB5C8E">
        <w:t xml:space="preserve"> CHMPs</w:t>
      </w:r>
      <w:r>
        <w:t xml:space="preserve"> will be amended each year as a result of the Regulations.</w:t>
      </w:r>
      <w:r>
        <w:rPr>
          <w:rStyle w:val="FootnoteReference"/>
        </w:rPr>
        <w:footnoteReference w:id="89"/>
      </w:r>
    </w:p>
    <w:p w14:paraId="22612E59" w14:textId="5807C7A9" w:rsidR="004A6198" w:rsidRDefault="00613FE5" w:rsidP="00705BA8">
      <w:pPr>
        <w:pStyle w:val="PwCNormal"/>
      </w:pPr>
      <w:r>
        <w:t xml:space="preserve">AV also estimates that </w:t>
      </w:r>
      <w:r w:rsidR="004A6198">
        <w:t xml:space="preserve">Option 2 will result in </w:t>
      </w:r>
      <w:r w:rsidR="004A6198" w:rsidRPr="00FB5C8E">
        <w:t xml:space="preserve">a </w:t>
      </w:r>
      <w:r w:rsidR="008C7365" w:rsidRPr="007C0109">
        <w:t>2</w:t>
      </w:r>
      <w:r w:rsidR="004A6198" w:rsidRPr="007C0109">
        <w:t xml:space="preserve"> per cent reduction</w:t>
      </w:r>
      <w:r w:rsidR="004A6198">
        <w:t xml:space="preserve"> in</w:t>
      </w:r>
      <w:r w:rsidR="008C7365">
        <w:t xml:space="preserve"> the time required to undertake approximately 42</w:t>
      </w:r>
      <w:r w:rsidR="00F86DA5">
        <w:t>9</w:t>
      </w:r>
      <w:r w:rsidR="004A6198">
        <w:t xml:space="preserve"> NOI</w:t>
      </w:r>
      <w:r w:rsidR="008C7365">
        <w:t>s</w:t>
      </w:r>
      <w:r w:rsidR="004A6198">
        <w:t xml:space="preserve"> to prepare a CHMP relating to waterways</w:t>
      </w:r>
      <w:r w:rsidR="008C7365">
        <w:t xml:space="preserve"> each year</w:t>
      </w:r>
      <w:r w:rsidR="004A6198">
        <w:t>, due to the clarification of the definition of a waterway.</w:t>
      </w:r>
      <w:r w:rsidR="004A6198">
        <w:rPr>
          <w:rStyle w:val="FootnoteReference"/>
        </w:rPr>
        <w:footnoteReference w:id="90"/>
      </w:r>
    </w:p>
    <w:p w14:paraId="725CDE95" w14:textId="77777777" w:rsidR="004A6198" w:rsidRDefault="004A6198" w:rsidP="004A6198">
      <w:pPr>
        <w:pStyle w:val="Caption"/>
        <w:rPr>
          <w:lang w:val="en-US"/>
        </w:rPr>
      </w:pPr>
      <w:r>
        <w:rPr>
          <w:lang w:val="en-US"/>
        </w:rPr>
        <w:t>The cost to land-users to prepare a CHMP</w:t>
      </w:r>
    </w:p>
    <w:p w14:paraId="745CEC31" w14:textId="77777777" w:rsidR="004A6198" w:rsidRDefault="004A6198" w:rsidP="004A6198">
      <w:pPr>
        <w:pStyle w:val="Heading9"/>
        <w:rPr>
          <w:lang w:val="en-US"/>
        </w:rPr>
      </w:pPr>
      <w:r>
        <w:rPr>
          <w:lang w:val="en-US"/>
        </w:rPr>
        <w:t>Notice of Intention to prepare a CHMP</w:t>
      </w:r>
    </w:p>
    <w:p w14:paraId="1628AB37" w14:textId="7BDDF884" w:rsidR="004A6198" w:rsidRDefault="004A6198" w:rsidP="004A6198">
      <w:pPr>
        <w:pStyle w:val="PwCNormal"/>
        <w:rPr>
          <w:lang w:val="en-US"/>
        </w:rPr>
      </w:pPr>
      <w:r>
        <w:rPr>
          <w:lang w:val="en-US"/>
        </w:rPr>
        <w:t>The cost of commissioning a NOI to prepare a C</w:t>
      </w:r>
      <w:r w:rsidR="0008414A">
        <w:rPr>
          <w:lang w:val="en-US"/>
        </w:rPr>
        <w:t xml:space="preserve">HMP is anticipated to fall </w:t>
      </w:r>
      <w:r>
        <w:rPr>
          <w:lang w:val="en-US"/>
        </w:rPr>
        <w:t xml:space="preserve">for all </w:t>
      </w:r>
      <w:r w:rsidR="0008414A">
        <w:rPr>
          <w:lang w:val="en-US"/>
        </w:rPr>
        <w:t>428 NOIs</w:t>
      </w:r>
      <w:r>
        <w:rPr>
          <w:lang w:val="en-US"/>
        </w:rPr>
        <w:t xml:space="preserve"> triggered by proximity to a waterway</w:t>
      </w:r>
      <w:r w:rsidR="0008414A">
        <w:rPr>
          <w:lang w:val="en-US"/>
        </w:rPr>
        <w:t xml:space="preserve"> each year</w:t>
      </w:r>
      <w:r>
        <w:rPr>
          <w:lang w:val="en-US"/>
        </w:rPr>
        <w:t>,</w:t>
      </w:r>
      <w:r w:rsidR="001B6EB3">
        <w:rPr>
          <w:lang w:val="en-US"/>
        </w:rPr>
        <w:t xml:space="preserve"> however, the precise effect is unknown, and to be conservative, it has been assumed that there is no quantified reduction in cost, meaning that the cost for all </w:t>
      </w:r>
      <w:r w:rsidR="008C7365">
        <w:rPr>
          <w:lang w:val="en-US"/>
        </w:rPr>
        <w:t>781</w:t>
      </w:r>
      <w:r>
        <w:rPr>
          <w:lang w:val="en-US"/>
        </w:rPr>
        <w:t xml:space="preserve"> NOIs that are estimated to occur under Option 2 equates to </w:t>
      </w:r>
      <w:r w:rsidR="0008414A">
        <w:rPr>
          <w:lang w:val="en-US"/>
        </w:rPr>
        <w:t>$16</w:t>
      </w:r>
      <w:r w:rsidR="001B6EB3">
        <w:rPr>
          <w:lang w:val="en-US"/>
        </w:rPr>
        <w:t>5,814</w:t>
      </w:r>
      <w:r>
        <w:rPr>
          <w:lang w:val="en-US"/>
        </w:rPr>
        <w:t xml:space="preserve"> per year.</w:t>
      </w:r>
    </w:p>
    <w:p w14:paraId="006D6ACE" w14:textId="77777777" w:rsidR="004A6198" w:rsidRDefault="004A6198" w:rsidP="004A6198">
      <w:pPr>
        <w:pStyle w:val="Heading9"/>
        <w:rPr>
          <w:lang w:val="en-US"/>
        </w:rPr>
      </w:pPr>
      <w:r>
        <w:rPr>
          <w:lang w:val="en-US"/>
        </w:rPr>
        <w:t>CHMPs with desktop, standard and complex assessments</w:t>
      </w:r>
    </w:p>
    <w:p w14:paraId="6A83CAF0" w14:textId="77AFCB46" w:rsidR="005D28CB" w:rsidRPr="007F2DAB" w:rsidRDefault="005D28CB" w:rsidP="00A06C83">
      <w:pPr>
        <w:pStyle w:val="PwCNormal"/>
        <w:rPr>
          <w:lang w:val="en-US"/>
        </w:rPr>
      </w:pPr>
      <w:r w:rsidRPr="007F2DAB">
        <w:rPr>
          <w:lang w:val="en-US"/>
        </w:rPr>
        <w:t>Compared to Option 1, the proportion of CHMPs with desktop, standard and complex</w:t>
      </w:r>
      <w:r w:rsidRPr="00DC3880">
        <w:rPr>
          <w:lang w:val="en-US"/>
        </w:rPr>
        <w:t xml:space="preserve"> assessments </w:t>
      </w:r>
      <w:r w:rsidRPr="005D28CB">
        <w:rPr>
          <w:lang w:val="en-US"/>
        </w:rPr>
        <w:t>and cost to commission and undertake the assessments is anticipated to stay the same</w:t>
      </w:r>
      <w:r>
        <w:rPr>
          <w:lang w:val="en-US"/>
        </w:rPr>
        <w:t xml:space="preserve"> as Option 1 (see </w:t>
      </w:r>
      <w:r>
        <w:rPr>
          <w:lang w:val="en-US"/>
        </w:rPr>
        <w:fldChar w:fldCharType="begin"/>
      </w:r>
      <w:r>
        <w:rPr>
          <w:lang w:val="en-US"/>
        </w:rPr>
        <w:instrText xml:space="preserve"> REF _Ref500933588 \h </w:instrText>
      </w:r>
      <w:r>
        <w:rPr>
          <w:lang w:val="en-US"/>
        </w:rPr>
      </w:r>
      <w:r>
        <w:rPr>
          <w:lang w:val="en-US"/>
        </w:rPr>
        <w:fldChar w:fldCharType="separate"/>
      </w:r>
      <w:r w:rsidR="000369A1">
        <w:t xml:space="preserve">Table </w:t>
      </w:r>
      <w:r w:rsidR="000369A1">
        <w:rPr>
          <w:noProof/>
        </w:rPr>
        <w:t>10</w:t>
      </w:r>
      <w:r>
        <w:rPr>
          <w:lang w:val="en-US"/>
        </w:rPr>
        <w:fldChar w:fldCharType="end"/>
      </w:r>
      <w:r>
        <w:rPr>
          <w:lang w:val="en-US"/>
        </w:rPr>
        <w:t>)</w:t>
      </w:r>
      <w:r w:rsidRPr="007F2DAB">
        <w:rPr>
          <w:lang w:val="en-US"/>
        </w:rPr>
        <w:t>.</w:t>
      </w:r>
      <w:r>
        <w:rPr>
          <w:lang w:val="en-US"/>
        </w:rPr>
        <w:t xml:space="preserve"> </w:t>
      </w:r>
      <w:r w:rsidRPr="007F2DAB">
        <w:rPr>
          <w:lang w:val="en-US"/>
        </w:rPr>
        <w:t xml:space="preserve">The costs </w:t>
      </w:r>
      <w:r>
        <w:rPr>
          <w:lang w:val="en-US"/>
        </w:rPr>
        <w:t xml:space="preserve">relating to each type of assessment are shown </w:t>
      </w:r>
    </w:p>
    <w:p w14:paraId="7CE8A5B8" w14:textId="0D93EC86" w:rsidR="004A6198" w:rsidRDefault="004A6198" w:rsidP="004A6198">
      <w:pPr>
        <w:pStyle w:val="Caption"/>
      </w:pPr>
      <w:r>
        <w:t xml:space="preserve">Table </w:t>
      </w:r>
      <w:r w:rsidR="00B47FE6">
        <w:fldChar w:fldCharType="begin"/>
      </w:r>
      <w:r w:rsidR="00B47FE6">
        <w:instrText xml:space="preserve"> SEQ Table \</w:instrText>
      </w:r>
      <w:r w:rsidR="00B47FE6">
        <w:instrText xml:space="preserve">* ARABIC </w:instrText>
      </w:r>
      <w:r w:rsidR="00B47FE6">
        <w:fldChar w:fldCharType="separate"/>
      </w:r>
      <w:r w:rsidR="000369A1">
        <w:rPr>
          <w:noProof/>
        </w:rPr>
        <w:t>14</w:t>
      </w:r>
      <w:r w:rsidR="00B47FE6">
        <w:rPr>
          <w:noProof/>
        </w:rPr>
        <w:fldChar w:fldCharType="end"/>
      </w:r>
      <w:r>
        <w:t>: Number and cost of CHMPs, by type (2018 dollars)</w:t>
      </w:r>
    </w:p>
    <w:tbl>
      <w:tblPr>
        <w:tblStyle w:val="ListTable3-Accent11"/>
        <w:tblW w:w="8520" w:type="dxa"/>
        <w:tblLayout w:type="fixed"/>
        <w:tblCellMar>
          <w:top w:w="57" w:type="dxa"/>
          <w:bottom w:w="57" w:type="dxa"/>
        </w:tblCellMar>
        <w:tblLook w:val="04A0" w:firstRow="1" w:lastRow="0" w:firstColumn="1" w:lastColumn="0" w:noHBand="0" w:noVBand="1"/>
      </w:tblPr>
      <w:tblGrid>
        <w:gridCol w:w="3085"/>
        <w:gridCol w:w="1559"/>
        <w:gridCol w:w="1734"/>
        <w:gridCol w:w="2142"/>
      </w:tblGrid>
      <w:tr w:rsidR="004A6198" w14:paraId="20033B13" w14:textId="77777777" w:rsidTr="00705BA8">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3085" w:type="dxa"/>
            <w:vAlign w:val="center"/>
          </w:tcPr>
          <w:p w14:paraId="042A8164" w14:textId="77777777" w:rsidR="004A6198" w:rsidRDefault="004A6198" w:rsidP="00A06C83">
            <w:r>
              <w:t>CHMP type</w:t>
            </w:r>
          </w:p>
        </w:tc>
        <w:tc>
          <w:tcPr>
            <w:tcW w:w="1559" w:type="dxa"/>
            <w:vAlign w:val="center"/>
          </w:tcPr>
          <w:p w14:paraId="6DB286A8" w14:textId="77777777" w:rsidR="004A6198" w:rsidRDefault="004A6198" w:rsidP="00A06C83">
            <w:pPr>
              <w:jc w:val="center"/>
              <w:cnfStyle w:val="100000000000" w:firstRow="1" w:lastRow="0" w:firstColumn="0" w:lastColumn="0" w:oddVBand="0" w:evenVBand="0" w:oddHBand="0" w:evenHBand="0" w:firstRowFirstColumn="0" w:firstRowLastColumn="0" w:lastRowFirstColumn="0" w:lastRowLastColumn="0"/>
            </w:pPr>
            <w:r>
              <w:t>Desktop assessment</w:t>
            </w:r>
          </w:p>
        </w:tc>
        <w:tc>
          <w:tcPr>
            <w:tcW w:w="1734" w:type="dxa"/>
            <w:vAlign w:val="center"/>
          </w:tcPr>
          <w:p w14:paraId="74E4D71C" w14:textId="77777777" w:rsidR="004A6198" w:rsidRDefault="004A6198" w:rsidP="00A06C83">
            <w:pPr>
              <w:jc w:val="center"/>
              <w:cnfStyle w:val="100000000000" w:firstRow="1" w:lastRow="0" w:firstColumn="0" w:lastColumn="0" w:oddVBand="0" w:evenVBand="0" w:oddHBand="0" w:evenHBand="0" w:firstRowFirstColumn="0" w:firstRowLastColumn="0" w:lastRowFirstColumn="0" w:lastRowLastColumn="0"/>
            </w:pPr>
            <w:r>
              <w:t>Standard assessment</w:t>
            </w:r>
          </w:p>
        </w:tc>
        <w:tc>
          <w:tcPr>
            <w:tcW w:w="2142" w:type="dxa"/>
            <w:vAlign w:val="center"/>
          </w:tcPr>
          <w:p w14:paraId="0A1D4596" w14:textId="77777777" w:rsidR="004A6198" w:rsidRDefault="004A6198" w:rsidP="00A06C83">
            <w:pPr>
              <w:jc w:val="center"/>
              <w:cnfStyle w:val="100000000000" w:firstRow="1" w:lastRow="0" w:firstColumn="0" w:lastColumn="0" w:oddVBand="0" w:evenVBand="0" w:oddHBand="0" w:evenHBand="0" w:firstRowFirstColumn="0" w:firstRowLastColumn="0" w:lastRowFirstColumn="0" w:lastRowLastColumn="0"/>
            </w:pPr>
            <w:r>
              <w:t>Complex assessment</w:t>
            </w:r>
          </w:p>
        </w:tc>
      </w:tr>
      <w:tr w:rsidR="004A6198" w14:paraId="7265C976" w14:textId="77777777" w:rsidTr="00705BA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085" w:type="dxa"/>
            <w:shd w:val="clear" w:color="auto" w:fill="808080" w:themeFill="background1" w:themeFillShade="80"/>
            <w:vAlign w:val="center"/>
          </w:tcPr>
          <w:p w14:paraId="36FE087E" w14:textId="77777777" w:rsidR="004A6198" w:rsidRPr="009F1FC2" w:rsidRDefault="004A6198" w:rsidP="00A06C83">
            <w:pPr>
              <w:rPr>
                <w:color w:val="FFFFFF" w:themeColor="background1"/>
              </w:rPr>
            </w:pPr>
            <w:r>
              <w:rPr>
                <w:color w:val="FFFFFF" w:themeColor="background1"/>
              </w:rPr>
              <w:t>Anticipated n</w:t>
            </w:r>
            <w:r w:rsidRPr="009F1FC2">
              <w:rPr>
                <w:color w:val="FFFFFF" w:themeColor="background1"/>
              </w:rPr>
              <w:t xml:space="preserve">umber </w:t>
            </w:r>
            <w:r>
              <w:rPr>
                <w:color w:val="FFFFFF" w:themeColor="background1"/>
              </w:rPr>
              <w:t xml:space="preserve">completed </w:t>
            </w:r>
            <w:r w:rsidRPr="009F1FC2">
              <w:rPr>
                <w:color w:val="FFFFFF" w:themeColor="background1"/>
              </w:rPr>
              <w:t>annually due to the Regulations</w:t>
            </w:r>
            <w:r w:rsidRPr="009F1FC2">
              <w:rPr>
                <w:rStyle w:val="FootnoteReference"/>
                <w:color w:val="FFFFFF" w:themeColor="background1"/>
              </w:rPr>
              <w:footnoteReference w:id="91"/>
            </w:r>
          </w:p>
        </w:tc>
        <w:tc>
          <w:tcPr>
            <w:tcW w:w="1559" w:type="dxa"/>
            <w:vAlign w:val="center"/>
          </w:tcPr>
          <w:p w14:paraId="4A989347" w14:textId="0B776774" w:rsidR="004A6198" w:rsidRDefault="005D28CB" w:rsidP="007F2DAB">
            <w:pPr>
              <w:jc w:val="center"/>
              <w:cnfStyle w:val="000000100000" w:firstRow="0" w:lastRow="0" w:firstColumn="0" w:lastColumn="0" w:oddVBand="0" w:evenVBand="0" w:oddHBand="1" w:evenHBand="0" w:firstRowFirstColumn="0" w:firstRowLastColumn="0" w:lastRowFirstColumn="0" w:lastRowLastColumn="0"/>
            </w:pPr>
            <w:r>
              <w:t>38</w:t>
            </w:r>
            <w:r w:rsidR="00696845">
              <w:t xml:space="preserve"> (6% of the total)</w:t>
            </w:r>
          </w:p>
        </w:tc>
        <w:tc>
          <w:tcPr>
            <w:tcW w:w="1734" w:type="dxa"/>
            <w:vAlign w:val="center"/>
          </w:tcPr>
          <w:p w14:paraId="5A56EBE6" w14:textId="140956AD" w:rsidR="004A6198" w:rsidRDefault="005D28CB" w:rsidP="00DC3880">
            <w:pPr>
              <w:jc w:val="center"/>
              <w:cnfStyle w:val="000000100000" w:firstRow="0" w:lastRow="0" w:firstColumn="0" w:lastColumn="0" w:oddVBand="0" w:evenVBand="0" w:oddHBand="1" w:evenHBand="0" w:firstRowFirstColumn="0" w:firstRowLastColumn="0" w:lastRowFirstColumn="0" w:lastRowLastColumn="0"/>
            </w:pPr>
            <w:r>
              <w:t>91</w:t>
            </w:r>
            <w:r w:rsidR="00696845">
              <w:t xml:space="preserve"> (14% of the total)</w:t>
            </w:r>
          </w:p>
        </w:tc>
        <w:tc>
          <w:tcPr>
            <w:tcW w:w="2142" w:type="dxa"/>
            <w:vAlign w:val="center"/>
          </w:tcPr>
          <w:p w14:paraId="53A4BFFA" w14:textId="7EE57ADC" w:rsidR="004A6198" w:rsidRDefault="008C7365">
            <w:pPr>
              <w:jc w:val="center"/>
              <w:cnfStyle w:val="000000100000" w:firstRow="0" w:lastRow="0" w:firstColumn="0" w:lastColumn="0" w:oddVBand="0" w:evenVBand="0" w:oddHBand="1" w:evenHBand="0" w:firstRowFirstColumn="0" w:firstRowLastColumn="0" w:lastRowFirstColumn="0" w:lastRowLastColumn="0"/>
            </w:pPr>
            <w:r>
              <w:t>52</w:t>
            </w:r>
            <w:r w:rsidR="001B6EB3">
              <w:t>6</w:t>
            </w:r>
            <w:r w:rsidR="00696845">
              <w:t xml:space="preserve"> (80% of the total)</w:t>
            </w:r>
          </w:p>
        </w:tc>
      </w:tr>
      <w:tr w:rsidR="004A6198" w14:paraId="056A149F" w14:textId="77777777" w:rsidTr="00705BA8">
        <w:trPr>
          <w:trHeight w:val="281"/>
        </w:trPr>
        <w:tc>
          <w:tcPr>
            <w:cnfStyle w:val="001000000000" w:firstRow="0" w:lastRow="0" w:firstColumn="1" w:lastColumn="0" w:oddVBand="0" w:evenVBand="0" w:oddHBand="0" w:evenHBand="0" w:firstRowFirstColumn="0" w:firstRowLastColumn="0" w:lastRowFirstColumn="0" w:lastRowLastColumn="0"/>
            <w:tcW w:w="3085" w:type="dxa"/>
            <w:shd w:val="clear" w:color="auto" w:fill="808080" w:themeFill="background1" w:themeFillShade="80"/>
            <w:vAlign w:val="center"/>
          </w:tcPr>
          <w:p w14:paraId="4A917481" w14:textId="77777777" w:rsidR="004A6198" w:rsidRPr="009D7ECA" w:rsidRDefault="004A6198" w:rsidP="00A06C83">
            <w:pPr>
              <w:rPr>
                <w:color w:val="FFFFFF" w:themeColor="background1"/>
              </w:rPr>
            </w:pPr>
            <w:r w:rsidRPr="009D7ECA">
              <w:rPr>
                <w:color w:val="FFFFFF" w:themeColor="background1"/>
              </w:rPr>
              <w:t>Attributable total annual cost</w:t>
            </w:r>
          </w:p>
        </w:tc>
        <w:tc>
          <w:tcPr>
            <w:tcW w:w="1559" w:type="dxa"/>
            <w:vAlign w:val="center"/>
          </w:tcPr>
          <w:p w14:paraId="492F4537" w14:textId="44A7543D" w:rsidR="004A6198" w:rsidRPr="0046089B" w:rsidRDefault="004A6198" w:rsidP="007F2DAB">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sidR="005D28CB">
              <w:rPr>
                <w:b/>
              </w:rPr>
              <w:t>159</w:t>
            </w:r>
            <w:r>
              <w:rPr>
                <w:b/>
              </w:rPr>
              <w:t>,</w:t>
            </w:r>
            <w:r w:rsidR="001B6EB3">
              <w:rPr>
                <w:b/>
              </w:rPr>
              <w:t>789</w:t>
            </w:r>
          </w:p>
        </w:tc>
        <w:tc>
          <w:tcPr>
            <w:tcW w:w="1734" w:type="dxa"/>
            <w:vAlign w:val="center"/>
          </w:tcPr>
          <w:p w14:paraId="357F2C58" w14:textId="77777777" w:rsidR="004A6198" w:rsidRPr="0046089B" w:rsidRDefault="004A6198" w:rsidP="00A06C83">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Pr>
                <w:b/>
              </w:rPr>
              <w:t>1.0 million</w:t>
            </w:r>
          </w:p>
        </w:tc>
        <w:tc>
          <w:tcPr>
            <w:tcW w:w="2142" w:type="dxa"/>
            <w:vAlign w:val="center"/>
          </w:tcPr>
          <w:p w14:paraId="6AD4EBE1" w14:textId="1BB54230" w:rsidR="004A6198" w:rsidRPr="0083188B" w:rsidRDefault="005D28CB" w:rsidP="00A06C83">
            <w:pPr>
              <w:jc w:val="center"/>
              <w:cnfStyle w:val="000000000000" w:firstRow="0" w:lastRow="0" w:firstColumn="0" w:lastColumn="0" w:oddVBand="0" w:evenVBand="0" w:oddHBand="0" w:evenHBand="0" w:firstRowFirstColumn="0" w:firstRowLastColumn="0" w:lastRowFirstColumn="0" w:lastRowLastColumn="0"/>
              <w:rPr>
                <w:b/>
              </w:rPr>
            </w:pPr>
            <w:r>
              <w:rPr>
                <w:b/>
                <w:lang w:val="en-US"/>
              </w:rPr>
              <w:t>$11</w:t>
            </w:r>
            <w:r w:rsidR="004A6198">
              <w:rPr>
                <w:b/>
                <w:lang w:val="en-US"/>
              </w:rPr>
              <w:t>.</w:t>
            </w:r>
            <w:r>
              <w:rPr>
                <w:b/>
                <w:lang w:val="en-US"/>
              </w:rPr>
              <w:t>1</w:t>
            </w:r>
            <w:r w:rsidR="004A6198" w:rsidRPr="0083188B">
              <w:rPr>
                <w:b/>
                <w:lang w:val="en-US"/>
              </w:rPr>
              <w:t xml:space="preserve"> million</w:t>
            </w:r>
          </w:p>
        </w:tc>
      </w:tr>
    </w:tbl>
    <w:p w14:paraId="51A5D13B" w14:textId="77777777" w:rsidR="004A6198" w:rsidRDefault="004A6198" w:rsidP="004A6198">
      <w:pPr>
        <w:pStyle w:val="Heading9"/>
        <w:rPr>
          <w:lang w:val="en-US"/>
        </w:rPr>
      </w:pPr>
      <w:r>
        <w:rPr>
          <w:lang w:val="en-US"/>
        </w:rPr>
        <w:t>Amendments to CHMPs</w:t>
      </w:r>
    </w:p>
    <w:p w14:paraId="6158AA7C" w14:textId="53E9373D" w:rsidR="004A6198" w:rsidRDefault="005D28CB" w:rsidP="004A6198">
      <w:pPr>
        <w:pStyle w:val="PwCNormal"/>
        <w:rPr>
          <w:lang w:val="en-US"/>
        </w:rPr>
      </w:pPr>
      <w:r>
        <w:rPr>
          <w:lang w:val="en-US"/>
        </w:rPr>
        <w:t xml:space="preserve">Compared to Option 1, one more CHMP is anticipated to be amended each year, at a cost of </w:t>
      </w:r>
      <w:r w:rsidR="004A6198">
        <w:rPr>
          <w:lang w:val="en-US"/>
        </w:rPr>
        <w:t>approximately 36 per cent of a full CHMP, equating to a weighted (by type) attributable cost of an amended CHMP of $6,779,</w:t>
      </w:r>
      <w:r w:rsidR="004A6198">
        <w:rPr>
          <w:rStyle w:val="FootnoteReference"/>
          <w:lang w:val="en-US"/>
        </w:rPr>
        <w:footnoteReference w:id="92"/>
      </w:r>
      <w:r w:rsidR="004A6198">
        <w:rPr>
          <w:lang w:val="en-US"/>
        </w:rPr>
        <w:t xml:space="preserve"> and $</w:t>
      </w:r>
      <w:r w:rsidR="0008414A">
        <w:rPr>
          <w:lang w:val="en-US"/>
        </w:rPr>
        <w:t>25</w:t>
      </w:r>
      <w:r w:rsidR="001B6EB3">
        <w:rPr>
          <w:lang w:val="en-US"/>
        </w:rPr>
        <w:t>1</w:t>
      </w:r>
      <w:r w:rsidR="0008414A">
        <w:rPr>
          <w:lang w:val="en-US"/>
        </w:rPr>
        <w:t>,</w:t>
      </w:r>
      <w:r w:rsidR="001B6EB3">
        <w:rPr>
          <w:lang w:val="en-US"/>
        </w:rPr>
        <w:t>168</w:t>
      </w:r>
      <w:r w:rsidR="004A6198">
        <w:rPr>
          <w:lang w:val="en-US"/>
        </w:rPr>
        <w:t xml:space="preserve"> per year.</w:t>
      </w:r>
    </w:p>
    <w:p w14:paraId="21914006" w14:textId="77777777" w:rsidR="004A6198" w:rsidRDefault="004A6198" w:rsidP="004A6198">
      <w:pPr>
        <w:pStyle w:val="Heading9"/>
        <w:rPr>
          <w:lang w:val="en-US"/>
        </w:rPr>
      </w:pPr>
      <w:r>
        <w:rPr>
          <w:lang w:val="en-US"/>
        </w:rPr>
        <w:t>Cost of incomplete CHMPs</w:t>
      </w:r>
    </w:p>
    <w:p w14:paraId="5C51EC03" w14:textId="43F8A1A5" w:rsidR="004A6198" w:rsidRDefault="005D28CB" w:rsidP="004A6198">
      <w:pPr>
        <w:pStyle w:val="PwCNormal"/>
        <w:rPr>
          <w:lang w:val="en-US"/>
        </w:rPr>
      </w:pPr>
      <w:r>
        <w:rPr>
          <w:lang w:val="en-US"/>
        </w:rPr>
        <w:t xml:space="preserve">Compared to Option 1, land-users are anticipated to abandon four more CHMPs before completion each year, </w:t>
      </w:r>
      <w:r w:rsidR="004A6198">
        <w:rPr>
          <w:lang w:val="en-US"/>
        </w:rPr>
        <w:t xml:space="preserve">totaling </w:t>
      </w:r>
      <w:r>
        <w:rPr>
          <w:lang w:val="en-US"/>
        </w:rPr>
        <w:t>127</w:t>
      </w:r>
      <w:r w:rsidR="004A6198">
        <w:rPr>
          <w:lang w:val="en-US"/>
        </w:rPr>
        <w:t xml:space="preserve"> partially completed CHMPs per year</w:t>
      </w:r>
      <w:r>
        <w:rPr>
          <w:lang w:val="en-US"/>
        </w:rPr>
        <w:t>,</w:t>
      </w:r>
      <w:r w:rsidR="00BC4841">
        <w:rPr>
          <w:rStyle w:val="FootnoteReference"/>
          <w:lang w:val="en-US"/>
        </w:rPr>
        <w:footnoteReference w:id="93"/>
      </w:r>
      <w:r>
        <w:rPr>
          <w:lang w:val="en-US"/>
        </w:rPr>
        <w:t xml:space="preserve"> at a cost of $11,393 for each one</w:t>
      </w:r>
      <w:r w:rsidR="004A6198">
        <w:rPr>
          <w:lang w:val="en-US"/>
        </w:rPr>
        <w:t xml:space="preserve">. </w:t>
      </w:r>
      <w:r>
        <w:rPr>
          <w:lang w:val="en-US"/>
        </w:rPr>
        <w:t xml:space="preserve">This equates to a total cost of </w:t>
      </w:r>
      <w:r w:rsidR="004A6198">
        <w:rPr>
          <w:lang w:val="en-US"/>
        </w:rPr>
        <w:t xml:space="preserve">$1.4 million per year. </w:t>
      </w:r>
    </w:p>
    <w:p w14:paraId="4DD81405" w14:textId="77777777" w:rsidR="004A6198" w:rsidRDefault="004A6198" w:rsidP="004A6198">
      <w:pPr>
        <w:pStyle w:val="Heading9"/>
        <w:rPr>
          <w:lang w:val="en-US"/>
        </w:rPr>
      </w:pPr>
      <w:r>
        <w:rPr>
          <w:lang w:val="en-US"/>
        </w:rPr>
        <w:t>Total cost of preparing CHMPs</w:t>
      </w:r>
    </w:p>
    <w:p w14:paraId="7584D0FD" w14:textId="0B2EFF80" w:rsidR="004A6198" w:rsidRDefault="004A6198" w:rsidP="004A6198">
      <w:pPr>
        <w:pStyle w:val="PwCNormal"/>
        <w:rPr>
          <w:lang w:val="en-US"/>
        </w:rPr>
      </w:pPr>
      <w:r>
        <w:rPr>
          <w:lang w:val="en-US"/>
        </w:rPr>
        <w:t>In total, the attributable cost of preparing CHMPs equates to approximately $</w:t>
      </w:r>
      <w:r w:rsidR="005D28CB">
        <w:rPr>
          <w:lang w:val="en-US"/>
        </w:rPr>
        <w:t>14.</w:t>
      </w:r>
      <w:r w:rsidR="0008414A">
        <w:rPr>
          <w:lang w:val="en-US"/>
        </w:rPr>
        <w:t>2</w:t>
      </w:r>
      <w:r>
        <w:rPr>
          <w:lang w:val="en-US"/>
        </w:rPr>
        <w:t xml:space="preserve"> million per year.</w:t>
      </w:r>
    </w:p>
    <w:p w14:paraId="6F16288B" w14:textId="77777777" w:rsidR="005D28CB" w:rsidRDefault="005D28CB" w:rsidP="005D28CB">
      <w:pPr>
        <w:pStyle w:val="Caption"/>
        <w:rPr>
          <w:lang w:val="en-US"/>
        </w:rPr>
      </w:pPr>
      <w:r>
        <w:rPr>
          <w:lang w:val="en-US"/>
        </w:rPr>
        <w:t>The cost to implement the management conditions of a CHMP</w:t>
      </w:r>
    </w:p>
    <w:p w14:paraId="2D2EAAD8" w14:textId="4E8C45A3" w:rsidR="004A6198" w:rsidRDefault="005D28CB" w:rsidP="005D28CB">
      <w:pPr>
        <w:pStyle w:val="PwCNormal"/>
        <w:rPr>
          <w:lang w:val="en-US"/>
        </w:rPr>
      </w:pPr>
      <w:r>
        <w:rPr>
          <w:lang w:val="en-US"/>
        </w:rPr>
        <w:t xml:space="preserve">Compared to Option 1, the per-CHMP cost of management conditions has not changed, however, the number of CHMPs approved each year is anticipated to rise </w:t>
      </w:r>
      <w:r w:rsidRPr="00FB5C8E">
        <w:rPr>
          <w:lang w:val="en-US"/>
        </w:rPr>
        <w:t>by 2.</w:t>
      </w:r>
      <w:r w:rsidR="001B6EB3" w:rsidRPr="007C0109">
        <w:rPr>
          <w:lang w:val="en-US"/>
        </w:rPr>
        <w:t>9</w:t>
      </w:r>
      <w:r w:rsidRPr="00FB5C8E">
        <w:rPr>
          <w:lang w:val="en-US"/>
        </w:rPr>
        <w:t xml:space="preserve"> per cent </w:t>
      </w:r>
      <w:r>
        <w:rPr>
          <w:lang w:val="en-US"/>
        </w:rPr>
        <w:t xml:space="preserve">each </w:t>
      </w:r>
      <w:r w:rsidRPr="00FB5C8E">
        <w:rPr>
          <w:lang w:val="en-US"/>
        </w:rPr>
        <w:t xml:space="preserve">year to </w:t>
      </w:r>
      <w:r w:rsidR="0008414A" w:rsidRPr="00FB5C8E">
        <w:rPr>
          <w:lang w:val="en-US"/>
        </w:rPr>
        <w:t>5</w:t>
      </w:r>
      <w:r w:rsidR="001B6EB3" w:rsidRPr="007C0109">
        <w:rPr>
          <w:lang w:val="en-US"/>
        </w:rPr>
        <w:t>90</w:t>
      </w:r>
      <w:r w:rsidR="00BC4841" w:rsidRPr="00FB5C8E">
        <w:rPr>
          <w:lang w:val="en-US"/>
        </w:rPr>
        <w:t xml:space="preserve"> (</w:t>
      </w:r>
      <w:r w:rsidR="00BC4841">
        <w:rPr>
          <w:lang w:val="en-US"/>
        </w:rPr>
        <w:t xml:space="preserve">refer to the start of Section </w:t>
      </w:r>
      <w:r w:rsidR="00BC4841">
        <w:rPr>
          <w:lang w:val="en-US"/>
        </w:rPr>
        <w:fldChar w:fldCharType="begin"/>
      </w:r>
      <w:r w:rsidR="00BC4841">
        <w:rPr>
          <w:lang w:val="en-US"/>
        </w:rPr>
        <w:instrText xml:space="preserve"> REF _Ref506999149 \n \h </w:instrText>
      </w:r>
      <w:r w:rsidR="00BC4841">
        <w:rPr>
          <w:lang w:val="en-US"/>
        </w:rPr>
      </w:r>
      <w:r w:rsidR="00BC4841">
        <w:rPr>
          <w:lang w:val="en-US"/>
        </w:rPr>
        <w:fldChar w:fldCharType="separate"/>
      </w:r>
      <w:r w:rsidR="000369A1">
        <w:rPr>
          <w:lang w:val="en-US"/>
        </w:rPr>
        <w:t>6.3.2</w:t>
      </w:r>
      <w:r w:rsidR="00BC4841">
        <w:rPr>
          <w:lang w:val="en-US"/>
        </w:rPr>
        <w:fldChar w:fldCharType="end"/>
      </w:r>
      <w:r w:rsidR="00BC4841">
        <w:rPr>
          <w:lang w:val="en-US"/>
        </w:rPr>
        <w:t>)</w:t>
      </w:r>
      <w:r>
        <w:rPr>
          <w:lang w:val="en-US"/>
        </w:rPr>
        <w:t>, resulting in an increase in the total attributable cost of management conditio</w:t>
      </w:r>
      <w:r w:rsidR="0008414A">
        <w:rPr>
          <w:lang w:val="en-US"/>
        </w:rPr>
        <w:t xml:space="preserve">ns </w:t>
      </w:r>
      <w:r w:rsidR="00BC4841">
        <w:rPr>
          <w:lang w:val="en-US"/>
        </w:rPr>
        <w:t xml:space="preserve">from $5.3 million </w:t>
      </w:r>
      <w:r w:rsidR="0008414A">
        <w:rPr>
          <w:lang w:val="en-US"/>
        </w:rPr>
        <w:t>to $5.5</w:t>
      </w:r>
      <w:r>
        <w:rPr>
          <w:lang w:val="en-US"/>
        </w:rPr>
        <w:t xml:space="preserve"> million. </w:t>
      </w:r>
    </w:p>
    <w:p w14:paraId="55CB0E08" w14:textId="77777777" w:rsidR="00791B14" w:rsidRDefault="00791B14" w:rsidP="00791B14">
      <w:pPr>
        <w:pStyle w:val="Caption"/>
        <w:rPr>
          <w:lang w:val="en-US"/>
        </w:rPr>
      </w:pPr>
      <w:r>
        <w:rPr>
          <w:lang w:val="en-US"/>
        </w:rPr>
        <w:t>Government costs</w:t>
      </w:r>
    </w:p>
    <w:p w14:paraId="69E61A5A" w14:textId="72D5E216" w:rsidR="00791B14" w:rsidRDefault="00791B14" w:rsidP="00791B14">
      <w:pPr>
        <w:pStyle w:val="PwCNormal"/>
        <w:rPr>
          <w:lang w:val="en-US"/>
        </w:rPr>
      </w:pPr>
      <w:r>
        <w:rPr>
          <w:lang w:val="en-US"/>
        </w:rPr>
        <w:t>Compared to Option 1, the costs of monitoring and enforcing compliance with the Regulations is unchanged at approximately $</w:t>
      </w:r>
      <w:r w:rsidRPr="009B714C">
        <w:rPr>
          <w:lang w:val="en-US"/>
        </w:rPr>
        <w:t>598,583</w:t>
      </w:r>
      <w:r>
        <w:rPr>
          <w:lang w:val="en-US"/>
        </w:rPr>
        <w:t xml:space="preserve"> per year.</w:t>
      </w:r>
    </w:p>
    <w:p w14:paraId="3B8DD98B" w14:textId="60CD52A6" w:rsidR="00791B14" w:rsidRPr="00384B37" w:rsidRDefault="00791B14" w:rsidP="00791B14">
      <w:pPr>
        <w:pStyle w:val="PwCNormal"/>
        <w:rPr>
          <w:lang w:val="en-US"/>
        </w:rPr>
      </w:pPr>
      <w:r>
        <w:rPr>
          <w:lang w:val="en-US"/>
        </w:rPr>
        <w:t>The per-assessment cost to government of undertaking assessments does not change compared to Option 1, however, the number of assessments the government is anticipated to undertake rises</w:t>
      </w:r>
      <w:r w:rsidR="00BC4841">
        <w:rPr>
          <w:lang w:val="en-US"/>
        </w:rPr>
        <w:t xml:space="preserve"> by </w:t>
      </w:r>
      <w:r w:rsidR="00BC4841" w:rsidRPr="00FB5C8E">
        <w:rPr>
          <w:lang w:val="en-US"/>
        </w:rPr>
        <w:t xml:space="preserve">approximately </w:t>
      </w:r>
      <w:r w:rsidR="001B6EB3" w:rsidRPr="007C0109">
        <w:rPr>
          <w:lang w:val="en-US"/>
        </w:rPr>
        <w:t>2.9</w:t>
      </w:r>
      <w:r w:rsidR="00BC4841" w:rsidRPr="00FB5C8E">
        <w:rPr>
          <w:lang w:val="en-US"/>
        </w:rPr>
        <w:t xml:space="preserve"> per cent</w:t>
      </w:r>
      <w:r w:rsidR="00BC4841">
        <w:rPr>
          <w:lang w:val="en-US"/>
        </w:rPr>
        <w:t xml:space="preserve"> (see the start of </w:t>
      </w:r>
      <w:r w:rsidR="00BC4841">
        <w:rPr>
          <w:lang w:val="en-US"/>
        </w:rPr>
        <w:fldChar w:fldCharType="begin"/>
      </w:r>
      <w:r w:rsidR="00BC4841">
        <w:rPr>
          <w:lang w:val="en-US"/>
        </w:rPr>
        <w:instrText xml:space="preserve"> REF _Ref506999149 \n \h </w:instrText>
      </w:r>
      <w:r w:rsidR="00BC4841">
        <w:rPr>
          <w:lang w:val="en-US"/>
        </w:rPr>
      </w:r>
      <w:r w:rsidR="00BC4841">
        <w:rPr>
          <w:lang w:val="en-US"/>
        </w:rPr>
        <w:fldChar w:fldCharType="separate"/>
      </w:r>
      <w:r w:rsidR="000369A1">
        <w:rPr>
          <w:lang w:val="en-US"/>
        </w:rPr>
        <w:t>6.3.2</w:t>
      </w:r>
      <w:r w:rsidR="00BC4841">
        <w:rPr>
          <w:lang w:val="en-US"/>
        </w:rPr>
        <w:fldChar w:fldCharType="end"/>
      </w:r>
      <w:r w:rsidR="00BC4841">
        <w:rPr>
          <w:lang w:val="en-US"/>
        </w:rPr>
        <w:t>)</w:t>
      </w:r>
      <w:r>
        <w:rPr>
          <w:lang w:val="en-US"/>
        </w:rPr>
        <w:t xml:space="preserve"> in relation to the total number of CHMPs prepared, leading to </w:t>
      </w:r>
      <w:r w:rsidR="00F90AEC">
        <w:rPr>
          <w:lang w:val="en-US"/>
        </w:rPr>
        <w:t xml:space="preserve">minimal increase in </w:t>
      </w:r>
      <w:r>
        <w:rPr>
          <w:lang w:val="en-US"/>
        </w:rPr>
        <w:t>cost</w:t>
      </w:r>
      <w:r w:rsidR="00F90AEC">
        <w:rPr>
          <w:lang w:val="en-US"/>
        </w:rPr>
        <w:t xml:space="preserve">, however, remaining at around </w:t>
      </w:r>
      <w:r>
        <w:rPr>
          <w:lang w:val="en-US"/>
        </w:rPr>
        <w:t>$</w:t>
      </w:r>
      <w:r w:rsidR="001B6EB3" w:rsidRPr="00FB5C8E">
        <w:rPr>
          <w:lang w:val="en-US"/>
        </w:rPr>
        <w:t>2.0 million</w:t>
      </w:r>
      <w:r w:rsidRPr="00FB5C8E">
        <w:rPr>
          <w:lang w:val="en-US"/>
        </w:rPr>
        <w:t xml:space="preserve"> per year. </w:t>
      </w:r>
    </w:p>
    <w:p w14:paraId="4BDF8416" w14:textId="77777777" w:rsidR="00791B14" w:rsidRPr="006919D0" w:rsidRDefault="00791B14" w:rsidP="00791B14">
      <w:pPr>
        <w:pStyle w:val="Caption"/>
        <w:rPr>
          <w:lang w:val="en-US"/>
        </w:rPr>
      </w:pPr>
      <w:r w:rsidRPr="006919D0">
        <w:rPr>
          <w:lang w:val="en-US"/>
        </w:rPr>
        <w:t>RAP costs</w:t>
      </w:r>
    </w:p>
    <w:p w14:paraId="58DB0A9F" w14:textId="7A396B9A" w:rsidR="00791B14" w:rsidRDefault="00791B14" w:rsidP="00791B14">
      <w:pPr>
        <w:pStyle w:val="PwCNormal"/>
        <w:rPr>
          <w:lang w:val="en-US"/>
        </w:rPr>
      </w:pPr>
      <w:r w:rsidRPr="003E3708">
        <w:rPr>
          <w:lang w:val="en-US"/>
        </w:rPr>
        <w:t>Compared to Option 1, RAPs</w:t>
      </w:r>
      <w:r w:rsidR="00696845" w:rsidRPr="00376F53">
        <w:rPr>
          <w:lang w:val="en-US"/>
        </w:rPr>
        <w:t>’ per assessment cost would be</w:t>
      </w:r>
      <w:r w:rsidRPr="00376F53">
        <w:rPr>
          <w:lang w:val="en-US"/>
        </w:rPr>
        <w:t xml:space="preserve"> unchanged, but the number of assessments that are anticipated to be conducted increases</w:t>
      </w:r>
      <w:r w:rsidR="00BC4841" w:rsidRPr="00376F53">
        <w:rPr>
          <w:lang w:val="en-US"/>
        </w:rPr>
        <w:t xml:space="preserve"> by approximately 2.</w:t>
      </w:r>
      <w:r w:rsidR="001B6EB3" w:rsidRPr="007C0109">
        <w:rPr>
          <w:lang w:val="en-US"/>
        </w:rPr>
        <w:t>9</w:t>
      </w:r>
      <w:r w:rsidR="00BC4841" w:rsidRPr="00FB5C8E">
        <w:rPr>
          <w:lang w:val="en-US"/>
        </w:rPr>
        <w:t xml:space="preserve"> per cent</w:t>
      </w:r>
      <w:r w:rsidRPr="00FB5C8E">
        <w:rPr>
          <w:lang w:val="en-US"/>
        </w:rPr>
        <w:t>,</w:t>
      </w:r>
      <w:r>
        <w:rPr>
          <w:lang w:val="en-US"/>
        </w:rPr>
        <w:t xml:space="preserve"> leading to a higher total cost of approximately $</w:t>
      </w:r>
      <w:r w:rsidR="0008414A">
        <w:rPr>
          <w:lang w:val="en-US"/>
        </w:rPr>
        <w:t>387,222</w:t>
      </w:r>
      <w:r>
        <w:rPr>
          <w:lang w:val="en-US"/>
        </w:rPr>
        <w:t xml:space="preserve"> per year.</w:t>
      </w:r>
    </w:p>
    <w:p w14:paraId="66334C4D" w14:textId="1CA2EDBA" w:rsidR="00791B14" w:rsidRDefault="00791B14" w:rsidP="00791B14">
      <w:pPr>
        <w:pStyle w:val="PwCNormal"/>
        <w:rPr>
          <w:lang w:val="en-US"/>
        </w:rPr>
      </w:pPr>
      <w:r>
        <w:rPr>
          <w:lang w:val="en-US"/>
        </w:rPr>
        <w:t xml:space="preserve">The total costs of Option 2 over 10 years are shown in </w:t>
      </w:r>
      <w:r>
        <w:rPr>
          <w:lang w:val="en-US"/>
        </w:rPr>
        <w:fldChar w:fldCharType="begin"/>
      </w:r>
      <w:r>
        <w:rPr>
          <w:lang w:val="en-US"/>
        </w:rPr>
        <w:instrText xml:space="preserve"> REF _Ref501042136 \h </w:instrText>
      </w:r>
      <w:r>
        <w:rPr>
          <w:lang w:val="en-US"/>
        </w:rPr>
      </w:r>
      <w:r>
        <w:rPr>
          <w:lang w:val="en-US"/>
        </w:rPr>
        <w:fldChar w:fldCharType="separate"/>
      </w:r>
      <w:r w:rsidR="000369A1">
        <w:t xml:space="preserve">Table </w:t>
      </w:r>
      <w:r w:rsidR="000369A1">
        <w:rPr>
          <w:noProof/>
        </w:rPr>
        <w:t>12</w:t>
      </w:r>
      <w:r>
        <w:rPr>
          <w:lang w:val="en-US"/>
        </w:rPr>
        <w:fldChar w:fldCharType="end"/>
      </w:r>
      <w:r>
        <w:rPr>
          <w:lang w:val="en-US"/>
        </w:rPr>
        <w:t>.</w:t>
      </w:r>
    </w:p>
    <w:p w14:paraId="59031E4E" w14:textId="3FE89142" w:rsidR="00791B14" w:rsidRDefault="00791B14" w:rsidP="00791B14">
      <w:pPr>
        <w:pStyle w:val="Caption"/>
      </w:pPr>
      <w:r>
        <w:t xml:space="preserve">Table </w:t>
      </w:r>
      <w:r w:rsidR="00B47FE6">
        <w:fldChar w:fldCharType="begin"/>
      </w:r>
      <w:r w:rsidR="00B47FE6">
        <w:instrText xml:space="preserve"> SEQ Table \* ARABIC </w:instrText>
      </w:r>
      <w:r w:rsidR="00B47FE6">
        <w:fldChar w:fldCharType="separate"/>
      </w:r>
      <w:r w:rsidR="000369A1">
        <w:rPr>
          <w:noProof/>
        </w:rPr>
        <w:t>15</w:t>
      </w:r>
      <w:r w:rsidR="00B47FE6">
        <w:rPr>
          <w:noProof/>
        </w:rPr>
        <w:fldChar w:fldCharType="end"/>
      </w:r>
      <w:r>
        <w:t>: Breakdown of the costs of Option 2 ($ million)</w:t>
      </w:r>
    </w:p>
    <w:tbl>
      <w:tblPr>
        <w:tblW w:w="9407" w:type="dxa"/>
        <w:tblInd w:w="-601"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CellMar>
          <w:top w:w="57" w:type="dxa"/>
          <w:bottom w:w="57" w:type="dxa"/>
        </w:tblCellMar>
        <w:tblLook w:val="04A0" w:firstRow="1" w:lastRow="0" w:firstColumn="1" w:lastColumn="0" w:noHBand="0" w:noVBand="1"/>
      </w:tblPr>
      <w:tblGrid>
        <w:gridCol w:w="1788"/>
        <w:gridCol w:w="2097"/>
        <w:gridCol w:w="2496"/>
        <w:gridCol w:w="3026"/>
      </w:tblGrid>
      <w:tr w:rsidR="001B04AA" w:rsidRPr="00047950" w14:paraId="50385A9C" w14:textId="77777777" w:rsidTr="001B04AA">
        <w:trPr>
          <w:trHeight w:val="294"/>
        </w:trPr>
        <w:tc>
          <w:tcPr>
            <w:tcW w:w="1788" w:type="dxa"/>
            <w:shd w:val="clear" w:color="auto" w:fill="A32020" w:themeFill="text2"/>
            <w:noWrap/>
            <w:vAlign w:val="center"/>
            <w:hideMark/>
          </w:tcPr>
          <w:p w14:paraId="67AE8B99" w14:textId="1241EE9F" w:rsidR="001B04AA" w:rsidRPr="00047950" w:rsidRDefault="001B04AA" w:rsidP="00A06C83">
            <w:pPr>
              <w:kinsoku/>
              <w:overflowPunct/>
              <w:autoSpaceDE/>
              <w:autoSpaceDN/>
              <w:adjustRightInd/>
              <w:snapToGrid/>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Option 2</w:t>
            </w:r>
          </w:p>
        </w:tc>
        <w:tc>
          <w:tcPr>
            <w:tcW w:w="2097" w:type="dxa"/>
            <w:shd w:val="clear" w:color="auto" w:fill="A32020" w:themeFill="text2"/>
            <w:vAlign w:val="center"/>
            <w:hideMark/>
          </w:tcPr>
          <w:p w14:paraId="2E2E50B0" w14:textId="12727E54"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 xml:space="preserve">10 year </w:t>
            </w:r>
            <w:r>
              <w:rPr>
                <w:rFonts w:asciiTheme="majorHAnsi" w:hAnsiTheme="majorHAnsi"/>
                <w:b/>
                <w:bCs/>
                <w:snapToGrid/>
                <w:color w:val="FFFFFF"/>
                <w:sz w:val="18"/>
                <w:szCs w:val="16"/>
                <w:lang w:eastAsia="en-AU"/>
              </w:rPr>
              <w:t xml:space="preserve">total </w:t>
            </w:r>
            <w:r w:rsidRPr="00047950">
              <w:rPr>
                <w:rFonts w:asciiTheme="majorHAnsi" w:hAnsiTheme="majorHAnsi"/>
                <w:b/>
                <w:bCs/>
                <w:snapToGrid/>
                <w:color w:val="FFFFFF"/>
                <w:sz w:val="18"/>
                <w:szCs w:val="16"/>
                <w:lang w:eastAsia="en-AU"/>
              </w:rPr>
              <w:t>(NPV)</w:t>
            </w:r>
          </w:p>
        </w:tc>
        <w:tc>
          <w:tcPr>
            <w:tcW w:w="2496" w:type="dxa"/>
            <w:shd w:val="clear" w:color="auto" w:fill="A32020" w:themeFill="text2"/>
            <w:vAlign w:val="center"/>
            <w:hideMark/>
          </w:tcPr>
          <w:p w14:paraId="41DA3D30" w14:textId="7C52E044"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 xml:space="preserve">10 year </w:t>
            </w:r>
            <w:r>
              <w:rPr>
                <w:rFonts w:asciiTheme="majorHAnsi" w:hAnsiTheme="majorHAnsi"/>
                <w:b/>
                <w:bCs/>
                <w:snapToGrid/>
                <w:color w:val="FFFFFF"/>
                <w:sz w:val="18"/>
                <w:szCs w:val="16"/>
                <w:lang w:eastAsia="en-AU"/>
              </w:rPr>
              <w:t xml:space="preserve">total </w:t>
            </w:r>
            <w:r w:rsidRPr="00047950">
              <w:rPr>
                <w:rFonts w:asciiTheme="majorHAnsi" w:hAnsiTheme="majorHAnsi"/>
                <w:b/>
                <w:bCs/>
                <w:snapToGrid/>
                <w:color w:val="FFFFFF"/>
                <w:sz w:val="18"/>
                <w:szCs w:val="16"/>
                <w:lang w:eastAsia="en-AU"/>
              </w:rPr>
              <w:t>(nominal)</w:t>
            </w:r>
          </w:p>
        </w:tc>
        <w:tc>
          <w:tcPr>
            <w:tcW w:w="3026" w:type="dxa"/>
            <w:shd w:val="clear" w:color="auto" w:fill="A32020" w:themeFill="text2"/>
            <w:vAlign w:val="center"/>
            <w:hideMark/>
          </w:tcPr>
          <w:p w14:paraId="6C6A3EB0" w14:textId="44794B84"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 xml:space="preserve">Annual cost for </w:t>
            </w:r>
            <w:r w:rsidRPr="00047950">
              <w:rPr>
                <w:rFonts w:asciiTheme="majorHAnsi" w:hAnsiTheme="majorHAnsi"/>
                <w:b/>
                <w:bCs/>
                <w:snapToGrid/>
                <w:color w:val="FFFFFF"/>
                <w:sz w:val="18"/>
                <w:szCs w:val="16"/>
                <w:lang w:eastAsia="en-AU"/>
              </w:rPr>
              <w:t>Year</w:t>
            </w:r>
            <w:r>
              <w:rPr>
                <w:rFonts w:asciiTheme="majorHAnsi" w:hAnsiTheme="majorHAnsi"/>
                <w:b/>
                <w:bCs/>
                <w:snapToGrid/>
                <w:color w:val="FFFFFF"/>
                <w:sz w:val="18"/>
                <w:szCs w:val="16"/>
                <w:lang w:eastAsia="en-AU"/>
              </w:rPr>
              <w:t>s</w:t>
            </w:r>
            <w:r w:rsidRPr="00047950">
              <w:rPr>
                <w:rFonts w:asciiTheme="majorHAnsi" w:hAnsiTheme="majorHAnsi"/>
                <w:b/>
                <w:bCs/>
                <w:snapToGrid/>
                <w:color w:val="FFFFFF"/>
                <w:sz w:val="18"/>
                <w:szCs w:val="16"/>
                <w:lang w:eastAsia="en-AU"/>
              </w:rPr>
              <w:t xml:space="preserve"> 1</w:t>
            </w:r>
            <w:r>
              <w:rPr>
                <w:rFonts w:asciiTheme="majorHAnsi" w:hAnsiTheme="majorHAnsi"/>
                <w:b/>
                <w:bCs/>
                <w:snapToGrid/>
                <w:color w:val="FFFFFF"/>
                <w:sz w:val="18"/>
                <w:szCs w:val="16"/>
                <w:lang w:eastAsia="en-AU"/>
              </w:rPr>
              <w:t xml:space="preserve"> – 10</w:t>
            </w:r>
          </w:p>
        </w:tc>
      </w:tr>
      <w:tr w:rsidR="00A31D50" w:rsidRPr="00047950" w14:paraId="39535A61" w14:textId="77777777" w:rsidTr="007C0109">
        <w:trPr>
          <w:trHeight w:val="294"/>
        </w:trPr>
        <w:tc>
          <w:tcPr>
            <w:tcW w:w="1788" w:type="dxa"/>
            <w:shd w:val="clear" w:color="auto" w:fill="7F7F7F" w:themeFill="text1" w:themeFillTint="80"/>
            <w:vAlign w:val="center"/>
            <w:hideMark/>
          </w:tcPr>
          <w:p w14:paraId="1CF8EA31"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CHMP processes</w:t>
            </w:r>
          </w:p>
        </w:tc>
        <w:tc>
          <w:tcPr>
            <w:tcW w:w="2097" w:type="dxa"/>
            <w:shd w:val="clear" w:color="auto" w:fill="auto"/>
            <w:vAlign w:val="center"/>
          </w:tcPr>
          <w:p w14:paraId="143D1346" w14:textId="58195A7B"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119.7 </w:t>
            </w:r>
          </w:p>
        </w:tc>
        <w:tc>
          <w:tcPr>
            <w:tcW w:w="2496" w:type="dxa"/>
            <w:shd w:val="clear" w:color="auto" w:fill="auto"/>
            <w:vAlign w:val="center"/>
          </w:tcPr>
          <w:p w14:paraId="0619241F" w14:textId="5FB101CA"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141.9 </w:t>
            </w:r>
          </w:p>
        </w:tc>
        <w:tc>
          <w:tcPr>
            <w:tcW w:w="3026" w:type="dxa"/>
            <w:shd w:val="clear" w:color="auto" w:fill="auto"/>
            <w:vAlign w:val="center"/>
          </w:tcPr>
          <w:p w14:paraId="0D8B7BE0" w14:textId="249E8BCF"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14.2 </w:t>
            </w:r>
          </w:p>
        </w:tc>
      </w:tr>
      <w:tr w:rsidR="00A31D50" w:rsidRPr="00047950" w14:paraId="0D21B9C2" w14:textId="77777777" w:rsidTr="007C0109">
        <w:trPr>
          <w:trHeight w:val="440"/>
        </w:trPr>
        <w:tc>
          <w:tcPr>
            <w:tcW w:w="1788" w:type="dxa"/>
            <w:shd w:val="clear" w:color="auto" w:fill="7F7F7F" w:themeFill="text1" w:themeFillTint="80"/>
            <w:vAlign w:val="center"/>
            <w:hideMark/>
          </w:tcPr>
          <w:p w14:paraId="4DBF17A9"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Management conditions</w:t>
            </w:r>
          </w:p>
        </w:tc>
        <w:tc>
          <w:tcPr>
            <w:tcW w:w="2097" w:type="dxa"/>
            <w:shd w:val="clear" w:color="auto" w:fill="auto"/>
            <w:vAlign w:val="center"/>
          </w:tcPr>
          <w:p w14:paraId="36FB9D70" w14:textId="71664D7A"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46.1 </w:t>
            </w:r>
          </w:p>
        </w:tc>
        <w:tc>
          <w:tcPr>
            <w:tcW w:w="2496" w:type="dxa"/>
            <w:shd w:val="clear" w:color="auto" w:fill="auto"/>
            <w:vAlign w:val="center"/>
          </w:tcPr>
          <w:p w14:paraId="6DD3B2DE" w14:textId="7CB733E2"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54.6 </w:t>
            </w:r>
          </w:p>
        </w:tc>
        <w:tc>
          <w:tcPr>
            <w:tcW w:w="3026" w:type="dxa"/>
            <w:shd w:val="clear" w:color="auto" w:fill="auto"/>
            <w:vAlign w:val="center"/>
          </w:tcPr>
          <w:p w14:paraId="6D81DF0A" w14:textId="1B4E5AF7"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5.5 </w:t>
            </w:r>
          </w:p>
        </w:tc>
      </w:tr>
      <w:tr w:rsidR="00A31D50" w:rsidRPr="00047950" w14:paraId="77B2B127" w14:textId="77777777" w:rsidTr="007C0109">
        <w:trPr>
          <w:trHeight w:val="440"/>
        </w:trPr>
        <w:tc>
          <w:tcPr>
            <w:tcW w:w="1788" w:type="dxa"/>
            <w:shd w:val="clear" w:color="auto" w:fill="7F7F7F" w:themeFill="text1" w:themeFillTint="80"/>
            <w:vAlign w:val="center"/>
          </w:tcPr>
          <w:p w14:paraId="61DFED77"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Government costs (excl. transfers)</w:t>
            </w:r>
          </w:p>
        </w:tc>
        <w:tc>
          <w:tcPr>
            <w:tcW w:w="2097" w:type="dxa"/>
            <w:shd w:val="clear" w:color="auto" w:fill="auto"/>
            <w:vAlign w:val="center"/>
          </w:tcPr>
          <w:p w14:paraId="66A5CB97" w14:textId="280484EE"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5 </w:t>
            </w:r>
          </w:p>
        </w:tc>
        <w:tc>
          <w:tcPr>
            <w:tcW w:w="2496" w:type="dxa"/>
            <w:shd w:val="clear" w:color="auto" w:fill="auto"/>
            <w:vAlign w:val="center"/>
          </w:tcPr>
          <w:p w14:paraId="01804623" w14:textId="506C7813"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6 </w:t>
            </w:r>
          </w:p>
        </w:tc>
        <w:tc>
          <w:tcPr>
            <w:tcW w:w="3026" w:type="dxa"/>
            <w:shd w:val="clear" w:color="auto" w:fill="auto"/>
            <w:vAlign w:val="center"/>
          </w:tcPr>
          <w:p w14:paraId="310F5DDE" w14:textId="6C475408"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0.6 </w:t>
            </w:r>
          </w:p>
        </w:tc>
      </w:tr>
      <w:tr w:rsidR="00A31D50" w:rsidRPr="00047950" w14:paraId="4FE5A9F2" w14:textId="77777777" w:rsidTr="007C0109">
        <w:trPr>
          <w:trHeight w:val="440"/>
        </w:trPr>
        <w:tc>
          <w:tcPr>
            <w:tcW w:w="1788" w:type="dxa"/>
            <w:shd w:val="clear" w:color="auto" w:fill="7F7F7F" w:themeFill="text1" w:themeFillTint="80"/>
            <w:vAlign w:val="center"/>
          </w:tcPr>
          <w:p w14:paraId="1D431CD5"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Government assessment costs</w:t>
            </w:r>
          </w:p>
        </w:tc>
        <w:tc>
          <w:tcPr>
            <w:tcW w:w="2097" w:type="dxa"/>
            <w:shd w:val="clear" w:color="auto" w:fill="auto"/>
            <w:vAlign w:val="center"/>
          </w:tcPr>
          <w:p w14:paraId="32B5CE01" w14:textId="076F9CAA"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16.9 </w:t>
            </w:r>
          </w:p>
        </w:tc>
        <w:tc>
          <w:tcPr>
            <w:tcW w:w="2496" w:type="dxa"/>
            <w:shd w:val="clear" w:color="auto" w:fill="auto"/>
            <w:vAlign w:val="center"/>
          </w:tcPr>
          <w:p w14:paraId="03ACBFCE" w14:textId="5FD9CC7E"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20</w:t>
            </w:r>
            <w:r>
              <w:t>.0</w:t>
            </w:r>
            <w:r w:rsidRPr="00483566">
              <w:t xml:space="preserve"> </w:t>
            </w:r>
          </w:p>
        </w:tc>
        <w:tc>
          <w:tcPr>
            <w:tcW w:w="3026" w:type="dxa"/>
            <w:shd w:val="clear" w:color="auto" w:fill="auto"/>
            <w:vAlign w:val="center"/>
          </w:tcPr>
          <w:p w14:paraId="1546E13C" w14:textId="4186FA74"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2</w:t>
            </w:r>
            <w:r>
              <w:t>.0</w:t>
            </w:r>
            <w:r w:rsidRPr="00483566">
              <w:t xml:space="preserve"> </w:t>
            </w:r>
          </w:p>
        </w:tc>
      </w:tr>
      <w:tr w:rsidR="00A31D50" w:rsidRPr="00047950" w14:paraId="28B125EC" w14:textId="77777777" w:rsidTr="007C0109">
        <w:trPr>
          <w:trHeight w:val="440"/>
        </w:trPr>
        <w:tc>
          <w:tcPr>
            <w:tcW w:w="1788" w:type="dxa"/>
            <w:shd w:val="clear" w:color="auto" w:fill="7F7F7F" w:themeFill="text1" w:themeFillTint="80"/>
            <w:vAlign w:val="center"/>
          </w:tcPr>
          <w:p w14:paraId="38B58B25"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RAP assessment costs</w:t>
            </w:r>
          </w:p>
        </w:tc>
        <w:tc>
          <w:tcPr>
            <w:tcW w:w="2097" w:type="dxa"/>
            <w:shd w:val="clear" w:color="auto" w:fill="auto"/>
            <w:vAlign w:val="center"/>
          </w:tcPr>
          <w:p w14:paraId="27A7E94D" w14:textId="72431791" w:rsidR="00A31D50" w:rsidRPr="0008414A"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3.3 </w:t>
            </w:r>
          </w:p>
        </w:tc>
        <w:tc>
          <w:tcPr>
            <w:tcW w:w="2496" w:type="dxa"/>
            <w:shd w:val="clear" w:color="auto" w:fill="auto"/>
            <w:vAlign w:val="center"/>
          </w:tcPr>
          <w:p w14:paraId="6FAE0729" w14:textId="12EC174E"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3.9 </w:t>
            </w:r>
          </w:p>
        </w:tc>
        <w:tc>
          <w:tcPr>
            <w:tcW w:w="3026" w:type="dxa"/>
            <w:shd w:val="clear" w:color="auto" w:fill="auto"/>
            <w:vAlign w:val="center"/>
          </w:tcPr>
          <w:p w14:paraId="0255A815" w14:textId="0646C7F5" w:rsidR="00A31D50" w:rsidRPr="0008414A" w:rsidRDefault="00A31D50">
            <w:pPr>
              <w:kinsoku/>
              <w:overflowPunct/>
              <w:autoSpaceDE/>
              <w:autoSpaceDN/>
              <w:adjustRightInd/>
              <w:snapToGrid/>
              <w:jc w:val="center"/>
              <w:rPr>
                <w:rFonts w:asciiTheme="majorHAnsi" w:hAnsiTheme="majorHAnsi"/>
                <w:snapToGrid/>
                <w:color w:val="000000"/>
                <w:sz w:val="18"/>
                <w:szCs w:val="16"/>
                <w:lang w:eastAsia="en-AU"/>
              </w:rPr>
            </w:pPr>
            <w:r w:rsidRPr="00483566">
              <w:t xml:space="preserve">0.4 </w:t>
            </w:r>
          </w:p>
        </w:tc>
      </w:tr>
      <w:tr w:rsidR="00A31D50" w:rsidRPr="00047950" w14:paraId="78DA0DEE" w14:textId="77777777" w:rsidTr="007C0109">
        <w:trPr>
          <w:trHeight w:val="192"/>
        </w:trPr>
        <w:tc>
          <w:tcPr>
            <w:tcW w:w="1788" w:type="dxa"/>
            <w:shd w:val="clear" w:color="auto" w:fill="7F7F7F" w:themeFill="text1" w:themeFillTint="80"/>
            <w:vAlign w:val="center"/>
            <w:hideMark/>
          </w:tcPr>
          <w:p w14:paraId="2F089099"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Total</w:t>
            </w:r>
          </w:p>
        </w:tc>
        <w:tc>
          <w:tcPr>
            <w:tcW w:w="2097" w:type="dxa"/>
            <w:shd w:val="clear" w:color="auto" w:fill="auto"/>
            <w:vAlign w:val="center"/>
          </w:tcPr>
          <w:p w14:paraId="76A00A75" w14:textId="6471B374" w:rsidR="00A31D50" w:rsidRPr="0008414A" w:rsidRDefault="00A31D50" w:rsidP="00A31D50">
            <w:pPr>
              <w:kinsoku/>
              <w:overflowPunct/>
              <w:autoSpaceDE/>
              <w:autoSpaceDN/>
              <w:adjustRightInd/>
              <w:snapToGrid/>
              <w:jc w:val="center"/>
              <w:rPr>
                <w:rFonts w:asciiTheme="majorHAnsi" w:hAnsiTheme="majorHAnsi"/>
                <w:b/>
                <w:snapToGrid/>
                <w:color w:val="000000"/>
                <w:sz w:val="18"/>
                <w:szCs w:val="16"/>
                <w:lang w:eastAsia="en-AU"/>
              </w:rPr>
            </w:pPr>
            <w:r w:rsidRPr="00483566">
              <w:t xml:space="preserve">190.9 </w:t>
            </w:r>
          </w:p>
        </w:tc>
        <w:tc>
          <w:tcPr>
            <w:tcW w:w="2496" w:type="dxa"/>
            <w:shd w:val="clear" w:color="auto" w:fill="auto"/>
            <w:vAlign w:val="center"/>
          </w:tcPr>
          <w:p w14:paraId="74BE1247" w14:textId="78FE64D8" w:rsidR="00A31D50" w:rsidRPr="0008414A" w:rsidRDefault="00A31D50">
            <w:pPr>
              <w:kinsoku/>
              <w:overflowPunct/>
              <w:autoSpaceDE/>
              <w:autoSpaceDN/>
              <w:adjustRightInd/>
              <w:snapToGrid/>
              <w:jc w:val="center"/>
              <w:rPr>
                <w:rFonts w:asciiTheme="majorHAnsi" w:hAnsiTheme="majorHAnsi"/>
                <w:b/>
                <w:snapToGrid/>
                <w:color w:val="000000"/>
                <w:sz w:val="18"/>
                <w:szCs w:val="16"/>
                <w:lang w:eastAsia="en-AU"/>
              </w:rPr>
            </w:pPr>
            <w:r w:rsidRPr="00483566">
              <w:t xml:space="preserve">226.4 </w:t>
            </w:r>
          </w:p>
        </w:tc>
        <w:tc>
          <w:tcPr>
            <w:tcW w:w="3026" w:type="dxa"/>
            <w:shd w:val="clear" w:color="auto" w:fill="auto"/>
            <w:vAlign w:val="center"/>
          </w:tcPr>
          <w:p w14:paraId="3AD01DA9" w14:textId="526FAE66" w:rsidR="00A31D50" w:rsidRPr="0008414A" w:rsidRDefault="00A31D50">
            <w:pPr>
              <w:kinsoku/>
              <w:overflowPunct/>
              <w:autoSpaceDE/>
              <w:autoSpaceDN/>
              <w:adjustRightInd/>
              <w:snapToGrid/>
              <w:jc w:val="center"/>
              <w:rPr>
                <w:rFonts w:asciiTheme="majorHAnsi" w:hAnsiTheme="majorHAnsi"/>
                <w:b/>
                <w:snapToGrid/>
                <w:color w:val="000000"/>
                <w:sz w:val="18"/>
                <w:szCs w:val="16"/>
                <w:lang w:eastAsia="en-AU"/>
              </w:rPr>
            </w:pPr>
            <w:r w:rsidRPr="00483566">
              <w:t xml:space="preserve">22.6 </w:t>
            </w:r>
          </w:p>
        </w:tc>
      </w:tr>
    </w:tbl>
    <w:p w14:paraId="0F5871FE" w14:textId="77777777" w:rsidR="00791B14" w:rsidRDefault="00791B14" w:rsidP="005D28CB">
      <w:pPr>
        <w:pStyle w:val="PwCNormal"/>
        <w:rPr>
          <w:lang w:val="en-US"/>
        </w:rPr>
      </w:pPr>
    </w:p>
    <w:p w14:paraId="16FAC50D" w14:textId="55066D64" w:rsidR="00CC09A0" w:rsidRDefault="00CC09A0" w:rsidP="00CC09A0">
      <w:pPr>
        <w:pStyle w:val="Heading7"/>
        <w:rPr>
          <w:lang w:val="en-US"/>
        </w:rPr>
      </w:pPr>
      <w:r>
        <w:rPr>
          <w:lang w:val="en-US"/>
        </w:rPr>
        <w:t xml:space="preserve">Option 3: </w:t>
      </w:r>
      <w:r w:rsidR="000B49F1">
        <w:rPr>
          <w:lang w:val="en-US"/>
        </w:rPr>
        <w:t xml:space="preserve">Re-make the </w:t>
      </w:r>
      <w:r w:rsidR="00F06F44">
        <w:rPr>
          <w:lang w:val="en-US"/>
        </w:rPr>
        <w:t>Regulations with updates to the</w:t>
      </w:r>
      <w:r w:rsidR="007E797C">
        <w:rPr>
          <w:lang w:val="en-US"/>
        </w:rPr>
        <w:t xml:space="preserve"> standards for CHMPs</w:t>
      </w:r>
    </w:p>
    <w:p w14:paraId="65BCFB04" w14:textId="09B63085" w:rsidR="00660A78" w:rsidRDefault="00660A78" w:rsidP="007C0109">
      <w:pPr>
        <w:pStyle w:val="PwCNormal"/>
        <w:rPr>
          <w:lang w:val="en-US"/>
        </w:rPr>
      </w:pPr>
      <w:r>
        <w:rPr>
          <w:lang w:val="en-US"/>
        </w:rPr>
        <w:t xml:space="preserve">The changes proposed in Option 3, and their anticipated impacts are shown in </w:t>
      </w:r>
      <w:r>
        <w:rPr>
          <w:lang w:val="en-US"/>
        </w:rPr>
        <w:fldChar w:fldCharType="begin"/>
      </w:r>
      <w:r>
        <w:rPr>
          <w:lang w:val="en-US"/>
        </w:rPr>
        <w:instrText xml:space="preserve"> REF _Ref507659125 \h </w:instrText>
      </w:r>
      <w:r>
        <w:rPr>
          <w:lang w:val="en-US"/>
        </w:rPr>
      </w:r>
      <w:r>
        <w:rPr>
          <w:lang w:val="en-US"/>
        </w:rPr>
        <w:fldChar w:fldCharType="separate"/>
      </w:r>
      <w:r w:rsidR="000369A1">
        <w:t xml:space="preserve">Table </w:t>
      </w:r>
      <w:r w:rsidR="000369A1">
        <w:rPr>
          <w:noProof/>
        </w:rPr>
        <w:t>16</w:t>
      </w:r>
      <w:r>
        <w:rPr>
          <w:lang w:val="en-US"/>
        </w:rPr>
        <w:fldChar w:fldCharType="end"/>
      </w:r>
      <w:r>
        <w:rPr>
          <w:lang w:val="en-US"/>
        </w:rPr>
        <w:t>.</w:t>
      </w:r>
    </w:p>
    <w:p w14:paraId="4B20AEBF" w14:textId="30F49673" w:rsidR="00660A78" w:rsidRDefault="00660A78" w:rsidP="00660A78">
      <w:pPr>
        <w:pStyle w:val="Caption"/>
      </w:pPr>
      <w:bookmarkStart w:id="65" w:name="_Ref507659125"/>
      <w:r>
        <w:t xml:space="preserve">Table </w:t>
      </w:r>
      <w:r w:rsidR="00B47FE6">
        <w:fldChar w:fldCharType="begin"/>
      </w:r>
      <w:r w:rsidR="00B47FE6">
        <w:instrText xml:space="preserve"> SEQ Table \* ARABIC </w:instrText>
      </w:r>
      <w:r w:rsidR="00B47FE6">
        <w:fldChar w:fldCharType="separate"/>
      </w:r>
      <w:r w:rsidR="000369A1">
        <w:rPr>
          <w:noProof/>
        </w:rPr>
        <w:t>16</w:t>
      </w:r>
      <w:r w:rsidR="00B47FE6">
        <w:rPr>
          <w:noProof/>
        </w:rPr>
        <w:fldChar w:fldCharType="end"/>
      </w:r>
      <w:bookmarkEnd w:id="65"/>
      <w:r>
        <w:t>: The effect of changes proposed in Option 3</w:t>
      </w:r>
    </w:p>
    <w:tbl>
      <w:tblPr>
        <w:tblStyle w:val="ListTable3-Accent11"/>
        <w:tblW w:w="8897" w:type="dxa"/>
        <w:tblBorders>
          <w:insideH w:val="single" w:sz="4" w:space="0" w:color="A32020" w:themeColor="accent1"/>
          <w:insideV w:val="single" w:sz="4" w:space="0" w:color="A32020" w:themeColor="accent1"/>
        </w:tblBorders>
        <w:tblLayout w:type="fixed"/>
        <w:tblLook w:val="04A0" w:firstRow="1" w:lastRow="0" w:firstColumn="1" w:lastColumn="0" w:noHBand="0" w:noVBand="1"/>
      </w:tblPr>
      <w:tblGrid>
        <w:gridCol w:w="1384"/>
        <w:gridCol w:w="1159"/>
        <w:gridCol w:w="3802"/>
        <w:gridCol w:w="2552"/>
      </w:tblGrid>
      <w:tr w:rsidR="00660A78" w14:paraId="636C8DB8" w14:textId="77777777" w:rsidTr="00C35804">
        <w:trPr>
          <w:cnfStyle w:val="100000000000" w:firstRow="1" w:lastRow="0" w:firstColumn="0" w:lastColumn="0" w:oddVBand="0" w:evenVBand="0" w:oddHBand="0" w:evenHBand="0" w:firstRowFirstColumn="0" w:firstRowLastColumn="0" w:lastRowFirstColumn="0" w:lastRowLastColumn="0"/>
          <w:cantSplit/>
          <w:trHeight w:val="141"/>
          <w:tblHeader/>
        </w:trPr>
        <w:tc>
          <w:tcPr>
            <w:cnfStyle w:val="001000000100" w:firstRow="0" w:lastRow="0" w:firstColumn="1" w:lastColumn="0" w:oddVBand="0" w:evenVBand="0" w:oddHBand="0" w:evenHBand="0" w:firstRowFirstColumn="1" w:firstRowLastColumn="0" w:lastRowFirstColumn="0" w:lastRowLastColumn="0"/>
            <w:tcW w:w="1384" w:type="dxa"/>
            <w:vAlign w:val="center"/>
          </w:tcPr>
          <w:p w14:paraId="3FDCC33B" w14:textId="77777777" w:rsidR="00660A78" w:rsidRPr="0038449D" w:rsidRDefault="00660A78" w:rsidP="00257A68">
            <w:pPr>
              <w:jc w:val="center"/>
            </w:pPr>
            <w:r w:rsidRPr="0038449D">
              <w:t>Where</w:t>
            </w:r>
          </w:p>
        </w:tc>
        <w:tc>
          <w:tcPr>
            <w:tcW w:w="1159" w:type="dxa"/>
            <w:vAlign w:val="center"/>
          </w:tcPr>
          <w:p w14:paraId="133A9337" w14:textId="77777777" w:rsidR="00660A78" w:rsidRPr="0038449D" w:rsidRDefault="00660A78" w:rsidP="00257A68">
            <w:pPr>
              <w:jc w:val="center"/>
              <w:cnfStyle w:val="100000000000" w:firstRow="1" w:lastRow="0" w:firstColumn="0" w:lastColumn="0" w:oddVBand="0" w:evenVBand="0" w:oddHBand="0" w:evenHBand="0" w:firstRowFirstColumn="0" w:firstRowLastColumn="0" w:lastRowFirstColumn="0" w:lastRowLastColumn="0"/>
            </w:pPr>
            <w:r w:rsidRPr="0038449D">
              <w:t>Relating to Reg. #</w:t>
            </w:r>
          </w:p>
        </w:tc>
        <w:tc>
          <w:tcPr>
            <w:tcW w:w="3802" w:type="dxa"/>
            <w:vAlign w:val="center"/>
          </w:tcPr>
          <w:p w14:paraId="492E6438" w14:textId="77777777" w:rsidR="00660A78" w:rsidRDefault="00660A78" w:rsidP="00257A68">
            <w:pPr>
              <w:cnfStyle w:val="100000000000" w:firstRow="1" w:lastRow="0" w:firstColumn="0" w:lastColumn="0" w:oddVBand="0" w:evenVBand="0" w:oddHBand="0" w:evenHBand="0" w:firstRowFirstColumn="0" w:firstRowLastColumn="0" w:lastRowFirstColumn="0" w:lastRowLastColumn="0"/>
            </w:pPr>
            <w:r>
              <w:t>Description of change</w:t>
            </w:r>
          </w:p>
        </w:tc>
        <w:tc>
          <w:tcPr>
            <w:tcW w:w="2552" w:type="dxa"/>
            <w:vAlign w:val="center"/>
          </w:tcPr>
          <w:p w14:paraId="13C79DE0" w14:textId="77777777" w:rsidR="00660A78" w:rsidRDefault="00660A78" w:rsidP="00257A68">
            <w:pPr>
              <w:cnfStyle w:val="100000000000" w:firstRow="1" w:lastRow="0" w:firstColumn="0" w:lastColumn="0" w:oddVBand="0" w:evenVBand="0" w:oddHBand="0" w:evenHBand="0" w:firstRowFirstColumn="0" w:firstRowLastColumn="0" w:lastRowFirstColumn="0" w:lastRowLastColumn="0"/>
            </w:pPr>
            <w:r>
              <w:t>Effect</w:t>
            </w:r>
            <w:r>
              <w:rPr>
                <w:rStyle w:val="FootnoteReference"/>
              </w:rPr>
              <w:footnoteReference w:id="94"/>
            </w:r>
          </w:p>
        </w:tc>
      </w:tr>
      <w:tr w:rsidR="00376F53" w14:paraId="663EA759" w14:textId="77777777" w:rsidTr="007C010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14:paraId="5685AE39" w14:textId="2D8E8882" w:rsidR="00376F53" w:rsidRPr="0038449D" w:rsidRDefault="00376F53" w:rsidP="00376F53">
            <w:pPr>
              <w:jc w:val="center"/>
            </w:pPr>
            <w:r>
              <w:t>Approved forms, practice notes and guide to preparing a CHMP</w:t>
            </w:r>
          </w:p>
        </w:tc>
        <w:tc>
          <w:tcPr>
            <w:tcW w:w="1159" w:type="dxa"/>
            <w:vAlign w:val="center"/>
          </w:tcPr>
          <w:p w14:paraId="6179AD80" w14:textId="5A63C8B1" w:rsidR="00376F53" w:rsidRPr="0038449D" w:rsidRDefault="00376F53" w:rsidP="00376F53">
            <w:pPr>
              <w:tabs>
                <w:tab w:val="left" w:pos="8609"/>
              </w:tabs>
              <w:jc w:val="center"/>
              <w:cnfStyle w:val="000000100000" w:firstRow="0" w:lastRow="0" w:firstColumn="0" w:lastColumn="0" w:oddVBand="0" w:evenVBand="0" w:oddHBand="1" w:evenHBand="0" w:firstRowFirstColumn="0" w:firstRowLastColumn="0" w:lastRowFirstColumn="0" w:lastRowLastColumn="0"/>
              <w:rPr>
                <w:b/>
              </w:rPr>
            </w:pPr>
            <w:r>
              <w:rPr>
                <w:b/>
              </w:rPr>
              <w:t>Part 3</w:t>
            </w:r>
          </w:p>
        </w:tc>
        <w:tc>
          <w:tcPr>
            <w:tcW w:w="3802" w:type="dxa"/>
            <w:vAlign w:val="center"/>
          </w:tcPr>
          <w:p w14:paraId="1401FDD1" w14:textId="123E3F6B" w:rsidR="00376F53" w:rsidRDefault="00376F53" w:rsidP="00376F53">
            <w:pPr>
              <w:tabs>
                <w:tab w:val="left" w:pos="8609"/>
              </w:tabs>
              <w:cnfStyle w:val="000000100000" w:firstRow="0" w:lastRow="0" w:firstColumn="0" w:lastColumn="0" w:oddVBand="0" w:evenVBand="0" w:oddHBand="1" w:evenHBand="0" w:firstRowFirstColumn="0" w:firstRowLastColumn="0" w:lastRowFirstColumn="0" w:lastRowLastColumn="0"/>
            </w:pPr>
            <w:r>
              <w:t>Amend practice notes and guides to provide greater clarity to ensure that the information included in the desktop assessment explains what the information may mean for the likelihood of Aboriginal cultural heritage in the activity area.</w:t>
            </w:r>
          </w:p>
        </w:tc>
        <w:tc>
          <w:tcPr>
            <w:tcW w:w="2552" w:type="dxa"/>
            <w:vAlign w:val="center"/>
          </w:tcPr>
          <w:p w14:paraId="2B72E723" w14:textId="21DBC4E0" w:rsidR="00376F53" w:rsidRDefault="00376F53" w:rsidP="00FB5C8E">
            <w:pPr>
              <w:tabs>
                <w:tab w:val="left" w:pos="8609"/>
              </w:tabs>
              <w:cnfStyle w:val="000000100000" w:firstRow="0" w:lastRow="0" w:firstColumn="0" w:lastColumn="0" w:oddVBand="0" w:evenVBand="0" w:oddHBand="1" w:evenHBand="0" w:firstRowFirstColumn="0" w:firstRowLastColumn="0" w:lastRowFirstColumn="0" w:lastRowLastColumn="0"/>
            </w:pPr>
            <w:r>
              <w:t>A reduction in the time heritage advisors need to prepare a desktop assessment, however, the quantitative effect is uncertain.</w:t>
            </w:r>
            <w:r>
              <w:rPr>
                <w:rStyle w:val="FootnoteReference"/>
              </w:rPr>
              <w:footnoteReference w:id="95"/>
            </w:r>
            <w:r>
              <w:t xml:space="preserve"> In addition, CHMPs prepared will be clearer, increasing the confidence in the system.</w:t>
            </w:r>
          </w:p>
        </w:tc>
      </w:tr>
      <w:tr w:rsidR="00376F53" w14:paraId="485BF2B4" w14:textId="77777777" w:rsidTr="007C0109">
        <w:trPr>
          <w:trHeight w:val="428"/>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14:paraId="0CA6F7F2" w14:textId="246351B5" w:rsidR="00376F53" w:rsidRPr="0038449D" w:rsidRDefault="00376F53" w:rsidP="00376F53">
            <w:pPr>
              <w:jc w:val="center"/>
            </w:pPr>
            <w:r>
              <w:t>Guide to preparing a CHMP</w:t>
            </w:r>
          </w:p>
        </w:tc>
        <w:tc>
          <w:tcPr>
            <w:tcW w:w="1159" w:type="dxa"/>
            <w:vAlign w:val="center"/>
          </w:tcPr>
          <w:p w14:paraId="7C82C6FE" w14:textId="5169D5CB" w:rsidR="00376F53" w:rsidRPr="0038449D" w:rsidRDefault="00376F53" w:rsidP="00376F53">
            <w:pPr>
              <w:jc w:val="center"/>
              <w:cnfStyle w:val="000000000000" w:firstRow="0" w:lastRow="0" w:firstColumn="0" w:lastColumn="0" w:oddVBand="0" w:evenVBand="0" w:oddHBand="0" w:evenHBand="0" w:firstRowFirstColumn="0" w:firstRowLastColumn="0" w:lastRowFirstColumn="0" w:lastRowLastColumn="0"/>
              <w:rPr>
                <w:b/>
              </w:rPr>
            </w:pPr>
            <w:r>
              <w:rPr>
                <w:b/>
              </w:rPr>
              <w:t>Part 3</w:t>
            </w:r>
          </w:p>
        </w:tc>
        <w:tc>
          <w:tcPr>
            <w:tcW w:w="3802" w:type="dxa"/>
            <w:vAlign w:val="center"/>
          </w:tcPr>
          <w:p w14:paraId="4018F470" w14:textId="7F7EDA64" w:rsidR="00376F53" w:rsidRDefault="00376F53" w:rsidP="00376F53">
            <w:pPr>
              <w:cnfStyle w:val="000000000000" w:firstRow="0" w:lastRow="0" w:firstColumn="0" w:lastColumn="0" w:oddVBand="0" w:evenVBand="0" w:oddHBand="0" w:evenHBand="0" w:firstRowFirstColumn="0" w:firstRowLastColumn="0" w:lastRowFirstColumn="0" w:lastRowLastColumn="0"/>
            </w:pPr>
            <w:r>
              <w:t>Amend the CHMP guide to provide greater clarity around when a CHMP should progress to the next tier of assessment (from a desktop to a standard assessment, or from a standard assessment to a complex assessment)</w:t>
            </w:r>
          </w:p>
        </w:tc>
        <w:tc>
          <w:tcPr>
            <w:tcW w:w="2552" w:type="dxa"/>
            <w:vAlign w:val="center"/>
          </w:tcPr>
          <w:p w14:paraId="18663166" w14:textId="2087A1AC" w:rsidR="00376F53" w:rsidRDefault="00376F53" w:rsidP="00376F53">
            <w:pPr>
              <w:cnfStyle w:val="000000000000" w:firstRow="0" w:lastRow="0" w:firstColumn="0" w:lastColumn="0" w:oddVBand="0" w:evenVBand="0" w:oddHBand="0" w:evenHBand="0" w:firstRowFirstColumn="0" w:firstRowLastColumn="0" w:lastRowFirstColumn="0" w:lastRowLastColumn="0"/>
            </w:pPr>
            <w:r>
              <w:t xml:space="preserve">Reduction in the number of CHMPs which require a complex assessment from </w:t>
            </w:r>
            <w:r w:rsidRPr="003F706A">
              <w:t>80 per cent to 75 per cent</w:t>
            </w:r>
            <w:r w:rsidR="00D12AE0">
              <w:t xml:space="preserve"> compared to Option 1</w:t>
            </w:r>
            <w:r>
              <w:t>.</w:t>
            </w:r>
            <w:r>
              <w:rPr>
                <w:rStyle w:val="FootnoteReference"/>
              </w:rPr>
              <w:footnoteReference w:id="96"/>
            </w:r>
          </w:p>
        </w:tc>
      </w:tr>
      <w:tr w:rsidR="00376F53" w14:paraId="1978E457" w14:textId="77777777" w:rsidTr="007C010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14:paraId="0A7ABB0F" w14:textId="06BBF1B1" w:rsidR="00376F53" w:rsidRPr="0038449D" w:rsidRDefault="00376F53" w:rsidP="00376F53">
            <w:pPr>
              <w:jc w:val="center"/>
            </w:pPr>
            <w:r>
              <w:t>Guide to preparing a CHMP</w:t>
            </w:r>
          </w:p>
        </w:tc>
        <w:tc>
          <w:tcPr>
            <w:tcW w:w="1159" w:type="dxa"/>
            <w:vAlign w:val="center"/>
          </w:tcPr>
          <w:p w14:paraId="2166F5DC" w14:textId="77777777" w:rsidR="00376F53" w:rsidRPr="0038449D" w:rsidRDefault="00376F53" w:rsidP="00376F53">
            <w:pPr>
              <w:jc w:val="center"/>
              <w:cnfStyle w:val="000000100000" w:firstRow="0" w:lastRow="0" w:firstColumn="0" w:lastColumn="0" w:oddVBand="0" w:evenVBand="0" w:oddHBand="1" w:evenHBand="0" w:firstRowFirstColumn="0" w:firstRowLastColumn="0" w:lastRowFirstColumn="0" w:lastRowLastColumn="0"/>
              <w:rPr>
                <w:b/>
              </w:rPr>
            </w:pPr>
            <w:r w:rsidRPr="0038449D">
              <w:rPr>
                <w:b/>
              </w:rPr>
              <w:t>Schedule 2</w:t>
            </w:r>
          </w:p>
        </w:tc>
        <w:tc>
          <w:tcPr>
            <w:tcW w:w="3802" w:type="dxa"/>
            <w:vAlign w:val="center"/>
          </w:tcPr>
          <w:p w14:paraId="05F2B05F" w14:textId="0F1376A2" w:rsidR="00376F53" w:rsidRPr="002F2089" w:rsidRDefault="00376F53" w:rsidP="00376F53">
            <w:pPr>
              <w:cnfStyle w:val="000000100000" w:firstRow="0" w:lastRow="0" w:firstColumn="0" w:lastColumn="0" w:oddVBand="0" w:evenVBand="0" w:oddHBand="1" w:evenHBand="0" w:firstRowFirstColumn="0" w:firstRowLastColumn="0" w:lastRowFirstColumn="0" w:lastRowLastColumn="0"/>
            </w:pPr>
            <w:r>
              <w:t xml:space="preserve">Provide greater clarity in the CHMP guide as to what the cumulative impacts statement should include. </w:t>
            </w:r>
            <w:r w:rsidRPr="00072523">
              <w:t>This will be detailed in the guide to preparing a CHMP, and will include reasoning behind its inclusion in the approved form, and examples of what</w:t>
            </w:r>
            <w:r>
              <w:t xml:space="preserve"> is required.</w:t>
            </w:r>
          </w:p>
        </w:tc>
        <w:tc>
          <w:tcPr>
            <w:tcW w:w="2552" w:type="dxa"/>
            <w:vAlign w:val="center"/>
          </w:tcPr>
          <w:p w14:paraId="4A64EFDF" w14:textId="77777777" w:rsidR="00376F53" w:rsidRDefault="00376F53" w:rsidP="00376F53">
            <w:pPr>
              <w:cnfStyle w:val="000000100000" w:firstRow="0" w:lastRow="0" w:firstColumn="0" w:lastColumn="0" w:oddVBand="0" w:evenVBand="0" w:oddHBand="1" w:evenHBand="0" w:firstRowFirstColumn="0" w:firstRowLastColumn="0" w:lastRowFirstColumn="0" w:lastRowLastColumn="0"/>
            </w:pPr>
            <w:r>
              <w:t>B</w:t>
            </w:r>
            <w:r w:rsidRPr="009F3647">
              <w:t>etter management outcomes f</w:t>
            </w:r>
            <w:r>
              <w:t>or Aboriginal cultural heritage, however, no quantifiable impact.</w:t>
            </w:r>
          </w:p>
        </w:tc>
      </w:tr>
      <w:tr w:rsidR="00376F53" w14:paraId="035C67AE" w14:textId="77777777" w:rsidTr="007C0109">
        <w:trPr>
          <w:trHeight w:val="428"/>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14:paraId="4DDCAE87" w14:textId="40030FA6" w:rsidR="00376F53" w:rsidRPr="0038449D" w:rsidRDefault="00376F53" w:rsidP="00376F53">
            <w:pPr>
              <w:jc w:val="center"/>
            </w:pPr>
            <w:r>
              <w:t>Guide to preparing a CHMP</w:t>
            </w:r>
          </w:p>
        </w:tc>
        <w:tc>
          <w:tcPr>
            <w:tcW w:w="1159" w:type="dxa"/>
            <w:vAlign w:val="center"/>
          </w:tcPr>
          <w:p w14:paraId="2620517A" w14:textId="77777777" w:rsidR="00376F53" w:rsidRPr="0038449D" w:rsidRDefault="00376F53" w:rsidP="00376F53">
            <w:pPr>
              <w:jc w:val="center"/>
              <w:cnfStyle w:val="000000000000" w:firstRow="0" w:lastRow="0" w:firstColumn="0" w:lastColumn="0" w:oddVBand="0" w:evenVBand="0" w:oddHBand="0" w:evenHBand="0" w:firstRowFirstColumn="0" w:firstRowLastColumn="0" w:lastRowFirstColumn="0" w:lastRowLastColumn="0"/>
              <w:rPr>
                <w:b/>
              </w:rPr>
            </w:pPr>
            <w:r w:rsidRPr="0038449D">
              <w:rPr>
                <w:b/>
              </w:rPr>
              <w:t>Schedule 2</w:t>
            </w:r>
          </w:p>
        </w:tc>
        <w:tc>
          <w:tcPr>
            <w:tcW w:w="3802" w:type="dxa"/>
            <w:vAlign w:val="center"/>
          </w:tcPr>
          <w:p w14:paraId="40E28665" w14:textId="3268E76E" w:rsidR="00376F53" w:rsidRPr="002F2089" w:rsidRDefault="00376F53" w:rsidP="00376F53">
            <w:pPr>
              <w:cnfStyle w:val="000000000000" w:firstRow="0" w:lastRow="0" w:firstColumn="0" w:lastColumn="0" w:oddVBand="0" w:evenVBand="0" w:oddHBand="0" w:evenHBand="0" w:firstRowFirstColumn="0" w:firstRowLastColumn="0" w:lastRowFirstColumn="0" w:lastRowLastColumn="0"/>
            </w:pPr>
            <w:r>
              <w:t xml:space="preserve">Provide greater clarity in the CHMP guide to ensure that management conditions are not inconsistent with the conclusions of the assessment. </w:t>
            </w:r>
            <w:r w:rsidRPr="00072523">
              <w:t>Justification of management conditions using the conclusions of the assessment will result in more relevant management conditions and potentially a reduction in management costs in some instances.</w:t>
            </w:r>
          </w:p>
        </w:tc>
        <w:tc>
          <w:tcPr>
            <w:tcW w:w="2552" w:type="dxa"/>
            <w:vAlign w:val="center"/>
          </w:tcPr>
          <w:p w14:paraId="4D4A98B2" w14:textId="23067115" w:rsidR="00376F53" w:rsidRDefault="00376F53" w:rsidP="00376F53">
            <w:pPr>
              <w:cnfStyle w:val="000000000000" w:firstRow="0" w:lastRow="0" w:firstColumn="0" w:lastColumn="0" w:oddVBand="0" w:evenVBand="0" w:oddHBand="0" w:evenHBand="0" w:firstRowFirstColumn="0" w:firstRowLastColumn="0" w:lastRowFirstColumn="0" w:lastRowLastColumn="0"/>
            </w:pPr>
            <w:r>
              <w:t>P</w:t>
            </w:r>
            <w:r w:rsidRPr="009F3647">
              <w:t xml:space="preserve">rovide sponsors greater clarity </w:t>
            </w:r>
            <w:r>
              <w:t>around the</w:t>
            </w:r>
            <w:r w:rsidRPr="009F3647">
              <w:t xml:space="preserve"> CHMP process</w:t>
            </w:r>
            <w:r>
              <w:t xml:space="preserve">, </w:t>
            </w:r>
            <w:r w:rsidRPr="00376F53">
              <w:t xml:space="preserve">resulting in a </w:t>
            </w:r>
            <w:r w:rsidRPr="007C0109">
              <w:t>five per cent</w:t>
            </w:r>
            <w:r w:rsidRPr="00FB5C8E">
              <w:t xml:space="preserve"> reducti</w:t>
            </w:r>
            <w:r>
              <w:t>on in the cost of management conditions</w:t>
            </w:r>
            <w:r w:rsidR="00480D4E">
              <w:t xml:space="preserve"> for half of CHMPs undertaken</w:t>
            </w:r>
            <w:r>
              <w:t>.</w:t>
            </w:r>
            <w:r>
              <w:rPr>
                <w:rStyle w:val="FootnoteReference"/>
                <w:lang w:val="en-US"/>
              </w:rPr>
              <w:t xml:space="preserve"> </w:t>
            </w:r>
            <w:r>
              <w:rPr>
                <w:rStyle w:val="FootnoteReference"/>
                <w:lang w:val="en-US"/>
              </w:rPr>
              <w:footnoteReference w:id="97"/>
            </w:r>
          </w:p>
        </w:tc>
      </w:tr>
    </w:tbl>
    <w:p w14:paraId="58E5F756" w14:textId="23173E28" w:rsidR="00CE1A10" w:rsidRDefault="00CE1A10" w:rsidP="007C0109">
      <w:pPr>
        <w:pStyle w:val="PwCNormal"/>
        <w:spacing w:before="240"/>
        <w:rPr>
          <w:lang w:val="en-US"/>
        </w:rPr>
      </w:pPr>
      <w:r>
        <w:rPr>
          <w:lang w:val="en-US"/>
        </w:rPr>
        <w:t xml:space="preserve">The costs of Option 3 have been estimated using a similar methodology to Options 1 and 2. </w:t>
      </w:r>
      <w:r w:rsidR="00376F53">
        <w:rPr>
          <w:lang w:val="en-US"/>
        </w:rPr>
        <w:t xml:space="preserve">As shown </w:t>
      </w:r>
      <w:r w:rsidR="00480D4E">
        <w:rPr>
          <w:lang w:val="en-US"/>
        </w:rPr>
        <w:t xml:space="preserve">in the table </w:t>
      </w:r>
      <w:r w:rsidR="00376F53">
        <w:rPr>
          <w:lang w:val="en-US"/>
        </w:rPr>
        <w:t>above, t</w:t>
      </w:r>
      <w:r>
        <w:rPr>
          <w:lang w:val="en-US"/>
        </w:rPr>
        <w:t>he key</w:t>
      </w:r>
      <w:r w:rsidR="00376F53">
        <w:rPr>
          <w:lang w:val="en-US"/>
        </w:rPr>
        <w:t xml:space="preserve"> quantifiable</w:t>
      </w:r>
      <w:r>
        <w:rPr>
          <w:lang w:val="en-US"/>
        </w:rPr>
        <w:t xml:space="preserve"> impacts of Option 3 compared to Option 1 are:</w:t>
      </w:r>
    </w:p>
    <w:p w14:paraId="5943AF16" w14:textId="34B68AB8" w:rsidR="00CE1A10" w:rsidRPr="00FB5C8E" w:rsidRDefault="00CE1A10" w:rsidP="00705BA8">
      <w:pPr>
        <w:pStyle w:val="ListBullet"/>
        <w:rPr>
          <w:lang w:val="en-US"/>
        </w:rPr>
      </w:pPr>
      <w:r>
        <w:rPr>
          <w:lang w:val="en-US"/>
        </w:rPr>
        <w:t xml:space="preserve">a reduction in the proportion of CHMPs </w:t>
      </w:r>
      <w:r w:rsidRPr="00FB5C8E">
        <w:rPr>
          <w:lang w:val="en-US"/>
        </w:rPr>
        <w:t xml:space="preserve">involving complex assessments from </w:t>
      </w:r>
      <w:r w:rsidRPr="007C0109">
        <w:t>80 per cent to 75 per cent</w:t>
      </w:r>
      <w:r w:rsidRPr="00FB5C8E">
        <w:rPr>
          <w:lang w:val="en-US"/>
        </w:rPr>
        <w:t>, and a corresponding increase in the number involving a standard assessment</w:t>
      </w:r>
    </w:p>
    <w:p w14:paraId="7199CF67" w14:textId="21826988" w:rsidR="00CE1A10" w:rsidRDefault="00CE1A10" w:rsidP="00705BA8">
      <w:pPr>
        <w:pStyle w:val="ListBullet"/>
        <w:rPr>
          <w:lang w:val="en-US"/>
        </w:rPr>
      </w:pPr>
      <w:r w:rsidRPr="00FB5C8E">
        <w:rPr>
          <w:lang w:val="en-US"/>
        </w:rPr>
        <w:t xml:space="preserve">a </w:t>
      </w:r>
      <w:r w:rsidRPr="007C0109">
        <w:t>five per cent</w:t>
      </w:r>
      <w:r>
        <w:rPr>
          <w:lang w:val="en-US"/>
        </w:rPr>
        <w:t xml:space="preserve"> fall in the cost of implementing CHMP recommendations</w:t>
      </w:r>
      <w:r w:rsidR="00480D4E">
        <w:rPr>
          <w:lang w:val="en-US"/>
        </w:rPr>
        <w:t xml:space="preserve"> for around half of CHMPs undertaken</w:t>
      </w:r>
      <w:r>
        <w:rPr>
          <w:lang w:val="en-US"/>
        </w:rPr>
        <w:t xml:space="preserve"> due to the change to ensure management conditions are not inconsistent with the conclusions of the assessment.</w:t>
      </w:r>
    </w:p>
    <w:p w14:paraId="5F4A7CD1" w14:textId="77777777" w:rsidR="00CE1A10" w:rsidRDefault="00CE1A10" w:rsidP="00CE1A10">
      <w:pPr>
        <w:pStyle w:val="Caption"/>
        <w:rPr>
          <w:lang w:val="en-US"/>
        </w:rPr>
      </w:pPr>
      <w:r>
        <w:rPr>
          <w:lang w:val="en-US"/>
        </w:rPr>
        <w:t>The cost to land-users to prepare a CHMP</w:t>
      </w:r>
    </w:p>
    <w:p w14:paraId="47A344CD" w14:textId="77777777" w:rsidR="00CE1A10" w:rsidRDefault="00CE1A10" w:rsidP="00CE1A10">
      <w:pPr>
        <w:pStyle w:val="Heading9"/>
        <w:rPr>
          <w:lang w:val="en-US"/>
        </w:rPr>
      </w:pPr>
      <w:r>
        <w:rPr>
          <w:lang w:val="en-US"/>
        </w:rPr>
        <w:t>Notice of Intention to prepare a CHMP</w:t>
      </w:r>
    </w:p>
    <w:p w14:paraId="5D93555F" w14:textId="68305573" w:rsidR="00CE1A10" w:rsidRDefault="00CE1A10" w:rsidP="00CE1A10">
      <w:pPr>
        <w:pStyle w:val="PwCNormal"/>
        <w:rPr>
          <w:lang w:val="en-US"/>
        </w:rPr>
      </w:pPr>
      <w:r>
        <w:rPr>
          <w:lang w:val="en-US"/>
        </w:rPr>
        <w:t>The cost of commissioning a NOI to prepare a CHMP is anticipated to stay the same</w:t>
      </w:r>
      <w:r w:rsidR="00ED2217">
        <w:rPr>
          <w:lang w:val="en-US"/>
        </w:rPr>
        <w:t xml:space="preserve"> as for Option 1</w:t>
      </w:r>
      <w:r>
        <w:rPr>
          <w:lang w:val="en-US"/>
        </w:rPr>
        <w:t>, at a total cost of $161,102 per year.</w:t>
      </w:r>
    </w:p>
    <w:p w14:paraId="783F02BD" w14:textId="77777777" w:rsidR="00CE1A10" w:rsidRDefault="00CE1A10" w:rsidP="00CE1A10">
      <w:pPr>
        <w:pStyle w:val="Heading9"/>
        <w:rPr>
          <w:lang w:val="en-US"/>
        </w:rPr>
      </w:pPr>
      <w:r>
        <w:rPr>
          <w:lang w:val="en-US"/>
        </w:rPr>
        <w:t>CHMPs with desktop, standard and complex assessments</w:t>
      </w:r>
    </w:p>
    <w:p w14:paraId="1F1083C7" w14:textId="3F350B6F" w:rsidR="001524D4" w:rsidRDefault="00CE1A10" w:rsidP="00CE1A10">
      <w:pPr>
        <w:pStyle w:val="PwCNormal"/>
        <w:rPr>
          <w:lang w:val="en-US"/>
        </w:rPr>
      </w:pPr>
      <w:r>
        <w:rPr>
          <w:lang w:val="en-US"/>
        </w:rPr>
        <w:t>Compared to Option 1</w:t>
      </w:r>
      <w:r w:rsidRPr="009B714C">
        <w:rPr>
          <w:lang w:val="en-US"/>
        </w:rPr>
        <w:t xml:space="preserve">, the proportion of CHMPs complex assessments </w:t>
      </w:r>
      <w:r>
        <w:rPr>
          <w:lang w:val="en-US"/>
        </w:rPr>
        <w:t xml:space="preserve">is anticipated to fall five per cent to 75 per cent, with the proportion involving a standard assessment anticipated to rise by five per cent. </w:t>
      </w:r>
    </w:p>
    <w:p w14:paraId="2458F5B6" w14:textId="52469F54" w:rsidR="00CE1A10" w:rsidRPr="009B714C" w:rsidRDefault="00CE1A10" w:rsidP="00CE1A10">
      <w:pPr>
        <w:pStyle w:val="PwCNormal"/>
        <w:rPr>
          <w:lang w:val="en-US"/>
        </w:rPr>
      </w:pPr>
      <w:r>
        <w:rPr>
          <w:lang w:val="en-US"/>
        </w:rPr>
        <w:t xml:space="preserve">The cost of undertaking a CHMP involving a standard or complex assessment is </w:t>
      </w:r>
      <w:r w:rsidRPr="009B714C">
        <w:rPr>
          <w:lang w:val="en-US"/>
        </w:rPr>
        <w:t>anticipated to stay the same</w:t>
      </w:r>
      <w:r>
        <w:rPr>
          <w:lang w:val="en-US"/>
        </w:rPr>
        <w:t xml:space="preserve"> as Option 1 (see </w:t>
      </w:r>
      <w:r>
        <w:rPr>
          <w:lang w:val="en-US"/>
        </w:rPr>
        <w:fldChar w:fldCharType="begin"/>
      </w:r>
      <w:r>
        <w:rPr>
          <w:lang w:val="en-US"/>
        </w:rPr>
        <w:instrText xml:space="preserve"> REF _Ref500933588 \h </w:instrText>
      </w:r>
      <w:r>
        <w:rPr>
          <w:lang w:val="en-US"/>
        </w:rPr>
      </w:r>
      <w:r>
        <w:rPr>
          <w:lang w:val="en-US"/>
        </w:rPr>
        <w:fldChar w:fldCharType="separate"/>
      </w:r>
      <w:r w:rsidR="000369A1">
        <w:t xml:space="preserve">Table </w:t>
      </w:r>
      <w:r w:rsidR="000369A1">
        <w:rPr>
          <w:noProof/>
        </w:rPr>
        <w:t>10</w:t>
      </w:r>
      <w:r>
        <w:rPr>
          <w:lang w:val="en-US"/>
        </w:rPr>
        <w:fldChar w:fldCharType="end"/>
      </w:r>
      <w:r>
        <w:rPr>
          <w:lang w:val="en-US"/>
        </w:rPr>
        <w:t>)</w:t>
      </w:r>
      <w:r w:rsidRPr="009B714C">
        <w:rPr>
          <w:lang w:val="en-US"/>
        </w:rPr>
        <w:t>.</w:t>
      </w:r>
      <w:r>
        <w:rPr>
          <w:lang w:val="en-US"/>
        </w:rPr>
        <w:t xml:space="preserve"> </w:t>
      </w:r>
      <w:r w:rsidRPr="009B714C">
        <w:rPr>
          <w:lang w:val="en-US"/>
        </w:rPr>
        <w:t xml:space="preserve">The costs </w:t>
      </w:r>
      <w:r>
        <w:rPr>
          <w:lang w:val="en-US"/>
        </w:rPr>
        <w:t xml:space="preserve">relating to each type of assessment are shown </w:t>
      </w:r>
      <w:r w:rsidR="001524D4">
        <w:rPr>
          <w:lang w:val="en-US"/>
        </w:rPr>
        <w:t xml:space="preserve">in </w:t>
      </w:r>
      <w:r w:rsidR="001524D4">
        <w:rPr>
          <w:lang w:val="en-US"/>
        </w:rPr>
        <w:fldChar w:fldCharType="begin"/>
      </w:r>
      <w:r w:rsidR="001524D4">
        <w:rPr>
          <w:lang w:val="en-US"/>
        </w:rPr>
        <w:instrText xml:space="preserve"> REF _Ref504997089 \h </w:instrText>
      </w:r>
      <w:r w:rsidR="001524D4">
        <w:rPr>
          <w:lang w:val="en-US"/>
        </w:rPr>
      </w:r>
      <w:r w:rsidR="001524D4">
        <w:rPr>
          <w:lang w:val="en-US"/>
        </w:rPr>
        <w:fldChar w:fldCharType="separate"/>
      </w:r>
      <w:r w:rsidR="000369A1">
        <w:t xml:space="preserve">Table </w:t>
      </w:r>
      <w:r w:rsidR="000369A1">
        <w:rPr>
          <w:noProof/>
        </w:rPr>
        <w:t>17</w:t>
      </w:r>
      <w:r w:rsidR="001524D4">
        <w:rPr>
          <w:lang w:val="en-US"/>
        </w:rPr>
        <w:fldChar w:fldCharType="end"/>
      </w:r>
      <w:r w:rsidR="001524D4">
        <w:rPr>
          <w:lang w:val="en-US"/>
        </w:rPr>
        <w:t>.</w:t>
      </w:r>
    </w:p>
    <w:p w14:paraId="03D71413" w14:textId="7A5B373F" w:rsidR="00CE1A10" w:rsidRDefault="00CE1A10" w:rsidP="00CE1A10">
      <w:pPr>
        <w:pStyle w:val="Caption"/>
      </w:pPr>
      <w:bookmarkStart w:id="66" w:name="_Ref504997089"/>
      <w:r>
        <w:t xml:space="preserve">Table </w:t>
      </w:r>
      <w:r w:rsidR="00B47FE6">
        <w:fldChar w:fldCharType="begin"/>
      </w:r>
      <w:r w:rsidR="00B47FE6">
        <w:instrText xml:space="preserve"> SEQ Table \* ARABIC </w:instrText>
      </w:r>
      <w:r w:rsidR="00B47FE6">
        <w:fldChar w:fldCharType="separate"/>
      </w:r>
      <w:r w:rsidR="000369A1">
        <w:rPr>
          <w:noProof/>
        </w:rPr>
        <w:t>17</w:t>
      </w:r>
      <w:r w:rsidR="00B47FE6">
        <w:rPr>
          <w:noProof/>
        </w:rPr>
        <w:fldChar w:fldCharType="end"/>
      </w:r>
      <w:bookmarkEnd w:id="66"/>
      <w:r>
        <w:t>: Number and cost of CHMPs, by type (2018 dollars)</w:t>
      </w:r>
    </w:p>
    <w:tbl>
      <w:tblPr>
        <w:tblStyle w:val="ListTable3-Accent11"/>
        <w:tblW w:w="8520" w:type="dxa"/>
        <w:tblCellMar>
          <w:top w:w="57" w:type="dxa"/>
          <w:bottom w:w="57" w:type="dxa"/>
        </w:tblCellMar>
        <w:tblLook w:val="04A0" w:firstRow="1" w:lastRow="0" w:firstColumn="1" w:lastColumn="0" w:noHBand="0" w:noVBand="1"/>
      </w:tblPr>
      <w:tblGrid>
        <w:gridCol w:w="2809"/>
        <w:gridCol w:w="1427"/>
        <w:gridCol w:w="2142"/>
        <w:gridCol w:w="2142"/>
      </w:tblGrid>
      <w:tr w:rsidR="00CE1A10" w14:paraId="4CD3B9AD" w14:textId="77777777" w:rsidTr="00A06C83">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2809" w:type="dxa"/>
            <w:vAlign w:val="center"/>
          </w:tcPr>
          <w:p w14:paraId="6D29BEEB" w14:textId="77777777" w:rsidR="00CE1A10" w:rsidRDefault="00CE1A10" w:rsidP="00A06C83">
            <w:r>
              <w:t>CHMP type</w:t>
            </w:r>
          </w:p>
        </w:tc>
        <w:tc>
          <w:tcPr>
            <w:tcW w:w="1427" w:type="dxa"/>
            <w:vAlign w:val="center"/>
          </w:tcPr>
          <w:p w14:paraId="758E290A" w14:textId="77777777" w:rsidR="00CE1A10" w:rsidRDefault="00CE1A10" w:rsidP="00A06C83">
            <w:pPr>
              <w:jc w:val="center"/>
              <w:cnfStyle w:val="100000000000" w:firstRow="1" w:lastRow="0" w:firstColumn="0" w:lastColumn="0" w:oddVBand="0" w:evenVBand="0" w:oddHBand="0" w:evenHBand="0" w:firstRowFirstColumn="0" w:firstRowLastColumn="0" w:lastRowFirstColumn="0" w:lastRowLastColumn="0"/>
            </w:pPr>
            <w:r>
              <w:t>Desktop assessment</w:t>
            </w:r>
          </w:p>
        </w:tc>
        <w:tc>
          <w:tcPr>
            <w:tcW w:w="2142" w:type="dxa"/>
            <w:vAlign w:val="center"/>
          </w:tcPr>
          <w:p w14:paraId="69C96595" w14:textId="77777777" w:rsidR="00CE1A10" w:rsidRDefault="00CE1A10" w:rsidP="00A06C83">
            <w:pPr>
              <w:jc w:val="center"/>
              <w:cnfStyle w:val="100000000000" w:firstRow="1" w:lastRow="0" w:firstColumn="0" w:lastColumn="0" w:oddVBand="0" w:evenVBand="0" w:oddHBand="0" w:evenHBand="0" w:firstRowFirstColumn="0" w:firstRowLastColumn="0" w:lastRowFirstColumn="0" w:lastRowLastColumn="0"/>
            </w:pPr>
            <w:r>
              <w:t>Standard assessment</w:t>
            </w:r>
          </w:p>
        </w:tc>
        <w:tc>
          <w:tcPr>
            <w:tcW w:w="2142" w:type="dxa"/>
            <w:vAlign w:val="center"/>
          </w:tcPr>
          <w:p w14:paraId="6E4AF631" w14:textId="77777777" w:rsidR="00CE1A10" w:rsidRDefault="00CE1A10" w:rsidP="00A06C83">
            <w:pPr>
              <w:jc w:val="center"/>
              <w:cnfStyle w:val="100000000000" w:firstRow="1" w:lastRow="0" w:firstColumn="0" w:lastColumn="0" w:oddVBand="0" w:evenVBand="0" w:oddHBand="0" w:evenHBand="0" w:firstRowFirstColumn="0" w:firstRowLastColumn="0" w:lastRowFirstColumn="0" w:lastRowLastColumn="0"/>
            </w:pPr>
            <w:r>
              <w:t>Complex assessment</w:t>
            </w:r>
          </w:p>
        </w:tc>
      </w:tr>
      <w:tr w:rsidR="00CE1A10" w14:paraId="24D1D247" w14:textId="77777777" w:rsidTr="00A06C8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809" w:type="dxa"/>
            <w:shd w:val="clear" w:color="auto" w:fill="808080" w:themeFill="background1" w:themeFillShade="80"/>
            <w:vAlign w:val="center"/>
          </w:tcPr>
          <w:p w14:paraId="7186EFB2" w14:textId="77777777" w:rsidR="00CE1A10" w:rsidRPr="009F1FC2" w:rsidRDefault="00CE1A10" w:rsidP="00A06C83">
            <w:pPr>
              <w:rPr>
                <w:color w:val="FFFFFF" w:themeColor="background1"/>
              </w:rPr>
            </w:pPr>
            <w:r>
              <w:rPr>
                <w:color w:val="FFFFFF" w:themeColor="background1"/>
              </w:rPr>
              <w:t>Anticipated n</w:t>
            </w:r>
            <w:r w:rsidRPr="009F1FC2">
              <w:rPr>
                <w:color w:val="FFFFFF" w:themeColor="background1"/>
              </w:rPr>
              <w:t xml:space="preserve">umber </w:t>
            </w:r>
            <w:r>
              <w:rPr>
                <w:color w:val="FFFFFF" w:themeColor="background1"/>
              </w:rPr>
              <w:t xml:space="preserve">completed </w:t>
            </w:r>
            <w:r w:rsidRPr="009F1FC2">
              <w:rPr>
                <w:color w:val="FFFFFF" w:themeColor="background1"/>
              </w:rPr>
              <w:t>annually due to the Regulations</w:t>
            </w:r>
            <w:r w:rsidRPr="009F1FC2">
              <w:rPr>
                <w:rStyle w:val="FootnoteReference"/>
                <w:color w:val="FFFFFF" w:themeColor="background1"/>
              </w:rPr>
              <w:footnoteReference w:id="98"/>
            </w:r>
          </w:p>
        </w:tc>
        <w:tc>
          <w:tcPr>
            <w:tcW w:w="1427" w:type="dxa"/>
            <w:vAlign w:val="center"/>
          </w:tcPr>
          <w:p w14:paraId="60A6754D" w14:textId="33D0DB52" w:rsidR="00CE1A10" w:rsidRDefault="00FE3A89" w:rsidP="00A06C83">
            <w:pPr>
              <w:jc w:val="center"/>
              <w:cnfStyle w:val="000000100000" w:firstRow="0" w:lastRow="0" w:firstColumn="0" w:lastColumn="0" w:oddVBand="0" w:evenVBand="0" w:oddHBand="1" w:evenHBand="0" w:firstRowFirstColumn="0" w:firstRowLastColumn="0" w:lastRowFirstColumn="0" w:lastRowLastColumn="0"/>
            </w:pPr>
            <w:r>
              <w:t>37</w:t>
            </w:r>
            <w:r w:rsidR="00CE1A10">
              <w:t xml:space="preserve"> (6% of all CHMPs)</w:t>
            </w:r>
          </w:p>
        </w:tc>
        <w:tc>
          <w:tcPr>
            <w:tcW w:w="2142" w:type="dxa"/>
            <w:vAlign w:val="center"/>
          </w:tcPr>
          <w:p w14:paraId="6CEEEBB4" w14:textId="74A21678" w:rsidR="00CE1A10" w:rsidRDefault="00FE3A89" w:rsidP="00A06C83">
            <w:pPr>
              <w:jc w:val="center"/>
              <w:cnfStyle w:val="000000100000" w:firstRow="0" w:lastRow="0" w:firstColumn="0" w:lastColumn="0" w:oddVBand="0" w:evenVBand="0" w:oddHBand="1" w:evenHBand="0" w:firstRowFirstColumn="0" w:firstRowLastColumn="0" w:lastRowFirstColumn="0" w:lastRowLastColumn="0"/>
            </w:pPr>
            <w:r>
              <w:t>122</w:t>
            </w:r>
            <w:r w:rsidR="00CE1A10">
              <w:t xml:space="preserve"> (19% of all CHMPs)</w:t>
            </w:r>
          </w:p>
        </w:tc>
        <w:tc>
          <w:tcPr>
            <w:tcW w:w="2142" w:type="dxa"/>
            <w:vAlign w:val="center"/>
          </w:tcPr>
          <w:p w14:paraId="24D54557" w14:textId="31F7097C" w:rsidR="00CE1A10" w:rsidRDefault="00FE3A89" w:rsidP="00A06C83">
            <w:pPr>
              <w:jc w:val="center"/>
              <w:cnfStyle w:val="000000100000" w:firstRow="0" w:lastRow="0" w:firstColumn="0" w:lastColumn="0" w:oddVBand="0" w:evenVBand="0" w:oddHBand="1" w:evenHBand="0" w:firstRowFirstColumn="0" w:firstRowLastColumn="0" w:lastRowFirstColumn="0" w:lastRowLastColumn="0"/>
            </w:pPr>
            <w:r>
              <w:t>478</w:t>
            </w:r>
            <w:r w:rsidR="00CE1A10">
              <w:t xml:space="preserve"> (75% of all CHMPs)</w:t>
            </w:r>
          </w:p>
        </w:tc>
      </w:tr>
      <w:tr w:rsidR="00CE1A10" w14:paraId="4493CD35" w14:textId="77777777" w:rsidTr="00A06C83">
        <w:trPr>
          <w:trHeight w:val="281"/>
        </w:trPr>
        <w:tc>
          <w:tcPr>
            <w:cnfStyle w:val="001000000000" w:firstRow="0" w:lastRow="0" w:firstColumn="1" w:lastColumn="0" w:oddVBand="0" w:evenVBand="0" w:oddHBand="0" w:evenHBand="0" w:firstRowFirstColumn="0" w:firstRowLastColumn="0" w:lastRowFirstColumn="0" w:lastRowLastColumn="0"/>
            <w:tcW w:w="2809" w:type="dxa"/>
            <w:shd w:val="clear" w:color="auto" w:fill="808080" w:themeFill="background1" w:themeFillShade="80"/>
            <w:vAlign w:val="center"/>
          </w:tcPr>
          <w:p w14:paraId="207CC610" w14:textId="77777777" w:rsidR="00CE1A10" w:rsidRPr="009D7ECA" w:rsidRDefault="00CE1A10" w:rsidP="00A06C83">
            <w:pPr>
              <w:rPr>
                <w:color w:val="FFFFFF" w:themeColor="background1"/>
              </w:rPr>
            </w:pPr>
            <w:r w:rsidRPr="009D7ECA">
              <w:rPr>
                <w:color w:val="FFFFFF" w:themeColor="background1"/>
              </w:rPr>
              <w:t>Attributable total annual cost</w:t>
            </w:r>
          </w:p>
        </w:tc>
        <w:tc>
          <w:tcPr>
            <w:tcW w:w="1427" w:type="dxa"/>
            <w:vAlign w:val="center"/>
          </w:tcPr>
          <w:p w14:paraId="6DC7063D" w14:textId="18637502" w:rsidR="00CE1A10" w:rsidRPr="0046089B" w:rsidRDefault="00CE1A10" w:rsidP="00FB5C8E">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sidR="00ED2217">
              <w:rPr>
                <w:b/>
              </w:rPr>
              <w:t>155,248</w:t>
            </w:r>
          </w:p>
        </w:tc>
        <w:tc>
          <w:tcPr>
            <w:tcW w:w="2142" w:type="dxa"/>
            <w:vAlign w:val="center"/>
          </w:tcPr>
          <w:p w14:paraId="0747355E" w14:textId="3A8C90A3" w:rsidR="00CE1A10" w:rsidRPr="0046089B" w:rsidRDefault="00CE1A10" w:rsidP="00A06C83">
            <w:pPr>
              <w:jc w:val="center"/>
              <w:cnfStyle w:val="000000000000" w:firstRow="0" w:lastRow="0" w:firstColumn="0" w:lastColumn="0" w:oddVBand="0" w:evenVBand="0" w:oddHBand="0" w:evenHBand="0" w:firstRowFirstColumn="0" w:firstRowLastColumn="0" w:lastRowFirstColumn="0" w:lastRowLastColumn="0"/>
              <w:rPr>
                <w:b/>
              </w:rPr>
            </w:pPr>
            <w:r w:rsidRPr="0046089B">
              <w:rPr>
                <w:b/>
              </w:rPr>
              <w:t>$</w:t>
            </w:r>
            <w:r w:rsidR="00FE3A89">
              <w:rPr>
                <w:b/>
              </w:rPr>
              <w:t>1.</w:t>
            </w:r>
            <w:r w:rsidR="00ED2217">
              <w:rPr>
                <w:b/>
              </w:rPr>
              <w:t>4</w:t>
            </w:r>
            <w:r>
              <w:rPr>
                <w:b/>
              </w:rPr>
              <w:t xml:space="preserve"> million</w:t>
            </w:r>
          </w:p>
        </w:tc>
        <w:tc>
          <w:tcPr>
            <w:tcW w:w="2142" w:type="dxa"/>
            <w:vAlign w:val="center"/>
          </w:tcPr>
          <w:p w14:paraId="51D71D81" w14:textId="3D959EEC" w:rsidR="00CE1A10" w:rsidRPr="0083188B" w:rsidRDefault="00CE1A10" w:rsidP="007F2DAB">
            <w:pPr>
              <w:jc w:val="center"/>
              <w:cnfStyle w:val="000000000000" w:firstRow="0" w:lastRow="0" w:firstColumn="0" w:lastColumn="0" w:oddVBand="0" w:evenVBand="0" w:oddHBand="0" w:evenHBand="0" w:firstRowFirstColumn="0" w:firstRowLastColumn="0" w:lastRowFirstColumn="0" w:lastRowLastColumn="0"/>
              <w:rPr>
                <w:b/>
              </w:rPr>
            </w:pPr>
            <w:r>
              <w:rPr>
                <w:b/>
                <w:lang w:val="en-US"/>
              </w:rPr>
              <w:t>$</w:t>
            </w:r>
            <w:r w:rsidR="00ED2217">
              <w:rPr>
                <w:b/>
                <w:lang w:val="en-US"/>
              </w:rPr>
              <w:t>10</w:t>
            </w:r>
            <w:r w:rsidR="00FE3A89">
              <w:rPr>
                <w:b/>
                <w:lang w:val="en-US"/>
              </w:rPr>
              <w:t xml:space="preserve">.1 </w:t>
            </w:r>
            <w:r w:rsidRPr="0083188B">
              <w:rPr>
                <w:b/>
                <w:lang w:val="en-US"/>
              </w:rPr>
              <w:t>million</w:t>
            </w:r>
          </w:p>
        </w:tc>
      </w:tr>
    </w:tbl>
    <w:p w14:paraId="753440F1" w14:textId="77777777" w:rsidR="00CE1A10" w:rsidRDefault="00CE1A10" w:rsidP="00CE1A10">
      <w:pPr>
        <w:pStyle w:val="Heading9"/>
        <w:rPr>
          <w:lang w:val="en-US"/>
        </w:rPr>
      </w:pPr>
      <w:r>
        <w:rPr>
          <w:lang w:val="en-US"/>
        </w:rPr>
        <w:t>Amendments to CHMPs</w:t>
      </w:r>
    </w:p>
    <w:p w14:paraId="70AC63D2" w14:textId="5520EB62" w:rsidR="00CE1A10" w:rsidRDefault="00FE3A89" w:rsidP="00CE1A10">
      <w:pPr>
        <w:pStyle w:val="PwCNormal"/>
        <w:rPr>
          <w:lang w:val="en-US"/>
        </w:rPr>
      </w:pPr>
      <w:r>
        <w:rPr>
          <w:lang w:val="en-US"/>
        </w:rPr>
        <w:t xml:space="preserve">The cost of amendments to CHMPs is anticipated to fall compared to Option 1 due to the change in the composition of CHMP assessment types, however, the total number of amendments is anticipated to stay the same at 36, equating to a total cost per year of </w:t>
      </w:r>
      <w:r w:rsidR="00CE1A10">
        <w:rPr>
          <w:lang w:val="en-US"/>
        </w:rPr>
        <w:t>$</w:t>
      </w:r>
      <w:r w:rsidR="00ED2217">
        <w:rPr>
          <w:lang w:val="en-US"/>
        </w:rPr>
        <w:t>237,440</w:t>
      </w:r>
      <w:r w:rsidR="00CE1A10">
        <w:rPr>
          <w:lang w:val="en-US"/>
        </w:rPr>
        <w:t xml:space="preserve"> per year.</w:t>
      </w:r>
    </w:p>
    <w:p w14:paraId="207E5C50" w14:textId="77777777" w:rsidR="00CE1A10" w:rsidRDefault="00CE1A10" w:rsidP="00CE1A10">
      <w:pPr>
        <w:pStyle w:val="Heading9"/>
        <w:rPr>
          <w:lang w:val="en-US"/>
        </w:rPr>
      </w:pPr>
      <w:r>
        <w:rPr>
          <w:lang w:val="en-US"/>
        </w:rPr>
        <w:t>Cost of incomplete CHMPs</w:t>
      </w:r>
    </w:p>
    <w:p w14:paraId="2AA827A1" w14:textId="07F398E0" w:rsidR="00CE1A10" w:rsidRDefault="00CE1A10" w:rsidP="00CE1A10">
      <w:pPr>
        <w:pStyle w:val="PwCNormal"/>
        <w:rPr>
          <w:lang w:val="en-US"/>
        </w:rPr>
      </w:pPr>
      <w:r>
        <w:rPr>
          <w:lang w:val="en-US"/>
        </w:rPr>
        <w:t xml:space="preserve">Compared to Option 1, </w:t>
      </w:r>
      <w:r w:rsidR="006C6509">
        <w:rPr>
          <w:lang w:val="en-US"/>
        </w:rPr>
        <w:t>AV does</w:t>
      </w:r>
      <w:r w:rsidR="00FE3A89">
        <w:rPr>
          <w:lang w:val="en-US"/>
        </w:rPr>
        <w:t xml:space="preserve"> not anticipate that there will be any </w:t>
      </w:r>
      <w:r w:rsidR="00ED2217">
        <w:rPr>
          <w:lang w:val="en-US"/>
        </w:rPr>
        <w:t xml:space="preserve">material </w:t>
      </w:r>
      <w:r w:rsidR="00FE3A89">
        <w:rPr>
          <w:lang w:val="en-US"/>
        </w:rPr>
        <w:t>change in the number of incomplete CHMPs each year,</w:t>
      </w:r>
      <w:r w:rsidR="00ED2217">
        <w:rPr>
          <w:rStyle w:val="FootnoteReference"/>
          <w:lang w:val="en-US"/>
        </w:rPr>
        <w:footnoteReference w:id="99"/>
      </w:r>
      <w:r w:rsidR="00FE3A89">
        <w:rPr>
          <w:lang w:val="en-US"/>
        </w:rPr>
        <w:t xml:space="preserve"> equating to a total cost of </w:t>
      </w:r>
      <w:r>
        <w:rPr>
          <w:lang w:val="en-US"/>
        </w:rPr>
        <w:t xml:space="preserve">$1.4 million per year. </w:t>
      </w:r>
    </w:p>
    <w:p w14:paraId="100518AB" w14:textId="77777777" w:rsidR="00CE1A10" w:rsidRDefault="00CE1A10" w:rsidP="00CE1A10">
      <w:pPr>
        <w:pStyle w:val="Heading9"/>
        <w:rPr>
          <w:lang w:val="en-US"/>
        </w:rPr>
      </w:pPr>
      <w:r>
        <w:rPr>
          <w:lang w:val="en-US"/>
        </w:rPr>
        <w:t>Total cost of preparing CHMPs</w:t>
      </w:r>
    </w:p>
    <w:p w14:paraId="2E900F0C" w14:textId="57F2F8D4" w:rsidR="00CE1A10" w:rsidRDefault="00CE1A10" w:rsidP="00CE1A10">
      <w:pPr>
        <w:pStyle w:val="PwCNormal"/>
        <w:rPr>
          <w:lang w:val="en-US"/>
        </w:rPr>
      </w:pPr>
      <w:r>
        <w:rPr>
          <w:lang w:val="en-US"/>
        </w:rPr>
        <w:t>In total, the attributable cost of preparing CHMPs equates to approximately $</w:t>
      </w:r>
      <w:r w:rsidR="00FE3A89">
        <w:rPr>
          <w:lang w:val="en-US"/>
        </w:rPr>
        <w:t>1</w:t>
      </w:r>
      <w:r w:rsidR="00ED2217">
        <w:rPr>
          <w:lang w:val="en-US"/>
        </w:rPr>
        <w:t>3</w:t>
      </w:r>
      <w:r w:rsidR="00FE3A89">
        <w:rPr>
          <w:lang w:val="en-US"/>
        </w:rPr>
        <w:t>.</w:t>
      </w:r>
      <w:r w:rsidR="00ED2217">
        <w:rPr>
          <w:lang w:val="en-US"/>
        </w:rPr>
        <w:t>5</w:t>
      </w:r>
      <w:r>
        <w:rPr>
          <w:lang w:val="en-US"/>
        </w:rPr>
        <w:t xml:space="preserve"> million per year.</w:t>
      </w:r>
    </w:p>
    <w:p w14:paraId="652DABFE" w14:textId="77777777" w:rsidR="00FE3A89" w:rsidRDefault="00FE3A89" w:rsidP="00FE3A89">
      <w:pPr>
        <w:pStyle w:val="Caption"/>
        <w:rPr>
          <w:lang w:val="en-US"/>
        </w:rPr>
      </w:pPr>
      <w:r>
        <w:rPr>
          <w:lang w:val="en-US"/>
        </w:rPr>
        <w:t>The cost to implement the management conditions of a CHMP</w:t>
      </w:r>
    </w:p>
    <w:p w14:paraId="242C0A3D" w14:textId="148AD501" w:rsidR="00FE3A89" w:rsidRDefault="00FE3A89" w:rsidP="00FE3A89">
      <w:pPr>
        <w:pStyle w:val="PwCNormal"/>
        <w:rPr>
          <w:lang w:val="en-US"/>
        </w:rPr>
      </w:pPr>
      <w:r>
        <w:rPr>
          <w:lang w:val="en-US"/>
        </w:rPr>
        <w:t xml:space="preserve">Compared to Option 1, the per-CHMP cost of management conditions is anticipated to fall by </w:t>
      </w:r>
      <w:r w:rsidR="00ED2217">
        <w:rPr>
          <w:lang w:val="en-US"/>
        </w:rPr>
        <w:t>five</w:t>
      </w:r>
      <w:r>
        <w:rPr>
          <w:lang w:val="en-US"/>
        </w:rPr>
        <w:t xml:space="preserve"> per cent</w:t>
      </w:r>
      <w:r w:rsidR="00ED2217">
        <w:rPr>
          <w:lang w:val="en-US"/>
        </w:rPr>
        <w:t xml:space="preserve"> for around half of CHMPs</w:t>
      </w:r>
      <w:r>
        <w:rPr>
          <w:lang w:val="en-US"/>
        </w:rPr>
        <w:t>.</w:t>
      </w:r>
      <w:r w:rsidR="00ED2217">
        <w:rPr>
          <w:rStyle w:val="FootnoteReference"/>
          <w:lang w:val="en-US"/>
        </w:rPr>
        <w:footnoteReference w:id="100"/>
      </w:r>
      <w:r>
        <w:rPr>
          <w:lang w:val="en-US"/>
        </w:rPr>
        <w:t xml:space="preserve"> In addition, the change in the composition of CHMP assessment type changes the likely type of management conditions recommended by each CHMP. These changes result in a total attributable cost of $5.</w:t>
      </w:r>
      <w:r w:rsidR="00ED2217">
        <w:rPr>
          <w:lang w:val="en-US"/>
        </w:rPr>
        <w:t>4</w:t>
      </w:r>
      <w:r>
        <w:rPr>
          <w:lang w:val="en-US"/>
        </w:rPr>
        <w:t xml:space="preserve"> million. </w:t>
      </w:r>
    </w:p>
    <w:p w14:paraId="496E0EDE" w14:textId="77777777" w:rsidR="00A06C83" w:rsidRDefault="00A06C83" w:rsidP="00A06C83">
      <w:pPr>
        <w:pStyle w:val="Caption"/>
        <w:rPr>
          <w:lang w:val="en-US"/>
        </w:rPr>
      </w:pPr>
      <w:r>
        <w:rPr>
          <w:lang w:val="en-US"/>
        </w:rPr>
        <w:t>Government costs</w:t>
      </w:r>
    </w:p>
    <w:p w14:paraId="1E3D3B02" w14:textId="77777777" w:rsidR="00A06C83" w:rsidRDefault="00A06C83" w:rsidP="00A06C83">
      <w:pPr>
        <w:pStyle w:val="PwCNormal"/>
        <w:rPr>
          <w:lang w:val="en-US"/>
        </w:rPr>
      </w:pPr>
      <w:r>
        <w:rPr>
          <w:lang w:val="en-US"/>
        </w:rPr>
        <w:t>Compared to Option 1, the costs of monitoring and enforcing compliance with the Regulations is unchanged at approximately $</w:t>
      </w:r>
      <w:r w:rsidRPr="009B714C">
        <w:rPr>
          <w:lang w:val="en-US"/>
        </w:rPr>
        <w:t>598,583</w:t>
      </w:r>
      <w:r>
        <w:rPr>
          <w:lang w:val="en-US"/>
        </w:rPr>
        <w:t xml:space="preserve"> per year.</w:t>
      </w:r>
    </w:p>
    <w:p w14:paraId="2E0D85D5" w14:textId="1CAD63F7" w:rsidR="00A06C83" w:rsidRPr="00945AF6" w:rsidRDefault="00A06C83" w:rsidP="00A06C83">
      <w:pPr>
        <w:pStyle w:val="PwCNormal"/>
        <w:rPr>
          <w:lang w:val="en-US"/>
        </w:rPr>
      </w:pPr>
      <w:r>
        <w:rPr>
          <w:lang w:val="en-US"/>
        </w:rPr>
        <w:t>The per-</w:t>
      </w:r>
      <w:r w:rsidR="00BC550B">
        <w:rPr>
          <w:lang w:val="en-US"/>
        </w:rPr>
        <w:t xml:space="preserve">evaluation </w:t>
      </w:r>
      <w:r>
        <w:rPr>
          <w:lang w:val="en-US"/>
        </w:rPr>
        <w:t xml:space="preserve">cost to government of undertaking </w:t>
      </w:r>
      <w:r w:rsidR="00BC550B">
        <w:rPr>
          <w:lang w:val="en-US"/>
        </w:rPr>
        <w:t xml:space="preserve">evaluations </w:t>
      </w:r>
      <w:r>
        <w:rPr>
          <w:lang w:val="en-US"/>
        </w:rPr>
        <w:t xml:space="preserve">should not change compared to Option 1, </w:t>
      </w:r>
      <w:r w:rsidR="00F90AEC">
        <w:rPr>
          <w:lang w:val="en-US"/>
        </w:rPr>
        <w:t>and</w:t>
      </w:r>
      <w:r>
        <w:rPr>
          <w:lang w:val="en-US"/>
        </w:rPr>
        <w:t xml:space="preserve"> the total cost of </w:t>
      </w:r>
      <w:r w:rsidR="00BC550B">
        <w:rPr>
          <w:lang w:val="en-US"/>
        </w:rPr>
        <w:t xml:space="preserve">evaluations </w:t>
      </w:r>
      <w:r>
        <w:rPr>
          <w:lang w:val="en-US"/>
        </w:rPr>
        <w:t xml:space="preserve">is anticipated to </w:t>
      </w:r>
      <w:r w:rsidR="00ED2217">
        <w:rPr>
          <w:lang w:val="en-US"/>
        </w:rPr>
        <w:t>stay around the same level, at</w:t>
      </w:r>
      <w:r>
        <w:rPr>
          <w:lang w:val="en-US"/>
        </w:rPr>
        <w:t xml:space="preserve"> $</w:t>
      </w:r>
      <w:r w:rsidR="00ED2217">
        <w:rPr>
          <w:lang w:val="en-US"/>
        </w:rPr>
        <w:t>2.0 million</w:t>
      </w:r>
      <w:r>
        <w:rPr>
          <w:lang w:val="en-US"/>
        </w:rPr>
        <w:t xml:space="preserve"> per year. </w:t>
      </w:r>
    </w:p>
    <w:p w14:paraId="57D40881" w14:textId="77777777" w:rsidR="00A06C83" w:rsidRPr="00945AF6" w:rsidRDefault="00A06C83" w:rsidP="00A06C83">
      <w:pPr>
        <w:pStyle w:val="Caption"/>
        <w:rPr>
          <w:lang w:val="en-US"/>
        </w:rPr>
      </w:pPr>
      <w:r>
        <w:rPr>
          <w:lang w:val="en-US"/>
        </w:rPr>
        <w:t>RAP costs</w:t>
      </w:r>
    </w:p>
    <w:p w14:paraId="7C572BAE" w14:textId="50514230" w:rsidR="00A06C83" w:rsidRDefault="00A06C83" w:rsidP="00A06C83">
      <w:pPr>
        <w:pStyle w:val="PwCNormal"/>
        <w:rPr>
          <w:lang w:val="en-US"/>
        </w:rPr>
      </w:pPr>
      <w:r>
        <w:rPr>
          <w:lang w:val="en-US"/>
        </w:rPr>
        <w:t xml:space="preserve">Compared to Option 1, RAPs’ per </w:t>
      </w:r>
      <w:r w:rsidR="00BC550B">
        <w:rPr>
          <w:lang w:val="en-US"/>
        </w:rPr>
        <w:t xml:space="preserve">evaluation </w:t>
      </w:r>
      <w:r>
        <w:rPr>
          <w:lang w:val="en-US"/>
        </w:rPr>
        <w:t xml:space="preserve">costs are not anticipated to </w:t>
      </w:r>
      <w:r w:rsidR="00ED2217">
        <w:rPr>
          <w:lang w:val="en-US"/>
        </w:rPr>
        <w:t>change,</w:t>
      </w:r>
      <w:r>
        <w:rPr>
          <w:lang w:val="en-US"/>
        </w:rPr>
        <w:t xml:space="preserve"> however as with government costs, the total </w:t>
      </w:r>
      <w:r w:rsidR="00BC550B">
        <w:rPr>
          <w:lang w:val="en-US"/>
        </w:rPr>
        <w:t xml:space="preserve">evaluation </w:t>
      </w:r>
      <w:r>
        <w:rPr>
          <w:lang w:val="en-US"/>
        </w:rPr>
        <w:t>cost is anticipated to fall due to the change in composition of CHMPs,</w:t>
      </w:r>
      <w:r w:rsidR="00ED2217">
        <w:rPr>
          <w:rStyle w:val="FootnoteReference"/>
          <w:lang w:val="en-US"/>
        </w:rPr>
        <w:footnoteReference w:id="101"/>
      </w:r>
      <w:r>
        <w:rPr>
          <w:lang w:val="en-US"/>
        </w:rPr>
        <w:t xml:space="preserve"> to approximately $369,428 per year.</w:t>
      </w:r>
    </w:p>
    <w:p w14:paraId="3733A4DA" w14:textId="77777777" w:rsidR="00A06C83" w:rsidRDefault="00A06C83" w:rsidP="00A06C83">
      <w:pPr>
        <w:pStyle w:val="PwCNormal"/>
        <w:rPr>
          <w:lang w:val="en-US"/>
        </w:rPr>
      </w:pPr>
      <w:r>
        <w:rPr>
          <w:lang w:val="en-US"/>
        </w:rPr>
        <w:t xml:space="preserve">The total costs of Option 2 over 10 years are shown in </w:t>
      </w:r>
      <w:r>
        <w:rPr>
          <w:lang w:val="en-US"/>
        </w:rPr>
        <w:fldChar w:fldCharType="begin"/>
      </w:r>
      <w:r>
        <w:rPr>
          <w:lang w:val="en-US"/>
        </w:rPr>
        <w:instrText xml:space="preserve"> REF _Ref501042136 \h </w:instrText>
      </w:r>
      <w:r>
        <w:rPr>
          <w:lang w:val="en-US"/>
        </w:rPr>
      </w:r>
      <w:r>
        <w:rPr>
          <w:lang w:val="en-US"/>
        </w:rPr>
        <w:fldChar w:fldCharType="separate"/>
      </w:r>
      <w:r w:rsidR="000369A1">
        <w:t xml:space="preserve">Table </w:t>
      </w:r>
      <w:r w:rsidR="000369A1">
        <w:rPr>
          <w:noProof/>
        </w:rPr>
        <w:t>12</w:t>
      </w:r>
      <w:r>
        <w:rPr>
          <w:lang w:val="en-US"/>
        </w:rPr>
        <w:fldChar w:fldCharType="end"/>
      </w:r>
      <w:r>
        <w:rPr>
          <w:lang w:val="en-US"/>
        </w:rPr>
        <w:t>.</w:t>
      </w:r>
    </w:p>
    <w:p w14:paraId="534815BD" w14:textId="58651AEE" w:rsidR="00A06C83" w:rsidRDefault="00A06C83" w:rsidP="00A06C83">
      <w:pPr>
        <w:pStyle w:val="Caption"/>
      </w:pPr>
      <w:bookmarkStart w:id="67" w:name="_Ref507694201"/>
      <w:r>
        <w:t xml:space="preserve">Table </w:t>
      </w:r>
      <w:r w:rsidR="00B47FE6">
        <w:fldChar w:fldCharType="begin"/>
      </w:r>
      <w:r w:rsidR="00B47FE6">
        <w:instrText xml:space="preserve"> SEQ Table \* ARABIC </w:instrText>
      </w:r>
      <w:r w:rsidR="00B47FE6">
        <w:fldChar w:fldCharType="separate"/>
      </w:r>
      <w:r w:rsidR="000369A1">
        <w:rPr>
          <w:noProof/>
        </w:rPr>
        <w:t>18</w:t>
      </w:r>
      <w:r w:rsidR="00B47FE6">
        <w:rPr>
          <w:noProof/>
        </w:rPr>
        <w:fldChar w:fldCharType="end"/>
      </w:r>
      <w:bookmarkEnd w:id="67"/>
      <w:r>
        <w:t xml:space="preserve">: Breakdown of the costs of Option </w:t>
      </w:r>
      <w:r w:rsidR="001B04AA">
        <w:t>3</w:t>
      </w:r>
      <w:r>
        <w:t xml:space="preserve"> ($ million)</w:t>
      </w:r>
    </w:p>
    <w:tbl>
      <w:tblPr>
        <w:tblW w:w="9494" w:type="dxa"/>
        <w:tblInd w:w="-601"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CellMar>
          <w:top w:w="57" w:type="dxa"/>
          <w:bottom w:w="57" w:type="dxa"/>
        </w:tblCellMar>
        <w:tblLook w:val="04A0" w:firstRow="1" w:lastRow="0" w:firstColumn="1" w:lastColumn="0" w:noHBand="0" w:noVBand="1"/>
      </w:tblPr>
      <w:tblGrid>
        <w:gridCol w:w="1843"/>
        <w:gridCol w:w="2410"/>
        <w:gridCol w:w="2410"/>
        <w:gridCol w:w="2831"/>
      </w:tblGrid>
      <w:tr w:rsidR="001B04AA" w:rsidRPr="00047950" w14:paraId="316BC225" w14:textId="77777777" w:rsidTr="007C0109">
        <w:trPr>
          <w:trHeight w:val="358"/>
        </w:trPr>
        <w:tc>
          <w:tcPr>
            <w:tcW w:w="1843" w:type="dxa"/>
            <w:shd w:val="clear" w:color="auto" w:fill="A32020" w:themeFill="text2"/>
            <w:noWrap/>
            <w:vAlign w:val="center"/>
            <w:hideMark/>
          </w:tcPr>
          <w:p w14:paraId="0F76C5A3" w14:textId="77777777" w:rsidR="001B04AA" w:rsidRPr="00047950" w:rsidRDefault="001B04AA" w:rsidP="00A06C83">
            <w:pPr>
              <w:kinsoku/>
              <w:overflowPunct/>
              <w:autoSpaceDE/>
              <w:autoSpaceDN/>
              <w:adjustRightInd/>
              <w:snapToGrid/>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Option 2</w:t>
            </w:r>
          </w:p>
        </w:tc>
        <w:tc>
          <w:tcPr>
            <w:tcW w:w="2410" w:type="dxa"/>
            <w:shd w:val="clear" w:color="auto" w:fill="A32020" w:themeFill="text2"/>
            <w:vAlign w:val="center"/>
            <w:hideMark/>
          </w:tcPr>
          <w:p w14:paraId="5A88A6C0" w14:textId="7900A6AE"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 xml:space="preserve">10 year </w:t>
            </w:r>
            <w:r>
              <w:rPr>
                <w:rFonts w:asciiTheme="majorHAnsi" w:hAnsiTheme="majorHAnsi"/>
                <w:b/>
                <w:bCs/>
                <w:snapToGrid/>
                <w:color w:val="FFFFFF"/>
                <w:sz w:val="18"/>
                <w:szCs w:val="16"/>
                <w:lang w:eastAsia="en-AU"/>
              </w:rPr>
              <w:t xml:space="preserve">total </w:t>
            </w:r>
            <w:r w:rsidRPr="00047950">
              <w:rPr>
                <w:rFonts w:asciiTheme="majorHAnsi" w:hAnsiTheme="majorHAnsi"/>
                <w:b/>
                <w:bCs/>
                <w:snapToGrid/>
                <w:color w:val="FFFFFF"/>
                <w:sz w:val="18"/>
                <w:szCs w:val="16"/>
                <w:lang w:eastAsia="en-AU"/>
              </w:rPr>
              <w:t>(NPV)</w:t>
            </w:r>
          </w:p>
        </w:tc>
        <w:tc>
          <w:tcPr>
            <w:tcW w:w="2410" w:type="dxa"/>
            <w:shd w:val="clear" w:color="auto" w:fill="A32020" w:themeFill="text2"/>
            <w:vAlign w:val="center"/>
            <w:hideMark/>
          </w:tcPr>
          <w:p w14:paraId="4771F7DB" w14:textId="5956FBA4"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sidRPr="00047950">
              <w:rPr>
                <w:rFonts w:asciiTheme="majorHAnsi" w:hAnsiTheme="majorHAnsi"/>
                <w:b/>
                <w:bCs/>
                <w:snapToGrid/>
                <w:color w:val="FFFFFF"/>
                <w:sz w:val="18"/>
                <w:szCs w:val="16"/>
                <w:lang w:eastAsia="en-AU"/>
              </w:rPr>
              <w:t xml:space="preserve">10 year </w:t>
            </w:r>
            <w:r>
              <w:rPr>
                <w:rFonts w:asciiTheme="majorHAnsi" w:hAnsiTheme="majorHAnsi"/>
                <w:b/>
                <w:bCs/>
                <w:snapToGrid/>
                <w:color w:val="FFFFFF"/>
                <w:sz w:val="18"/>
                <w:szCs w:val="16"/>
                <w:lang w:eastAsia="en-AU"/>
              </w:rPr>
              <w:t xml:space="preserve">total </w:t>
            </w:r>
            <w:r w:rsidRPr="00047950">
              <w:rPr>
                <w:rFonts w:asciiTheme="majorHAnsi" w:hAnsiTheme="majorHAnsi"/>
                <w:b/>
                <w:bCs/>
                <w:snapToGrid/>
                <w:color w:val="FFFFFF"/>
                <w:sz w:val="18"/>
                <w:szCs w:val="16"/>
                <w:lang w:eastAsia="en-AU"/>
              </w:rPr>
              <w:t>(nominal)</w:t>
            </w:r>
          </w:p>
        </w:tc>
        <w:tc>
          <w:tcPr>
            <w:tcW w:w="2831" w:type="dxa"/>
            <w:shd w:val="clear" w:color="auto" w:fill="A32020" w:themeFill="text2"/>
            <w:vAlign w:val="center"/>
            <w:hideMark/>
          </w:tcPr>
          <w:p w14:paraId="7A3E59CE" w14:textId="129AD7D7" w:rsidR="001B04AA" w:rsidRPr="00047950" w:rsidRDefault="001B04AA" w:rsidP="00A06C83">
            <w:pPr>
              <w:kinsoku/>
              <w:overflowPunct/>
              <w:autoSpaceDE/>
              <w:autoSpaceDN/>
              <w:adjustRightInd/>
              <w:snapToGrid/>
              <w:jc w:val="center"/>
              <w:rPr>
                <w:rFonts w:asciiTheme="majorHAnsi" w:hAnsiTheme="majorHAnsi"/>
                <w:b/>
                <w:bCs/>
                <w:snapToGrid/>
                <w:color w:val="FFFFFF"/>
                <w:sz w:val="18"/>
                <w:szCs w:val="16"/>
                <w:lang w:eastAsia="en-AU"/>
              </w:rPr>
            </w:pPr>
            <w:r>
              <w:rPr>
                <w:rFonts w:asciiTheme="majorHAnsi" w:hAnsiTheme="majorHAnsi"/>
                <w:b/>
                <w:bCs/>
                <w:snapToGrid/>
                <w:color w:val="FFFFFF"/>
                <w:sz w:val="18"/>
                <w:szCs w:val="16"/>
                <w:lang w:eastAsia="en-AU"/>
              </w:rPr>
              <w:t xml:space="preserve">Annual cost for </w:t>
            </w:r>
            <w:r w:rsidRPr="00047950">
              <w:rPr>
                <w:rFonts w:asciiTheme="majorHAnsi" w:hAnsiTheme="majorHAnsi"/>
                <w:b/>
                <w:bCs/>
                <w:snapToGrid/>
                <w:color w:val="FFFFFF"/>
                <w:sz w:val="18"/>
                <w:szCs w:val="16"/>
                <w:lang w:eastAsia="en-AU"/>
              </w:rPr>
              <w:t>Year</w:t>
            </w:r>
            <w:r>
              <w:rPr>
                <w:rFonts w:asciiTheme="majorHAnsi" w:hAnsiTheme="majorHAnsi"/>
                <w:b/>
                <w:bCs/>
                <w:snapToGrid/>
                <w:color w:val="FFFFFF"/>
                <w:sz w:val="18"/>
                <w:szCs w:val="16"/>
                <w:lang w:eastAsia="en-AU"/>
              </w:rPr>
              <w:t>s</w:t>
            </w:r>
            <w:r w:rsidRPr="00047950">
              <w:rPr>
                <w:rFonts w:asciiTheme="majorHAnsi" w:hAnsiTheme="majorHAnsi"/>
                <w:b/>
                <w:bCs/>
                <w:snapToGrid/>
                <w:color w:val="FFFFFF"/>
                <w:sz w:val="18"/>
                <w:szCs w:val="16"/>
                <w:lang w:eastAsia="en-AU"/>
              </w:rPr>
              <w:t xml:space="preserve"> 1</w:t>
            </w:r>
            <w:r>
              <w:rPr>
                <w:rFonts w:asciiTheme="majorHAnsi" w:hAnsiTheme="majorHAnsi"/>
                <w:b/>
                <w:bCs/>
                <w:snapToGrid/>
                <w:color w:val="FFFFFF"/>
                <w:sz w:val="18"/>
                <w:szCs w:val="16"/>
                <w:lang w:eastAsia="en-AU"/>
              </w:rPr>
              <w:t xml:space="preserve"> – 10</w:t>
            </w:r>
          </w:p>
        </w:tc>
      </w:tr>
      <w:tr w:rsidR="00A31D50" w:rsidRPr="00047950" w14:paraId="76319F96" w14:textId="77777777" w:rsidTr="007C0109">
        <w:trPr>
          <w:trHeight w:val="358"/>
        </w:trPr>
        <w:tc>
          <w:tcPr>
            <w:tcW w:w="1843" w:type="dxa"/>
            <w:shd w:val="clear" w:color="auto" w:fill="7F7F7F" w:themeFill="text1" w:themeFillTint="80"/>
            <w:vAlign w:val="center"/>
            <w:hideMark/>
          </w:tcPr>
          <w:p w14:paraId="0E03CDE7"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CHMP processes</w:t>
            </w:r>
          </w:p>
        </w:tc>
        <w:tc>
          <w:tcPr>
            <w:tcW w:w="2410" w:type="dxa"/>
            <w:shd w:val="clear" w:color="auto" w:fill="auto"/>
            <w:vAlign w:val="center"/>
          </w:tcPr>
          <w:p w14:paraId="42FEBCD5" w14:textId="39C70117" w:rsidR="00A31D50" w:rsidRPr="007F2DAB"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113.5 </w:t>
            </w:r>
          </w:p>
        </w:tc>
        <w:tc>
          <w:tcPr>
            <w:tcW w:w="2410" w:type="dxa"/>
            <w:shd w:val="clear" w:color="auto" w:fill="auto"/>
            <w:vAlign w:val="center"/>
          </w:tcPr>
          <w:p w14:paraId="419F0DC5" w14:textId="2281A706"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134.6 </w:t>
            </w:r>
          </w:p>
        </w:tc>
        <w:tc>
          <w:tcPr>
            <w:tcW w:w="2831" w:type="dxa"/>
            <w:shd w:val="clear" w:color="auto" w:fill="auto"/>
            <w:vAlign w:val="center"/>
          </w:tcPr>
          <w:p w14:paraId="0DE028F8" w14:textId="62F15896"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13.5 </w:t>
            </w:r>
          </w:p>
        </w:tc>
      </w:tr>
      <w:tr w:rsidR="00A31D50" w:rsidRPr="00047950" w14:paraId="0CC72A16" w14:textId="77777777" w:rsidTr="007C0109">
        <w:trPr>
          <w:trHeight w:val="533"/>
        </w:trPr>
        <w:tc>
          <w:tcPr>
            <w:tcW w:w="1843" w:type="dxa"/>
            <w:shd w:val="clear" w:color="auto" w:fill="7F7F7F" w:themeFill="text1" w:themeFillTint="80"/>
            <w:vAlign w:val="center"/>
            <w:hideMark/>
          </w:tcPr>
          <w:p w14:paraId="68C4215F"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Management conditions</w:t>
            </w:r>
          </w:p>
        </w:tc>
        <w:tc>
          <w:tcPr>
            <w:tcW w:w="2410" w:type="dxa"/>
            <w:shd w:val="clear" w:color="auto" w:fill="auto"/>
            <w:vAlign w:val="center"/>
          </w:tcPr>
          <w:p w14:paraId="4741184C" w14:textId="5FE0504D" w:rsidR="00A31D50" w:rsidRPr="007F2DAB"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45.6 </w:t>
            </w:r>
          </w:p>
        </w:tc>
        <w:tc>
          <w:tcPr>
            <w:tcW w:w="2410" w:type="dxa"/>
            <w:shd w:val="clear" w:color="auto" w:fill="auto"/>
            <w:vAlign w:val="center"/>
          </w:tcPr>
          <w:p w14:paraId="274DECD5" w14:textId="264A28D2"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54 </w:t>
            </w:r>
          </w:p>
        </w:tc>
        <w:tc>
          <w:tcPr>
            <w:tcW w:w="2831" w:type="dxa"/>
            <w:shd w:val="clear" w:color="auto" w:fill="auto"/>
            <w:vAlign w:val="center"/>
          </w:tcPr>
          <w:p w14:paraId="73837D52" w14:textId="060CBC03"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5.4 </w:t>
            </w:r>
          </w:p>
        </w:tc>
      </w:tr>
      <w:tr w:rsidR="00A31D50" w:rsidRPr="00047950" w14:paraId="711DC285" w14:textId="77777777" w:rsidTr="007C0109">
        <w:trPr>
          <w:trHeight w:val="533"/>
        </w:trPr>
        <w:tc>
          <w:tcPr>
            <w:tcW w:w="1843" w:type="dxa"/>
            <w:shd w:val="clear" w:color="auto" w:fill="7F7F7F" w:themeFill="text1" w:themeFillTint="80"/>
            <w:vAlign w:val="center"/>
          </w:tcPr>
          <w:p w14:paraId="4FA63CE6"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Government costs (excl. transfers)</w:t>
            </w:r>
          </w:p>
        </w:tc>
        <w:tc>
          <w:tcPr>
            <w:tcW w:w="2410" w:type="dxa"/>
            <w:shd w:val="clear" w:color="auto" w:fill="auto"/>
            <w:vAlign w:val="center"/>
          </w:tcPr>
          <w:p w14:paraId="377B1228" w14:textId="4C02E5BD" w:rsidR="00A31D50" w:rsidRPr="007F2DAB"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5 </w:t>
            </w:r>
          </w:p>
        </w:tc>
        <w:tc>
          <w:tcPr>
            <w:tcW w:w="2410" w:type="dxa"/>
            <w:shd w:val="clear" w:color="auto" w:fill="auto"/>
            <w:vAlign w:val="center"/>
          </w:tcPr>
          <w:p w14:paraId="077450C4" w14:textId="40A3784E"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6 </w:t>
            </w:r>
          </w:p>
        </w:tc>
        <w:tc>
          <w:tcPr>
            <w:tcW w:w="2831" w:type="dxa"/>
            <w:shd w:val="clear" w:color="auto" w:fill="auto"/>
            <w:vAlign w:val="center"/>
          </w:tcPr>
          <w:p w14:paraId="144B2694" w14:textId="5A4B112A"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0.6 </w:t>
            </w:r>
          </w:p>
        </w:tc>
      </w:tr>
      <w:tr w:rsidR="00A31D50" w:rsidRPr="00047950" w14:paraId="3BC4C8BD" w14:textId="77777777" w:rsidTr="007C0109">
        <w:trPr>
          <w:trHeight w:val="533"/>
        </w:trPr>
        <w:tc>
          <w:tcPr>
            <w:tcW w:w="1843" w:type="dxa"/>
            <w:shd w:val="clear" w:color="auto" w:fill="7F7F7F" w:themeFill="text1" w:themeFillTint="80"/>
            <w:vAlign w:val="center"/>
          </w:tcPr>
          <w:p w14:paraId="1DBC6500" w14:textId="0CDE6761"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 xml:space="preserve">Government </w:t>
            </w:r>
            <w:r>
              <w:rPr>
                <w:rFonts w:asciiTheme="majorHAnsi" w:hAnsiTheme="majorHAnsi"/>
                <w:b/>
                <w:bCs/>
                <w:snapToGrid/>
                <w:color w:val="FFFFFF" w:themeColor="background1"/>
                <w:sz w:val="18"/>
                <w:szCs w:val="16"/>
                <w:lang w:eastAsia="en-AU"/>
              </w:rPr>
              <w:t>evaluation</w:t>
            </w:r>
            <w:r w:rsidRPr="008F5599">
              <w:rPr>
                <w:rFonts w:asciiTheme="majorHAnsi" w:hAnsiTheme="majorHAnsi"/>
                <w:b/>
                <w:bCs/>
                <w:snapToGrid/>
                <w:color w:val="FFFFFF" w:themeColor="background1"/>
                <w:sz w:val="18"/>
                <w:szCs w:val="16"/>
                <w:lang w:eastAsia="en-AU"/>
              </w:rPr>
              <w:t xml:space="preserve"> costs</w:t>
            </w:r>
          </w:p>
        </w:tc>
        <w:tc>
          <w:tcPr>
            <w:tcW w:w="2410" w:type="dxa"/>
            <w:shd w:val="clear" w:color="auto" w:fill="auto"/>
            <w:vAlign w:val="center"/>
          </w:tcPr>
          <w:p w14:paraId="5F7B6E11" w14:textId="4B30B606" w:rsidR="00A31D50" w:rsidRPr="007F2DAB"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16.5 </w:t>
            </w:r>
          </w:p>
        </w:tc>
        <w:tc>
          <w:tcPr>
            <w:tcW w:w="2410" w:type="dxa"/>
            <w:shd w:val="clear" w:color="auto" w:fill="auto"/>
            <w:vAlign w:val="center"/>
          </w:tcPr>
          <w:p w14:paraId="1D3A5D71" w14:textId="26C3F074"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19.6 </w:t>
            </w:r>
          </w:p>
        </w:tc>
        <w:tc>
          <w:tcPr>
            <w:tcW w:w="2831" w:type="dxa"/>
            <w:shd w:val="clear" w:color="auto" w:fill="auto"/>
            <w:vAlign w:val="center"/>
          </w:tcPr>
          <w:p w14:paraId="631F74AA" w14:textId="45EC57AD"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2</w:t>
            </w:r>
            <w:r>
              <w:t>.0</w:t>
            </w:r>
            <w:r w:rsidRPr="00B011AD">
              <w:t xml:space="preserve"> </w:t>
            </w:r>
          </w:p>
        </w:tc>
      </w:tr>
      <w:tr w:rsidR="00A31D50" w:rsidRPr="00047950" w14:paraId="3E005102" w14:textId="77777777" w:rsidTr="007C0109">
        <w:trPr>
          <w:trHeight w:val="533"/>
        </w:trPr>
        <w:tc>
          <w:tcPr>
            <w:tcW w:w="1843" w:type="dxa"/>
            <w:shd w:val="clear" w:color="auto" w:fill="7F7F7F" w:themeFill="text1" w:themeFillTint="80"/>
            <w:vAlign w:val="center"/>
          </w:tcPr>
          <w:p w14:paraId="0755D3FA" w14:textId="16EC50E8"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 xml:space="preserve">RAP </w:t>
            </w:r>
            <w:r>
              <w:rPr>
                <w:rFonts w:asciiTheme="majorHAnsi" w:hAnsiTheme="majorHAnsi"/>
                <w:b/>
                <w:bCs/>
                <w:snapToGrid/>
                <w:color w:val="FFFFFF" w:themeColor="background1"/>
                <w:sz w:val="18"/>
                <w:szCs w:val="16"/>
                <w:lang w:eastAsia="en-AU"/>
              </w:rPr>
              <w:t>evaluation</w:t>
            </w:r>
            <w:r w:rsidRPr="008F5599">
              <w:rPr>
                <w:rFonts w:asciiTheme="majorHAnsi" w:hAnsiTheme="majorHAnsi"/>
                <w:b/>
                <w:bCs/>
                <w:snapToGrid/>
                <w:color w:val="FFFFFF" w:themeColor="background1"/>
                <w:sz w:val="18"/>
                <w:szCs w:val="16"/>
                <w:lang w:eastAsia="en-AU"/>
              </w:rPr>
              <w:t xml:space="preserve"> costs</w:t>
            </w:r>
          </w:p>
        </w:tc>
        <w:tc>
          <w:tcPr>
            <w:tcW w:w="2410" w:type="dxa"/>
            <w:shd w:val="clear" w:color="auto" w:fill="auto"/>
            <w:vAlign w:val="center"/>
          </w:tcPr>
          <w:p w14:paraId="02B1E515" w14:textId="02E88B95" w:rsidR="00A31D50" w:rsidRPr="007F2DAB" w:rsidRDefault="00A31D50" w:rsidP="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3.1 </w:t>
            </w:r>
          </w:p>
        </w:tc>
        <w:tc>
          <w:tcPr>
            <w:tcW w:w="2410" w:type="dxa"/>
            <w:shd w:val="clear" w:color="auto" w:fill="auto"/>
            <w:vAlign w:val="center"/>
          </w:tcPr>
          <w:p w14:paraId="7DAE0023" w14:textId="2E3F888E"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3.7 </w:t>
            </w:r>
          </w:p>
        </w:tc>
        <w:tc>
          <w:tcPr>
            <w:tcW w:w="2831" w:type="dxa"/>
            <w:shd w:val="clear" w:color="auto" w:fill="auto"/>
            <w:vAlign w:val="center"/>
          </w:tcPr>
          <w:p w14:paraId="174830B0" w14:textId="5666769F" w:rsidR="00A31D50" w:rsidRPr="007F2DAB" w:rsidRDefault="00A31D50">
            <w:pPr>
              <w:kinsoku/>
              <w:overflowPunct/>
              <w:autoSpaceDE/>
              <w:autoSpaceDN/>
              <w:adjustRightInd/>
              <w:snapToGrid/>
              <w:jc w:val="center"/>
              <w:rPr>
                <w:rFonts w:asciiTheme="majorHAnsi" w:hAnsiTheme="majorHAnsi"/>
                <w:snapToGrid/>
                <w:color w:val="000000"/>
                <w:sz w:val="18"/>
                <w:szCs w:val="16"/>
                <w:lang w:eastAsia="en-AU"/>
              </w:rPr>
            </w:pPr>
            <w:r w:rsidRPr="00B011AD">
              <w:t xml:space="preserve">0.4 </w:t>
            </w:r>
          </w:p>
        </w:tc>
      </w:tr>
      <w:tr w:rsidR="00A31D50" w:rsidRPr="00047950" w14:paraId="5969DADE" w14:textId="77777777" w:rsidTr="007C0109">
        <w:trPr>
          <w:trHeight w:val="234"/>
        </w:trPr>
        <w:tc>
          <w:tcPr>
            <w:tcW w:w="1843" w:type="dxa"/>
            <w:shd w:val="clear" w:color="auto" w:fill="7F7F7F" w:themeFill="text1" w:themeFillTint="80"/>
            <w:vAlign w:val="center"/>
            <w:hideMark/>
          </w:tcPr>
          <w:p w14:paraId="2D308EEC" w14:textId="77777777" w:rsidR="00A31D50" w:rsidRPr="008F5599" w:rsidRDefault="00A31D50" w:rsidP="00A31D50">
            <w:pPr>
              <w:kinsoku/>
              <w:overflowPunct/>
              <w:autoSpaceDE/>
              <w:autoSpaceDN/>
              <w:adjustRightInd/>
              <w:snapToGrid/>
              <w:rPr>
                <w:rFonts w:asciiTheme="majorHAnsi" w:hAnsiTheme="majorHAnsi"/>
                <w:b/>
                <w:bCs/>
                <w:snapToGrid/>
                <w:color w:val="FFFFFF" w:themeColor="background1"/>
                <w:sz w:val="18"/>
                <w:szCs w:val="16"/>
                <w:lang w:eastAsia="en-AU"/>
              </w:rPr>
            </w:pPr>
            <w:r w:rsidRPr="008F5599">
              <w:rPr>
                <w:rFonts w:asciiTheme="majorHAnsi" w:hAnsiTheme="majorHAnsi"/>
                <w:b/>
                <w:bCs/>
                <w:snapToGrid/>
                <w:color w:val="FFFFFF" w:themeColor="background1"/>
                <w:sz w:val="18"/>
                <w:szCs w:val="16"/>
                <w:lang w:eastAsia="en-AU"/>
              </w:rPr>
              <w:t>Total</w:t>
            </w:r>
          </w:p>
        </w:tc>
        <w:tc>
          <w:tcPr>
            <w:tcW w:w="2410" w:type="dxa"/>
            <w:shd w:val="clear" w:color="auto" w:fill="auto"/>
            <w:vAlign w:val="center"/>
          </w:tcPr>
          <w:p w14:paraId="3AE7BB5E" w14:textId="33E183BC" w:rsidR="00A31D50" w:rsidRPr="007F2DAB" w:rsidRDefault="00A31D50" w:rsidP="00A31D50">
            <w:pPr>
              <w:kinsoku/>
              <w:overflowPunct/>
              <w:autoSpaceDE/>
              <w:autoSpaceDN/>
              <w:adjustRightInd/>
              <w:snapToGrid/>
              <w:jc w:val="center"/>
              <w:rPr>
                <w:rFonts w:asciiTheme="majorHAnsi" w:hAnsiTheme="majorHAnsi"/>
                <w:b/>
                <w:snapToGrid/>
                <w:color w:val="000000"/>
                <w:sz w:val="18"/>
                <w:szCs w:val="16"/>
                <w:lang w:eastAsia="en-AU"/>
              </w:rPr>
            </w:pPr>
            <w:r w:rsidRPr="00B011AD">
              <w:t xml:space="preserve">183.7 </w:t>
            </w:r>
          </w:p>
        </w:tc>
        <w:tc>
          <w:tcPr>
            <w:tcW w:w="2410" w:type="dxa"/>
            <w:shd w:val="clear" w:color="auto" w:fill="auto"/>
            <w:vAlign w:val="center"/>
          </w:tcPr>
          <w:p w14:paraId="670BD180" w14:textId="6D879232" w:rsidR="00A31D50" w:rsidRPr="007F2DAB" w:rsidRDefault="00A31D50">
            <w:pPr>
              <w:kinsoku/>
              <w:overflowPunct/>
              <w:autoSpaceDE/>
              <w:autoSpaceDN/>
              <w:adjustRightInd/>
              <w:snapToGrid/>
              <w:jc w:val="center"/>
              <w:rPr>
                <w:rFonts w:asciiTheme="majorHAnsi" w:hAnsiTheme="majorHAnsi"/>
                <w:b/>
                <w:snapToGrid/>
                <w:color w:val="000000"/>
                <w:sz w:val="18"/>
                <w:szCs w:val="16"/>
                <w:lang w:eastAsia="en-AU"/>
              </w:rPr>
            </w:pPr>
            <w:r w:rsidRPr="00B011AD">
              <w:t xml:space="preserve">217.8 </w:t>
            </w:r>
          </w:p>
        </w:tc>
        <w:tc>
          <w:tcPr>
            <w:tcW w:w="2831" w:type="dxa"/>
            <w:shd w:val="clear" w:color="auto" w:fill="auto"/>
            <w:vAlign w:val="center"/>
          </w:tcPr>
          <w:p w14:paraId="4B70F8DC" w14:textId="05006C46" w:rsidR="00A31D50" w:rsidRPr="007F2DAB" w:rsidRDefault="00A31D50">
            <w:pPr>
              <w:kinsoku/>
              <w:overflowPunct/>
              <w:autoSpaceDE/>
              <w:autoSpaceDN/>
              <w:adjustRightInd/>
              <w:snapToGrid/>
              <w:jc w:val="center"/>
              <w:rPr>
                <w:rFonts w:asciiTheme="majorHAnsi" w:hAnsiTheme="majorHAnsi"/>
                <w:b/>
                <w:snapToGrid/>
                <w:color w:val="000000"/>
                <w:sz w:val="18"/>
                <w:szCs w:val="16"/>
                <w:lang w:eastAsia="en-AU"/>
              </w:rPr>
            </w:pPr>
            <w:r w:rsidRPr="00B011AD">
              <w:t xml:space="preserve">21.8 </w:t>
            </w:r>
          </w:p>
        </w:tc>
      </w:tr>
    </w:tbl>
    <w:p w14:paraId="286C7E15" w14:textId="77777777" w:rsidR="00FE3A89" w:rsidRDefault="00FE3A89" w:rsidP="00CE1A10">
      <w:pPr>
        <w:pStyle w:val="PwCNormal"/>
        <w:rPr>
          <w:lang w:val="en-US"/>
        </w:rPr>
      </w:pPr>
    </w:p>
    <w:p w14:paraId="3ECE405E" w14:textId="77777777" w:rsidR="0035193C" w:rsidRDefault="00AA1F5E" w:rsidP="00AA1F5E">
      <w:pPr>
        <w:pStyle w:val="Heading6"/>
        <w:rPr>
          <w:lang w:val="en-US"/>
        </w:rPr>
      </w:pPr>
      <w:bookmarkStart w:id="68" w:name="_Ref504150779"/>
      <w:r>
        <w:rPr>
          <w:lang w:val="en-US"/>
        </w:rPr>
        <w:t>Non-quantified costs</w:t>
      </w:r>
      <w:bookmarkEnd w:id="68"/>
    </w:p>
    <w:p w14:paraId="453C2A53" w14:textId="4646EDCB" w:rsidR="00C77A34" w:rsidRDefault="00C77A34" w:rsidP="00C77A34">
      <w:pPr>
        <w:pStyle w:val="PwCNormal"/>
        <w:rPr>
          <w:lang w:val="en-US"/>
        </w:rPr>
      </w:pPr>
      <w:r>
        <w:rPr>
          <w:lang w:val="en-US"/>
        </w:rPr>
        <w:t>There are a range of costs that are difficult to quantify due to two main reasons:</w:t>
      </w:r>
    </w:p>
    <w:p w14:paraId="3C4819BD" w14:textId="77777777" w:rsidR="00791FFB" w:rsidRDefault="00C77A34" w:rsidP="00705BA8">
      <w:pPr>
        <w:pStyle w:val="ListBullet"/>
        <w:rPr>
          <w:lang w:val="en-US"/>
        </w:rPr>
      </w:pPr>
      <w:r w:rsidRPr="00791FFB">
        <w:rPr>
          <w:lang w:val="en-US"/>
        </w:rPr>
        <w:t>There is insufficient data available.</w:t>
      </w:r>
    </w:p>
    <w:p w14:paraId="7FA8E7F6" w14:textId="7C466050" w:rsidR="00020F2B" w:rsidRPr="00791FFB" w:rsidRDefault="00C77A34">
      <w:pPr>
        <w:pStyle w:val="ListBullet"/>
        <w:rPr>
          <w:lang w:val="en-US"/>
        </w:rPr>
      </w:pPr>
      <w:r w:rsidRPr="00791FFB">
        <w:rPr>
          <w:lang w:val="en-US"/>
        </w:rPr>
        <w:t xml:space="preserve">It is unclear whether the activity involved would </w:t>
      </w:r>
      <w:r w:rsidR="00530C4B">
        <w:rPr>
          <w:lang w:val="en-US"/>
        </w:rPr>
        <w:t>be undertaken in the absence of the Regulations</w:t>
      </w:r>
      <w:r w:rsidRPr="00791FFB">
        <w:rPr>
          <w:lang w:val="en-US"/>
        </w:rPr>
        <w:t xml:space="preserve">. </w:t>
      </w:r>
    </w:p>
    <w:p w14:paraId="4D99E5B4" w14:textId="32E9E7AE" w:rsidR="00C77A34" w:rsidRPr="00C77A34" w:rsidRDefault="00C77A34" w:rsidP="00020F2B">
      <w:pPr>
        <w:pStyle w:val="PwCNormal"/>
        <w:rPr>
          <w:lang w:val="en-US"/>
        </w:rPr>
      </w:pPr>
      <w:r>
        <w:rPr>
          <w:lang w:val="en-US"/>
        </w:rPr>
        <w:t xml:space="preserve">The non-quantified costs are considered to be </w:t>
      </w:r>
      <w:r w:rsidR="00FB5C8E">
        <w:rPr>
          <w:lang w:val="en-US"/>
        </w:rPr>
        <w:t xml:space="preserve">smaller than </w:t>
      </w:r>
      <w:r>
        <w:rPr>
          <w:lang w:val="en-US"/>
        </w:rPr>
        <w:t>the quantified costs of the Options.</w:t>
      </w:r>
    </w:p>
    <w:p w14:paraId="098827AD" w14:textId="1074AA66" w:rsidR="00A72C9B" w:rsidRDefault="00A72C9B" w:rsidP="00140798">
      <w:pPr>
        <w:pStyle w:val="Heading7"/>
        <w:rPr>
          <w:lang w:val="en-US"/>
        </w:rPr>
      </w:pPr>
      <w:r>
        <w:rPr>
          <w:lang w:val="en-US"/>
        </w:rPr>
        <w:t>Aboriginal cultural heritage land management agreements</w:t>
      </w:r>
    </w:p>
    <w:p w14:paraId="4766BCF0" w14:textId="5269D966" w:rsidR="00AA1F5E" w:rsidRDefault="00A72C9B" w:rsidP="00AA1F5E">
      <w:pPr>
        <w:pStyle w:val="PwCNormal"/>
        <w:rPr>
          <w:lang w:val="en-US"/>
        </w:rPr>
      </w:pPr>
      <w:r>
        <w:rPr>
          <w:lang w:val="en-US"/>
        </w:rPr>
        <w:t xml:space="preserve">The burden of ACHLMAs can be attributed largely to the Regulations as they prescribe the standards for preparing an ACHLMA. At present, </w:t>
      </w:r>
      <w:r w:rsidR="00AB3D70">
        <w:rPr>
          <w:lang w:val="en-US"/>
        </w:rPr>
        <w:t xml:space="preserve">however, </w:t>
      </w:r>
      <w:r>
        <w:rPr>
          <w:lang w:val="en-US"/>
        </w:rPr>
        <w:t xml:space="preserve">no ACHLMAs have been </w:t>
      </w:r>
      <w:r w:rsidRPr="00A72C9B">
        <w:t>finalised</w:t>
      </w:r>
      <w:r w:rsidR="007D0564">
        <w:t xml:space="preserve"> as they are a new process</w:t>
      </w:r>
      <w:r>
        <w:rPr>
          <w:lang w:val="en-US"/>
        </w:rPr>
        <w:t>.</w:t>
      </w:r>
      <w:r w:rsidR="009D4F5A">
        <w:rPr>
          <w:rStyle w:val="FootnoteReference"/>
          <w:lang w:val="en-US"/>
        </w:rPr>
        <w:footnoteReference w:id="102"/>
      </w:r>
      <w:r w:rsidR="00ED2217">
        <w:rPr>
          <w:lang w:val="en-US"/>
        </w:rPr>
        <w:t xml:space="preserve"> Two ACHLMAs are currently being prepared.</w:t>
      </w:r>
      <w:r w:rsidR="007D0564">
        <w:rPr>
          <w:lang w:val="en-US"/>
        </w:rPr>
        <w:t xml:space="preserve"> Over the 10 year period, a small number may be finalised each year, however, the time and cost involved in undertaking them is not yet known</w:t>
      </w:r>
      <w:r w:rsidR="00ED2217">
        <w:rPr>
          <w:lang w:val="en-US"/>
        </w:rPr>
        <w:t>. A</w:t>
      </w:r>
      <w:r w:rsidR="001858DD">
        <w:rPr>
          <w:lang w:val="en-US"/>
        </w:rPr>
        <w:t>t a broad level, they involve a written notice of intention to enter into an ACHLMA and the completion of an approved form that states the parties to the agreement, the agreement area, the permissible land management activities, and a</w:t>
      </w:r>
      <w:r w:rsidR="00ED2217">
        <w:rPr>
          <w:lang w:val="en-US"/>
        </w:rPr>
        <w:t>n</w:t>
      </w:r>
      <w:r w:rsidR="001858DD">
        <w:rPr>
          <w:lang w:val="en-US"/>
        </w:rPr>
        <w:t xml:space="preserve"> Aboriginal cultural heritage assessment of the area</w:t>
      </w:r>
      <w:r w:rsidR="007D0564">
        <w:rPr>
          <w:lang w:val="en-US"/>
        </w:rPr>
        <w:t xml:space="preserve">. AV will evaluate the impact of ACHLMAs as part of its evaluation strategy (see Section </w:t>
      </w:r>
      <w:r w:rsidR="007D0564">
        <w:rPr>
          <w:lang w:val="en-US"/>
        </w:rPr>
        <w:fldChar w:fldCharType="begin"/>
      </w:r>
      <w:r w:rsidR="007D0564">
        <w:rPr>
          <w:lang w:val="en-US"/>
        </w:rPr>
        <w:instrText xml:space="preserve"> REF _Ref504151189 \n \h </w:instrText>
      </w:r>
      <w:r w:rsidR="007D0564">
        <w:rPr>
          <w:lang w:val="en-US"/>
        </w:rPr>
      </w:r>
      <w:r w:rsidR="007D0564">
        <w:rPr>
          <w:lang w:val="en-US"/>
        </w:rPr>
        <w:fldChar w:fldCharType="separate"/>
      </w:r>
      <w:r w:rsidR="000369A1">
        <w:rPr>
          <w:lang w:val="en-US"/>
        </w:rPr>
        <w:t>7.6</w:t>
      </w:r>
      <w:r w:rsidR="007D0564">
        <w:rPr>
          <w:lang w:val="en-US"/>
        </w:rPr>
        <w:fldChar w:fldCharType="end"/>
      </w:r>
      <w:r w:rsidR="007D0564">
        <w:rPr>
          <w:lang w:val="en-US"/>
        </w:rPr>
        <w:t>).</w:t>
      </w:r>
    </w:p>
    <w:p w14:paraId="4B6B19A8" w14:textId="77777777" w:rsidR="00AA1F5E" w:rsidRDefault="00AA1F5E" w:rsidP="00140798">
      <w:pPr>
        <w:pStyle w:val="Heading7"/>
        <w:rPr>
          <w:lang w:val="en-US"/>
        </w:rPr>
      </w:pPr>
      <w:r>
        <w:rPr>
          <w:lang w:val="en-US"/>
        </w:rPr>
        <w:t>Application forms</w:t>
      </w:r>
    </w:p>
    <w:p w14:paraId="66C40D08" w14:textId="77777777" w:rsidR="00AA1F5E" w:rsidRDefault="00AA1F5E" w:rsidP="00AA1F5E">
      <w:pPr>
        <w:pStyle w:val="PwCNormal"/>
        <w:rPr>
          <w:lang w:val="en-US"/>
        </w:rPr>
      </w:pPr>
      <w:r>
        <w:rPr>
          <w:lang w:val="en-US"/>
        </w:rPr>
        <w:t xml:space="preserve">Apart from CHMPs and ACHLMAs, the Regulations </w:t>
      </w:r>
      <w:r w:rsidR="002D5B6F">
        <w:rPr>
          <w:lang w:val="en-US"/>
        </w:rPr>
        <w:t xml:space="preserve">include the prescribed </w:t>
      </w:r>
      <w:r>
        <w:rPr>
          <w:lang w:val="en-US"/>
        </w:rPr>
        <w:t>forms for the following applications, agreements and mechanisms:</w:t>
      </w:r>
    </w:p>
    <w:p w14:paraId="0A34E54B" w14:textId="77777777" w:rsidR="002D5B6F" w:rsidRDefault="002D5B6F" w:rsidP="002D5B6F">
      <w:pPr>
        <w:pStyle w:val="ListBullet"/>
        <w:rPr>
          <w:lang w:val="en-US"/>
        </w:rPr>
      </w:pPr>
      <w:r>
        <w:rPr>
          <w:lang w:val="en-US"/>
        </w:rPr>
        <w:t>Cultural Heritage Agreements.</w:t>
      </w:r>
    </w:p>
    <w:p w14:paraId="2A4D2B9D" w14:textId="77777777" w:rsidR="00AA1F5E" w:rsidRDefault="002D5B6F" w:rsidP="002D5B6F">
      <w:pPr>
        <w:pStyle w:val="ListBullet"/>
        <w:rPr>
          <w:lang w:val="en-US"/>
        </w:rPr>
      </w:pPr>
      <w:r>
        <w:rPr>
          <w:lang w:val="en-US"/>
        </w:rPr>
        <w:t>Applications for certification of a p</w:t>
      </w:r>
      <w:r w:rsidR="00AA1F5E">
        <w:rPr>
          <w:lang w:val="en-US"/>
        </w:rPr>
        <w:t xml:space="preserve">reliminary Aboriginal </w:t>
      </w:r>
      <w:r>
        <w:rPr>
          <w:lang w:val="en-US"/>
        </w:rPr>
        <w:t>h</w:t>
      </w:r>
      <w:r w:rsidR="00AA1F5E">
        <w:rPr>
          <w:lang w:val="en-US"/>
        </w:rPr>
        <w:t xml:space="preserve">eritage </w:t>
      </w:r>
      <w:r>
        <w:rPr>
          <w:lang w:val="en-US"/>
        </w:rPr>
        <w:t>t</w:t>
      </w:r>
      <w:r w:rsidR="00AA1F5E">
        <w:rPr>
          <w:lang w:val="en-US"/>
        </w:rPr>
        <w:t>ests.</w:t>
      </w:r>
    </w:p>
    <w:p w14:paraId="6D8EF6CE" w14:textId="77777777" w:rsidR="00AA1F5E" w:rsidRDefault="00AA1F5E" w:rsidP="002D5B6F">
      <w:pPr>
        <w:pStyle w:val="ListBullet"/>
        <w:rPr>
          <w:lang w:val="en-US"/>
        </w:rPr>
      </w:pPr>
      <w:r>
        <w:rPr>
          <w:lang w:val="en-US"/>
        </w:rPr>
        <w:t>Reporting and transfer of Aboriginal Ancestral Remains in custody of public entities and universities.</w:t>
      </w:r>
    </w:p>
    <w:p w14:paraId="209F35B3" w14:textId="77777777" w:rsidR="002D5B6F" w:rsidRDefault="002D5B6F" w:rsidP="002D5B6F">
      <w:pPr>
        <w:pStyle w:val="ListBullet"/>
        <w:rPr>
          <w:lang w:val="en-US"/>
        </w:rPr>
      </w:pPr>
      <w:r>
        <w:rPr>
          <w:lang w:val="en-US"/>
        </w:rPr>
        <w:t>Aboriginal intangible heritage agreements.</w:t>
      </w:r>
    </w:p>
    <w:p w14:paraId="16DBC70E" w14:textId="77777777" w:rsidR="00AA1F5E" w:rsidRDefault="00AA1F5E" w:rsidP="002D5B6F">
      <w:pPr>
        <w:pStyle w:val="ListBullet"/>
        <w:rPr>
          <w:lang w:val="en-US"/>
        </w:rPr>
      </w:pPr>
      <w:r>
        <w:rPr>
          <w:lang w:val="en-US"/>
        </w:rPr>
        <w:t>Registered Aboriginal Party applications.</w:t>
      </w:r>
    </w:p>
    <w:p w14:paraId="08703251" w14:textId="77777777" w:rsidR="00AA1F5E" w:rsidRDefault="00AA1F5E" w:rsidP="002D5B6F">
      <w:pPr>
        <w:pStyle w:val="ListBullet"/>
        <w:rPr>
          <w:lang w:val="en-US"/>
        </w:rPr>
      </w:pPr>
      <w:r>
        <w:rPr>
          <w:lang w:val="en-US"/>
        </w:rPr>
        <w:t>Cultural Heritage Permits.</w:t>
      </w:r>
    </w:p>
    <w:p w14:paraId="5346F2D0" w14:textId="63173A1C" w:rsidR="00AA1F5E" w:rsidRDefault="00101553" w:rsidP="00CC09A0">
      <w:pPr>
        <w:pStyle w:val="PwCNormal"/>
        <w:rPr>
          <w:lang w:val="en-US"/>
        </w:rPr>
      </w:pPr>
      <w:r>
        <w:rPr>
          <w:lang w:val="en-US"/>
        </w:rPr>
        <w:t xml:space="preserve">In the absence of the Regulations, </w:t>
      </w:r>
      <w:r w:rsidR="00AA1F5E">
        <w:rPr>
          <w:lang w:val="en-US"/>
        </w:rPr>
        <w:t xml:space="preserve">AV would provide an approved form for these </w:t>
      </w:r>
      <w:r w:rsidR="009F60F6">
        <w:rPr>
          <w:lang w:val="en-US"/>
        </w:rPr>
        <w:t>applications agreements or mechanisms</w:t>
      </w:r>
      <w:r w:rsidR="00AA1F5E">
        <w:rPr>
          <w:lang w:val="en-US"/>
        </w:rPr>
        <w:t xml:space="preserve">, or that the party undertaking the </w:t>
      </w:r>
      <w:r w:rsidR="00BC550B">
        <w:rPr>
          <w:lang w:val="en-US"/>
        </w:rPr>
        <w:t xml:space="preserve">evaluation </w:t>
      </w:r>
      <w:r w:rsidR="00AA1F5E">
        <w:rPr>
          <w:lang w:val="en-US"/>
        </w:rPr>
        <w:t xml:space="preserve">(RAPs or AV) would require the contents of the applications or agreement to reflect </w:t>
      </w:r>
      <w:r w:rsidR="009E1758">
        <w:rPr>
          <w:lang w:val="en-US"/>
        </w:rPr>
        <w:t xml:space="preserve">similar content to </w:t>
      </w:r>
      <w:r w:rsidR="002D5B6F">
        <w:rPr>
          <w:lang w:val="en-US"/>
        </w:rPr>
        <w:t>the current content of the prescribed forms.</w:t>
      </w:r>
      <w:r w:rsidR="00AA1F5E">
        <w:rPr>
          <w:lang w:val="en-US"/>
        </w:rPr>
        <w:t xml:space="preserve"> </w:t>
      </w:r>
      <w:r w:rsidR="009F60F6">
        <w:rPr>
          <w:lang w:val="en-US"/>
        </w:rPr>
        <w:t xml:space="preserve">If AV were not to provide guidance as to the appropriate content of these applications, agreements or mechanisms, the purpose of the Act would be diminished. </w:t>
      </w:r>
    </w:p>
    <w:p w14:paraId="4A6D4FDA" w14:textId="7D7EE835" w:rsidR="00140798" w:rsidRDefault="00140798" w:rsidP="00140798">
      <w:pPr>
        <w:pStyle w:val="Heading7"/>
        <w:rPr>
          <w:lang w:val="en-US"/>
        </w:rPr>
      </w:pPr>
      <w:bookmarkStart w:id="69" w:name="_Ref506995382"/>
      <w:r>
        <w:rPr>
          <w:lang w:val="en-US"/>
        </w:rPr>
        <w:t>The costs of reduced development due to the Regulations</w:t>
      </w:r>
      <w:bookmarkEnd w:id="69"/>
    </w:p>
    <w:p w14:paraId="66B9B5C3" w14:textId="495CD149" w:rsidR="00140798" w:rsidRPr="00140798" w:rsidRDefault="00140798" w:rsidP="00140798">
      <w:pPr>
        <w:pStyle w:val="PwCNormal"/>
        <w:rPr>
          <w:lang w:val="en-US"/>
        </w:rPr>
      </w:pPr>
      <w:r>
        <w:rPr>
          <w:lang w:val="en-US"/>
        </w:rPr>
        <w:t xml:space="preserve">The Regulations impose burden on any land-user who wants to develop land, even those not undertaking a high impact activity in an area of cultural </w:t>
      </w:r>
      <w:r w:rsidR="0063011C">
        <w:rPr>
          <w:lang w:val="en-US"/>
        </w:rPr>
        <w:t xml:space="preserve">heritage </w:t>
      </w:r>
      <w:r>
        <w:rPr>
          <w:lang w:val="en-US"/>
        </w:rPr>
        <w:t>sensitivity. This is due to land-users needing to undertake research to determine whether these triggers apply to them.</w:t>
      </w:r>
    </w:p>
    <w:p w14:paraId="5E9D4359" w14:textId="0D1D3F82" w:rsidR="00140798" w:rsidRDefault="00140798" w:rsidP="00140798">
      <w:pPr>
        <w:pStyle w:val="PwCNormal"/>
        <w:rPr>
          <w:lang w:val="en-US"/>
        </w:rPr>
      </w:pPr>
      <w:r>
        <w:rPr>
          <w:lang w:val="en-US"/>
        </w:rPr>
        <w:t xml:space="preserve">For those land-users whose development does meet the two criteria for to conduct a CHMP, it is likely that a number would choose not to undertake development, as the probable cost of a CHMP could outweigh the marginal benefit of the development. </w:t>
      </w:r>
      <w:r w:rsidR="00114A36">
        <w:rPr>
          <w:lang w:val="en-US"/>
        </w:rPr>
        <w:t>Parks Victoria stated in its submission to the AV discussion paper that activities and projects are often cancelled due to inadequate resources for cultural heritage management expenses.</w:t>
      </w:r>
      <w:r w:rsidR="000C1213">
        <w:rPr>
          <w:rStyle w:val="FootnoteReference"/>
          <w:lang w:val="en-US"/>
        </w:rPr>
        <w:footnoteReference w:id="103"/>
      </w:r>
      <w:r w:rsidR="00114A36">
        <w:rPr>
          <w:lang w:val="en-US"/>
        </w:rPr>
        <w:t xml:space="preserve"> The overall </w:t>
      </w:r>
      <w:r>
        <w:rPr>
          <w:lang w:val="en-US"/>
        </w:rPr>
        <w:t>cost</w:t>
      </w:r>
      <w:r w:rsidR="00114A36">
        <w:rPr>
          <w:lang w:val="en-US"/>
        </w:rPr>
        <w:t xml:space="preserve"> of this to the economy</w:t>
      </w:r>
      <w:r>
        <w:rPr>
          <w:lang w:val="en-US"/>
        </w:rPr>
        <w:t xml:space="preserve"> is </w:t>
      </w:r>
      <w:r w:rsidR="00101553">
        <w:rPr>
          <w:lang w:val="en-US"/>
        </w:rPr>
        <w:t xml:space="preserve">difficult </w:t>
      </w:r>
      <w:r>
        <w:rPr>
          <w:lang w:val="en-US"/>
        </w:rPr>
        <w:t xml:space="preserve">to quantify, as land-users do not generally indicate whether they are not developing their land due to Regulations. </w:t>
      </w:r>
    </w:p>
    <w:p w14:paraId="46B63107" w14:textId="666ED0AE" w:rsidR="00555165" w:rsidRDefault="00555165" w:rsidP="00555165">
      <w:pPr>
        <w:pStyle w:val="Heading6"/>
        <w:rPr>
          <w:lang w:val="en-US"/>
        </w:rPr>
      </w:pPr>
      <w:r>
        <w:rPr>
          <w:lang w:val="en-US"/>
        </w:rPr>
        <w:t>Results of cost-benefit analysis</w:t>
      </w:r>
    </w:p>
    <w:p w14:paraId="5E5B0F82" w14:textId="518B295C" w:rsidR="00555165" w:rsidRDefault="00555165" w:rsidP="00555165">
      <w:pPr>
        <w:pStyle w:val="Heading7"/>
        <w:rPr>
          <w:lang w:val="en-US"/>
        </w:rPr>
      </w:pPr>
      <w:r>
        <w:rPr>
          <w:lang w:val="en-US"/>
        </w:rPr>
        <w:t>Option 1: Re-make the Regulations</w:t>
      </w:r>
    </w:p>
    <w:p w14:paraId="00FFAE4F" w14:textId="3BC82FAD" w:rsidR="00B97351" w:rsidRDefault="00101553" w:rsidP="00FB5C8E">
      <w:pPr>
        <w:pStyle w:val="PwCNormal"/>
        <w:rPr>
          <w:lang w:val="en-US"/>
        </w:rPr>
      </w:pPr>
      <w:r>
        <w:rPr>
          <w:lang w:val="en-US"/>
        </w:rPr>
        <w:t xml:space="preserve">AV </w:t>
      </w:r>
      <w:r w:rsidR="00555165">
        <w:rPr>
          <w:lang w:val="en-US"/>
        </w:rPr>
        <w:t>estimate</w:t>
      </w:r>
      <w:r>
        <w:rPr>
          <w:lang w:val="en-US"/>
        </w:rPr>
        <w:t>s</w:t>
      </w:r>
      <w:r w:rsidR="00555165">
        <w:rPr>
          <w:lang w:val="en-US"/>
        </w:rPr>
        <w:t xml:space="preserve"> that approximately 44 per cent of all CHMPs identify significant Aboriginal cultural heritage</w:t>
      </w:r>
      <w:r w:rsidR="00DA1222">
        <w:rPr>
          <w:lang w:val="en-US"/>
        </w:rPr>
        <w:t>. Of these, 61 per cent mitigate harm through avoidance, minimisation or salvage, meaning that 27 per cent of all CHMPs preserve Aboriginal cultural heritage</w:t>
      </w:r>
      <w:r w:rsidR="00555165">
        <w:rPr>
          <w:lang w:val="en-US"/>
        </w:rPr>
        <w:t>.</w:t>
      </w:r>
      <w:r w:rsidR="00555165">
        <w:rPr>
          <w:rStyle w:val="FootnoteReference"/>
          <w:lang w:val="en-US"/>
        </w:rPr>
        <w:footnoteReference w:id="104"/>
      </w:r>
      <w:r w:rsidR="00555165">
        <w:rPr>
          <w:lang w:val="en-US"/>
        </w:rPr>
        <w:t xml:space="preserve"> </w:t>
      </w:r>
      <w:r w:rsidR="00FB5C8E">
        <w:rPr>
          <w:lang w:val="en-US"/>
        </w:rPr>
        <w:t>Many</w:t>
      </w:r>
      <w:r w:rsidR="00FB5C8E" w:rsidRPr="00FB5C8E">
        <w:rPr>
          <w:lang w:val="en-US"/>
        </w:rPr>
        <w:t xml:space="preserve"> </w:t>
      </w:r>
      <w:r w:rsidR="00FB5C8E">
        <w:rPr>
          <w:lang w:val="en-US"/>
        </w:rPr>
        <w:t>CHMPs will not result in the preservation of Aboriginal cultural heritage</w:t>
      </w:r>
      <w:r w:rsidR="00FB5C8E" w:rsidRPr="00FB5C8E">
        <w:rPr>
          <w:lang w:val="en-US"/>
        </w:rPr>
        <w:t>,</w:t>
      </w:r>
      <w:r w:rsidR="00FB5C8E">
        <w:rPr>
          <w:lang w:val="en-US"/>
        </w:rPr>
        <w:t xml:space="preserve"> however, prior to the completion of a CHMP, </w:t>
      </w:r>
      <w:r w:rsidR="00B97351">
        <w:rPr>
          <w:lang w:val="en-US"/>
        </w:rPr>
        <w:t xml:space="preserve">it is impossible to know in advance whether </w:t>
      </w:r>
      <w:r w:rsidR="00FB5C8E">
        <w:rPr>
          <w:lang w:val="en-US"/>
        </w:rPr>
        <w:t>that</w:t>
      </w:r>
      <w:r w:rsidR="00B97351">
        <w:rPr>
          <w:lang w:val="en-US"/>
        </w:rPr>
        <w:t xml:space="preserve"> CHMP will result in preservation</w:t>
      </w:r>
      <w:r w:rsidR="00FB5C8E">
        <w:rPr>
          <w:lang w:val="en-US"/>
        </w:rPr>
        <w:t>. Complex CHMPs are, by definition, much more likely to identify and preserve Aboriginal cultural heritage, but the desktop and standard assessment stages must be completed before reaching this stage.  T</w:t>
      </w:r>
      <w:r w:rsidR="00B97351">
        <w:rPr>
          <w:lang w:val="en-US"/>
        </w:rPr>
        <w:t>he benefits of each CHMP should be based on the probability it will identify and preserve Aboriginal cultural heritage and the value of this heritage if preserved.</w:t>
      </w:r>
    </w:p>
    <w:p w14:paraId="5BE788FA" w14:textId="6E556156" w:rsidR="00791FFB" w:rsidRDefault="00555165" w:rsidP="00555165">
      <w:pPr>
        <w:pStyle w:val="PwCNormal"/>
        <w:rPr>
          <w:lang w:val="en-US"/>
        </w:rPr>
      </w:pPr>
      <w:r>
        <w:rPr>
          <w:lang w:val="en-US"/>
        </w:rPr>
        <w:t xml:space="preserve">As outlined in Section </w:t>
      </w:r>
      <w:r>
        <w:rPr>
          <w:lang w:val="en-US"/>
        </w:rPr>
        <w:fldChar w:fldCharType="begin"/>
      </w:r>
      <w:r>
        <w:rPr>
          <w:lang w:val="en-US"/>
        </w:rPr>
        <w:instrText xml:space="preserve"> REF _Ref501484897 \r \h </w:instrText>
      </w:r>
      <w:r>
        <w:rPr>
          <w:lang w:val="en-US"/>
        </w:rPr>
      </w:r>
      <w:r>
        <w:rPr>
          <w:lang w:val="en-US"/>
        </w:rPr>
        <w:fldChar w:fldCharType="separate"/>
      </w:r>
      <w:r w:rsidR="000369A1">
        <w:rPr>
          <w:lang w:val="en-US"/>
        </w:rPr>
        <w:t>6.2.2</w:t>
      </w:r>
      <w:r>
        <w:rPr>
          <w:lang w:val="en-US"/>
        </w:rPr>
        <w:fldChar w:fldCharType="end"/>
      </w:r>
      <w:r>
        <w:rPr>
          <w:lang w:val="en-US"/>
        </w:rPr>
        <w:t xml:space="preserve">, the stated value of a </w:t>
      </w:r>
      <w:r w:rsidR="00D05AC9">
        <w:rPr>
          <w:lang w:val="en-US"/>
        </w:rPr>
        <w:t xml:space="preserve">place </w:t>
      </w:r>
      <w:r>
        <w:rPr>
          <w:lang w:val="en-US"/>
        </w:rPr>
        <w:t>of Aboriginal cultural heritage is estimated to be $</w:t>
      </w:r>
      <w:r w:rsidR="00716133">
        <w:rPr>
          <w:lang w:val="en-US"/>
        </w:rPr>
        <w:t>296,739</w:t>
      </w:r>
      <w:r>
        <w:rPr>
          <w:lang w:val="en-US"/>
        </w:rPr>
        <w:t xml:space="preserve">. If for each CHMP </w:t>
      </w:r>
      <w:r w:rsidR="00392B48">
        <w:rPr>
          <w:lang w:val="en-US"/>
        </w:rPr>
        <w:t>prepared</w:t>
      </w:r>
      <w:r>
        <w:rPr>
          <w:lang w:val="en-US"/>
        </w:rPr>
        <w:t xml:space="preserve">, there is a </w:t>
      </w:r>
      <w:r w:rsidR="00131CFE">
        <w:rPr>
          <w:lang w:val="en-US"/>
        </w:rPr>
        <w:t>27</w:t>
      </w:r>
      <w:r>
        <w:rPr>
          <w:lang w:val="en-US"/>
        </w:rPr>
        <w:t xml:space="preserve"> per cent chance of significant Aboriginal heritage being identified and preserved, this implies the </w:t>
      </w:r>
      <w:r w:rsidR="00791FFB">
        <w:rPr>
          <w:lang w:val="en-US"/>
        </w:rPr>
        <w:t xml:space="preserve">average </w:t>
      </w:r>
      <w:r>
        <w:rPr>
          <w:lang w:val="en-US"/>
        </w:rPr>
        <w:t>benefit of a CHMP is around $</w:t>
      </w:r>
      <w:r w:rsidR="00DA1222">
        <w:rPr>
          <w:lang w:val="en-US"/>
        </w:rPr>
        <w:t>74,984</w:t>
      </w:r>
      <w:r>
        <w:rPr>
          <w:lang w:val="en-US"/>
        </w:rPr>
        <w:t>.</w:t>
      </w:r>
      <w:r w:rsidR="00791FFB">
        <w:rPr>
          <w:lang w:val="en-US"/>
        </w:rPr>
        <w:t xml:space="preserve"> </w:t>
      </w:r>
    </w:p>
    <w:p w14:paraId="6E7C4BEF" w14:textId="09D9E514" w:rsidR="001E5A51" w:rsidRDefault="00791FFB" w:rsidP="00555165">
      <w:pPr>
        <w:pStyle w:val="PwCNormal"/>
        <w:rPr>
          <w:lang w:val="en-US"/>
        </w:rPr>
      </w:pPr>
      <w:r>
        <w:rPr>
          <w:lang w:val="en-US"/>
        </w:rPr>
        <w:t>T</w:t>
      </w:r>
      <w:r w:rsidR="001E5A51">
        <w:rPr>
          <w:lang w:val="en-US"/>
        </w:rPr>
        <w:t xml:space="preserve">he </w:t>
      </w:r>
      <w:r w:rsidR="00B97351">
        <w:rPr>
          <w:lang w:val="en-US"/>
        </w:rPr>
        <w:t xml:space="preserve">quantified </w:t>
      </w:r>
      <w:r w:rsidR="001E5A51">
        <w:rPr>
          <w:lang w:val="en-US"/>
        </w:rPr>
        <w:t>cost of the Regulations per CHMP can</w:t>
      </w:r>
      <w:r w:rsidR="00FE2954">
        <w:rPr>
          <w:lang w:val="en-US"/>
        </w:rPr>
        <w:t xml:space="preserve"> be approximated by dividing $</w:t>
      </w:r>
      <w:r w:rsidR="009C2D7F">
        <w:rPr>
          <w:lang w:val="en-US"/>
        </w:rPr>
        <w:t>22.0</w:t>
      </w:r>
      <w:r w:rsidR="001E5A51">
        <w:rPr>
          <w:lang w:val="en-US"/>
        </w:rPr>
        <w:t xml:space="preserve"> million (see </w:t>
      </w:r>
      <w:r w:rsidR="001E5A51">
        <w:rPr>
          <w:lang w:val="en-US"/>
        </w:rPr>
        <w:fldChar w:fldCharType="begin"/>
      </w:r>
      <w:r w:rsidR="001E5A51">
        <w:rPr>
          <w:lang w:val="en-US"/>
        </w:rPr>
        <w:instrText xml:space="preserve"> REF _Ref501042136 \h </w:instrText>
      </w:r>
      <w:r w:rsidR="001E5A51">
        <w:rPr>
          <w:lang w:val="en-US"/>
        </w:rPr>
      </w:r>
      <w:r w:rsidR="001E5A51">
        <w:rPr>
          <w:lang w:val="en-US"/>
        </w:rPr>
        <w:fldChar w:fldCharType="separate"/>
      </w:r>
      <w:r w:rsidR="000369A1">
        <w:t xml:space="preserve">Table </w:t>
      </w:r>
      <w:r w:rsidR="000369A1">
        <w:rPr>
          <w:noProof/>
        </w:rPr>
        <w:t>12</w:t>
      </w:r>
      <w:r w:rsidR="001E5A51">
        <w:rPr>
          <w:lang w:val="en-US"/>
        </w:rPr>
        <w:fldChar w:fldCharType="end"/>
      </w:r>
      <w:r w:rsidR="001E5A51">
        <w:rPr>
          <w:lang w:val="en-US"/>
        </w:rPr>
        <w:t>) by 5</w:t>
      </w:r>
      <w:r w:rsidR="00AF3D2A">
        <w:rPr>
          <w:lang w:val="en-US"/>
        </w:rPr>
        <w:t>73</w:t>
      </w:r>
      <w:r w:rsidR="001E5A51">
        <w:rPr>
          <w:lang w:val="en-US"/>
        </w:rPr>
        <w:t>, the number of CHMPs app</w:t>
      </w:r>
      <w:r w:rsidR="00FE2954">
        <w:rPr>
          <w:lang w:val="en-US"/>
        </w:rPr>
        <w:t>roved each year</w:t>
      </w:r>
      <w:r w:rsidR="00AF3D2A">
        <w:rPr>
          <w:lang w:val="en-US"/>
        </w:rPr>
        <w:t xml:space="preserve"> that are attributable to the Regulations</w:t>
      </w:r>
      <w:r w:rsidR="00FE2954">
        <w:rPr>
          <w:lang w:val="en-US"/>
        </w:rPr>
        <w:t>, equating to $</w:t>
      </w:r>
      <w:r w:rsidR="009C2D7F">
        <w:rPr>
          <w:lang w:val="en-US"/>
        </w:rPr>
        <w:t>38,466</w:t>
      </w:r>
      <w:r w:rsidR="001E5A51">
        <w:rPr>
          <w:lang w:val="en-US"/>
        </w:rPr>
        <w:t>.</w:t>
      </w:r>
      <w:r w:rsidR="00F0401D">
        <w:rPr>
          <w:lang w:val="en-US"/>
        </w:rPr>
        <w:t xml:space="preserve"> The costs of some CHMPs exceed this (and may even exceed the cost of undertaking the work involved as in the case highlighted by Parks Victoria – see </w:t>
      </w:r>
      <w:r w:rsidR="00F0401D">
        <w:rPr>
          <w:lang w:val="en-US"/>
        </w:rPr>
        <w:fldChar w:fldCharType="begin"/>
      </w:r>
      <w:r w:rsidR="00F0401D">
        <w:rPr>
          <w:lang w:val="en-US"/>
        </w:rPr>
        <w:instrText xml:space="preserve"> REF _Ref502161630 \n \h </w:instrText>
      </w:r>
      <w:r w:rsidR="00F0401D">
        <w:rPr>
          <w:lang w:val="en-US"/>
        </w:rPr>
      </w:r>
      <w:r w:rsidR="00F0401D">
        <w:rPr>
          <w:lang w:val="en-US"/>
        </w:rPr>
        <w:fldChar w:fldCharType="separate"/>
      </w:r>
      <w:r w:rsidR="000369A1">
        <w:rPr>
          <w:lang w:val="en-US"/>
        </w:rPr>
        <w:t>Appendix A</w:t>
      </w:r>
      <w:r w:rsidR="00F0401D">
        <w:rPr>
          <w:lang w:val="en-US"/>
        </w:rPr>
        <w:fldChar w:fldCharType="end"/>
      </w:r>
      <w:r w:rsidR="00F0401D">
        <w:rPr>
          <w:lang w:val="en-US"/>
        </w:rPr>
        <w:t xml:space="preserve">), however, on average, the benefit of the regulatory framework to the protection of Aboriginal cultural heritage </w:t>
      </w:r>
      <w:r w:rsidR="00F4225F">
        <w:rPr>
          <w:lang w:val="en-US"/>
        </w:rPr>
        <w:t>is considered to outweigh</w:t>
      </w:r>
      <w:r w:rsidR="00F0401D">
        <w:rPr>
          <w:lang w:val="en-US"/>
        </w:rPr>
        <w:t xml:space="preserve"> the costs of undertaking a CHMP.   </w:t>
      </w:r>
    </w:p>
    <w:p w14:paraId="4F6E7786" w14:textId="495CA2C4" w:rsidR="001E5A51" w:rsidRDefault="001E5A51" w:rsidP="00555165">
      <w:pPr>
        <w:pStyle w:val="PwCNormal"/>
        <w:rPr>
          <w:lang w:val="en-US"/>
        </w:rPr>
      </w:pPr>
      <w:r>
        <w:rPr>
          <w:lang w:val="en-US"/>
        </w:rPr>
        <w:t>This implies that Option 1 delivers quantifiable net benefit</w:t>
      </w:r>
      <w:r w:rsidR="00FE2954">
        <w:rPr>
          <w:lang w:val="en-US"/>
        </w:rPr>
        <w:t>s of $</w:t>
      </w:r>
      <w:r w:rsidR="009C2D7F">
        <w:rPr>
          <w:lang w:val="en-US"/>
        </w:rPr>
        <w:t>36,518</w:t>
      </w:r>
      <w:r w:rsidR="00FE2954">
        <w:rPr>
          <w:lang w:val="en-US"/>
        </w:rPr>
        <w:t xml:space="preserve"> per </w:t>
      </w:r>
      <w:r w:rsidR="00AF3D2A">
        <w:rPr>
          <w:lang w:val="en-US"/>
        </w:rPr>
        <w:t xml:space="preserve">attributable </w:t>
      </w:r>
      <w:r w:rsidR="00FE2954">
        <w:rPr>
          <w:lang w:val="en-US"/>
        </w:rPr>
        <w:t xml:space="preserve">CHMP </w:t>
      </w:r>
      <w:r w:rsidR="00AF3D2A">
        <w:rPr>
          <w:lang w:val="en-US"/>
        </w:rPr>
        <w:t>approved</w:t>
      </w:r>
      <w:r w:rsidR="00FE2954">
        <w:rPr>
          <w:lang w:val="en-US"/>
        </w:rPr>
        <w:t>, and $</w:t>
      </w:r>
      <w:r w:rsidR="009C2D7F">
        <w:rPr>
          <w:lang w:val="en-US"/>
        </w:rPr>
        <w:t>20.9</w:t>
      </w:r>
      <w:r w:rsidR="00717506">
        <w:rPr>
          <w:lang w:val="en-US"/>
        </w:rPr>
        <w:t xml:space="preserve"> million</w:t>
      </w:r>
      <w:r w:rsidR="00AF3D2A">
        <w:rPr>
          <w:lang w:val="en-US"/>
        </w:rPr>
        <w:t xml:space="preserve"> in total per year</w:t>
      </w:r>
      <w:r w:rsidR="003974AD">
        <w:rPr>
          <w:lang w:val="en-US"/>
        </w:rPr>
        <w:t>.</w:t>
      </w:r>
    </w:p>
    <w:p w14:paraId="6755DB06" w14:textId="77777777" w:rsidR="007E797C" w:rsidRDefault="007E797C" w:rsidP="007E797C">
      <w:pPr>
        <w:pStyle w:val="Heading7"/>
        <w:rPr>
          <w:lang w:val="en-US"/>
        </w:rPr>
      </w:pPr>
      <w:r>
        <w:rPr>
          <w:lang w:val="en-US"/>
        </w:rPr>
        <w:t>Option 2: Re-make the Regulations with targeted improvements to the triggers for a CHMP</w:t>
      </w:r>
    </w:p>
    <w:p w14:paraId="361F1F15" w14:textId="3230C448" w:rsidR="00AF3D2A" w:rsidRDefault="00AF3D2A" w:rsidP="00555165">
      <w:pPr>
        <w:pStyle w:val="PwCNormal"/>
        <w:rPr>
          <w:lang w:val="en-US"/>
        </w:rPr>
      </w:pPr>
      <w:r>
        <w:rPr>
          <w:lang w:val="en-US"/>
        </w:rPr>
        <w:t xml:space="preserve">The quantified cost of Option 2 is estimated to be </w:t>
      </w:r>
      <w:r w:rsidR="0008414A">
        <w:rPr>
          <w:lang w:val="en-US"/>
        </w:rPr>
        <w:t>$</w:t>
      </w:r>
      <w:r w:rsidR="009C2D7F">
        <w:rPr>
          <w:lang w:val="en-US"/>
        </w:rPr>
        <w:t>38,382</w:t>
      </w:r>
      <w:r w:rsidR="0008414A">
        <w:rPr>
          <w:lang w:val="en-US"/>
        </w:rPr>
        <w:t xml:space="preserve"> for each of the 589</w:t>
      </w:r>
      <w:r>
        <w:rPr>
          <w:lang w:val="en-US"/>
        </w:rPr>
        <w:t xml:space="preserve"> CHMPs that are anticipated to be approved and attributable to the Regulations each year. Using the $74,984 benefit per approved CHMP calculated above,</w:t>
      </w:r>
      <w:r w:rsidR="00070721">
        <w:rPr>
          <w:rStyle w:val="FootnoteReference"/>
          <w:lang w:val="en-US"/>
        </w:rPr>
        <w:footnoteReference w:id="105"/>
      </w:r>
      <w:r>
        <w:rPr>
          <w:lang w:val="en-US"/>
        </w:rPr>
        <w:t xml:space="preserve"> this gives a net benefit of $</w:t>
      </w:r>
      <w:r w:rsidR="009C2D7F">
        <w:rPr>
          <w:lang w:val="en-US"/>
        </w:rPr>
        <w:t>36,602</w:t>
      </w:r>
      <w:r>
        <w:rPr>
          <w:lang w:val="en-US"/>
        </w:rPr>
        <w:t xml:space="preserve"> per CHMP approv</w:t>
      </w:r>
      <w:r w:rsidR="0008414A">
        <w:rPr>
          <w:lang w:val="en-US"/>
        </w:rPr>
        <w:t>ed, and a total benefit of $2</w:t>
      </w:r>
      <w:r w:rsidR="009C2D7F">
        <w:rPr>
          <w:lang w:val="en-US"/>
        </w:rPr>
        <w:t>1</w:t>
      </w:r>
      <w:r w:rsidR="0008414A">
        <w:rPr>
          <w:lang w:val="en-US"/>
        </w:rPr>
        <w:t>.</w:t>
      </w:r>
      <w:r w:rsidR="009C2D7F">
        <w:rPr>
          <w:lang w:val="en-US"/>
        </w:rPr>
        <w:t>6</w:t>
      </w:r>
      <w:r>
        <w:rPr>
          <w:lang w:val="en-US"/>
        </w:rPr>
        <w:t xml:space="preserve"> million per year.</w:t>
      </w:r>
    </w:p>
    <w:p w14:paraId="752F9F64" w14:textId="29EAE372" w:rsidR="007E797C" w:rsidRDefault="007E797C" w:rsidP="007E797C">
      <w:pPr>
        <w:pStyle w:val="Heading7"/>
        <w:rPr>
          <w:lang w:val="en-US"/>
        </w:rPr>
      </w:pPr>
      <w:r>
        <w:rPr>
          <w:lang w:val="en-US"/>
        </w:rPr>
        <w:t>Option 3: Update standards for CHMPs</w:t>
      </w:r>
    </w:p>
    <w:p w14:paraId="3F02B797" w14:textId="4CB2BF87" w:rsidR="007E797C" w:rsidRDefault="00AF3D2A" w:rsidP="007E797C">
      <w:pPr>
        <w:pStyle w:val="PwCNormal"/>
        <w:rPr>
          <w:lang w:val="en-US"/>
        </w:rPr>
      </w:pPr>
      <w:r>
        <w:rPr>
          <w:lang w:val="en-US"/>
        </w:rPr>
        <w:t>Option 3 is estimated to incur a $</w:t>
      </w:r>
      <w:r w:rsidR="009C2D7F">
        <w:rPr>
          <w:lang w:val="en-US"/>
        </w:rPr>
        <w:t>38,011</w:t>
      </w:r>
      <w:r>
        <w:rPr>
          <w:lang w:val="en-US"/>
        </w:rPr>
        <w:t xml:space="preserve"> quantified cost for each of the 573 CHMPs that are anticipated to be approved and attributable to the Regulations each year. Using the $74,984 benefit per approved CHMP calculated for Option 1,</w:t>
      </w:r>
      <w:r w:rsidR="00070721">
        <w:rPr>
          <w:rStyle w:val="FootnoteReference"/>
          <w:lang w:val="en-US"/>
        </w:rPr>
        <w:footnoteReference w:id="106"/>
      </w:r>
      <w:r>
        <w:rPr>
          <w:lang w:val="en-US"/>
        </w:rPr>
        <w:t xml:space="preserve"> this gives a net benefit of $</w:t>
      </w:r>
      <w:r w:rsidR="009C2D7F">
        <w:rPr>
          <w:lang w:val="en-US"/>
        </w:rPr>
        <w:t>36,973</w:t>
      </w:r>
      <w:r>
        <w:rPr>
          <w:lang w:val="en-US"/>
        </w:rPr>
        <w:t xml:space="preserve"> per CHMP approved, and a total benefit of $</w:t>
      </w:r>
      <w:r w:rsidR="009C2D7F">
        <w:rPr>
          <w:lang w:val="en-US"/>
        </w:rPr>
        <w:t>21.2</w:t>
      </w:r>
      <w:r>
        <w:rPr>
          <w:lang w:val="en-US"/>
        </w:rPr>
        <w:t xml:space="preserve"> million per year.</w:t>
      </w:r>
      <w:r w:rsidDel="00AF3D2A">
        <w:rPr>
          <w:lang w:val="en-US"/>
        </w:rPr>
        <w:t xml:space="preserve"> </w:t>
      </w:r>
    </w:p>
    <w:p w14:paraId="63DE07E7" w14:textId="6304789F" w:rsidR="00AA1F5E" w:rsidRDefault="008C5A09" w:rsidP="008C5A09">
      <w:pPr>
        <w:pStyle w:val="Heading6"/>
        <w:rPr>
          <w:lang w:val="en-US"/>
        </w:rPr>
      </w:pPr>
      <w:r>
        <w:rPr>
          <w:lang w:val="en-US"/>
        </w:rPr>
        <w:t>Multi-criteria analysis</w:t>
      </w:r>
    </w:p>
    <w:p w14:paraId="28A45072" w14:textId="69629FFE" w:rsidR="00360B5C" w:rsidRPr="00360B5C" w:rsidRDefault="00996F31" w:rsidP="00360B5C">
      <w:pPr>
        <w:pStyle w:val="PwCNormal"/>
        <w:rPr>
          <w:lang w:val="en-US"/>
        </w:rPr>
      </w:pPr>
      <w:r>
        <w:rPr>
          <w:lang w:val="en-US"/>
        </w:rPr>
        <w:t xml:space="preserve">Many of the </w:t>
      </w:r>
      <w:r w:rsidR="000737FE">
        <w:rPr>
          <w:lang w:val="en-US"/>
        </w:rPr>
        <w:t>costs and benefits of the Regulations</w:t>
      </w:r>
      <w:r>
        <w:rPr>
          <w:lang w:val="en-US"/>
        </w:rPr>
        <w:t xml:space="preserve"> have not been able to be quantifiably estimated. As such</w:t>
      </w:r>
      <w:r w:rsidR="000737FE">
        <w:rPr>
          <w:lang w:val="en-US"/>
        </w:rPr>
        <w:t>, a</w:t>
      </w:r>
      <w:r w:rsidR="00360B5C" w:rsidRPr="00360B5C">
        <w:rPr>
          <w:lang w:val="en-US"/>
        </w:rPr>
        <w:t xml:space="preserve"> </w:t>
      </w:r>
      <w:r>
        <w:rPr>
          <w:lang w:val="en-US"/>
        </w:rPr>
        <w:t xml:space="preserve">qualitative </w:t>
      </w:r>
      <w:r w:rsidR="00360B5C" w:rsidRPr="00360B5C">
        <w:rPr>
          <w:lang w:val="en-US"/>
        </w:rPr>
        <w:t>assessment of the options has been undertaken using a multi-criteria analysis (MCA).</w:t>
      </w:r>
      <w:r w:rsidR="000737FE">
        <w:rPr>
          <w:lang w:val="en-US"/>
        </w:rPr>
        <w:t xml:space="preserve"> </w:t>
      </w:r>
    </w:p>
    <w:p w14:paraId="42AEEBC6" w14:textId="77777777" w:rsidR="00360B5C" w:rsidRPr="00360B5C" w:rsidRDefault="00360B5C" w:rsidP="00360B5C">
      <w:pPr>
        <w:pStyle w:val="Heading7"/>
        <w:rPr>
          <w:lang w:val="en-US"/>
        </w:rPr>
      </w:pPr>
      <w:r w:rsidRPr="00360B5C">
        <w:rPr>
          <w:lang w:val="en-US"/>
        </w:rPr>
        <w:t>Method for assessing options</w:t>
      </w:r>
    </w:p>
    <w:p w14:paraId="4B97D3E9" w14:textId="2FEFCEC1" w:rsidR="00360B5C" w:rsidRPr="00360B5C" w:rsidRDefault="00360B5C" w:rsidP="00360B5C">
      <w:pPr>
        <w:pStyle w:val="PwCNormal"/>
        <w:rPr>
          <w:lang w:val="en-US"/>
        </w:rPr>
      </w:pPr>
      <w:r w:rsidRPr="00360B5C">
        <w:rPr>
          <w:lang w:val="en-US"/>
        </w:rPr>
        <w:t>An MCA is a</w:t>
      </w:r>
      <w:r w:rsidR="00AE1E74">
        <w:rPr>
          <w:lang w:val="en-US"/>
        </w:rPr>
        <w:t>n approach to compare</w:t>
      </w:r>
      <w:r w:rsidR="00D8390A">
        <w:rPr>
          <w:lang w:val="en-US"/>
        </w:rPr>
        <w:t xml:space="preserve"> the </w:t>
      </w:r>
      <w:r w:rsidRPr="00360B5C">
        <w:rPr>
          <w:lang w:val="en-US"/>
        </w:rPr>
        <w:t>cost</w:t>
      </w:r>
      <w:r w:rsidR="00AE1E74">
        <w:rPr>
          <w:lang w:val="en-US"/>
        </w:rPr>
        <w:t xml:space="preserve">s and </w:t>
      </w:r>
      <w:r w:rsidRPr="00360B5C">
        <w:rPr>
          <w:lang w:val="en-US"/>
        </w:rPr>
        <w:t>benefit</w:t>
      </w:r>
      <w:r w:rsidR="00AE1E74">
        <w:rPr>
          <w:lang w:val="en-US"/>
        </w:rPr>
        <w:t>s</w:t>
      </w:r>
      <w:r w:rsidRPr="00360B5C">
        <w:rPr>
          <w:lang w:val="en-US"/>
        </w:rPr>
        <w:t xml:space="preserve"> </w:t>
      </w:r>
      <w:r w:rsidR="00AE1E74">
        <w:rPr>
          <w:lang w:val="en-US"/>
        </w:rPr>
        <w:t xml:space="preserve">of policy options </w:t>
      </w:r>
      <w:r w:rsidRPr="00360B5C">
        <w:rPr>
          <w:lang w:val="en-US"/>
        </w:rPr>
        <w:t>that brings a degree of structure, analysis and openness to decision-making. MCA establishes preferences between options by reference to an explicit set of objectives and measurable criteria to assess the extent to which the objectives have been achieved.</w:t>
      </w:r>
    </w:p>
    <w:p w14:paraId="1E70A8B2" w14:textId="2D5956C0" w:rsidR="008C5A09" w:rsidRDefault="00360B5C" w:rsidP="00360B5C">
      <w:pPr>
        <w:pStyle w:val="PwCNormal"/>
        <w:rPr>
          <w:lang w:val="en-US"/>
        </w:rPr>
      </w:pPr>
      <w:r w:rsidRPr="00360B5C">
        <w:rPr>
          <w:lang w:val="en-US"/>
        </w:rPr>
        <w:t>An MCA is particularly useful in circumstances where it is necessary to consider a range of economic, environmental and social benefits which cannot be satisfactorily quantified and/or valued.</w:t>
      </w:r>
      <w:r>
        <w:rPr>
          <w:lang w:val="en-US"/>
        </w:rPr>
        <w:t xml:space="preserve"> </w:t>
      </w:r>
    </w:p>
    <w:tbl>
      <w:tblPr>
        <w:tblStyle w:val="Tables-APBas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360B5C" w:rsidRPr="00EF5359" w14:paraId="679CD69C" w14:textId="77777777" w:rsidTr="00353F0A">
        <w:trPr>
          <w:cnfStyle w:val="100000000000" w:firstRow="1" w:lastRow="0" w:firstColumn="0" w:lastColumn="0" w:oddVBand="0" w:evenVBand="0" w:oddHBand="0" w:evenHBand="0" w:firstRowFirstColumn="0" w:firstRowLastColumn="0" w:lastRowFirstColumn="0" w:lastRowLastColumn="0"/>
          <w:trHeight w:val="20"/>
          <w:tblHeader w:val="0"/>
        </w:trPr>
        <w:tc>
          <w:tcPr>
            <w:cnfStyle w:val="000000000100" w:firstRow="0" w:lastRow="0" w:firstColumn="0" w:lastColumn="0" w:oddVBand="0" w:evenVBand="0" w:oddHBand="0" w:evenHBand="0" w:firstRowFirstColumn="1" w:firstRowLastColumn="0" w:lastRowFirstColumn="0" w:lastRowLastColumn="0"/>
            <w:tcW w:w="8437" w:type="dxa"/>
            <w:tcBorders>
              <w:top w:val="none" w:sz="0" w:space="0" w:color="auto"/>
              <w:bottom w:val="none" w:sz="0" w:space="0" w:color="auto"/>
            </w:tcBorders>
            <w:shd w:val="clear" w:color="auto" w:fill="F4CACA" w:themeFill="text2" w:themeFillTint="33"/>
          </w:tcPr>
          <w:p w14:paraId="46DFE75D" w14:textId="19150B40" w:rsidR="00360B5C" w:rsidRPr="00193EDA" w:rsidRDefault="00360B5C" w:rsidP="00353F0A">
            <w:pPr>
              <w:pStyle w:val="PwCNormal"/>
              <w:keepLines/>
              <w:spacing w:before="120" w:after="120"/>
              <w:rPr>
                <w:b/>
                <w:color w:val="A32020" w:themeColor="accent1"/>
                <w:lang w:val="en-US"/>
              </w:rPr>
            </w:pPr>
            <w:r w:rsidRPr="00193EDA">
              <w:rPr>
                <w:b/>
                <w:color w:val="A32020" w:themeColor="accent1"/>
              </w:rPr>
              <w:t xml:space="preserve">Box </w:t>
            </w:r>
            <w:r w:rsidRPr="00193EDA">
              <w:rPr>
                <w:b/>
                <w:color w:val="A32020" w:themeColor="accent1"/>
              </w:rPr>
              <w:fldChar w:fldCharType="begin"/>
            </w:r>
            <w:r w:rsidRPr="00193EDA">
              <w:rPr>
                <w:b/>
                <w:color w:val="A32020" w:themeColor="accent1"/>
              </w:rPr>
              <w:instrText xml:space="preserve"> SEQ Box \* ARABIC </w:instrText>
            </w:r>
            <w:r w:rsidRPr="00193EDA">
              <w:rPr>
                <w:b/>
                <w:color w:val="A32020" w:themeColor="accent1"/>
              </w:rPr>
              <w:fldChar w:fldCharType="separate"/>
            </w:r>
            <w:r w:rsidR="000369A1">
              <w:rPr>
                <w:b/>
                <w:noProof/>
                <w:color w:val="A32020" w:themeColor="accent1"/>
              </w:rPr>
              <w:t>4</w:t>
            </w:r>
            <w:r w:rsidRPr="00193EDA">
              <w:rPr>
                <w:b/>
                <w:color w:val="A32020" w:themeColor="accent1"/>
              </w:rPr>
              <w:fldChar w:fldCharType="end"/>
            </w:r>
            <w:r w:rsidRPr="00193EDA">
              <w:rPr>
                <w:b/>
                <w:color w:val="A32020" w:themeColor="accent1"/>
              </w:rPr>
              <w:t xml:space="preserve">: </w:t>
            </w:r>
            <w:r>
              <w:rPr>
                <w:b/>
                <w:color w:val="A32020" w:themeColor="accent1"/>
              </w:rPr>
              <w:t>Why use an MCA?</w:t>
            </w:r>
            <w:r w:rsidRPr="00193EDA">
              <w:rPr>
                <w:b/>
                <w:color w:val="A32020" w:themeColor="accent1"/>
                <w:lang w:val="en-US"/>
              </w:rPr>
              <w:t xml:space="preserve"> </w:t>
            </w:r>
          </w:p>
          <w:p w14:paraId="6A3A01BF" w14:textId="77777777" w:rsidR="00360B5C" w:rsidRPr="00B20278" w:rsidRDefault="00360B5C" w:rsidP="00360B5C">
            <w:r w:rsidRPr="00B20278">
              <w:t>MCA provides a way of:</w:t>
            </w:r>
          </w:p>
          <w:p w14:paraId="4E61DDB8" w14:textId="77777777" w:rsidR="00360B5C" w:rsidRPr="00B20278" w:rsidRDefault="00360B5C" w:rsidP="00360B5C">
            <w:pPr>
              <w:pStyle w:val="ListBullet"/>
            </w:pPr>
            <w:r w:rsidRPr="00B20278">
              <w:t>disaggregating a complex problem into more manageable pieces to allow data and judgements to be brought to bear on the pieces</w:t>
            </w:r>
          </w:p>
          <w:p w14:paraId="1B83B3D0" w14:textId="77777777" w:rsidR="00360B5C" w:rsidRPr="00B20278" w:rsidRDefault="00360B5C" w:rsidP="00360B5C">
            <w:pPr>
              <w:pStyle w:val="ListBullet"/>
            </w:pPr>
            <w:r w:rsidRPr="00B20278">
              <w:t>assessing the extent to which options achieve objectives against selected criteria</w:t>
            </w:r>
          </w:p>
          <w:p w14:paraId="2695EF7B" w14:textId="77777777" w:rsidR="00360B5C" w:rsidRPr="00B20278" w:rsidRDefault="00360B5C" w:rsidP="00360B5C">
            <w:pPr>
              <w:pStyle w:val="ListBullet"/>
            </w:pPr>
            <w:r w:rsidRPr="00B20278">
              <w:t>weighting the criteria (if appropriate)</w:t>
            </w:r>
          </w:p>
          <w:p w14:paraId="61110F02" w14:textId="77777777" w:rsidR="00360B5C" w:rsidRPr="00B20278" w:rsidRDefault="00360B5C" w:rsidP="00360B5C">
            <w:pPr>
              <w:pStyle w:val="ListBullet"/>
            </w:pPr>
            <w:r w:rsidRPr="00B20278">
              <w:t>re</w:t>
            </w:r>
            <w:r>
              <w:t>-</w:t>
            </w:r>
            <w:r w:rsidRPr="00B20278">
              <w:t>assembling the pieces to present a coherent overall picture to decision-makers.</w:t>
            </w:r>
          </w:p>
          <w:p w14:paraId="6679AAF2" w14:textId="77777777" w:rsidR="00360B5C" w:rsidRDefault="00360B5C" w:rsidP="00360B5C">
            <w:r>
              <w:t xml:space="preserve">The reasons for including the selected criteria (and how they are defined) should be clearly outlined. </w:t>
            </w:r>
            <w:r w:rsidRPr="00B20278">
              <w:t xml:space="preserve">Broadly, the criteria selected should be: </w:t>
            </w:r>
          </w:p>
          <w:p w14:paraId="64A00358" w14:textId="77777777" w:rsidR="00360B5C" w:rsidRPr="00B20278" w:rsidRDefault="00360B5C" w:rsidP="00360B5C">
            <w:pPr>
              <w:pStyle w:val="ListBullet"/>
            </w:pPr>
            <w:r w:rsidRPr="00B20278">
              <w:t>closely linked to the identified problem/s and objectives</w:t>
            </w:r>
          </w:p>
          <w:p w14:paraId="69AD235A" w14:textId="77777777" w:rsidR="00360B5C" w:rsidRPr="00B20278" w:rsidRDefault="00360B5C" w:rsidP="00360B5C">
            <w:pPr>
              <w:pStyle w:val="ListBullet"/>
            </w:pPr>
            <w:r w:rsidRPr="00B20278">
              <w:t>specified in a way that avoids overlap between them</w:t>
            </w:r>
          </w:p>
          <w:p w14:paraId="2FF1BAED" w14:textId="3DF5D3CB" w:rsidR="00360B5C" w:rsidRPr="00360B5C" w:rsidRDefault="00360B5C" w:rsidP="00360B5C">
            <w:pPr>
              <w:pStyle w:val="ListBullet"/>
              <w:rPr>
                <w:i/>
              </w:rPr>
            </w:pPr>
            <w:r w:rsidRPr="00B20278">
              <w:t>in the case of cost criteria, defined as ‘cost’ (and not ‘cost minimisation’), so that an option that is more costly than the base case will receive a negative score.</w:t>
            </w:r>
          </w:p>
        </w:tc>
      </w:tr>
    </w:tbl>
    <w:p w14:paraId="0EC99B56" w14:textId="1C981C25" w:rsidR="00B97351" w:rsidRDefault="00B97351" w:rsidP="00B97351">
      <w:pPr>
        <w:pStyle w:val="PwCNormal"/>
        <w:rPr>
          <w:lang w:val="en-US"/>
        </w:rPr>
      </w:pPr>
      <w:r>
        <w:rPr>
          <w:color w:val="A32020" w:themeColor="text2"/>
          <w:sz w:val="16"/>
          <w:lang w:val="en-US"/>
        </w:rPr>
        <w:t>Source</w:t>
      </w:r>
      <w:r w:rsidRPr="00705BA8">
        <w:rPr>
          <w:color w:val="A32020" w:themeColor="text2"/>
          <w:sz w:val="16"/>
          <w:lang w:val="en-US"/>
        </w:rPr>
        <w:t xml:space="preserve">:  </w:t>
      </w:r>
      <w:r>
        <w:rPr>
          <w:color w:val="A32020" w:themeColor="text2"/>
          <w:sz w:val="16"/>
          <w:lang w:val="en-US"/>
        </w:rPr>
        <w:t>Filip Mussen, Sam Salek and Stuart Walker, ‘Benefit-risk appraisal of medicines: A systematic approach to decision-making’, Wiley-Blackwell, 2009.</w:t>
      </w:r>
      <w:r w:rsidRPr="00705BA8">
        <w:rPr>
          <w:color w:val="A32020" w:themeColor="text2"/>
          <w:sz w:val="16"/>
          <w:lang w:val="en-US"/>
        </w:rPr>
        <w:t xml:space="preserve"> </w:t>
      </w:r>
    </w:p>
    <w:p w14:paraId="253D5520" w14:textId="77777777" w:rsidR="00360B5C" w:rsidRDefault="00360B5C" w:rsidP="00360B5C">
      <w:pPr>
        <w:pStyle w:val="PwCNormal"/>
        <w:spacing w:before="240"/>
      </w:pPr>
      <w:r>
        <w:t>The expected costs and benefits of each option form the criteria for the MCA. These criteria are assessed in comparison to the status quo (in this case, Option 1).</w:t>
      </w:r>
    </w:p>
    <w:p w14:paraId="3CF77DD9" w14:textId="77777777" w:rsidR="00360B5C" w:rsidRDefault="00360B5C" w:rsidP="00360B5C">
      <w:pPr>
        <w:pStyle w:val="Heading7"/>
      </w:pPr>
      <w:r>
        <w:t>Assessment criteria</w:t>
      </w:r>
    </w:p>
    <w:p w14:paraId="7DA3C3C5" w14:textId="77777777" w:rsidR="00360B5C" w:rsidRDefault="00360B5C" w:rsidP="00360B5C">
      <w:r>
        <w:t>The following relevant criteria have been identified to assess the costs and benefits:</w:t>
      </w:r>
    </w:p>
    <w:p w14:paraId="0E9A69E2" w14:textId="77777777" w:rsidR="00360B5C" w:rsidRDefault="00360B5C" w:rsidP="00360B5C">
      <w:r>
        <w:t>Cost related criteria</w:t>
      </w:r>
      <w:r w:rsidRPr="00C4699A">
        <w:t>:</w:t>
      </w:r>
    </w:p>
    <w:p w14:paraId="54DCCCC1" w14:textId="355AE898" w:rsidR="00360B5C" w:rsidRDefault="00360B5C" w:rsidP="00360B5C">
      <w:pPr>
        <w:pStyle w:val="ListBullet"/>
      </w:pPr>
      <w:r>
        <w:t xml:space="preserve">Business costs to comply with the </w:t>
      </w:r>
      <w:r w:rsidR="00353F0A">
        <w:t>Regulations</w:t>
      </w:r>
      <w:r>
        <w:t>.</w:t>
      </w:r>
    </w:p>
    <w:p w14:paraId="35A7F728" w14:textId="5BA2A9B4" w:rsidR="00360B5C" w:rsidRDefault="00360B5C" w:rsidP="00360B5C">
      <w:pPr>
        <w:pStyle w:val="ListBullet"/>
      </w:pPr>
      <w:r>
        <w:t>Government co</w:t>
      </w:r>
      <w:r w:rsidR="00353F0A">
        <w:t>sts to review and monitor compliance with the Regulations</w:t>
      </w:r>
      <w:r>
        <w:t>.</w:t>
      </w:r>
    </w:p>
    <w:p w14:paraId="07C19AB8" w14:textId="77777777" w:rsidR="00360B5C" w:rsidRDefault="00360B5C" w:rsidP="00360B5C">
      <w:r>
        <w:t>Benefit related criteria:</w:t>
      </w:r>
    </w:p>
    <w:p w14:paraId="57CC5A2C" w14:textId="2BF90050" w:rsidR="00353F0A" w:rsidRDefault="00353F0A" w:rsidP="00353F0A">
      <w:pPr>
        <w:pStyle w:val="ListBullet"/>
      </w:pPr>
      <w:r>
        <w:t>The protection of Aboriginal cultural heritage from being damaged or destroyed.</w:t>
      </w:r>
    </w:p>
    <w:p w14:paraId="29592883" w14:textId="65F7F8D3" w:rsidR="00360B5C" w:rsidRDefault="00353F0A" w:rsidP="00360B5C">
      <w:pPr>
        <w:pStyle w:val="ListBullet"/>
      </w:pPr>
      <w:r>
        <w:t>Increased certainty for businesses.</w:t>
      </w:r>
    </w:p>
    <w:p w14:paraId="669B0853" w14:textId="08B66276" w:rsidR="00360B5C" w:rsidRDefault="00360B5C" w:rsidP="00360B5C">
      <w:r>
        <w:t>Further details on the</w:t>
      </w:r>
      <w:r w:rsidRPr="009E3788">
        <w:t xml:space="preserve"> criteria for assessment and how they are defined are set out </w:t>
      </w:r>
      <w:r w:rsidR="00C11D78">
        <w:t xml:space="preserve">in </w:t>
      </w:r>
      <w:r w:rsidR="00C11D78">
        <w:fldChar w:fldCharType="begin"/>
      </w:r>
      <w:r w:rsidR="00C11D78">
        <w:instrText xml:space="preserve"> REF _Ref504380139 \h </w:instrText>
      </w:r>
      <w:r w:rsidR="00C11D78">
        <w:fldChar w:fldCharType="separate"/>
      </w:r>
      <w:r w:rsidR="000369A1">
        <w:t xml:space="preserve">Table </w:t>
      </w:r>
      <w:r w:rsidR="000369A1">
        <w:rPr>
          <w:noProof/>
        </w:rPr>
        <w:t>19</w:t>
      </w:r>
      <w:r w:rsidR="00C11D78">
        <w:fldChar w:fldCharType="end"/>
      </w:r>
      <w:r w:rsidRPr="009E3788">
        <w:t>.</w:t>
      </w:r>
      <w:r w:rsidR="00C11D78">
        <w:t xml:space="preserve"> </w:t>
      </w:r>
      <w:r w:rsidR="00C11D78" w:rsidRPr="0009689A">
        <w:t>In a MCA, equal weighting (50 per cent) is given to cost related criteria and benefit related criteria to enable a transparent, balanced assessment.</w:t>
      </w:r>
    </w:p>
    <w:p w14:paraId="057C7B3C" w14:textId="77777777" w:rsidR="000369A1" w:rsidRDefault="000369A1" w:rsidP="00C35804">
      <w:pPr>
        <w:pStyle w:val="PwCNormal"/>
        <w:numPr>
          <w:ilvl w:val="0"/>
          <w:numId w:val="0"/>
        </w:numPr>
      </w:pPr>
    </w:p>
    <w:p w14:paraId="13905184" w14:textId="77777777" w:rsidR="000369A1" w:rsidRPr="000369A1" w:rsidRDefault="000369A1" w:rsidP="00C35804">
      <w:pPr>
        <w:pStyle w:val="PwCNormal"/>
        <w:numPr>
          <w:ilvl w:val="0"/>
          <w:numId w:val="0"/>
        </w:numPr>
      </w:pPr>
    </w:p>
    <w:p w14:paraId="5CEEF080" w14:textId="57EBF500" w:rsidR="00C11D78" w:rsidRDefault="00C11D78" w:rsidP="00705BA8">
      <w:pPr>
        <w:pStyle w:val="Caption"/>
      </w:pPr>
      <w:bookmarkStart w:id="70" w:name="_Ref504380139"/>
      <w:r>
        <w:t xml:space="preserve">Table </w:t>
      </w:r>
      <w:r w:rsidR="00B47FE6">
        <w:fldChar w:fldCharType="begin"/>
      </w:r>
      <w:r w:rsidR="00B47FE6">
        <w:instrText xml:space="preserve"> SEQ Table \* ARABIC </w:instrText>
      </w:r>
      <w:r w:rsidR="00B47FE6">
        <w:fldChar w:fldCharType="separate"/>
      </w:r>
      <w:r w:rsidR="000369A1">
        <w:rPr>
          <w:noProof/>
        </w:rPr>
        <w:t>19</w:t>
      </w:r>
      <w:r w:rsidR="00B47FE6">
        <w:rPr>
          <w:noProof/>
        </w:rPr>
        <w:fldChar w:fldCharType="end"/>
      </w:r>
      <w:bookmarkEnd w:id="70"/>
      <w:r>
        <w:t>: Criteria for multi-criteria assessment</w:t>
      </w:r>
      <w:r>
        <w:rPr>
          <w:noProof/>
        </w:rPr>
        <w:t xml:space="preserve"> of Options</w:t>
      </w:r>
    </w:p>
    <w:tbl>
      <w:tblPr>
        <w:tblStyle w:val="TableGrid"/>
        <w:tblW w:w="8460"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7175"/>
        <w:gridCol w:w="1285"/>
      </w:tblGrid>
      <w:tr w:rsidR="00C11D78" w14:paraId="4A175F58" w14:textId="77777777" w:rsidTr="00C35804">
        <w:trPr>
          <w:cantSplit/>
          <w:trHeight w:val="340"/>
        </w:trPr>
        <w:tc>
          <w:tcPr>
            <w:tcW w:w="7175" w:type="dxa"/>
            <w:shd w:val="clear" w:color="auto" w:fill="A32020" w:themeFill="text2"/>
            <w:vAlign w:val="center"/>
          </w:tcPr>
          <w:p w14:paraId="59F6EC29" w14:textId="77777777" w:rsidR="00C11D78" w:rsidRPr="005D4380" w:rsidRDefault="00C11D78" w:rsidP="00305B90">
            <w:pPr>
              <w:rPr>
                <w:b/>
                <w:color w:val="FFFFFF" w:themeColor="background1"/>
              </w:rPr>
            </w:pPr>
            <w:r w:rsidRPr="005D4380">
              <w:rPr>
                <w:b/>
                <w:color w:val="FFFFFF" w:themeColor="background1"/>
              </w:rPr>
              <w:t>Criterion</w:t>
            </w:r>
          </w:p>
        </w:tc>
        <w:tc>
          <w:tcPr>
            <w:tcW w:w="1285" w:type="dxa"/>
            <w:shd w:val="clear" w:color="auto" w:fill="A32020" w:themeFill="text2"/>
            <w:vAlign w:val="center"/>
          </w:tcPr>
          <w:p w14:paraId="70CED6E7" w14:textId="77777777" w:rsidR="00C11D78" w:rsidRPr="005D4380" w:rsidRDefault="00C11D78" w:rsidP="00305B90">
            <w:pPr>
              <w:jc w:val="center"/>
              <w:rPr>
                <w:b/>
                <w:color w:val="FFFFFF" w:themeColor="background1"/>
              </w:rPr>
            </w:pPr>
            <w:r w:rsidRPr="005D4380">
              <w:rPr>
                <w:b/>
                <w:color w:val="FFFFFF" w:themeColor="background1"/>
              </w:rPr>
              <w:t>Weighting</w:t>
            </w:r>
          </w:p>
        </w:tc>
      </w:tr>
      <w:tr w:rsidR="00C11D78" w14:paraId="54858CDB" w14:textId="77777777" w:rsidTr="007C0109">
        <w:trPr>
          <w:trHeight w:val="58"/>
        </w:trPr>
        <w:tc>
          <w:tcPr>
            <w:tcW w:w="7175" w:type="dxa"/>
            <w:vAlign w:val="center"/>
          </w:tcPr>
          <w:p w14:paraId="1B73B26E" w14:textId="3BB64771" w:rsidR="004847FD" w:rsidRDefault="00C11D78" w:rsidP="00996F31">
            <w:r w:rsidRPr="00705BA8">
              <w:rPr>
                <w:b/>
                <w:color w:val="7A1818" w:themeColor="accent1" w:themeShade="BF"/>
              </w:rPr>
              <w:t>Land</w:t>
            </w:r>
            <w:r w:rsidR="00996F31">
              <w:rPr>
                <w:b/>
                <w:color w:val="7A1818" w:themeColor="accent1" w:themeShade="BF"/>
              </w:rPr>
              <w:t>-</w:t>
            </w:r>
            <w:r w:rsidRPr="00705BA8">
              <w:rPr>
                <w:b/>
                <w:color w:val="7A1818" w:themeColor="accent1" w:themeShade="BF"/>
              </w:rPr>
              <w:t>user costs</w:t>
            </w:r>
            <w:r w:rsidRPr="00705BA8">
              <w:rPr>
                <w:color w:val="7A1818" w:themeColor="accent1" w:themeShade="BF"/>
              </w:rPr>
              <w:t xml:space="preserve"> </w:t>
            </w:r>
            <w:r>
              <w:t xml:space="preserve">– </w:t>
            </w:r>
            <w:r w:rsidRPr="00353F0A">
              <w:t xml:space="preserve">This criterion captures the costs a </w:t>
            </w:r>
            <w:r>
              <w:t>land-user (business or public entities)</w:t>
            </w:r>
            <w:r w:rsidRPr="00353F0A">
              <w:t xml:space="preserve"> would incur in complying with the Regulations. These include administrative costs such as identifying and understanding the Regulations relevant to their project, contracting a heritage advisor (as necessary) to </w:t>
            </w:r>
            <w:r>
              <w:t>prepare</w:t>
            </w:r>
            <w:r w:rsidRPr="00353F0A">
              <w:t xml:space="preserve"> a CHMP,</w:t>
            </w:r>
            <w:r>
              <w:t xml:space="preserve"> and complying with the management conditions of CHMPs. In addition, land-users may incur a range of costs related with delayed or cancelled development activity as a result of preparing a CHMP, including sunk construction costs, the opportunity cost of the capital invested in the project, and discouragement costs due to possibly not undertaking similar projects in the future</w:t>
            </w:r>
          </w:p>
          <w:p w14:paraId="7DB17D85" w14:textId="11BE5AAC" w:rsidR="00C11D78" w:rsidRPr="00705BA8" w:rsidRDefault="00996F31" w:rsidP="00996F31">
            <w:pPr>
              <w:rPr>
                <w:b/>
              </w:rPr>
            </w:pPr>
            <w:r>
              <w:t xml:space="preserve">As </w:t>
            </w:r>
            <w:r w:rsidR="004847FD">
              <w:t xml:space="preserve">the greatest number of land-users are affected by the Regulations and </w:t>
            </w:r>
            <w:r>
              <w:t>most of the regulatory burden imposed by the Regulations is on land-users, land-user costs have been given 80 per cent of the cost-related criteria weighting (equating to 40 per cent of the total).</w:t>
            </w:r>
          </w:p>
        </w:tc>
        <w:tc>
          <w:tcPr>
            <w:tcW w:w="1285" w:type="dxa"/>
            <w:vAlign w:val="center"/>
          </w:tcPr>
          <w:p w14:paraId="1D294D42" w14:textId="5ADF9ADB" w:rsidR="00C11D78" w:rsidRDefault="00C33152" w:rsidP="00305B90">
            <w:pPr>
              <w:jc w:val="center"/>
            </w:pPr>
            <w:r>
              <w:t>25</w:t>
            </w:r>
            <w:r w:rsidR="00C11D78">
              <w:t>%</w:t>
            </w:r>
          </w:p>
        </w:tc>
      </w:tr>
      <w:tr w:rsidR="00C11D78" w14:paraId="36F0A422" w14:textId="77777777" w:rsidTr="00705BA8">
        <w:trPr>
          <w:trHeight w:val="1198"/>
        </w:trPr>
        <w:tc>
          <w:tcPr>
            <w:tcW w:w="7175" w:type="dxa"/>
            <w:vAlign w:val="center"/>
          </w:tcPr>
          <w:p w14:paraId="22798A06" w14:textId="139C6D9E" w:rsidR="00C11D78" w:rsidRDefault="00C11D78" w:rsidP="00C54092">
            <w:r w:rsidRPr="00705BA8">
              <w:rPr>
                <w:b/>
                <w:color w:val="7A1818" w:themeColor="accent1" w:themeShade="BF"/>
              </w:rPr>
              <w:t xml:space="preserve">Government </w:t>
            </w:r>
            <w:r w:rsidR="00C54092">
              <w:rPr>
                <w:b/>
                <w:color w:val="7A1818" w:themeColor="accent1" w:themeShade="BF"/>
              </w:rPr>
              <w:t xml:space="preserve">and RAP </w:t>
            </w:r>
            <w:r w:rsidRPr="00705BA8">
              <w:rPr>
                <w:b/>
                <w:color w:val="7A1818" w:themeColor="accent1" w:themeShade="BF"/>
              </w:rPr>
              <w:t>costs</w:t>
            </w:r>
            <w:r>
              <w:t xml:space="preserve"> – </w:t>
            </w:r>
            <w:r w:rsidRPr="00353F0A">
              <w:t xml:space="preserve">This criterion relates to the costs that the Victorian Government occurs in monitoring and enforcing </w:t>
            </w:r>
            <w:r>
              <w:t>compliance with</w:t>
            </w:r>
            <w:r w:rsidRPr="00353F0A">
              <w:t xml:space="preserve"> the Regulations. </w:t>
            </w:r>
            <w:r w:rsidR="00C54092">
              <w:t xml:space="preserve">The costs to Government and RAPs of evaluating CHMP and other applications are included here as the current level of cost recovery isn’t yet known. </w:t>
            </w:r>
            <w:r w:rsidR="00CF2514">
              <w:t>(</w:t>
            </w:r>
            <w:r w:rsidR="00C54092">
              <w:t>However, they will ultimately be recovered through fees, as the fees are paid by land-users.</w:t>
            </w:r>
            <w:r w:rsidR="00CF2514">
              <w:t>)</w:t>
            </w:r>
            <w:r w:rsidR="00C54092" w:rsidRPr="00353F0A">
              <w:t xml:space="preserve"> </w:t>
            </w:r>
            <w:r w:rsidRPr="00353F0A">
              <w:t>Any regulatory costs</w:t>
            </w:r>
            <w:r w:rsidR="00C54092">
              <w:t xml:space="preserve"> to Government</w:t>
            </w:r>
            <w:r w:rsidRPr="00353F0A">
              <w:t xml:space="preserve"> incurred under planning laws </w:t>
            </w:r>
            <w:r w:rsidR="00790D0D">
              <w:t xml:space="preserve">(including, for example, the Planning and Environment Act) </w:t>
            </w:r>
            <w:r w:rsidRPr="00353F0A">
              <w:t>that are not directly related to the Regulations are not included</w:t>
            </w:r>
            <w:r>
              <w:t>.</w:t>
            </w:r>
          </w:p>
        </w:tc>
        <w:tc>
          <w:tcPr>
            <w:tcW w:w="1285" w:type="dxa"/>
            <w:vAlign w:val="center"/>
          </w:tcPr>
          <w:p w14:paraId="2BB0C134" w14:textId="4F44B779" w:rsidR="00C11D78" w:rsidRDefault="00C33152" w:rsidP="00305B90">
            <w:pPr>
              <w:jc w:val="center"/>
            </w:pPr>
            <w:r>
              <w:t>25</w:t>
            </w:r>
            <w:r w:rsidR="00C11D78">
              <w:t>%</w:t>
            </w:r>
          </w:p>
        </w:tc>
      </w:tr>
      <w:tr w:rsidR="00C11D78" w14:paraId="5A9C5C29" w14:textId="77777777" w:rsidTr="00705BA8">
        <w:trPr>
          <w:trHeight w:val="1224"/>
        </w:trPr>
        <w:tc>
          <w:tcPr>
            <w:tcW w:w="7175" w:type="dxa"/>
            <w:vAlign w:val="center"/>
          </w:tcPr>
          <w:p w14:paraId="48D587B0" w14:textId="2DD71F8B" w:rsidR="00C11D78" w:rsidRDefault="00C11D78" w:rsidP="007041BA">
            <w:r w:rsidRPr="00705BA8">
              <w:rPr>
                <w:b/>
                <w:color w:val="7A1818" w:themeColor="accent1" w:themeShade="BF"/>
              </w:rPr>
              <w:t xml:space="preserve">Protection of Aboriginal </w:t>
            </w:r>
            <w:r w:rsidR="007041BA">
              <w:rPr>
                <w:b/>
                <w:color w:val="7A1818" w:themeColor="accent1" w:themeShade="BF"/>
              </w:rPr>
              <w:t xml:space="preserve">cultural </w:t>
            </w:r>
            <w:r w:rsidRPr="00705BA8">
              <w:rPr>
                <w:b/>
                <w:color w:val="7A1818" w:themeColor="accent1" w:themeShade="BF"/>
              </w:rPr>
              <w:t>heritage</w:t>
            </w:r>
            <w:r>
              <w:t xml:space="preserve"> – </w:t>
            </w:r>
            <w:r w:rsidRPr="0009689A">
              <w:t xml:space="preserve">This criterion relates to the cultural, social and economic benefits experienced by both the </w:t>
            </w:r>
            <w:r>
              <w:t>Aboriginal</w:t>
            </w:r>
            <w:r w:rsidRPr="0009689A">
              <w:t xml:space="preserve"> and non-</w:t>
            </w:r>
            <w:r>
              <w:t>Aboriginal</w:t>
            </w:r>
            <w:r w:rsidRPr="0009689A">
              <w:t xml:space="preserve"> population as a result of land-users </w:t>
            </w:r>
            <w:r>
              <w:t>preparing</w:t>
            </w:r>
            <w:r w:rsidRPr="0009689A">
              <w:t xml:space="preserve"> CHMPs before undertaking a high impact activity in an area of cultural </w:t>
            </w:r>
            <w:r>
              <w:t xml:space="preserve">heritage </w:t>
            </w:r>
            <w:r w:rsidRPr="0009689A">
              <w:t>sensitivity. This also includes the benefits resulting from the implementation of the management conditions by the sponsor.</w:t>
            </w:r>
            <w:r w:rsidRPr="007041BA">
              <w:t xml:space="preserve"> </w:t>
            </w:r>
            <w:r w:rsidR="007041BA">
              <w:t>As the protection of Aboriginal cultural heritage is the primary objective of the regulatory framework, this benefit criterion is given 80 per cent of the benefit-related criteria weighting.</w:t>
            </w:r>
          </w:p>
        </w:tc>
        <w:tc>
          <w:tcPr>
            <w:tcW w:w="1285" w:type="dxa"/>
            <w:vAlign w:val="center"/>
          </w:tcPr>
          <w:p w14:paraId="42C354E3" w14:textId="47FBCD05" w:rsidR="00C11D78" w:rsidRDefault="00C11D78" w:rsidP="00305B90">
            <w:pPr>
              <w:jc w:val="center"/>
            </w:pPr>
            <w:r>
              <w:t>40%</w:t>
            </w:r>
          </w:p>
        </w:tc>
      </w:tr>
      <w:tr w:rsidR="00C11D78" w14:paraId="12492210" w14:textId="77777777" w:rsidTr="00705BA8">
        <w:trPr>
          <w:trHeight w:val="1453"/>
        </w:trPr>
        <w:tc>
          <w:tcPr>
            <w:tcW w:w="7175" w:type="dxa"/>
            <w:vAlign w:val="center"/>
          </w:tcPr>
          <w:p w14:paraId="0F4A07AC" w14:textId="1AAC9DB5" w:rsidR="00C11D78" w:rsidRDefault="00B43A8A" w:rsidP="00305B90">
            <w:r>
              <w:rPr>
                <w:b/>
                <w:color w:val="7A1818" w:themeColor="accent1" w:themeShade="BF"/>
              </w:rPr>
              <w:t>C</w:t>
            </w:r>
            <w:r w:rsidR="00C11D78" w:rsidRPr="00705BA8">
              <w:rPr>
                <w:b/>
                <w:color w:val="7A1818" w:themeColor="accent1" w:themeShade="BF"/>
              </w:rPr>
              <w:t>ertainty for land-users and RAPs</w:t>
            </w:r>
            <w:r w:rsidR="00C11D78">
              <w:t xml:space="preserve"> – </w:t>
            </w:r>
            <w:r w:rsidR="00C11D78" w:rsidRPr="0009689A">
              <w:t xml:space="preserve">This criterion reflects the benefits to land-users and RAPs from the presence of a regulatory framework to manage Aboriginal cultural heritage in Victoria. Prior to the forming of the Regulations, neither land-users nor RAPs had certainty of the process to consult with </w:t>
            </w:r>
            <w:r w:rsidR="00C11D78">
              <w:t>Aboriginal</w:t>
            </w:r>
            <w:r w:rsidR="00C11D78" w:rsidRPr="0009689A">
              <w:t xml:space="preserve"> groups, or that Aboriginal cultural heritage would be protected.</w:t>
            </w:r>
          </w:p>
        </w:tc>
        <w:tc>
          <w:tcPr>
            <w:tcW w:w="1285" w:type="dxa"/>
            <w:vAlign w:val="center"/>
          </w:tcPr>
          <w:p w14:paraId="26151812" w14:textId="21F50608" w:rsidR="00C11D78" w:rsidRDefault="00C11D78" w:rsidP="00305B90">
            <w:pPr>
              <w:jc w:val="center"/>
            </w:pPr>
            <w:r>
              <w:t>10%</w:t>
            </w:r>
          </w:p>
        </w:tc>
      </w:tr>
    </w:tbl>
    <w:p w14:paraId="0E2BC8B7" w14:textId="081FAA2E" w:rsidR="008676C8" w:rsidRDefault="0009689A" w:rsidP="00705BA8">
      <w:pPr>
        <w:spacing w:before="240"/>
      </w:pPr>
      <w:r w:rsidRPr="0009689A">
        <w:t xml:space="preserve">Land-user </w:t>
      </w:r>
      <w:r w:rsidR="008676C8" w:rsidRPr="0009689A">
        <w:t xml:space="preserve">costs </w:t>
      </w:r>
      <w:r w:rsidR="00C33152">
        <w:t xml:space="preserve">and Government and RAP costs </w:t>
      </w:r>
      <w:r w:rsidR="008676C8" w:rsidRPr="0009689A">
        <w:t xml:space="preserve">are </w:t>
      </w:r>
      <w:r w:rsidR="00C33152">
        <w:t xml:space="preserve">each </w:t>
      </w:r>
      <w:r w:rsidR="008676C8" w:rsidRPr="0009689A">
        <w:t>given a</w:t>
      </w:r>
      <w:r w:rsidR="008B7881">
        <w:t>n equal</w:t>
      </w:r>
      <w:r w:rsidR="008676C8" w:rsidRPr="0009689A">
        <w:t xml:space="preserve"> weighting of </w:t>
      </w:r>
      <w:r w:rsidR="00C33152">
        <w:t>25</w:t>
      </w:r>
      <w:r w:rsidR="008676C8" w:rsidRPr="0009689A">
        <w:t xml:space="preserve"> per cent</w:t>
      </w:r>
      <w:r w:rsidR="00C33152">
        <w:t xml:space="preserve"> as </w:t>
      </w:r>
      <w:r w:rsidR="008B7881">
        <w:t>costs</w:t>
      </w:r>
      <w:r w:rsidR="00C33152">
        <w:t xml:space="preserve"> are considered equally important to the policy design</w:t>
      </w:r>
      <w:r w:rsidR="004E6DBF">
        <w:t xml:space="preserve">, </w:t>
      </w:r>
      <w:r w:rsidR="008B7881">
        <w:t xml:space="preserve">regardless of who initially bears those costs. However, </w:t>
      </w:r>
      <w:r w:rsidR="004E6DBF">
        <w:t xml:space="preserve">the magnitude of the economic costs is more than </w:t>
      </w:r>
      <w:r w:rsidR="006F1866">
        <w:t>seven</w:t>
      </w:r>
      <w:r w:rsidR="004E6DBF">
        <w:t xml:space="preserve"> times larger for land-users as for Government and RAPs</w:t>
      </w:r>
      <w:r w:rsidR="00CB49B6">
        <w:t xml:space="preserve">. This magnitude difference </w:t>
      </w:r>
      <w:r w:rsidR="004E6DBF">
        <w:t xml:space="preserve">is reflected in the </w:t>
      </w:r>
      <w:r w:rsidR="00CB49B6">
        <w:t>size</w:t>
      </w:r>
      <w:r w:rsidR="004E6DBF">
        <w:t xml:space="preserve"> of the scores</w:t>
      </w:r>
      <w:r w:rsidR="00CB49B6">
        <w:t xml:space="preserve"> against </w:t>
      </w:r>
      <w:r w:rsidR="008B7881">
        <w:t>the relevant</w:t>
      </w:r>
      <w:r w:rsidR="00CB49B6">
        <w:t xml:space="preserve"> criterion</w:t>
      </w:r>
      <w:r w:rsidR="008B7881">
        <w:t xml:space="preserve">. That is, if one cost is double the size of another cost, the MCA scoring of the first cost is </w:t>
      </w:r>
      <w:r w:rsidR="00DF1C54">
        <w:t xml:space="preserve">generally </w:t>
      </w:r>
      <w:r w:rsidR="008B7881">
        <w:t xml:space="preserve">double the </w:t>
      </w:r>
      <w:r w:rsidR="00DF1C54">
        <w:t>scoring</w:t>
      </w:r>
      <w:r w:rsidR="008B7881">
        <w:t xml:space="preserve"> of the second cost. </w:t>
      </w:r>
      <w:r w:rsidR="008676C8" w:rsidRPr="0009689A">
        <w:t xml:space="preserve">.  </w:t>
      </w:r>
      <w:r w:rsidRPr="0009689A">
        <w:t>Aboriginal cultural protection benefits</w:t>
      </w:r>
      <w:r w:rsidR="008676C8" w:rsidRPr="0009689A">
        <w:t xml:space="preserve"> receive greater weighting </w:t>
      </w:r>
      <w:r w:rsidR="00DF1C54">
        <w:t xml:space="preserve">than other benefits </w:t>
      </w:r>
      <w:r w:rsidR="008676C8" w:rsidRPr="0009689A">
        <w:t xml:space="preserve">given the main objective of the </w:t>
      </w:r>
      <w:r w:rsidRPr="0009689A">
        <w:t xml:space="preserve">Regulations </w:t>
      </w:r>
      <w:r w:rsidR="008676C8" w:rsidRPr="0009689A">
        <w:t xml:space="preserve">is to protect </w:t>
      </w:r>
      <w:r w:rsidRPr="0009689A">
        <w:t>Aboriginal cultural heritage from damage or destruction</w:t>
      </w:r>
      <w:r w:rsidR="00052EF3">
        <w:t>.</w:t>
      </w:r>
    </w:p>
    <w:p w14:paraId="40BFC239" w14:textId="77777777" w:rsidR="008676C8" w:rsidRDefault="008676C8" w:rsidP="008676C8">
      <w:pPr>
        <w:pStyle w:val="Caption"/>
      </w:pPr>
      <w:bookmarkStart w:id="71" w:name="_Toc501723122"/>
      <w:r>
        <w:t>Scoring</w:t>
      </w:r>
      <w:bookmarkEnd w:id="71"/>
    </w:p>
    <w:p w14:paraId="5A0D95AD" w14:textId="7904180F" w:rsidR="008676C8" w:rsidRDefault="008676C8" w:rsidP="002334F1">
      <w:pPr>
        <w:pStyle w:val="PwCNormal"/>
      </w:pPr>
      <w:r w:rsidRPr="009E3788">
        <w:t>For each criterion, each option is scored on a scale of -</w:t>
      </w:r>
      <w:r w:rsidR="002453B8">
        <w:t>10</w:t>
      </w:r>
      <w:r w:rsidRPr="009E3788">
        <w:t xml:space="preserve"> to +</w:t>
      </w:r>
      <w:r w:rsidR="002453B8">
        <w:t>10</w:t>
      </w:r>
      <w:r w:rsidRPr="009E3788">
        <w:t xml:space="preserve"> in comparison to the base case (</w:t>
      </w:r>
      <w:r>
        <w:t xml:space="preserve">where </w:t>
      </w:r>
      <w:r w:rsidRPr="009E3788">
        <w:t xml:space="preserve">positive numbers reflect a benefit compared with </w:t>
      </w:r>
      <w:r w:rsidR="007E797C">
        <w:t>the base case. T</w:t>
      </w:r>
      <w:r w:rsidRPr="009E3788">
        <w:t>he overall score for each option is the sum of the score for each criterion multiplied by that criterion’s weighting. The overall scores are compared to determine the preferred option.</w:t>
      </w:r>
      <w:bookmarkStart w:id="72" w:name="_Toc500788756"/>
      <w:bookmarkStart w:id="73" w:name="_Toc501723123"/>
    </w:p>
    <w:p w14:paraId="47C8C890" w14:textId="74AEEE0E" w:rsidR="008676C8" w:rsidRDefault="00696845" w:rsidP="00705BA8">
      <w:pPr>
        <w:pStyle w:val="Heading7"/>
      </w:pPr>
      <w:r>
        <w:t>S</w:t>
      </w:r>
      <w:r w:rsidR="008676C8">
        <w:t>coring assessments</w:t>
      </w:r>
      <w:bookmarkEnd w:id="72"/>
      <w:bookmarkEnd w:id="73"/>
    </w:p>
    <w:p w14:paraId="0A8DA3B9" w14:textId="0A010C69" w:rsidR="007E797C" w:rsidRPr="007E797C" w:rsidRDefault="007E797C" w:rsidP="007E797C">
      <w:r w:rsidRPr="007E797C">
        <w:t xml:space="preserve">The baseline for the MCA is the base case, ie the scenario where </w:t>
      </w:r>
      <w:r>
        <w:t xml:space="preserve">the </w:t>
      </w:r>
      <w:r w:rsidRPr="007E797C">
        <w:t xml:space="preserve">Regulations are </w:t>
      </w:r>
      <w:r>
        <w:t>not re-made</w:t>
      </w:r>
      <w:r w:rsidRPr="007E797C">
        <w:t>. As it is the baseline no scoring has been undertaken against the base case. Nonetheless, in terms of evaluating other options against it, the base case has the following characteristics:</w:t>
      </w:r>
    </w:p>
    <w:p w14:paraId="64A42420" w14:textId="241E59EE" w:rsidR="009207B2" w:rsidRDefault="007E797C" w:rsidP="007E797C">
      <w:pPr>
        <w:pStyle w:val="ListBullet"/>
      </w:pPr>
      <w:r w:rsidRPr="009207B2">
        <w:t xml:space="preserve">Land-users in areas of cultural heritage sensitivity who are undertaking high impact activities will not, in most cases, be required to undertake </w:t>
      </w:r>
      <w:r w:rsidR="002434D4">
        <w:t xml:space="preserve">any </w:t>
      </w:r>
      <w:r w:rsidRPr="009207B2">
        <w:t xml:space="preserve">assessment of the possibility and significance of Aboriginal cultural heritage in that place. </w:t>
      </w:r>
    </w:p>
    <w:p w14:paraId="76CEA4F4" w14:textId="166AA947" w:rsidR="007E797C" w:rsidRPr="009207B2" w:rsidRDefault="007E797C" w:rsidP="009207B2">
      <w:pPr>
        <w:pStyle w:val="ListBullet2"/>
      </w:pPr>
      <w:r w:rsidRPr="009207B2">
        <w:t xml:space="preserve">This </w:t>
      </w:r>
      <w:r w:rsidR="009207B2">
        <w:t>could</w:t>
      </w:r>
      <w:r w:rsidRPr="009207B2">
        <w:t xml:space="preserve"> lead to the damage and destruction of </w:t>
      </w:r>
      <w:r w:rsidR="00D05AC9">
        <w:t>places and objects</w:t>
      </w:r>
      <w:r w:rsidRPr="009207B2">
        <w:t xml:space="preserve"> of significance to </w:t>
      </w:r>
      <w:r w:rsidR="002217DE">
        <w:t>Aboriginal</w:t>
      </w:r>
      <w:r w:rsidR="002217DE" w:rsidRPr="009207B2">
        <w:t xml:space="preserve"> </w:t>
      </w:r>
      <w:r w:rsidRPr="009207B2">
        <w:t>people</w:t>
      </w:r>
      <w:r w:rsidR="009207B2">
        <w:t xml:space="preserve">, causing cultural, social and economic harm to </w:t>
      </w:r>
      <w:r w:rsidR="002217DE">
        <w:t xml:space="preserve">Aboriginal </w:t>
      </w:r>
      <w:r w:rsidR="009207B2">
        <w:t>people, as well as the Victorian tourism industry</w:t>
      </w:r>
      <w:r w:rsidRPr="009207B2">
        <w:t>.</w:t>
      </w:r>
    </w:p>
    <w:p w14:paraId="50B8DAC5" w14:textId="14ECBFCB" w:rsidR="009207B2" w:rsidRDefault="007E797C" w:rsidP="007E797C">
      <w:pPr>
        <w:pStyle w:val="ListBullet"/>
      </w:pPr>
      <w:r w:rsidRPr="009207B2">
        <w:t xml:space="preserve">It is possible that some land-users, particularly in the public sector may choose to continue to </w:t>
      </w:r>
      <w:r w:rsidR="00392B48">
        <w:t>prepare</w:t>
      </w:r>
      <w:r w:rsidR="00392B48" w:rsidRPr="009207B2">
        <w:t xml:space="preserve"> </w:t>
      </w:r>
      <w:r w:rsidRPr="009207B2">
        <w:t xml:space="preserve">CHMPs voluntarily. </w:t>
      </w:r>
      <w:r w:rsidR="009207B2" w:rsidRPr="009207B2">
        <w:t>This could lead to a mismatch in costs between those land-users who are respectful of Aboriginal cultural heritage and those who disregard it.</w:t>
      </w:r>
    </w:p>
    <w:p w14:paraId="07BBFBDD" w14:textId="5D75357C" w:rsidR="00052EF3" w:rsidRPr="007E797C" w:rsidRDefault="00052EF3" w:rsidP="009207B2">
      <w:pPr>
        <w:pStyle w:val="ListBullet"/>
      </w:pPr>
      <w:r>
        <w:t>The government may be forced by public opinion to explore some alternative regulatory mechanism to protect Aboriginal cultural heritage, for example, purchasing</w:t>
      </w:r>
      <w:r w:rsidR="005F7D12">
        <w:t xml:space="preserve"> or ‘reserving’</w:t>
      </w:r>
      <w:r>
        <w:t xml:space="preserve"> </w:t>
      </w:r>
      <w:r w:rsidR="00D05AC9">
        <w:t xml:space="preserve">places </w:t>
      </w:r>
      <w:r>
        <w:t>with highly significant Aboriginal cultural heritage</w:t>
      </w:r>
      <w:r w:rsidR="005F7D12">
        <w:t xml:space="preserve"> for use by Aboriginal people, possibly in a similar way to what occurs with the formation of a state park or national park.</w:t>
      </w:r>
    </w:p>
    <w:p w14:paraId="71712C7D" w14:textId="649D3546" w:rsidR="00384B37" w:rsidRPr="00C33094" w:rsidRDefault="00384B37" w:rsidP="007C0109">
      <w:pPr>
        <w:pStyle w:val="Caption"/>
      </w:pPr>
      <w:r>
        <w:t>Scoring of land-user costs criterion</w:t>
      </w:r>
    </w:p>
    <w:p w14:paraId="70F858B2" w14:textId="3638DF08" w:rsidR="00384B37" w:rsidRDefault="00384B37" w:rsidP="00384B37">
      <w:pPr>
        <w:pStyle w:val="ListBullet"/>
      </w:pPr>
      <w:r>
        <w:t>Option 1</w:t>
      </w:r>
      <w:r w:rsidRPr="00F7236A">
        <w:t xml:space="preserve">: Land-users undertaking high impact activities in areas of cultural </w:t>
      </w:r>
      <w:r>
        <w:t xml:space="preserve">heritage </w:t>
      </w:r>
      <w:r w:rsidRPr="00F7236A">
        <w:t xml:space="preserve">sensitivity </w:t>
      </w:r>
      <w:r>
        <w:t>incur</w:t>
      </w:r>
      <w:r w:rsidRPr="00F7236A">
        <w:t xml:space="preserve"> costs to determine whether a CHMP is required, and if so, to commission a CHMP</w:t>
      </w:r>
      <w:r w:rsidR="00CD1BE6">
        <w:t xml:space="preserve"> and</w:t>
      </w:r>
      <w:r>
        <w:t xml:space="preserve"> </w:t>
      </w:r>
      <w:r w:rsidRPr="00F7236A">
        <w:t xml:space="preserve">implement its recommendations. In addition, some land-users will incur some level of delay costs as a result of the CHMP being </w:t>
      </w:r>
      <w:r>
        <w:t>prepared</w:t>
      </w:r>
      <w:r w:rsidRPr="00F7236A">
        <w:t>. (</w:t>
      </w:r>
      <w:r w:rsidRPr="00F7236A">
        <w:rPr>
          <w:i/>
        </w:rPr>
        <w:t>Score: -</w:t>
      </w:r>
      <w:r w:rsidR="00CF2514">
        <w:rPr>
          <w:i/>
        </w:rPr>
        <w:t>7</w:t>
      </w:r>
      <w:r w:rsidRPr="00F7236A">
        <w:rPr>
          <w:i/>
        </w:rPr>
        <w:t>)</w:t>
      </w:r>
    </w:p>
    <w:p w14:paraId="1AAAC6BD" w14:textId="677A72AA" w:rsidR="006A0E58" w:rsidRPr="00F7236A" w:rsidRDefault="006A0E58" w:rsidP="006A0E58">
      <w:pPr>
        <w:pStyle w:val="ListBullet"/>
      </w:pPr>
      <w:r>
        <w:t>Option 2</w:t>
      </w:r>
      <w:r w:rsidRPr="00F7236A">
        <w:t xml:space="preserve">: </w:t>
      </w:r>
      <w:r>
        <w:t>Compared to Option 1, land-users will be required to prepare more CHMPs per year on average due to the increases in the number of triggers. This will be offset to a small degree by a minor reduction in costs from engaging a heritage advisor to determine whether a CHMP is required, due to added clarity in the Regulations</w:t>
      </w:r>
      <w:r w:rsidRPr="00F7236A">
        <w:t>.</w:t>
      </w:r>
      <w:r w:rsidR="00384B37">
        <w:t xml:space="preserve"> </w:t>
      </w:r>
      <w:r w:rsidRPr="00F7236A">
        <w:t>(</w:t>
      </w:r>
      <w:r>
        <w:rPr>
          <w:i/>
        </w:rPr>
        <w:t>Score: -</w:t>
      </w:r>
      <w:r w:rsidR="00CF2514">
        <w:rPr>
          <w:i/>
        </w:rPr>
        <w:t>8</w:t>
      </w:r>
      <w:r w:rsidRPr="00F7236A">
        <w:rPr>
          <w:i/>
        </w:rPr>
        <w:t>)</w:t>
      </w:r>
    </w:p>
    <w:p w14:paraId="432D4A48" w14:textId="40061CE6" w:rsidR="006A0E58" w:rsidRDefault="006A0E58" w:rsidP="00705BA8">
      <w:pPr>
        <w:pStyle w:val="ListBullet"/>
      </w:pPr>
      <w:r>
        <w:t>Option 3</w:t>
      </w:r>
      <w:r w:rsidRPr="00F7236A">
        <w:t xml:space="preserve">: </w:t>
      </w:r>
      <w:r>
        <w:t>Compared to Option 1 and Option 2, land-users should see a fall in costs under Option 3, due to a greater level of clarity leading to potentially fewer CHMPs with complex assessments</w:t>
      </w:r>
      <w:r w:rsidRPr="00F7236A">
        <w:t>.</w:t>
      </w:r>
      <w:r>
        <w:t xml:space="preserve"> In addition, the overall cost of management conditions may fall somewhat as the updated guidance provides improved information around when each management condition is required.</w:t>
      </w:r>
      <w:r w:rsidR="00384B37" w:rsidRPr="00384B37">
        <w:t xml:space="preserve"> </w:t>
      </w:r>
      <w:r w:rsidRPr="00F7236A">
        <w:t>(</w:t>
      </w:r>
      <w:r>
        <w:rPr>
          <w:i/>
        </w:rPr>
        <w:t>Score: -</w:t>
      </w:r>
      <w:r w:rsidR="00CF2514">
        <w:rPr>
          <w:i/>
        </w:rPr>
        <w:t>6</w:t>
      </w:r>
      <w:r w:rsidRPr="00F7236A">
        <w:rPr>
          <w:i/>
        </w:rPr>
        <w:t>)</w:t>
      </w:r>
    </w:p>
    <w:p w14:paraId="4A863516" w14:textId="65C63862" w:rsidR="00AF4810" w:rsidRDefault="00AF4810" w:rsidP="007C0109">
      <w:pPr>
        <w:pStyle w:val="Caption"/>
      </w:pPr>
      <w:r>
        <w:t>Scoring of Government and RAP costs criterion</w:t>
      </w:r>
    </w:p>
    <w:p w14:paraId="3832E709" w14:textId="458F7381" w:rsidR="00052EF3" w:rsidRPr="007C0109" w:rsidRDefault="00AF4810" w:rsidP="00705BA8">
      <w:pPr>
        <w:pStyle w:val="ListBullet"/>
      </w:pPr>
      <w:r>
        <w:t>Option 1</w:t>
      </w:r>
      <w:r w:rsidR="008676C8" w:rsidRPr="00F7236A">
        <w:t xml:space="preserve">: </w:t>
      </w:r>
      <w:r w:rsidR="00052EF3" w:rsidRPr="00F7236A">
        <w:t xml:space="preserve">Government is required to monitor and enforce compliance with the Regulations, as well as conduct </w:t>
      </w:r>
      <w:r w:rsidR="00BC550B">
        <w:t>evaluations</w:t>
      </w:r>
      <w:r w:rsidR="00052EF3" w:rsidRPr="00F7236A">
        <w:t xml:space="preserve">. However, the Regulations gives the power to recover fees for conducting the </w:t>
      </w:r>
      <w:r w:rsidR="00BC550B">
        <w:t>evaluations</w:t>
      </w:r>
      <w:r w:rsidR="00BC550B" w:rsidRPr="00F7236A">
        <w:t xml:space="preserve"> </w:t>
      </w:r>
      <w:r w:rsidR="00052EF3" w:rsidRPr="00F7236A">
        <w:t xml:space="preserve">(including </w:t>
      </w:r>
      <w:r w:rsidR="00FE1681">
        <w:t xml:space="preserve">the 11 CHMPs </w:t>
      </w:r>
      <w:r w:rsidR="00052EF3" w:rsidRPr="00F7236A">
        <w:t>that would be required under the base case)</w:t>
      </w:r>
      <w:r w:rsidR="00FE1681">
        <w:t>, offsetting some of its cost</w:t>
      </w:r>
      <w:r w:rsidR="00052EF3" w:rsidRPr="00F7236A">
        <w:t xml:space="preserve">. </w:t>
      </w:r>
      <w:r w:rsidR="00052EF3" w:rsidRPr="00F7236A">
        <w:rPr>
          <w:i/>
        </w:rPr>
        <w:t>(Score: -</w:t>
      </w:r>
      <w:r w:rsidR="006F1866">
        <w:rPr>
          <w:i/>
        </w:rPr>
        <w:t>1</w:t>
      </w:r>
      <w:r w:rsidR="00052EF3" w:rsidRPr="00F7236A">
        <w:rPr>
          <w:i/>
        </w:rPr>
        <w:t>)</w:t>
      </w:r>
    </w:p>
    <w:p w14:paraId="211D0BC9" w14:textId="2B4EEE70" w:rsidR="00AF4810" w:rsidRPr="00F7236A" w:rsidRDefault="00AF4810" w:rsidP="00AF4810">
      <w:pPr>
        <w:pStyle w:val="ListBullet"/>
      </w:pPr>
      <w:r>
        <w:t>Option 2</w:t>
      </w:r>
      <w:r w:rsidRPr="00F7236A">
        <w:t xml:space="preserve">: </w:t>
      </w:r>
      <w:r>
        <w:t>The increase in the number of CHMPs will require greater government resources to monitor and enforce compliance compared to Option 1.</w:t>
      </w:r>
      <w:r w:rsidRPr="00F7236A">
        <w:t xml:space="preserve"> </w:t>
      </w:r>
      <w:r w:rsidRPr="00F7236A">
        <w:rPr>
          <w:i/>
        </w:rPr>
        <w:t>(Score: -</w:t>
      </w:r>
      <w:r w:rsidR="006F1866">
        <w:rPr>
          <w:i/>
        </w:rPr>
        <w:t>1</w:t>
      </w:r>
      <w:r w:rsidRPr="00F7236A">
        <w:rPr>
          <w:i/>
        </w:rPr>
        <w:t>)</w:t>
      </w:r>
    </w:p>
    <w:p w14:paraId="2DFDF167" w14:textId="0E1DF89C" w:rsidR="00AF4810" w:rsidRPr="00F7236A" w:rsidRDefault="00AF4810" w:rsidP="00AF4810">
      <w:pPr>
        <w:pStyle w:val="ListBullet"/>
      </w:pPr>
      <w:r>
        <w:t>Option 3</w:t>
      </w:r>
      <w:r w:rsidRPr="00F7236A">
        <w:t xml:space="preserve">: </w:t>
      </w:r>
      <w:r>
        <w:t xml:space="preserve">Government costs will be similar to Option 1 given similar amounts of CHMPs are anticipated. Given the increase in clarity of standards for </w:t>
      </w:r>
      <w:r w:rsidR="00F004E9">
        <w:t>the preparation of a CHMP, it is possible that other aspects of regulatory effort (eg communications, monitoring and enforcement) will fall in cost, however, the conservative assumption has been made that costs will not fall significantly.</w:t>
      </w:r>
      <w:r w:rsidRPr="00F7236A">
        <w:t xml:space="preserve"> </w:t>
      </w:r>
      <w:r w:rsidRPr="00F7236A">
        <w:rPr>
          <w:i/>
        </w:rPr>
        <w:t>(Score: -</w:t>
      </w:r>
      <w:r w:rsidR="006F1866">
        <w:rPr>
          <w:i/>
        </w:rPr>
        <w:t>1</w:t>
      </w:r>
      <w:r w:rsidRPr="00F7236A">
        <w:rPr>
          <w:i/>
        </w:rPr>
        <w:t>)</w:t>
      </w:r>
    </w:p>
    <w:p w14:paraId="64EA4635" w14:textId="19635456" w:rsidR="008676C8" w:rsidRPr="002334F1" w:rsidRDefault="00AF4810" w:rsidP="007C0109">
      <w:pPr>
        <w:pStyle w:val="Caption"/>
        <w:ind w:left="0" w:firstLine="0"/>
      </w:pPr>
      <w:r>
        <w:t>Scoring of b</w:t>
      </w:r>
      <w:r w:rsidRPr="00AF4810">
        <w:t>enefits from the protection of Aboriginal cultural heritage</w:t>
      </w:r>
      <w:r>
        <w:t xml:space="preserve"> criterion</w:t>
      </w:r>
    </w:p>
    <w:p w14:paraId="0A945EC9" w14:textId="3145902C" w:rsidR="008676C8" w:rsidRPr="002334F1" w:rsidRDefault="00AF4810" w:rsidP="00705BA8">
      <w:pPr>
        <w:pStyle w:val="ListBullet"/>
      </w:pPr>
      <w:r>
        <w:t>Option 1</w:t>
      </w:r>
      <w:r w:rsidR="008676C8" w:rsidRPr="002334F1">
        <w:t>:</w:t>
      </w:r>
      <w:r w:rsidR="00242ABB" w:rsidRPr="002334F1">
        <w:t xml:space="preserve"> For each </w:t>
      </w:r>
      <w:r w:rsidR="00D05AC9">
        <w:t>place</w:t>
      </w:r>
      <w:r w:rsidR="00D05AC9" w:rsidRPr="002334F1">
        <w:t xml:space="preserve"> </w:t>
      </w:r>
      <w:r w:rsidR="00242ABB" w:rsidRPr="002334F1">
        <w:t>protected by the CHMP process under Option 1, c</w:t>
      </w:r>
      <w:r w:rsidR="00052EF3" w:rsidRPr="002334F1">
        <w:t xml:space="preserve">ultural, social and economic benefits accrue to Victoria due to Option 1. This includes the stated values to </w:t>
      </w:r>
      <w:r w:rsidR="002217DE">
        <w:t>Aboriginal</w:t>
      </w:r>
      <w:r w:rsidR="002217DE" w:rsidRPr="002334F1">
        <w:t xml:space="preserve"> </w:t>
      </w:r>
      <w:r w:rsidR="00052EF3" w:rsidRPr="002334F1">
        <w:t xml:space="preserve">people (discussed in Section </w:t>
      </w:r>
      <w:r w:rsidR="00052EF3" w:rsidRPr="002334F1">
        <w:fldChar w:fldCharType="begin"/>
      </w:r>
      <w:r w:rsidR="00052EF3" w:rsidRPr="002334F1">
        <w:instrText xml:space="preserve"> REF _Ref501484897 \n \h </w:instrText>
      </w:r>
      <w:r w:rsidR="002334F1">
        <w:instrText xml:space="preserve"> \* MERGEFORMAT </w:instrText>
      </w:r>
      <w:r w:rsidR="00052EF3" w:rsidRPr="002334F1">
        <w:fldChar w:fldCharType="separate"/>
      </w:r>
      <w:r w:rsidR="000369A1">
        <w:t>6.2.2</w:t>
      </w:r>
      <w:r w:rsidR="00052EF3" w:rsidRPr="002334F1">
        <w:fldChar w:fldCharType="end"/>
      </w:r>
      <w:r w:rsidR="00242ABB" w:rsidRPr="002334F1">
        <w:t>), the economic value of heritage from tourism and the justice and health benefits of heritage.</w:t>
      </w:r>
      <w:r w:rsidR="008676C8" w:rsidRPr="002334F1">
        <w:t xml:space="preserve"> (</w:t>
      </w:r>
      <w:r w:rsidR="008676C8" w:rsidRPr="002334F1">
        <w:rPr>
          <w:i/>
        </w:rPr>
        <w:t>Score: +</w:t>
      </w:r>
      <w:r w:rsidR="002453B8">
        <w:rPr>
          <w:i/>
        </w:rPr>
        <w:t>6</w:t>
      </w:r>
      <w:r w:rsidR="008676C8" w:rsidRPr="002334F1">
        <w:rPr>
          <w:i/>
        </w:rPr>
        <w:t>)</w:t>
      </w:r>
    </w:p>
    <w:p w14:paraId="5D69E8A6" w14:textId="2ED73BCF" w:rsidR="00AF4810" w:rsidRPr="007C0109" w:rsidRDefault="00AF4810" w:rsidP="00AF4810">
      <w:pPr>
        <w:pStyle w:val="ListBullet"/>
      </w:pPr>
      <w:r>
        <w:t>Option 2</w:t>
      </w:r>
      <w:r w:rsidRPr="002334F1">
        <w:t xml:space="preserve">: </w:t>
      </w:r>
      <w:r>
        <w:t>A greater number of CHMPs prepared will mean that more places of Aboriginal cultural heritage are protected than Option 1.</w:t>
      </w:r>
      <w:r w:rsidR="00CB0115">
        <w:rPr>
          <w:rStyle w:val="FootnoteReference"/>
        </w:rPr>
        <w:footnoteReference w:id="107"/>
      </w:r>
      <w:r>
        <w:t xml:space="preserve"> </w:t>
      </w:r>
      <w:r w:rsidRPr="002334F1">
        <w:t>(</w:t>
      </w:r>
      <w:r w:rsidRPr="002334F1">
        <w:rPr>
          <w:i/>
        </w:rPr>
        <w:t>Score: +</w:t>
      </w:r>
      <w:r w:rsidR="008D18AD">
        <w:rPr>
          <w:i/>
        </w:rPr>
        <w:t>8</w:t>
      </w:r>
      <w:r w:rsidRPr="002334F1">
        <w:rPr>
          <w:i/>
        </w:rPr>
        <w:t>)</w:t>
      </w:r>
    </w:p>
    <w:p w14:paraId="6973C2A8" w14:textId="3106C8AD" w:rsidR="00AF4810" w:rsidRPr="002334F1" w:rsidRDefault="00AF4810" w:rsidP="00AF4810">
      <w:pPr>
        <w:pStyle w:val="ListBullet"/>
      </w:pPr>
      <w:r w:rsidRPr="002334F1">
        <w:t xml:space="preserve">Benefits from the protection of Aboriginal cultural heritage: </w:t>
      </w:r>
      <w:r>
        <w:t xml:space="preserve">The change to provide greater clarity of management conditions should lead to improved preservation of places and objects of significance to Aboriginal people. </w:t>
      </w:r>
      <w:r w:rsidRPr="002334F1">
        <w:t>(</w:t>
      </w:r>
      <w:r w:rsidRPr="002334F1">
        <w:rPr>
          <w:i/>
        </w:rPr>
        <w:t>Score: +</w:t>
      </w:r>
      <w:r>
        <w:rPr>
          <w:i/>
        </w:rPr>
        <w:t>7</w:t>
      </w:r>
      <w:r w:rsidRPr="002334F1">
        <w:rPr>
          <w:i/>
        </w:rPr>
        <w:t>)</w:t>
      </w:r>
    </w:p>
    <w:p w14:paraId="712C8A60" w14:textId="03CC21F7" w:rsidR="00AF4810" w:rsidRDefault="00AF4810" w:rsidP="007C0109">
      <w:pPr>
        <w:pStyle w:val="Caption"/>
      </w:pPr>
      <w:r>
        <w:t>Scoring of b</w:t>
      </w:r>
      <w:r w:rsidRPr="002334F1">
        <w:t>enefits from increased certainty</w:t>
      </w:r>
      <w:r>
        <w:t xml:space="preserve"> criterion</w:t>
      </w:r>
    </w:p>
    <w:p w14:paraId="7904FE56" w14:textId="3F160C9D" w:rsidR="008676C8" w:rsidRPr="007C0109" w:rsidRDefault="00AF4810" w:rsidP="00705BA8">
      <w:pPr>
        <w:pStyle w:val="ListBullet"/>
      </w:pPr>
      <w:r>
        <w:t>Option 1</w:t>
      </w:r>
      <w:r w:rsidR="008676C8" w:rsidRPr="002334F1">
        <w:t xml:space="preserve">: </w:t>
      </w:r>
      <w:r w:rsidR="002334F1" w:rsidRPr="002334F1">
        <w:t xml:space="preserve">Option 1 provides a framework for land-users and </w:t>
      </w:r>
      <w:r w:rsidR="002217DE">
        <w:t>Aboriginal</w:t>
      </w:r>
      <w:r w:rsidR="002217DE" w:rsidRPr="002334F1">
        <w:t xml:space="preserve"> </w:t>
      </w:r>
      <w:r w:rsidR="002334F1" w:rsidRPr="002334F1">
        <w:t xml:space="preserve">people to manage the development of land, and for </w:t>
      </w:r>
      <w:r w:rsidR="002217DE">
        <w:t>Aboriginal</w:t>
      </w:r>
      <w:r w:rsidR="002217DE" w:rsidRPr="002334F1">
        <w:t xml:space="preserve"> </w:t>
      </w:r>
      <w:r w:rsidR="002334F1" w:rsidRPr="002334F1">
        <w:t xml:space="preserve">groups to be consulted. </w:t>
      </w:r>
      <w:r w:rsidR="008676C8" w:rsidRPr="002334F1">
        <w:t>(</w:t>
      </w:r>
      <w:r w:rsidR="00392D12" w:rsidRPr="002334F1">
        <w:rPr>
          <w:i/>
        </w:rPr>
        <w:t>Score: +</w:t>
      </w:r>
      <w:r w:rsidR="002453B8">
        <w:rPr>
          <w:i/>
        </w:rPr>
        <w:t>6</w:t>
      </w:r>
      <w:r w:rsidR="008676C8" w:rsidRPr="002334F1">
        <w:rPr>
          <w:i/>
        </w:rPr>
        <w:t>)</w:t>
      </w:r>
    </w:p>
    <w:p w14:paraId="55D1F20C" w14:textId="31454F11" w:rsidR="00AF4810" w:rsidRPr="002334F1" w:rsidRDefault="00AF4810" w:rsidP="00AF4810">
      <w:pPr>
        <w:pStyle w:val="ListBullet"/>
      </w:pPr>
      <w:r>
        <w:t>Option 2</w:t>
      </w:r>
      <w:r w:rsidRPr="002334F1">
        <w:t xml:space="preserve">: </w:t>
      </w:r>
      <w:r>
        <w:t xml:space="preserve">Like </w:t>
      </w:r>
      <w:r w:rsidRPr="002334F1">
        <w:t>Option 1</w:t>
      </w:r>
      <w:r>
        <w:t>, Option 2</w:t>
      </w:r>
      <w:r w:rsidRPr="002334F1">
        <w:t xml:space="preserve"> provides a framework for land-users and </w:t>
      </w:r>
      <w:r>
        <w:t>Aboriginal</w:t>
      </w:r>
      <w:r w:rsidRPr="002334F1">
        <w:t xml:space="preserve"> people to manage the development of land, and for </w:t>
      </w:r>
      <w:r>
        <w:t>Aboriginal</w:t>
      </w:r>
      <w:r w:rsidRPr="002334F1">
        <w:t xml:space="preserve"> groups to be consulted. (</w:t>
      </w:r>
      <w:r w:rsidRPr="002334F1">
        <w:rPr>
          <w:i/>
        </w:rPr>
        <w:t>Score: +</w:t>
      </w:r>
      <w:r>
        <w:rPr>
          <w:i/>
        </w:rPr>
        <w:t>6</w:t>
      </w:r>
      <w:r w:rsidRPr="002334F1">
        <w:rPr>
          <w:i/>
        </w:rPr>
        <w:t>)</w:t>
      </w:r>
    </w:p>
    <w:p w14:paraId="6F5B913A" w14:textId="68E16C41" w:rsidR="000B49F1" w:rsidRPr="002334F1" w:rsidRDefault="00AF4810">
      <w:pPr>
        <w:pStyle w:val="ListBullet"/>
      </w:pPr>
      <w:r>
        <w:t>Option 3</w:t>
      </w:r>
      <w:r w:rsidRPr="002334F1">
        <w:t xml:space="preserve">: </w:t>
      </w:r>
      <w:r>
        <w:t>Compared to the other options, Option 3 enhance the framework for land-users and Aboriginal people to management development activity by providing improved guidance as to the level of information required in a CHMP (separate to the clarity around when management conditions are required).</w:t>
      </w:r>
      <w:r w:rsidRPr="002334F1">
        <w:t xml:space="preserve"> (</w:t>
      </w:r>
      <w:r w:rsidRPr="002334F1">
        <w:rPr>
          <w:i/>
        </w:rPr>
        <w:t>Score: +</w:t>
      </w:r>
      <w:r>
        <w:rPr>
          <w:i/>
        </w:rPr>
        <w:t>7</w:t>
      </w:r>
      <w:r w:rsidRPr="002334F1">
        <w:rPr>
          <w:i/>
        </w:rPr>
        <w:t>)</w:t>
      </w:r>
    </w:p>
    <w:p w14:paraId="2F893469" w14:textId="77777777" w:rsidR="008676C8" w:rsidRDefault="008676C8" w:rsidP="008676C8">
      <w:pPr>
        <w:pStyle w:val="Caption"/>
      </w:pPr>
      <w:r>
        <w:t>Summary of MCA scores</w:t>
      </w:r>
    </w:p>
    <w:p w14:paraId="3DAC6B73" w14:textId="12DCDFB3" w:rsidR="008676C8" w:rsidRPr="007442D3" w:rsidRDefault="008676C8" w:rsidP="008676C8">
      <w:r>
        <w:fldChar w:fldCharType="begin"/>
      </w:r>
      <w:r>
        <w:instrText xml:space="preserve"> REF _Ref500786487 \h </w:instrText>
      </w:r>
      <w:r>
        <w:fldChar w:fldCharType="separate"/>
      </w:r>
      <w:r w:rsidR="000369A1">
        <w:t xml:space="preserve">Table </w:t>
      </w:r>
      <w:r w:rsidR="000369A1">
        <w:rPr>
          <w:noProof/>
        </w:rPr>
        <w:t>20</w:t>
      </w:r>
      <w:r>
        <w:fldChar w:fldCharType="end"/>
      </w:r>
      <w:r>
        <w:t xml:space="preserve"> provides the initial MCA scoring of the Options.</w:t>
      </w:r>
      <w:r w:rsidRPr="00E466C5">
        <w:t xml:space="preserve"> </w:t>
      </w:r>
      <w:r>
        <w:t>These scores and their components provide an indication of the relative costs and benefits of each option.</w:t>
      </w:r>
    </w:p>
    <w:p w14:paraId="1AA2E34F" w14:textId="3E7E97F7" w:rsidR="008676C8" w:rsidRDefault="008676C8" w:rsidP="008676C8">
      <w:pPr>
        <w:pStyle w:val="Caption"/>
      </w:pPr>
      <w:bookmarkStart w:id="74" w:name="_Ref500786487"/>
      <w:r>
        <w:t xml:space="preserve">Table </w:t>
      </w:r>
      <w:r w:rsidR="00B47FE6">
        <w:fldChar w:fldCharType="begin"/>
      </w:r>
      <w:r w:rsidR="00B47FE6">
        <w:instrText xml:space="preserve"> SEQ Table \* ARABIC </w:instrText>
      </w:r>
      <w:r w:rsidR="00B47FE6">
        <w:fldChar w:fldCharType="separate"/>
      </w:r>
      <w:r w:rsidR="000369A1">
        <w:rPr>
          <w:noProof/>
        </w:rPr>
        <w:t>20</w:t>
      </w:r>
      <w:r w:rsidR="00B47FE6">
        <w:rPr>
          <w:noProof/>
        </w:rPr>
        <w:fldChar w:fldCharType="end"/>
      </w:r>
      <w:bookmarkEnd w:id="74"/>
      <w:r w:rsidR="003E6862">
        <w:t>:</w:t>
      </w:r>
      <w:r>
        <w:t xml:space="preserve"> MCA scoring against the Options</w:t>
      </w:r>
    </w:p>
    <w:tbl>
      <w:tblPr>
        <w:tblStyle w:val="TableGrid"/>
        <w:tblW w:w="0" w:type="auto"/>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1577"/>
        <w:gridCol w:w="821"/>
        <w:gridCol w:w="1209"/>
        <w:gridCol w:w="814"/>
        <w:gridCol w:w="1209"/>
        <w:gridCol w:w="785"/>
        <w:gridCol w:w="1141"/>
      </w:tblGrid>
      <w:tr w:rsidR="00C33094" w14:paraId="21728867" w14:textId="77777777" w:rsidTr="00705BA8">
        <w:trPr>
          <w:cantSplit/>
          <w:trHeight w:val="194"/>
        </w:trPr>
        <w:tc>
          <w:tcPr>
            <w:tcW w:w="1577" w:type="dxa"/>
            <w:shd w:val="clear" w:color="auto" w:fill="A32020" w:themeFill="text2"/>
            <w:vAlign w:val="center"/>
          </w:tcPr>
          <w:p w14:paraId="75F720F1" w14:textId="77777777" w:rsidR="00C33094" w:rsidRPr="00FD6B9D" w:rsidRDefault="00C33094" w:rsidP="00353F0A">
            <w:pPr>
              <w:rPr>
                <w:b/>
                <w:color w:val="FFFFFF" w:themeColor="background1"/>
              </w:rPr>
            </w:pPr>
            <w:r w:rsidRPr="00FD6B9D">
              <w:rPr>
                <w:b/>
                <w:color w:val="FFFFFF" w:themeColor="background1"/>
              </w:rPr>
              <w:t>Criteria</w:t>
            </w:r>
          </w:p>
        </w:tc>
        <w:tc>
          <w:tcPr>
            <w:tcW w:w="2030" w:type="dxa"/>
            <w:gridSpan w:val="2"/>
            <w:shd w:val="clear" w:color="auto" w:fill="A32020" w:themeFill="text2"/>
            <w:vAlign w:val="center"/>
          </w:tcPr>
          <w:p w14:paraId="36D513FF" w14:textId="3F0EA200" w:rsidR="00C33094" w:rsidRPr="00FD6B9D" w:rsidRDefault="00C33094" w:rsidP="00353F0A">
            <w:pPr>
              <w:jc w:val="center"/>
              <w:rPr>
                <w:b/>
                <w:color w:val="FFFFFF" w:themeColor="background1"/>
              </w:rPr>
            </w:pPr>
            <w:r>
              <w:rPr>
                <w:b/>
                <w:color w:val="FFFFFF" w:themeColor="background1"/>
              </w:rPr>
              <w:t>Option 1</w:t>
            </w:r>
          </w:p>
        </w:tc>
        <w:tc>
          <w:tcPr>
            <w:tcW w:w="2023" w:type="dxa"/>
            <w:gridSpan w:val="2"/>
            <w:shd w:val="clear" w:color="auto" w:fill="A32020" w:themeFill="text2"/>
            <w:vAlign w:val="center"/>
          </w:tcPr>
          <w:p w14:paraId="276CFF32" w14:textId="2772F732" w:rsidR="00C33094" w:rsidRPr="00FD6B9D" w:rsidRDefault="00C33094" w:rsidP="00353F0A">
            <w:pPr>
              <w:jc w:val="center"/>
              <w:rPr>
                <w:b/>
                <w:color w:val="FFFFFF" w:themeColor="background1"/>
              </w:rPr>
            </w:pPr>
            <w:r>
              <w:rPr>
                <w:b/>
                <w:color w:val="FFFFFF" w:themeColor="background1"/>
              </w:rPr>
              <w:t>Option 2</w:t>
            </w:r>
          </w:p>
        </w:tc>
        <w:tc>
          <w:tcPr>
            <w:tcW w:w="1926" w:type="dxa"/>
            <w:gridSpan w:val="2"/>
            <w:shd w:val="clear" w:color="auto" w:fill="A32020" w:themeFill="text2"/>
            <w:vAlign w:val="center"/>
          </w:tcPr>
          <w:p w14:paraId="1B86E7AD" w14:textId="405FDF23" w:rsidR="00C33094" w:rsidRPr="00FD6B9D" w:rsidRDefault="00C33094" w:rsidP="00353F0A">
            <w:pPr>
              <w:jc w:val="center"/>
              <w:rPr>
                <w:b/>
                <w:color w:val="FFFFFF" w:themeColor="background1"/>
              </w:rPr>
            </w:pPr>
            <w:r>
              <w:rPr>
                <w:b/>
                <w:color w:val="FFFFFF" w:themeColor="background1"/>
              </w:rPr>
              <w:t>Option 3</w:t>
            </w:r>
          </w:p>
        </w:tc>
      </w:tr>
      <w:tr w:rsidR="00C33094" w14:paraId="4D80C0A5" w14:textId="77777777" w:rsidTr="00705BA8">
        <w:trPr>
          <w:cantSplit/>
          <w:trHeight w:val="388"/>
        </w:trPr>
        <w:tc>
          <w:tcPr>
            <w:tcW w:w="1577" w:type="dxa"/>
            <w:shd w:val="clear" w:color="auto" w:fill="F4CACA" w:themeFill="accent1" w:themeFillTint="33"/>
            <w:vAlign w:val="center"/>
          </w:tcPr>
          <w:p w14:paraId="41E7A5DE" w14:textId="77777777" w:rsidR="00C33094" w:rsidRDefault="00C33094" w:rsidP="00353F0A">
            <w:r>
              <w:t>Scores</w:t>
            </w:r>
          </w:p>
        </w:tc>
        <w:tc>
          <w:tcPr>
            <w:tcW w:w="821" w:type="dxa"/>
            <w:shd w:val="clear" w:color="auto" w:fill="F4CACA" w:themeFill="accent1" w:themeFillTint="33"/>
            <w:vAlign w:val="center"/>
          </w:tcPr>
          <w:p w14:paraId="330B9451" w14:textId="77777777" w:rsidR="00C33094" w:rsidRDefault="00C33094">
            <w:pPr>
              <w:jc w:val="center"/>
            </w:pPr>
            <w:r>
              <w:t>Score</w:t>
            </w:r>
          </w:p>
        </w:tc>
        <w:tc>
          <w:tcPr>
            <w:tcW w:w="1209" w:type="dxa"/>
            <w:shd w:val="clear" w:color="auto" w:fill="F4CACA" w:themeFill="accent1" w:themeFillTint="33"/>
            <w:vAlign w:val="center"/>
          </w:tcPr>
          <w:p w14:paraId="5E45A324" w14:textId="77777777" w:rsidR="00C33094" w:rsidRDefault="00C33094">
            <w:pPr>
              <w:jc w:val="center"/>
            </w:pPr>
            <w:r>
              <w:t>Weighted-score</w:t>
            </w:r>
          </w:p>
        </w:tc>
        <w:tc>
          <w:tcPr>
            <w:tcW w:w="814" w:type="dxa"/>
            <w:shd w:val="clear" w:color="auto" w:fill="F4CACA" w:themeFill="accent1" w:themeFillTint="33"/>
            <w:vAlign w:val="center"/>
          </w:tcPr>
          <w:p w14:paraId="3090935D" w14:textId="77777777" w:rsidR="00C33094" w:rsidRDefault="00C33094">
            <w:pPr>
              <w:jc w:val="center"/>
            </w:pPr>
            <w:r>
              <w:t>Score</w:t>
            </w:r>
          </w:p>
        </w:tc>
        <w:tc>
          <w:tcPr>
            <w:tcW w:w="1209" w:type="dxa"/>
            <w:shd w:val="clear" w:color="auto" w:fill="F4CACA" w:themeFill="accent1" w:themeFillTint="33"/>
            <w:vAlign w:val="center"/>
          </w:tcPr>
          <w:p w14:paraId="35723738" w14:textId="77777777" w:rsidR="00C33094" w:rsidRDefault="00C33094">
            <w:pPr>
              <w:jc w:val="center"/>
            </w:pPr>
            <w:r>
              <w:t>Weighted-score</w:t>
            </w:r>
          </w:p>
        </w:tc>
        <w:tc>
          <w:tcPr>
            <w:tcW w:w="785" w:type="dxa"/>
            <w:shd w:val="clear" w:color="auto" w:fill="F4CACA" w:themeFill="accent1" w:themeFillTint="33"/>
            <w:vAlign w:val="center"/>
          </w:tcPr>
          <w:p w14:paraId="79BD306A" w14:textId="77777777" w:rsidR="00C33094" w:rsidRDefault="00C33094">
            <w:pPr>
              <w:jc w:val="center"/>
            </w:pPr>
            <w:r>
              <w:t>Score</w:t>
            </w:r>
          </w:p>
        </w:tc>
        <w:tc>
          <w:tcPr>
            <w:tcW w:w="1141" w:type="dxa"/>
            <w:shd w:val="clear" w:color="auto" w:fill="F4CACA" w:themeFill="accent1" w:themeFillTint="33"/>
            <w:vAlign w:val="center"/>
          </w:tcPr>
          <w:p w14:paraId="69F740E0" w14:textId="77777777" w:rsidR="00C33094" w:rsidRDefault="00C33094">
            <w:pPr>
              <w:jc w:val="center"/>
            </w:pPr>
            <w:r>
              <w:t>Weighted-score</w:t>
            </w:r>
          </w:p>
        </w:tc>
      </w:tr>
      <w:tr w:rsidR="00C33094" w14:paraId="7EC6067F" w14:textId="77777777" w:rsidTr="00705BA8">
        <w:trPr>
          <w:cantSplit/>
          <w:trHeight w:val="388"/>
        </w:trPr>
        <w:tc>
          <w:tcPr>
            <w:tcW w:w="1577" w:type="dxa"/>
            <w:vAlign w:val="center"/>
          </w:tcPr>
          <w:p w14:paraId="5F6B49AA" w14:textId="121E4473" w:rsidR="00C33094" w:rsidRDefault="00C33094" w:rsidP="00353F0A">
            <w:r>
              <w:t>Land-user costs (</w:t>
            </w:r>
            <w:r w:rsidR="00933F1C">
              <w:t>25</w:t>
            </w:r>
            <w:r>
              <w:t>%)</w:t>
            </w:r>
          </w:p>
        </w:tc>
        <w:tc>
          <w:tcPr>
            <w:tcW w:w="821" w:type="dxa"/>
            <w:vAlign w:val="center"/>
          </w:tcPr>
          <w:p w14:paraId="410A25AA" w14:textId="2E34B7DC" w:rsidR="00C33094" w:rsidRDefault="007E797C" w:rsidP="00353F0A">
            <w:pPr>
              <w:jc w:val="center"/>
            </w:pPr>
            <w:r>
              <w:t>-</w:t>
            </w:r>
            <w:r w:rsidR="006F1866">
              <w:t>7</w:t>
            </w:r>
          </w:p>
        </w:tc>
        <w:tc>
          <w:tcPr>
            <w:tcW w:w="1209" w:type="dxa"/>
            <w:vAlign w:val="center"/>
          </w:tcPr>
          <w:p w14:paraId="3D53D322" w14:textId="377E42B9" w:rsidR="00C33094" w:rsidRDefault="002334F1" w:rsidP="00353F0A">
            <w:pPr>
              <w:jc w:val="center"/>
            </w:pPr>
            <w:r>
              <w:t>-</w:t>
            </w:r>
            <w:r w:rsidR="006F1866">
              <w:t>1.75</w:t>
            </w:r>
          </w:p>
        </w:tc>
        <w:tc>
          <w:tcPr>
            <w:tcW w:w="814" w:type="dxa"/>
            <w:vAlign w:val="center"/>
          </w:tcPr>
          <w:p w14:paraId="53D79A2A" w14:textId="01D277D8" w:rsidR="00C33094" w:rsidRDefault="002334F1" w:rsidP="00353F0A">
            <w:pPr>
              <w:jc w:val="center"/>
            </w:pPr>
            <w:r>
              <w:t>-</w:t>
            </w:r>
            <w:r w:rsidR="006F1866">
              <w:t>8</w:t>
            </w:r>
          </w:p>
        </w:tc>
        <w:tc>
          <w:tcPr>
            <w:tcW w:w="1209" w:type="dxa"/>
            <w:vAlign w:val="center"/>
          </w:tcPr>
          <w:p w14:paraId="11421CCB" w14:textId="024C5BA2" w:rsidR="00C33094" w:rsidRDefault="0010776B" w:rsidP="006F1866">
            <w:pPr>
              <w:jc w:val="center"/>
            </w:pPr>
            <w:r>
              <w:t>-</w:t>
            </w:r>
            <w:r w:rsidR="006F1866">
              <w:t>2.0</w:t>
            </w:r>
          </w:p>
        </w:tc>
        <w:tc>
          <w:tcPr>
            <w:tcW w:w="785" w:type="dxa"/>
            <w:vAlign w:val="center"/>
          </w:tcPr>
          <w:p w14:paraId="305761ED" w14:textId="4664183E" w:rsidR="00C33094" w:rsidRDefault="0010776B" w:rsidP="00353F0A">
            <w:pPr>
              <w:jc w:val="center"/>
            </w:pPr>
            <w:r>
              <w:t>-</w:t>
            </w:r>
            <w:r w:rsidR="006F1866">
              <w:t>6</w:t>
            </w:r>
          </w:p>
        </w:tc>
        <w:tc>
          <w:tcPr>
            <w:tcW w:w="1141" w:type="dxa"/>
            <w:vAlign w:val="center"/>
          </w:tcPr>
          <w:p w14:paraId="23549432" w14:textId="0902CA74" w:rsidR="00C33094" w:rsidRDefault="0010776B" w:rsidP="006F1866">
            <w:pPr>
              <w:jc w:val="center"/>
            </w:pPr>
            <w:r>
              <w:t>-</w:t>
            </w:r>
            <w:r w:rsidR="006F1866">
              <w:t>1.55</w:t>
            </w:r>
          </w:p>
        </w:tc>
      </w:tr>
      <w:tr w:rsidR="00C33094" w14:paraId="52502FDD" w14:textId="77777777" w:rsidTr="00705BA8">
        <w:trPr>
          <w:cantSplit/>
          <w:trHeight w:val="388"/>
        </w:trPr>
        <w:tc>
          <w:tcPr>
            <w:tcW w:w="1577" w:type="dxa"/>
            <w:vAlign w:val="center"/>
          </w:tcPr>
          <w:p w14:paraId="0DF42928" w14:textId="4B1D7E5C" w:rsidR="00C33094" w:rsidRDefault="00C33094" w:rsidP="00353F0A">
            <w:r>
              <w:t>Government costs (</w:t>
            </w:r>
            <w:r w:rsidR="00933F1C">
              <w:t>25</w:t>
            </w:r>
            <w:r>
              <w:t>%)</w:t>
            </w:r>
          </w:p>
        </w:tc>
        <w:tc>
          <w:tcPr>
            <w:tcW w:w="821" w:type="dxa"/>
            <w:vAlign w:val="center"/>
          </w:tcPr>
          <w:p w14:paraId="0434854D" w14:textId="45856E6E" w:rsidR="00C33094" w:rsidRDefault="00C33094" w:rsidP="00353F0A">
            <w:pPr>
              <w:jc w:val="center"/>
            </w:pPr>
            <w:r>
              <w:t>-</w:t>
            </w:r>
            <w:r w:rsidR="00933F1C">
              <w:t>1</w:t>
            </w:r>
          </w:p>
        </w:tc>
        <w:tc>
          <w:tcPr>
            <w:tcW w:w="1209" w:type="dxa"/>
            <w:vAlign w:val="center"/>
          </w:tcPr>
          <w:p w14:paraId="6DEA89A7" w14:textId="2AEA5817" w:rsidR="00C33094" w:rsidRDefault="0010776B" w:rsidP="00353F0A">
            <w:pPr>
              <w:jc w:val="center"/>
            </w:pPr>
            <w:r>
              <w:t>-0.</w:t>
            </w:r>
            <w:r w:rsidR="006F1866">
              <w:t>25</w:t>
            </w:r>
          </w:p>
        </w:tc>
        <w:tc>
          <w:tcPr>
            <w:tcW w:w="814" w:type="dxa"/>
            <w:vAlign w:val="center"/>
          </w:tcPr>
          <w:p w14:paraId="59AFABBA" w14:textId="7B4233EF" w:rsidR="00C33094" w:rsidRDefault="002334F1" w:rsidP="002453B8">
            <w:pPr>
              <w:jc w:val="center"/>
            </w:pPr>
            <w:r>
              <w:t>-</w:t>
            </w:r>
            <w:r w:rsidR="00933F1C">
              <w:t>1</w:t>
            </w:r>
          </w:p>
        </w:tc>
        <w:tc>
          <w:tcPr>
            <w:tcW w:w="1209" w:type="dxa"/>
            <w:vAlign w:val="center"/>
          </w:tcPr>
          <w:p w14:paraId="435BD350" w14:textId="5D07A930" w:rsidR="00C33094" w:rsidRDefault="0010776B" w:rsidP="00353F0A">
            <w:pPr>
              <w:jc w:val="center"/>
            </w:pPr>
            <w:r>
              <w:t>-0.</w:t>
            </w:r>
            <w:r w:rsidR="006F1866">
              <w:t>2</w:t>
            </w:r>
            <w:r>
              <w:t>5</w:t>
            </w:r>
          </w:p>
        </w:tc>
        <w:tc>
          <w:tcPr>
            <w:tcW w:w="785" w:type="dxa"/>
            <w:vAlign w:val="center"/>
          </w:tcPr>
          <w:p w14:paraId="34C68E9D" w14:textId="35CF3FE7" w:rsidR="00C33094" w:rsidRDefault="0010776B" w:rsidP="00353F0A">
            <w:pPr>
              <w:jc w:val="center"/>
            </w:pPr>
            <w:r>
              <w:t>-</w:t>
            </w:r>
            <w:r w:rsidR="00933F1C">
              <w:t>1</w:t>
            </w:r>
          </w:p>
        </w:tc>
        <w:tc>
          <w:tcPr>
            <w:tcW w:w="1141" w:type="dxa"/>
            <w:vAlign w:val="center"/>
          </w:tcPr>
          <w:p w14:paraId="4059DBC0" w14:textId="6AD33FEE" w:rsidR="00C33094" w:rsidRDefault="0010776B" w:rsidP="006F1866">
            <w:pPr>
              <w:jc w:val="center"/>
            </w:pPr>
            <w:r>
              <w:t>-</w:t>
            </w:r>
            <w:r w:rsidR="002453B8">
              <w:t>0.</w:t>
            </w:r>
            <w:r w:rsidR="006F1866">
              <w:t>25</w:t>
            </w:r>
          </w:p>
        </w:tc>
      </w:tr>
      <w:tr w:rsidR="00C33094" w14:paraId="6D44507C" w14:textId="77777777" w:rsidTr="00705BA8">
        <w:trPr>
          <w:cantSplit/>
          <w:trHeight w:val="971"/>
        </w:trPr>
        <w:tc>
          <w:tcPr>
            <w:tcW w:w="1577" w:type="dxa"/>
            <w:vAlign w:val="center"/>
          </w:tcPr>
          <w:p w14:paraId="69490654" w14:textId="5714BFEB" w:rsidR="00C33094" w:rsidRDefault="00C33094" w:rsidP="00353F0A">
            <w:r>
              <w:t>Protection of Aboriginal cultural heritage (40%)</w:t>
            </w:r>
          </w:p>
        </w:tc>
        <w:tc>
          <w:tcPr>
            <w:tcW w:w="821" w:type="dxa"/>
            <w:vAlign w:val="center"/>
          </w:tcPr>
          <w:p w14:paraId="48AA6FFF" w14:textId="1AA2843C" w:rsidR="00C33094" w:rsidRDefault="007E797C" w:rsidP="007E797C">
            <w:pPr>
              <w:jc w:val="center"/>
            </w:pPr>
            <w:r>
              <w:t>+</w:t>
            </w:r>
            <w:r w:rsidR="002453B8">
              <w:t>6</w:t>
            </w:r>
          </w:p>
        </w:tc>
        <w:tc>
          <w:tcPr>
            <w:tcW w:w="1209" w:type="dxa"/>
            <w:vAlign w:val="center"/>
          </w:tcPr>
          <w:p w14:paraId="4D97663F" w14:textId="67B7B18F" w:rsidR="00C33094" w:rsidRDefault="0010776B" w:rsidP="002453B8">
            <w:pPr>
              <w:jc w:val="center"/>
            </w:pPr>
            <w:r>
              <w:t>+</w:t>
            </w:r>
            <w:r w:rsidR="002453B8">
              <w:t>2.4</w:t>
            </w:r>
          </w:p>
        </w:tc>
        <w:tc>
          <w:tcPr>
            <w:tcW w:w="814" w:type="dxa"/>
            <w:vAlign w:val="center"/>
          </w:tcPr>
          <w:p w14:paraId="443A6C35" w14:textId="0D23AAE5" w:rsidR="00C33094" w:rsidRDefault="002334F1" w:rsidP="002453B8">
            <w:pPr>
              <w:jc w:val="center"/>
            </w:pPr>
            <w:r>
              <w:t>+</w:t>
            </w:r>
            <w:r w:rsidR="002453B8">
              <w:t>8</w:t>
            </w:r>
          </w:p>
        </w:tc>
        <w:tc>
          <w:tcPr>
            <w:tcW w:w="1209" w:type="dxa"/>
            <w:vAlign w:val="center"/>
          </w:tcPr>
          <w:p w14:paraId="1056079F" w14:textId="2C5FD4E8" w:rsidR="00C33094" w:rsidRDefault="0010776B" w:rsidP="00353F0A">
            <w:pPr>
              <w:jc w:val="center"/>
            </w:pPr>
            <w:r>
              <w:t>+</w:t>
            </w:r>
            <w:r w:rsidR="002453B8">
              <w:t>3.2</w:t>
            </w:r>
          </w:p>
        </w:tc>
        <w:tc>
          <w:tcPr>
            <w:tcW w:w="785" w:type="dxa"/>
            <w:vAlign w:val="center"/>
          </w:tcPr>
          <w:p w14:paraId="4F6F147C" w14:textId="73778738" w:rsidR="00C33094" w:rsidRDefault="0010776B" w:rsidP="00353F0A">
            <w:pPr>
              <w:jc w:val="center"/>
            </w:pPr>
            <w:r>
              <w:t>+</w:t>
            </w:r>
            <w:r w:rsidR="002453B8">
              <w:t>7</w:t>
            </w:r>
          </w:p>
        </w:tc>
        <w:tc>
          <w:tcPr>
            <w:tcW w:w="1141" w:type="dxa"/>
            <w:vAlign w:val="center"/>
          </w:tcPr>
          <w:p w14:paraId="7371BBF3" w14:textId="4B8B5F5C" w:rsidR="00C33094" w:rsidRDefault="0010776B" w:rsidP="00353F0A">
            <w:pPr>
              <w:jc w:val="center"/>
            </w:pPr>
            <w:r>
              <w:t>+</w:t>
            </w:r>
            <w:r w:rsidR="002453B8">
              <w:t>2.8</w:t>
            </w:r>
          </w:p>
        </w:tc>
      </w:tr>
      <w:tr w:rsidR="00C33094" w14:paraId="04A19EA4" w14:textId="77777777" w:rsidTr="00705BA8">
        <w:trPr>
          <w:cantSplit/>
          <w:trHeight w:val="572"/>
        </w:trPr>
        <w:tc>
          <w:tcPr>
            <w:tcW w:w="1577" w:type="dxa"/>
            <w:vAlign w:val="center"/>
          </w:tcPr>
          <w:p w14:paraId="70D0A4F2" w14:textId="549FCB3A" w:rsidR="00C33094" w:rsidRDefault="00C33094" w:rsidP="00353F0A">
            <w:r>
              <w:t>Increased certainty (10%)</w:t>
            </w:r>
          </w:p>
        </w:tc>
        <w:tc>
          <w:tcPr>
            <w:tcW w:w="821" w:type="dxa"/>
            <w:vAlign w:val="center"/>
          </w:tcPr>
          <w:p w14:paraId="454FC482" w14:textId="3CD63B8B" w:rsidR="00C33094" w:rsidRDefault="007E797C" w:rsidP="00353F0A">
            <w:pPr>
              <w:jc w:val="center"/>
            </w:pPr>
            <w:r>
              <w:t>+</w:t>
            </w:r>
            <w:r w:rsidR="002453B8">
              <w:t>6</w:t>
            </w:r>
          </w:p>
        </w:tc>
        <w:tc>
          <w:tcPr>
            <w:tcW w:w="1209" w:type="dxa"/>
            <w:vAlign w:val="center"/>
          </w:tcPr>
          <w:p w14:paraId="20327ECD" w14:textId="01B7054A" w:rsidR="00C33094" w:rsidRDefault="0010776B" w:rsidP="00353F0A">
            <w:pPr>
              <w:jc w:val="center"/>
            </w:pPr>
            <w:r>
              <w:t>+0.</w:t>
            </w:r>
            <w:r w:rsidR="002453B8">
              <w:t>6</w:t>
            </w:r>
          </w:p>
        </w:tc>
        <w:tc>
          <w:tcPr>
            <w:tcW w:w="814" w:type="dxa"/>
            <w:vAlign w:val="center"/>
          </w:tcPr>
          <w:p w14:paraId="4C375491" w14:textId="6552876D" w:rsidR="00C33094" w:rsidRDefault="002334F1" w:rsidP="002453B8">
            <w:pPr>
              <w:jc w:val="center"/>
            </w:pPr>
            <w:r>
              <w:t>+</w:t>
            </w:r>
            <w:r w:rsidR="002453B8">
              <w:t>6</w:t>
            </w:r>
          </w:p>
        </w:tc>
        <w:tc>
          <w:tcPr>
            <w:tcW w:w="1209" w:type="dxa"/>
            <w:vAlign w:val="center"/>
          </w:tcPr>
          <w:p w14:paraId="01B40D34" w14:textId="2A224C80" w:rsidR="00C33094" w:rsidRDefault="0010776B" w:rsidP="00353F0A">
            <w:pPr>
              <w:jc w:val="center"/>
            </w:pPr>
            <w:r>
              <w:t>+0.</w:t>
            </w:r>
            <w:r w:rsidR="002453B8">
              <w:t>6</w:t>
            </w:r>
          </w:p>
        </w:tc>
        <w:tc>
          <w:tcPr>
            <w:tcW w:w="785" w:type="dxa"/>
            <w:vAlign w:val="center"/>
          </w:tcPr>
          <w:p w14:paraId="736B4526" w14:textId="00DD8433" w:rsidR="00C33094" w:rsidRDefault="0010776B" w:rsidP="00353F0A">
            <w:pPr>
              <w:jc w:val="center"/>
            </w:pPr>
            <w:r>
              <w:t>+</w:t>
            </w:r>
            <w:r w:rsidR="002453B8">
              <w:t>7</w:t>
            </w:r>
          </w:p>
        </w:tc>
        <w:tc>
          <w:tcPr>
            <w:tcW w:w="1141" w:type="dxa"/>
            <w:vAlign w:val="center"/>
          </w:tcPr>
          <w:p w14:paraId="7548CB06" w14:textId="4D2546C2" w:rsidR="00C33094" w:rsidRDefault="0010776B" w:rsidP="00353F0A">
            <w:pPr>
              <w:jc w:val="center"/>
            </w:pPr>
            <w:r>
              <w:t>+0.</w:t>
            </w:r>
            <w:r w:rsidR="002453B8">
              <w:t>7</w:t>
            </w:r>
          </w:p>
        </w:tc>
      </w:tr>
      <w:tr w:rsidR="00C33094" w14:paraId="7D0083D1" w14:textId="77777777" w:rsidTr="00705BA8">
        <w:trPr>
          <w:cantSplit/>
          <w:trHeight w:val="400"/>
        </w:trPr>
        <w:tc>
          <w:tcPr>
            <w:tcW w:w="1577" w:type="dxa"/>
            <w:vAlign w:val="center"/>
          </w:tcPr>
          <w:p w14:paraId="474FBDFD" w14:textId="77777777" w:rsidR="00C33094" w:rsidRPr="007442D3" w:rsidRDefault="00C33094" w:rsidP="00353F0A">
            <w:pPr>
              <w:rPr>
                <w:b/>
              </w:rPr>
            </w:pPr>
            <w:r w:rsidRPr="007442D3">
              <w:rPr>
                <w:b/>
              </w:rPr>
              <w:t>Totals (after weighting)</w:t>
            </w:r>
          </w:p>
        </w:tc>
        <w:tc>
          <w:tcPr>
            <w:tcW w:w="2030" w:type="dxa"/>
            <w:gridSpan w:val="2"/>
            <w:vAlign w:val="center"/>
          </w:tcPr>
          <w:p w14:paraId="63C23E27" w14:textId="0A0DF457" w:rsidR="00C33094" w:rsidRPr="007442D3" w:rsidRDefault="00696845" w:rsidP="006F1866">
            <w:pPr>
              <w:jc w:val="center"/>
              <w:rPr>
                <w:b/>
              </w:rPr>
            </w:pPr>
            <w:r>
              <w:rPr>
                <w:b/>
              </w:rPr>
              <w:t>+</w:t>
            </w:r>
            <w:r w:rsidR="00CF2514">
              <w:rPr>
                <w:b/>
              </w:rPr>
              <w:t>1.0</w:t>
            </w:r>
          </w:p>
        </w:tc>
        <w:tc>
          <w:tcPr>
            <w:tcW w:w="2023" w:type="dxa"/>
            <w:gridSpan w:val="2"/>
            <w:vAlign w:val="center"/>
          </w:tcPr>
          <w:p w14:paraId="2DD75AB3" w14:textId="546368CC" w:rsidR="00C33094" w:rsidRPr="007442D3" w:rsidRDefault="0010776B" w:rsidP="006F1866">
            <w:pPr>
              <w:jc w:val="center"/>
              <w:rPr>
                <w:b/>
              </w:rPr>
            </w:pPr>
            <w:r>
              <w:rPr>
                <w:b/>
              </w:rPr>
              <w:t>+</w:t>
            </w:r>
            <w:r w:rsidR="00CF2514">
              <w:rPr>
                <w:b/>
              </w:rPr>
              <w:t>1.55</w:t>
            </w:r>
          </w:p>
        </w:tc>
        <w:tc>
          <w:tcPr>
            <w:tcW w:w="1926" w:type="dxa"/>
            <w:gridSpan w:val="2"/>
            <w:vAlign w:val="center"/>
          </w:tcPr>
          <w:p w14:paraId="39BF5A85" w14:textId="04B846FC" w:rsidR="00C33094" w:rsidRPr="007442D3" w:rsidRDefault="0010776B" w:rsidP="00CF2514">
            <w:pPr>
              <w:jc w:val="center"/>
              <w:rPr>
                <w:b/>
              </w:rPr>
            </w:pPr>
            <w:r>
              <w:rPr>
                <w:b/>
              </w:rPr>
              <w:t>+</w:t>
            </w:r>
            <w:r w:rsidR="00CF2514">
              <w:rPr>
                <w:b/>
              </w:rPr>
              <w:t>1.75</w:t>
            </w:r>
          </w:p>
        </w:tc>
      </w:tr>
    </w:tbl>
    <w:p w14:paraId="2B578C79" w14:textId="4307B181" w:rsidR="00360B5C" w:rsidRPr="001F041E" w:rsidRDefault="008676C8" w:rsidP="00705BA8">
      <w:pPr>
        <w:pStyle w:val="PwCNormal"/>
        <w:spacing w:before="240"/>
        <w:rPr>
          <w:lang w:val="en-US"/>
        </w:rPr>
      </w:pPr>
      <w:r w:rsidRPr="0010776B">
        <w:t>The options analysis indicates t</w:t>
      </w:r>
      <w:r w:rsidR="00A95553">
        <w:t xml:space="preserve">hat </w:t>
      </w:r>
      <w:r w:rsidR="000B38DC">
        <w:t xml:space="preserve">all Options </w:t>
      </w:r>
      <w:r w:rsidR="00A95553">
        <w:t xml:space="preserve">have positive </w:t>
      </w:r>
      <w:r w:rsidR="0010776B" w:rsidRPr="0010776B">
        <w:t>scores, with Option 3</w:t>
      </w:r>
      <w:r w:rsidRPr="0010776B">
        <w:t xml:space="preserve"> scoring </w:t>
      </w:r>
      <w:r w:rsidR="0010776B" w:rsidRPr="0010776B">
        <w:t>higher than Option</w:t>
      </w:r>
      <w:r w:rsidR="000B38DC">
        <w:t>s 1 and</w:t>
      </w:r>
      <w:r w:rsidR="0010776B" w:rsidRPr="0010776B">
        <w:t xml:space="preserve"> 2</w:t>
      </w:r>
      <w:r w:rsidRPr="0010776B">
        <w:t xml:space="preserve">. This is primarily because </w:t>
      </w:r>
      <w:r w:rsidR="0010776B" w:rsidRPr="0010776B">
        <w:t>Option 3 increases clarity for land-users, RAPs and government, which reduces the burden of the Regulations compared to Option 1 and Option 2</w:t>
      </w:r>
      <w:r w:rsidRPr="0010776B">
        <w:t xml:space="preserve">. It should be noted that the </w:t>
      </w:r>
      <w:r w:rsidR="003622DA">
        <w:t>results</w:t>
      </w:r>
      <w:r w:rsidR="003622DA" w:rsidRPr="0010776B">
        <w:t xml:space="preserve"> </w:t>
      </w:r>
      <w:r w:rsidRPr="0010776B">
        <w:t>may be sensitive to the weightings applied to each criterion</w:t>
      </w:r>
      <w:r w:rsidR="003622DA">
        <w:t xml:space="preserve"> as well as the assumptions underlying the scores assigned</w:t>
      </w:r>
      <w:r w:rsidRPr="0010776B">
        <w:t>.</w:t>
      </w:r>
    </w:p>
    <w:p w14:paraId="0EF60093" w14:textId="77777777" w:rsidR="00C447D8" w:rsidRDefault="00C447D8" w:rsidP="00813E8A">
      <w:pPr>
        <w:pStyle w:val="PwCNormal"/>
        <w:rPr>
          <w:lang w:val="en-US"/>
        </w:rPr>
      </w:pPr>
    </w:p>
    <w:p w14:paraId="27FACADF" w14:textId="77777777" w:rsidR="00C2070A" w:rsidRPr="00C2070A" w:rsidRDefault="00C2070A" w:rsidP="00C2070A">
      <w:pPr>
        <w:pStyle w:val="Heading2"/>
        <w:rPr>
          <w:lang w:val="en-US"/>
        </w:rPr>
      </w:pPr>
      <w:bookmarkStart w:id="75" w:name="_Toc507761454"/>
      <w:r>
        <w:rPr>
          <w:lang w:val="en-US"/>
        </w:rPr>
        <w:t>Preferred option</w:t>
      </w:r>
      <w:bookmarkEnd w:id="75"/>
    </w:p>
    <w:p w14:paraId="1922D62B" w14:textId="77777777" w:rsidR="00743D07" w:rsidRDefault="00743D07" w:rsidP="00A006F3">
      <w:pPr>
        <w:pStyle w:val="Heading6"/>
        <w:numPr>
          <w:ilvl w:val="2"/>
          <w:numId w:val="28"/>
        </w:numPr>
        <w:spacing w:before="240" w:after="120"/>
      </w:pPr>
      <w:r>
        <w:t>Summary of preferred option</w:t>
      </w:r>
    </w:p>
    <w:p w14:paraId="687EF3BB" w14:textId="41D04C07" w:rsidR="00743D07" w:rsidRDefault="00AF3D2A" w:rsidP="00743D07">
      <w:pPr>
        <w:pStyle w:val="PwCNormal"/>
        <w:numPr>
          <w:ilvl w:val="0"/>
          <w:numId w:val="0"/>
        </w:numPr>
      </w:pPr>
      <w:r>
        <w:t xml:space="preserve">The combination of Options 2 and 3 are preferred because they are expected to provide a greater level of net benefit compared to Option 1. As Options 2 and 3 </w:t>
      </w:r>
      <w:r w:rsidR="00A30FD5">
        <w:t>are not mutually exclusive</w:t>
      </w:r>
      <w:r>
        <w:t xml:space="preserve">, it is possible and preferable to </w:t>
      </w:r>
      <w:r w:rsidR="00DF1C54">
        <w:t>adopt</w:t>
      </w:r>
      <w:r>
        <w:t xml:space="preserve"> both sets of reforms</w:t>
      </w:r>
      <w:r w:rsidR="00743D07">
        <w:t xml:space="preserve">. </w:t>
      </w:r>
    </w:p>
    <w:p w14:paraId="7BD26163" w14:textId="26100ABB" w:rsidR="00743D07" w:rsidRDefault="00AF3D2A" w:rsidP="00743D07">
      <w:pPr>
        <w:pStyle w:val="PwCNormal"/>
        <w:numPr>
          <w:ilvl w:val="0"/>
          <w:numId w:val="0"/>
        </w:numPr>
      </w:pPr>
      <w:r>
        <w:t>In summary, the preferred options involve:</w:t>
      </w:r>
    </w:p>
    <w:p w14:paraId="4C82D406" w14:textId="1A932A89" w:rsidR="00AF3D2A" w:rsidRDefault="00AF3D2A" w:rsidP="00AF3D2A">
      <w:pPr>
        <w:pStyle w:val="ListBullet"/>
      </w:pPr>
      <w:r>
        <w:t>targeted changes to the triggers for a CHMP to ensure better protection of Aboriginal heritage and better outcomes for land-users and sponsors.</w:t>
      </w:r>
    </w:p>
    <w:p w14:paraId="249BEBD5" w14:textId="23E2C1D7" w:rsidR="00AF3D2A" w:rsidRDefault="00AF3D2A" w:rsidP="00705BA8">
      <w:pPr>
        <w:pStyle w:val="ListBullet"/>
      </w:pPr>
      <w:r>
        <w:t>amendments to the CHMP guide to provide greater clarity to CHMP sponsors and RAPs regarding the standards required for CHMPs.</w:t>
      </w:r>
    </w:p>
    <w:p w14:paraId="0037B027" w14:textId="37E24E5F" w:rsidR="00AA69A1" w:rsidRPr="007C0109" w:rsidRDefault="00715350" w:rsidP="007C0109">
      <w:pPr>
        <w:pStyle w:val="PwCNormal"/>
      </w:pPr>
      <w:r>
        <w:t>Box 5 outlines what land-users will need to do to comply with the preferred options.</w:t>
      </w:r>
    </w:p>
    <w:tbl>
      <w:tblPr>
        <w:tblStyle w:val="Tables-APBase"/>
        <w:tblW w:w="8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0"/>
      </w:tblGrid>
      <w:tr w:rsidR="00AA69A1" w:rsidRPr="00EF5359" w14:paraId="57AF12EB" w14:textId="77777777" w:rsidTr="007C0109">
        <w:trPr>
          <w:cnfStyle w:val="100000000000" w:firstRow="1" w:lastRow="0" w:firstColumn="0" w:lastColumn="0" w:oddVBand="0" w:evenVBand="0" w:oddHBand="0" w:evenHBand="0" w:firstRowFirstColumn="0" w:firstRowLastColumn="0" w:lastRowFirstColumn="0" w:lastRowLastColumn="0"/>
          <w:trHeight w:val="20"/>
          <w:tblHeader w:val="0"/>
        </w:trPr>
        <w:tc>
          <w:tcPr>
            <w:cnfStyle w:val="000000000100" w:firstRow="0" w:lastRow="0" w:firstColumn="0" w:lastColumn="0" w:oddVBand="0" w:evenVBand="0" w:oddHBand="0" w:evenHBand="0" w:firstRowFirstColumn="1" w:firstRowLastColumn="0" w:lastRowFirstColumn="0" w:lastRowLastColumn="0"/>
            <w:tcW w:w="8450" w:type="dxa"/>
            <w:tcBorders>
              <w:top w:val="none" w:sz="0" w:space="0" w:color="auto"/>
              <w:bottom w:val="none" w:sz="0" w:space="0" w:color="auto"/>
            </w:tcBorders>
            <w:shd w:val="clear" w:color="auto" w:fill="F4CACA" w:themeFill="text2" w:themeFillTint="33"/>
          </w:tcPr>
          <w:p w14:paraId="736D89E1" w14:textId="1D0FA6C8" w:rsidR="00AA69A1" w:rsidRPr="00193EDA" w:rsidRDefault="00AA69A1" w:rsidP="001E72B6">
            <w:pPr>
              <w:pStyle w:val="PwCNormal"/>
              <w:keepLines/>
              <w:spacing w:before="120" w:after="120"/>
              <w:rPr>
                <w:b/>
                <w:color w:val="A32020" w:themeColor="accent1"/>
                <w:lang w:val="en-US"/>
              </w:rPr>
            </w:pPr>
            <w:r w:rsidRPr="00193EDA">
              <w:rPr>
                <w:b/>
                <w:color w:val="A32020" w:themeColor="accent1"/>
              </w:rPr>
              <w:t xml:space="preserve">Box </w:t>
            </w:r>
            <w:r w:rsidRPr="00193EDA">
              <w:rPr>
                <w:b/>
                <w:color w:val="A32020" w:themeColor="accent1"/>
              </w:rPr>
              <w:fldChar w:fldCharType="begin"/>
            </w:r>
            <w:r w:rsidRPr="00193EDA">
              <w:rPr>
                <w:b/>
                <w:color w:val="A32020" w:themeColor="accent1"/>
              </w:rPr>
              <w:instrText xml:space="preserve"> SEQ Box \* ARABIC </w:instrText>
            </w:r>
            <w:r w:rsidRPr="00193EDA">
              <w:rPr>
                <w:b/>
                <w:color w:val="A32020" w:themeColor="accent1"/>
              </w:rPr>
              <w:fldChar w:fldCharType="separate"/>
            </w:r>
            <w:r w:rsidR="000369A1">
              <w:rPr>
                <w:b/>
                <w:noProof/>
                <w:color w:val="A32020" w:themeColor="accent1"/>
              </w:rPr>
              <w:t>5</w:t>
            </w:r>
            <w:r w:rsidRPr="00193EDA">
              <w:rPr>
                <w:b/>
                <w:color w:val="A32020" w:themeColor="accent1"/>
              </w:rPr>
              <w:fldChar w:fldCharType="end"/>
            </w:r>
            <w:r w:rsidRPr="00193EDA">
              <w:rPr>
                <w:b/>
                <w:color w:val="A32020" w:themeColor="accent1"/>
              </w:rPr>
              <w:t xml:space="preserve">: </w:t>
            </w:r>
            <w:r>
              <w:rPr>
                <w:b/>
                <w:color w:val="A32020" w:themeColor="accent1"/>
              </w:rPr>
              <w:t>Requirement under the preferred options</w:t>
            </w:r>
            <w:r w:rsidRPr="00193EDA">
              <w:rPr>
                <w:b/>
                <w:color w:val="A32020" w:themeColor="accent1"/>
                <w:lang w:val="en-US"/>
              </w:rPr>
              <w:t xml:space="preserve"> </w:t>
            </w:r>
          </w:p>
          <w:p w14:paraId="4C4F620B" w14:textId="40D31E4F" w:rsidR="00AA69A1" w:rsidRPr="00EF5359" w:rsidRDefault="00AA69A1" w:rsidP="001E72B6">
            <w:pPr>
              <w:pStyle w:val="PwCNormal"/>
              <w:keepLines/>
              <w:spacing w:before="120" w:after="120"/>
              <w:rPr>
                <w:lang w:val="en-US"/>
              </w:rPr>
            </w:pPr>
            <w:r>
              <w:rPr>
                <w:lang w:val="en-US"/>
              </w:rPr>
              <w:t>The preferred option requires a land-user to</w:t>
            </w:r>
            <w:r w:rsidRPr="00EF5359">
              <w:rPr>
                <w:lang w:val="en-US"/>
              </w:rPr>
              <w:t xml:space="preserve">: </w:t>
            </w:r>
          </w:p>
          <w:p w14:paraId="6236A1FA" w14:textId="42CE760C" w:rsidR="00AA69A1" w:rsidRPr="00AA69A1" w:rsidRDefault="00AA69A1" w:rsidP="007C0109">
            <w:pPr>
              <w:pStyle w:val="ListBullet"/>
              <w:rPr>
                <w:lang w:val="en-US"/>
              </w:rPr>
            </w:pPr>
            <w:r>
              <w:rPr>
                <w:lang w:val="en-US"/>
              </w:rPr>
              <w:t>p</w:t>
            </w:r>
            <w:r w:rsidRPr="00AA69A1">
              <w:rPr>
                <w:lang w:val="en-US"/>
              </w:rPr>
              <w:t>reparing a CHMP if undertaking a development activity:</w:t>
            </w:r>
          </w:p>
          <w:p w14:paraId="68A6ED55" w14:textId="369DCC9E" w:rsidR="00AA69A1" w:rsidRPr="00AA69A1" w:rsidRDefault="00AA69A1" w:rsidP="007C0109">
            <w:pPr>
              <w:pStyle w:val="ListBullet2"/>
              <w:rPr>
                <w:lang w:val="en-US"/>
              </w:rPr>
            </w:pPr>
            <w:r w:rsidRPr="00AA69A1">
              <w:rPr>
                <w:lang w:val="en-US"/>
              </w:rPr>
              <w:t>involves a high impact activity (see Division 2 of Part 2 of the current Regulations</w:t>
            </w:r>
            <w:r w:rsidR="001E72B6">
              <w:rPr>
                <w:lang w:val="en-US"/>
              </w:rPr>
              <w:t>)</w:t>
            </w:r>
            <w:r w:rsidRPr="00AA69A1">
              <w:rPr>
                <w:lang w:val="en-US"/>
              </w:rPr>
              <w:t xml:space="preserve">, </w:t>
            </w:r>
            <w:r w:rsidR="001E72B6">
              <w:rPr>
                <w:lang w:val="en-US"/>
              </w:rPr>
              <w:t xml:space="preserve">the definition of which are proposed to change </w:t>
            </w:r>
            <w:r w:rsidRPr="00AA69A1">
              <w:rPr>
                <w:lang w:val="en-US"/>
              </w:rPr>
              <w:t xml:space="preserve">as part of Option 2, </w:t>
            </w:r>
            <w:r w:rsidR="001E72B6">
              <w:rPr>
                <w:lang w:val="en-US"/>
              </w:rPr>
              <w:t>including</w:t>
            </w:r>
            <w:r w:rsidRPr="00AA69A1">
              <w:rPr>
                <w:lang w:val="en-US"/>
              </w:rPr>
              <w:t>:</w:t>
            </w:r>
          </w:p>
          <w:p w14:paraId="25473CA3" w14:textId="49A91DE0" w:rsidR="00AA69A1" w:rsidRDefault="00AA69A1" w:rsidP="007C0109">
            <w:pPr>
              <w:pStyle w:val="ListBullet3"/>
              <w:rPr>
                <w:lang w:val="en-US"/>
              </w:rPr>
            </w:pPr>
            <w:r>
              <w:rPr>
                <w:lang w:val="en-US"/>
              </w:rPr>
              <w:t>the development of residential villages</w:t>
            </w:r>
          </w:p>
          <w:p w14:paraId="51696BC8" w14:textId="5458BE75" w:rsidR="00AA69A1" w:rsidRDefault="00AA69A1" w:rsidP="007C0109">
            <w:pPr>
              <w:pStyle w:val="ListBullet3"/>
              <w:rPr>
                <w:lang w:val="en-US"/>
              </w:rPr>
            </w:pPr>
            <w:r>
              <w:rPr>
                <w:lang w:val="en-US"/>
              </w:rPr>
              <w:t>the development of Residential Buildings</w:t>
            </w:r>
          </w:p>
          <w:p w14:paraId="212D93CF" w14:textId="00FF3C13" w:rsidR="00AA69A1" w:rsidRDefault="00AA69A1" w:rsidP="007C0109">
            <w:pPr>
              <w:pStyle w:val="ListBullet3"/>
              <w:rPr>
                <w:lang w:val="en-US"/>
              </w:rPr>
            </w:pPr>
            <w:r w:rsidRPr="00AA69A1">
              <w:rPr>
                <w:lang w:val="en-US"/>
              </w:rPr>
              <w:t>the construction of fuel breaks that require a permit to remove native vegetation</w:t>
            </w:r>
          </w:p>
          <w:p w14:paraId="77EBED64" w14:textId="77777777" w:rsidR="00AA69A1" w:rsidRDefault="00AA69A1" w:rsidP="007C0109">
            <w:pPr>
              <w:pStyle w:val="ListBullet3"/>
              <w:rPr>
                <w:lang w:val="en-US"/>
              </w:rPr>
            </w:pPr>
            <w:r>
              <w:rPr>
                <w:lang w:val="en-US"/>
              </w:rPr>
              <w:t>walking and cycling tracks less than 500 metres long</w:t>
            </w:r>
          </w:p>
          <w:p w14:paraId="2FCF38E0" w14:textId="78C3AE61" w:rsidR="00AA69A1" w:rsidRDefault="001E72B6" w:rsidP="007C0109">
            <w:pPr>
              <w:pStyle w:val="ListBullet2"/>
              <w:rPr>
                <w:lang w:val="en-US"/>
              </w:rPr>
            </w:pPr>
            <w:r>
              <w:rPr>
                <w:lang w:val="en-US"/>
              </w:rPr>
              <w:t>takes place in areas of cultural heritage sensitivity (see Division 3 of Part 2 of the current Regulations), which are proposed to change as part of Option 2, including:</w:t>
            </w:r>
          </w:p>
          <w:p w14:paraId="0605CA16" w14:textId="5DBF05E3" w:rsidR="001E72B6" w:rsidRDefault="001E72B6" w:rsidP="007C0109">
            <w:pPr>
              <w:pStyle w:val="ListBullet3"/>
              <w:rPr>
                <w:lang w:val="en-US"/>
              </w:rPr>
            </w:pPr>
            <w:r>
              <w:rPr>
                <w:lang w:val="en-US"/>
              </w:rPr>
              <w:t>expanding the definition to include parks and reserves managed for conservation purposes</w:t>
            </w:r>
          </w:p>
          <w:p w14:paraId="0DC36BEA" w14:textId="566E34B1" w:rsidR="001E72B6" w:rsidRDefault="001E72B6" w:rsidP="007C0109">
            <w:pPr>
              <w:pStyle w:val="ListBullet3"/>
              <w:rPr>
                <w:lang w:val="en-US"/>
              </w:rPr>
            </w:pPr>
            <w:r>
              <w:rPr>
                <w:lang w:val="en-US"/>
              </w:rPr>
              <w:t>the definition of waterways to ensure that tributaries of named waterways and channelised sections</w:t>
            </w:r>
          </w:p>
          <w:p w14:paraId="1C71180A" w14:textId="24FF9FEF" w:rsidR="00AA69A1" w:rsidRDefault="001E72B6" w:rsidP="007C0109">
            <w:pPr>
              <w:pStyle w:val="ListBullet3"/>
              <w:rPr>
                <w:lang w:val="en-US"/>
              </w:rPr>
            </w:pPr>
            <w:r>
              <w:rPr>
                <w:lang w:val="en-US"/>
              </w:rPr>
              <w:t>relying on more up-to-date geology data</w:t>
            </w:r>
          </w:p>
          <w:p w14:paraId="4DD4E777" w14:textId="1C73E407" w:rsidR="001E72B6" w:rsidRDefault="001E72B6" w:rsidP="007C0109">
            <w:pPr>
              <w:pStyle w:val="ListBullet"/>
              <w:rPr>
                <w:lang w:val="en-US"/>
              </w:rPr>
            </w:pPr>
            <w:r>
              <w:rPr>
                <w:lang w:val="en-US"/>
              </w:rPr>
              <w:t xml:space="preserve">comply with the standards for the preparation of a CHMP included in the Regulations as well as approved forms, practice notes and the CHMP guide. These have been amended as part of Option 3 to improve clarity. More detail on the changes can be found in Section </w:t>
            </w:r>
            <w:r>
              <w:rPr>
                <w:lang w:val="en-US"/>
              </w:rPr>
              <w:fldChar w:fldCharType="begin"/>
            </w:r>
            <w:r>
              <w:rPr>
                <w:lang w:val="en-US"/>
              </w:rPr>
              <w:instrText xml:space="preserve"> REF _Ref507700075 \n \h </w:instrText>
            </w:r>
            <w:r>
              <w:rPr>
                <w:lang w:val="en-US"/>
              </w:rPr>
            </w:r>
            <w:r>
              <w:rPr>
                <w:lang w:val="en-US"/>
              </w:rPr>
              <w:fldChar w:fldCharType="separate"/>
            </w:r>
            <w:r w:rsidR="000369A1">
              <w:rPr>
                <w:lang w:val="en-US"/>
              </w:rPr>
              <w:t>5.2.3</w:t>
            </w:r>
            <w:r>
              <w:rPr>
                <w:lang w:val="en-US"/>
              </w:rPr>
              <w:fldChar w:fldCharType="end"/>
            </w:r>
          </w:p>
          <w:p w14:paraId="4B9E8C29" w14:textId="1FBD1461" w:rsidR="001E72B6" w:rsidRDefault="001E72B6" w:rsidP="007C0109">
            <w:pPr>
              <w:pStyle w:val="ListBullet"/>
              <w:rPr>
                <w:lang w:val="en-US"/>
              </w:rPr>
            </w:pPr>
            <w:r>
              <w:rPr>
                <w:lang w:val="en-US"/>
              </w:rPr>
              <w:t xml:space="preserve">comply with prescribed standards and forms for other regulatory mechanisms, including </w:t>
            </w:r>
            <w:r w:rsidR="00CB64B5">
              <w:rPr>
                <w:lang w:val="en-US"/>
              </w:rPr>
              <w:t xml:space="preserve">CHMPs, </w:t>
            </w:r>
            <w:r>
              <w:rPr>
                <w:lang w:val="en-US"/>
              </w:rPr>
              <w:t xml:space="preserve">ACHLMAs, </w:t>
            </w:r>
            <w:r w:rsidR="00CB64B5">
              <w:rPr>
                <w:lang w:val="en-US"/>
              </w:rPr>
              <w:t xml:space="preserve">CHAs (including maps in CHAs), applications for PAHTs, application for registration of Aboriginal Intangible Heritage, applications for registration as a RAP. </w:t>
            </w:r>
          </w:p>
          <w:p w14:paraId="0C6D1A31" w14:textId="02244254" w:rsidR="00CB64B5" w:rsidRPr="006919D0" w:rsidRDefault="00CB64B5" w:rsidP="007C0109">
            <w:pPr>
              <w:pStyle w:val="ListBullet"/>
              <w:rPr>
                <w:lang w:val="en-US"/>
              </w:rPr>
            </w:pPr>
            <w:r>
              <w:rPr>
                <w:lang w:val="en-US"/>
              </w:rPr>
              <w:t>Pay prescribed fees, including for evaluation of CHPs, PAHTs, NOIs to prepare a CHMP, CHMPs, applications to amend a CHMP, and access to, and advice on the Aboriginal Heritage Register.</w:t>
            </w:r>
          </w:p>
          <w:p w14:paraId="2AA3598C" w14:textId="0C786373" w:rsidR="00AA69A1" w:rsidRPr="00EF5359" w:rsidRDefault="00AA69A1" w:rsidP="007C0109">
            <w:pPr>
              <w:pStyle w:val="PwCNormal"/>
              <w:keepLines/>
              <w:numPr>
                <w:ilvl w:val="0"/>
                <w:numId w:val="0"/>
              </w:numPr>
              <w:spacing w:before="120" w:after="120"/>
              <w:rPr>
                <w:lang w:val="en-US"/>
              </w:rPr>
            </w:pPr>
            <w:r w:rsidRPr="00AA69A1">
              <w:rPr>
                <w:lang w:val="en-US"/>
              </w:rPr>
              <w:t>Further information on the current Regulations can be found in Section 2.5.</w:t>
            </w:r>
            <w:r w:rsidR="001E72B6">
              <w:rPr>
                <w:lang w:val="en-US"/>
              </w:rPr>
              <w:t xml:space="preserve"> Further detail on the Options can be found in Section </w:t>
            </w:r>
            <w:r w:rsidR="001E72B6">
              <w:rPr>
                <w:lang w:val="en-US"/>
              </w:rPr>
              <w:fldChar w:fldCharType="begin"/>
            </w:r>
            <w:r w:rsidR="001E72B6">
              <w:rPr>
                <w:lang w:val="en-US"/>
              </w:rPr>
              <w:instrText xml:space="preserve"> REF _Ref507699905 \n \h </w:instrText>
            </w:r>
            <w:r w:rsidR="001E72B6">
              <w:rPr>
                <w:lang w:val="en-US"/>
              </w:rPr>
            </w:r>
            <w:r w:rsidR="001E72B6">
              <w:rPr>
                <w:lang w:val="en-US"/>
              </w:rPr>
              <w:fldChar w:fldCharType="separate"/>
            </w:r>
            <w:r w:rsidR="000369A1">
              <w:rPr>
                <w:lang w:val="en-US"/>
              </w:rPr>
              <w:t>5.2</w:t>
            </w:r>
            <w:r w:rsidR="001E72B6">
              <w:rPr>
                <w:lang w:val="en-US"/>
              </w:rPr>
              <w:fldChar w:fldCharType="end"/>
            </w:r>
            <w:r w:rsidR="001E72B6">
              <w:rPr>
                <w:lang w:val="en-US"/>
              </w:rPr>
              <w:t>.</w:t>
            </w:r>
          </w:p>
        </w:tc>
      </w:tr>
    </w:tbl>
    <w:p w14:paraId="2826D542" w14:textId="2B59DE3A" w:rsidR="00743D07" w:rsidRDefault="00743D07" w:rsidP="007C0109">
      <w:pPr>
        <w:pStyle w:val="PwCNormal"/>
        <w:spacing w:before="240"/>
      </w:pPr>
      <w:r>
        <w:t>The remainder of this chapter presents the small business, competition, implementation and enforcement, and evaluation aspects of the preferred option</w:t>
      </w:r>
      <w:r w:rsidR="000E4DCD">
        <w:t>s</w:t>
      </w:r>
      <w:r>
        <w:t>.</w:t>
      </w:r>
    </w:p>
    <w:p w14:paraId="4BB7FE99" w14:textId="33D34FF4" w:rsidR="00743D07" w:rsidRDefault="00743D07" w:rsidP="00743D07">
      <w:pPr>
        <w:pStyle w:val="Heading6"/>
      </w:pPr>
      <w:r>
        <w:t>Impact on small businesses</w:t>
      </w:r>
    </w:p>
    <w:p w14:paraId="31AF1796" w14:textId="282C28B5" w:rsidR="000E4DCD" w:rsidRDefault="00AF3D2A" w:rsidP="00743D07">
      <w:pPr>
        <w:pStyle w:val="PwCNormal"/>
      </w:pPr>
      <w:r>
        <w:t xml:space="preserve">As shown in Section </w:t>
      </w:r>
      <w:r>
        <w:fldChar w:fldCharType="begin"/>
      </w:r>
      <w:r>
        <w:instrText xml:space="preserve"> REF _Ref505003759 \n \h </w:instrText>
      </w:r>
      <w:r>
        <w:fldChar w:fldCharType="separate"/>
      </w:r>
      <w:r w:rsidR="000369A1">
        <w:t>2.7</w:t>
      </w:r>
      <w:r>
        <w:fldChar w:fldCharType="end"/>
      </w:r>
      <w:r>
        <w:t xml:space="preserve">, </w:t>
      </w:r>
      <w:r w:rsidR="00CB0115">
        <w:t xml:space="preserve">the triggers that require the preparation of a CHMP mean that </w:t>
      </w:r>
      <w:r>
        <w:t xml:space="preserve">most CHMPs are conducted by government authorities, large infrastructure companies (eg in telecommunications and utilities) or residential housing developers. </w:t>
      </w:r>
      <w:r w:rsidR="000E4DCD">
        <w:t>Nonetheless, there are some small businesses that are affected by the proposed regulations</w:t>
      </w:r>
      <w:r w:rsidR="005B49E2">
        <w:t>, mostly in the construction sector</w:t>
      </w:r>
      <w:r w:rsidR="00D233DD">
        <w:t>, although the number affected is not known</w:t>
      </w:r>
      <w:r w:rsidR="000E4DCD">
        <w:t xml:space="preserve">. The preferred options attempt to address this </w:t>
      </w:r>
      <w:r w:rsidR="0084696A">
        <w:t>by:</w:t>
      </w:r>
    </w:p>
    <w:p w14:paraId="427275B7" w14:textId="149457F2" w:rsidR="00D33C48" w:rsidRDefault="00D33C48" w:rsidP="00705BA8">
      <w:pPr>
        <w:pStyle w:val="ListBullet"/>
      </w:pPr>
      <w:r>
        <w:t>p</w:t>
      </w:r>
      <w:r w:rsidR="0084696A">
        <w:t xml:space="preserve">roviding greater clarity around </w:t>
      </w:r>
      <w:r>
        <w:t>what is intended to be included in a CHMP</w:t>
      </w:r>
    </w:p>
    <w:p w14:paraId="0B5503A4" w14:textId="3D275CD8" w:rsidR="00D33C48" w:rsidRDefault="00D33C48" w:rsidP="00705BA8">
      <w:pPr>
        <w:pStyle w:val="ListBullet"/>
      </w:pPr>
      <w:r>
        <w:t>providing greater clarity to ensure that the management conditions in a CHMP are not inconsistent with the results of the CHMP assessment</w:t>
      </w:r>
    </w:p>
    <w:p w14:paraId="1100583E" w14:textId="77777777" w:rsidR="00D33C48" w:rsidRDefault="00D33C48" w:rsidP="00705BA8">
      <w:pPr>
        <w:pStyle w:val="ListBullet"/>
      </w:pPr>
      <w:r>
        <w:t>refining the list of high impact activities so that it does not include unnecessary activity types.</w:t>
      </w:r>
    </w:p>
    <w:p w14:paraId="75FE320F" w14:textId="4130E843" w:rsidR="00743D07" w:rsidRPr="00743D07" w:rsidRDefault="00EE1587" w:rsidP="00D233DD">
      <w:pPr>
        <w:pStyle w:val="PwCNormal"/>
      </w:pPr>
      <w:r>
        <w:t xml:space="preserve">AV does not consider it </w:t>
      </w:r>
      <w:r w:rsidR="00D33C48">
        <w:t>likely that the impact on small businesses is proportionally greater than that on larger-sized businesses.</w:t>
      </w:r>
      <w:r w:rsidR="00D233DD">
        <w:t xml:space="preserve"> This is because</w:t>
      </w:r>
      <w:r w:rsidR="00D233DD" w:rsidRPr="00D233DD">
        <w:t xml:space="preserve"> small businesses </w:t>
      </w:r>
      <w:r w:rsidR="00DF1C54">
        <w:t>are less likely to be</w:t>
      </w:r>
      <w:r w:rsidR="00D233DD" w:rsidRPr="00D233DD">
        <w:t xml:space="preserve"> involved in development activities over large activity areas, which would require a more costly CHMP. In addition, smaller providers (eg smaller building companies, tradespeople) often aren’t involved in projects that would trigger a CHMP in the first place.</w:t>
      </w:r>
    </w:p>
    <w:p w14:paraId="69592B0B" w14:textId="77777777" w:rsidR="00743D07" w:rsidRDefault="00743D07" w:rsidP="00A006F3">
      <w:pPr>
        <w:pStyle w:val="Heading6"/>
        <w:numPr>
          <w:ilvl w:val="2"/>
          <w:numId w:val="28"/>
        </w:numPr>
        <w:spacing w:before="240" w:after="120"/>
      </w:pPr>
      <w:r>
        <w:t>Competition assessment</w:t>
      </w:r>
    </w:p>
    <w:p w14:paraId="1CD5243C" w14:textId="77777777" w:rsidR="00743D07" w:rsidRDefault="00743D07" w:rsidP="00A006F3">
      <w:pPr>
        <w:pStyle w:val="PwCNormal"/>
        <w:numPr>
          <w:ilvl w:val="0"/>
          <w:numId w:val="39"/>
        </w:numPr>
        <w:spacing w:before="120" w:after="120" w:line="240" w:lineRule="atLeast"/>
        <w:rPr>
          <w:lang w:val="en-GB"/>
        </w:rPr>
      </w:pPr>
      <w:r>
        <w:rPr>
          <w:lang w:val="en-GB"/>
        </w:rPr>
        <w:t>Considerations of national competition policy include identifying any restrictions to competition in the preferred option, showing that the restriction is necessary to achieve the objective, and assessing whether the benefits of the restriction outweigh the costs in each particular case.</w:t>
      </w:r>
    </w:p>
    <w:p w14:paraId="37DBC01A" w14:textId="77777777" w:rsidR="00743D07" w:rsidRDefault="00743D07" w:rsidP="00A006F3">
      <w:pPr>
        <w:pStyle w:val="PwCNormal"/>
        <w:numPr>
          <w:ilvl w:val="0"/>
          <w:numId w:val="39"/>
        </w:numPr>
        <w:spacing w:before="120" w:after="120" w:line="240" w:lineRule="atLeast"/>
        <w:rPr>
          <w:lang w:val="en-GB"/>
        </w:rPr>
      </w:pPr>
      <w:r>
        <w:rPr>
          <w:lang w:val="en-GB"/>
        </w:rPr>
        <w:t>Any new legislation in Victoria must not restrict competition unless it can be demonstrated that:</w:t>
      </w:r>
    </w:p>
    <w:p w14:paraId="04658907" w14:textId="77777777" w:rsidR="00743D07" w:rsidRDefault="00743D07" w:rsidP="00A006F3">
      <w:pPr>
        <w:pStyle w:val="Bullet1"/>
        <w:numPr>
          <w:ilvl w:val="0"/>
          <w:numId w:val="38"/>
        </w:numPr>
        <w:spacing w:before="120" w:after="120" w:line="240" w:lineRule="atLeast"/>
        <w:ind w:left="567" w:hanging="567"/>
        <w:rPr>
          <w:lang w:val="en-GB"/>
        </w:rPr>
      </w:pPr>
      <w:r>
        <w:rPr>
          <w:lang w:val="en-GB"/>
        </w:rPr>
        <w:t>the benefits of the restriction, as a whole, outweigh the costs</w:t>
      </w:r>
    </w:p>
    <w:p w14:paraId="46469461" w14:textId="77777777" w:rsidR="00743D07" w:rsidRDefault="00743D07" w:rsidP="00A006F3">
      <w:pPr>
        <w:pStyle w:val="Bullet1"/>
        <w:numPr>
          <w:ilvl w:val="0"/>
          <w:numId w:val="38"/>
        </w:numPr>
        <w:spacing w:before="120" w:after="120" w:line="240" w:lineRule="atLeast"/>
        <w:ind w:left="567" w:hanging="567"/>
        <w:rPr>
          <w:lang w:val="en-GB"/>
        </w:rPr>
      </w:pPr>
      <w:r>
        <w:rPr>
          <w:lang w:val="en-GB"/>
        </w:rPr>
        <w:t>the objectives of the legislation can only be achieved by restricting competition.</w:t>
      </w:r>
    </w:p>
    <w:p w14:paraId="1CB727FB" w14:textId="638C2BC9" w:rsidR="00743D07" w:rsidRDefault="00743D07" w:rsidP="00A006F3">
      <w:pPr>
        <w:pStyle w:val="PwCNormal"/>
        <w:numPr>
          <w:ilvl w:val="0"/>
          <w:numId w:val="39"/>
        </w:numPr>
        <w:spacing w:before="120" w:after="120" w:line="240" w:lineRule="atLeast"/>
        <w:rPr>
          <w:lang w:val="en-GB"/>
        </w:rPr>
      </w:pPr>
      <w:r>
        <w:rPr>
          <w:lang w:val="en-GB"/>
        </w:rPr>
        <w:t xml:space="preserve">A legislative amendment is considered to have an impact on competition if any of the following questions in the table below can be answered in the affirmative. </w:t>
      </w:r>
      <w:r>
        <w:rPr>
          <w:lang w:val="en-GB"/>
        </w:rPr>
        <w:fldChar w:fldCharType="begin"/>
      </w:r>
      <w:r>
        <w:rPr>
          <w:lang w:val="en-GB"/>
        </w:rPr>
        <w:instrText xml:space="preserve"> REF _Ref501526233 \h </w:instrText>
      </w:r>
      <w:r>
        <w:rPr>
          <w:lang w:val="en-GB"/>
        </w:rPr>
      </w:r>
      <w:r>
        <w:rPr>
          <w:lang w:val="en-GB"/>
        </w:rPr>
        <w:fldChar w:fldCharType="separate"/>
      </w:r>
      <w:r w:rsidR="000369A1">
        <w:t xml:space="preserve">Table </w:t>
      </w:r>
      <w:r w:rsidR="000369A1">
        <w:rPr>
          <w:noProof/>
        </w:rPr>
        <w:t>21</w:t>
      </w:r>
      <w:r>
        <w:rPr>
          <w:lang w:val="en-GB"/>
        </w:rPr>
        <w:fldChar w:fldCharType="end"/>
      </w:r>
      <w:r>
        <w:rPr>
          <w:lang w:val="en-GB"/>
        </w:rPr>
        <w:t xml:space="preserve"> shows the rationale and significant of those areas where there is an impact on competition.</w:t>
      </w:r>
    </w:p>
    <w:p w14:paraId="39857A63" w14:textId="1378A400" w:rsidR="00743D07" w:rsidRDefault="00743D07" w:rsidP="00743D07">
      <w:pPr>
        <w:pStyle w:val="Caption"/>
      </w:pPr>
      <w:bookmarkStart w:id="76" w:name="_Ref501526233"/>
      <w:r>
        <w:t xml:space="preserve">Table </w:t>
      </w:r>
      <w:r w:rsidR="00B47FE6">
        <w:fldChar w:fldCharType="begin"/>
      </w:r>
      <w:r w:rsidR="00B47FE6">
        <w:instrText xml:space="preserve"> SEQ Table \* ARABIC </w:instrText>
      </w:r>
      <w:r w:rsidR="00B47FE6">
        <w:fldChar w:fldCharType="separate"/>
      </w:r>
      <w:r w:rsidR="000369A1">
        <w:rPr>
          <w:noProof/>
        </w:rPr>
        <w:t>21</w:t>
      </w:r>
      <w:r w:rsidR="00B47FE6">
        <w:rPr>
          <w:noProof/>
        </w:rPr>
        <w:fldChar w:fldCharType="end"/>
      </w:r>
      <w:bookmarkEnd w:id="76"/>
      <w:r>
        <w:t>: Criteria for determining adverse competition impacts</w:t>
      </w:r>
    </w:p>
    <w:tbl>
      <w:tblPr>
        <w:tblStyle w:val="Tables-APBase"/>
        <w:tblW w:w="0" w:type="auto"/>
        <w:tblLayout w:type="fixed"/>
        <w:tblLook w:val="04A0" w:firstRow="1" w:lastRow="0" w:firstColumn="1" w:lastColumn="0" w:noHBand="0" w:noVBand="1"/>
      </w:tblPr>
      <w:tblGrid>
        <w:gridCol w:w="3788"/>
        <w:gridCol w:w="2983"/>
        <w:gridCol w:w="1666"/>
      </w:tblGrid>
      <w:tr w:rsidR="00743D07" w:rsidRPr="00743D07" w14:paraId="7C00F565" w14:textId="77777777" w:rsidTr="00367E41">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788" w:type="dxa"/>
            <w:tcBorders>
              <w:left w:val="single" w:sz="4" w:space="0" w:color="FFFFFF"/>
              <w:right w:val="single" w:sz="4" w:space="0" w:color="FFFFFF"/>
            </w:tcBorders>
            <w:shd w:val="clear" w:color="auto" w:fill="A32020" w:themeFill="accent1"/>
            <w:hideMark/>
          </w:tcPr>
          <w:p w14:paraId="50B4F644" w14:textId="77777777" w:rsidR="00743D07" w:rsidRPr="00743D07" w:rsidRDefault="00743D07" w:rsidP="00367E41">
            <w:pPr>
              <w:pStyle w:val="TableTextNormal"/>
              <w:rPr>
                <w:b/>
                <w:color w:val="FFFFFF" w:themeColor="background1"/>
                <w:szCs w:val="16"/>
              </w:rPr>
            </w:pPr>
            <w:r w:rsidRPr="00743D07">
              <w:rPr>
                <w:b/>
                <w:color w:val="FFFFFF" w:themeColor="background1"/>
                <w:szCs w:val="16"/>
              </w:rPr>
              <w:t>Question</w:t>
            </w:r>
          </w:p>
        </w:tc>
        <w:tc>
          <w:tcPr>
            <w:tcW w:w="2983" w:type="dxa"/>
            <w:tcBorders>
              <w:left w:val="single" w:sz="4" w:space="0" w:color="FFFFFF"/>
              <w:right w:val="single" w:sz="4" w:space="0" w:color="FFFFFF"/>
            </w:tcBorders>
            <w:shd w:val="clear" w:color="auto" w:fill="A32020" w:themeFill="accent1"/>
            <w:hideMark/>
          </w:tcPr>
          <w:p w14:paraId="4958616C" w14:textId="77777777" w:rsidR="00743D07" w:rsidRPr="00743D07" w:rsidRDefault="00743D07" w:rsidP="00367E41">
            <w:pPr>
              <w:pStyle w:val="TableTextNormal"/>
              <w:cnfStyle w:val="100000000000" w:firstRow="1" w:lastRow="0" w:firstColumn="0" w:lastColumn="0" w:oddVBand="0" w:evenVBand="0" w:oddHBand="0" w:evenHBand="0" w:firstRowFirstColumn="0" w:firstRowLastColumn="0" w:lastRowFirstColumn="0" w:lastRowLastColumn="0"/>
              <w:rPr>
                <w:b/>
                <w:color w:val="FFFFFF" w:themeColor="background1"/>
                <w:szCs w:val="16"/>
              </w:rPr>
            </w:pPr>
            <w:r w:rsidRPr="00743D07">
              <w:rPr>
                <w:b/>
                <w:color w:val="FFFFFF" w:themeColor="background1"/>
                <w:szCs w:val="16"/>
              </w:rPr>
              <w:t>Answer</w:t>
            </w:r>
          </w:p>
        </w:tc>
        <w:tc>
          <w:tcPr>
            <w:tcW w:w="1666" w:type="dxa"/>
            <w:tcBorders>
              <w:left w:val="single" w:sz="4" w:space="0" w:color="FFFFFF"/>
              <w:right w:val="single" w:sz="4" w:space="0" w:color="FFFFFF"/>
            </w:tcBorders>
            <w:shd w:val="clear" w:color="auto" w:fill="A32020" w:themeFill="accent1"/>
            <w:hideMark/>
          </w:tcPr>
          <w:p w14:paraId="5E9E5A74" w14:textId="77777777" w:rsidR="00743D07" w:rsidRPr="00743D07" w:rsidRDefault="00743D07" w:rsidP="00367E41">
            <w:pPr>
              <w:pStyle w:val="TableTextNormal"/>
              <w:cnfStyle w:val="100000000000" w:firstRow="1" w:lastRow="0" w:firstColumn="0" w:lastColumn="0" w:oddVBand="0" w:evenVBand="0" w:oddHBand="0" w:evenHBand="0" w:firstRowFirstColumn="0" w:firstRowLastColumn="0" w:lastRowFirstColumn="0" w:lastRowLastColumn="0"/>
              <w:rPr>
                <w:b/>
                <w:color w:val="FFFFFF" w:themeColor="background1"/>
                <w:szCs w:val="16"/>
              </w:rPr>
            </w:pPr>
            <w:r w:rsidRPr="00743D07">
              <w:rPr>
                <w:b/>
                <w:color w:val="FFFFFF" w:themeColor="background1"/>
                <w:szCs w:val="16"/>
              </w:rPr>
              <w:t>Significance</w:t>
            </w:r>
          </w:p>
        </w:tc>
      </w:tr>
      <w:tr w:rsidR="00743D07" w:rsidRPr="00743D07" w14:paraId="0030490B" w14:textId="77777777" w:rsidTr="00367E41">
        <w:trPr>
          <w:cantSplit/>
        </w:trPr>
        <w:tc>
          <w:tcPr>
            <w:tcW w:w="3788" w:type="dxa"/>
            <w:tcBorders>
              <w:top w:val="dotted" w:sz="8" w:space="0" w:color="A32020" w:themeColor="text2"/>
              <w:left w:val="single" w:sz="4" w:space="0" w:color="FFFFFF"/>
              <w:bottom w:val="dotted" w:sz="8" w:space="0" w:color="A32020" w:themeColor="text2"/>
              <w:right w:val="single" w:sz="4" w:space="0" w:color="FFFFFF"/>
            </w:tcBorders>
            <w:hideMark/>
          </w:tcPr>
          <w:p w14:paraId="4BD31B0D" w14:textId="77777777" w:rsidR="00743D07" w:rsidRPr="00743D07" w:rsidRDefault="00743D07" w:rsidP="00367E41">
            <w:pPr>
              <w:pStyle w:val="TableTextNormal"/>
              <w:rPr>
                <w:szCs w:val="16"/>
              </w:rPr>
            </w:pPr>
            <w:r w:rsidRPr="00743D07">
              <w:rPr>
                <w:szCs w:val="16"/>
              </w:rPr>
              <w:t>Are the proposed measures likely to affect the market structure of the affected sector(s) – i.e. will it reduce the number of participants in the market, or increase the size of incumbent firms?</w:t>
            </w:r>
          </w:p>
        </w:tc>
        <w:tc>
          <w:tcPr>
            <w:tcW w:w="2983" w:type="dxa"/>
            <w:tcBorders>
              <w:top w:val="dotted" w:sz="8" w:space="0" w:color="A32020" w:themeColor="text2"/>
              <w:left w:val="single" w:sz="4" w:space="0" w:color="FFFFFF"/>
              <w:bottom w:val="dotted" w:sz="8" w:space="0" w:color="A32020" w:themeColor="text2"/>
              <w:right w:val="single" w:sz="4" w:space="0" w:color="FFFFFF"/>
            </w:tcBorders>
          </w:tcPr>
          <w:p w14:paraId="7CC1A932" w14:textId="69F940C8" w:rsidR="00743D07" w:rsidRPr="00743D07" w:rsidRDefault="00743D07">
            <w:pPr>
              <w:pStyle w:val="TableTextNormal"/>
              <w:rPr>
                <w:szCs w:val="16"/>
              </w:rPr>
            </w:pPr>
            <w:r w:rsidRPr="00743D07">
              <w:rPr>
                <w:szCs w:val="16"/>
              </w:rPr>
              <w:t>No</w:t>
            </w:r>
            <w:r w:rsidR="002442ED">
              <w:rPr>
                <w:szCs w:val="16"/>
              </w:rPr>
              <w:t>, the changes will affect existing and new land-users, heritage advisors and RAPs equally</w:t>
            </w:r>
            <w:r w:rsidR="00C47983">
              <w:rPr>
                <w:szCs w:val="16"/>
              </w:rPr>
              <w:t xml:space="preserve"> and proportionally to the size of their activities</w:t>
            </w:r>
            <w:r w:rsidR="002442ED">
              <w:rPr>
                <w:szCs w:val="16"/>
              </w:rPr>
              <w:t>.</w:t>
            </w:r>
          </w:p>
        </w:tc>
        <w:tc>
          <w:tcPr>
            <w:tcW w:w="1666" w:type="dxa"/>
            <w:tcBorders>
              <w:top w:val="dotted" w:sz="8" w:space="0" w:color="A32020" w:themeColor="text2"/>
              <w:left w:val="single" w:sz="4" w:space="0" w:color="FFFFFF"/>
              <w:bottom w:val="dotted" w:sz="8" w:space="0" w:color="A32020" w:themeColor="text2"/>
              <w:right w:val="single" w:sz="4" w:space="0" w:color="FFFFFF"/>
            </w:tcBorders>
          </w:tcPr>
          <w:p w14:paraId="2C84DD73" w14:textId="7F035F08" w:rsidR="00743D07" w:rsidRPr="00743D07" w:rsidRDefault="00743D07" w:rsidP="00367E41">
            <w:pPr>
              <w:pStyle w:val="TableTextNormal"/>
              <w:rPr>
                <w:szCs w:val="16"/>
              </w:rPr>
            </w:pPr>
            <w:r w:rsidRPr="00743D07">
              <w:rPr>
                <w:szCs w:val="16"/>
              </w:rPr>
              <w:t>None</w:t>
            </w:r>
            <w:r w:rsidR="00655E94">
              <w:rPr>
                <w:szCs w:val="16"/>
              </w:rPr>
              <w:t>.</w:t>
            </w:r>
          </w:p>
        </w:tc>
      </w:tr>
      <w:tr w:rsidR="00743D07" w:rsidRPr="00743D07" w14:paraId="3DD8BC97" w14:textId="77777777" w:rsidTr="00367E41">
        <w:trPr>
          <w:cantSplit/>
        </w:trPr>
        <w:tc>
          <w:tcPr>
            <w:tcW w:w="3788" w:type="dxa"/>
            <w:tcBorders>
              <w:top w:val="dotted" w:sz="8" w:space="0" w:color="A32020" w:themeColor="text2"/>
              <w:left w:val="single" w:sz="4" w:space="0" w:color="FFFFFF"/>
              <w:bottom w:val="dotted" w:sz="8" w:space="0" w:color="A32020" w:themeColor="text2"/>
              <w:right w:val="single" w:sz="4" w:space="0" w:color="FFFFFF"/>
            </w:tcBorders>
            <w:hideMark/>
          </w:tcPr>
          <w:p w14:paraId="576ECA51" w14:textId="77777777" w:rsidR="00743D07" w:rsidRPr="00743D07" w:rsidRDefault="00743D07" w:rsidP="00367E41">
            <w:pPr>
              <w:pStyle w:val="TableTextNormal"/>
              <w:rPr>
                <w:szCs w:val="16"/>
              </w:rPr>
            </w:pPr>
            <w:r w:rsidRPr="00743D07">
              <w:rPr>
                <w:szCs w:val="16"/>
              </w:rPr>
              <w:t>Would it be more difficult for new firms or individuals to enter the industry after the imposition of the proposed measure?</w:t>
            </w:r>
          </w:p>
        </w:tc>
        <w:tc>
          <w:tcPr>
            <w:tcW w:w="2983" w:type="dxa"/>
            <w:tcBorders>
              <w:top w:val="dotted" w:sz="8" w:space="0" w:color="A32020" w:themeColor="text2"/>
              <w:left w:val="single" w:sz="4" w:space="0" w:color="FFFFFF"/>
              <w:bottom w:val="dotted" w:sz="8" w:space="0" w:color="A32020" w:themeColor="text2"/>
              <w:right w:val="single" w:sz="4" w:space="0" w:color="FFFFFF"/>
            </w:tcBorders>
          </w:tcPr>
          <w:p w14:paraId="50545C6B" w14:textId="75F6F3B0" w:rsidR="00743D07" w:rsidRPr="00743D07" w:rsidRDefault="00743D07">
            <w:pPr>
              <w:pStyle w:val="TableTextNormal"/>
              <w:rPr>
                <w:szCs w:val="16"/>
              </w:rPr>
            </w:pPr>
            <w:r w:rsidRPr="00743D07">
              <w:rPr>
                <w:szCs w:val="16"/>
              </w:rPr>
              <w:t xml:space="preserve">No, </w:t>
            </w:r>
            <w:r w:rsidR="002442ED">
              <w:rPr>
                <w:szCs w:val="16"/>
              </w:rPr>
              <w:t xml:space="preserve">the changes </w:t>
            </w:r>
            <w:r w:rsidR="00655E94">
              <w:rPr>
                <w:szCs w:val="16"/>
              </w:rPr>
              <w:t>do not involve the imposition of any barriers to entry, and they provide further clarity, which should benefit new entrants.</w:t>
            </w:r>
          </w:p>
        </w:tc>
        <w:tc>
          <w:tcPr>
            <w:tcW w:w="1666" w:type="dxa"/>
            <w:tcBorders>
              <w:top w:val="dotted" w:sz="8" w:space="0" w:color="A32020" w:themeColor="text2"/>
              <w:left w:val="single" w:sz="4" w:space="0" w:color="FFFFFF"/>
              <w:bottom w:val="dotted" w:sz="8" w:space="0" w:color="A32020" w:themeColor="text2"/>
              <w:right w:val="single" w:sz="4" w:space="0" w:color="FFFFFF"/>
            </w:tcBorders>
          </w:tcPr>
          <w:p w14:paraId="4F6A58AD" w14:textId="38D28349" w:rsidR="00743D07" w:rsidRPr="00743D07" w:rsidRDefault="00743D07" w:rsidP="00367E41">
            <w:pPr>
              <w:pStyle w:val="TableTextNormal"/>
              <w:rPr>
                <w:szCs w:val="16"/>
              </w:rPr>
            </w:pPr>
            <w:r w:rsidRPr="00743D07">
              <w:rPr>
                <w:szCs w:val="16"/>
              </w:rPr>
              <w:t>None</w:t>
            </w:r>
            <w:r w:rsidR="00655E94">
              <w:rPr>
                <w:szCs w:val="16"/>
              </w:rPr>
              <w:t>.</w:t>
            </w:r>
          </w:p>
        </w:tc>
      </w:tr>
      <w:tr w:rsidR="00743D07" w:rsidRPr="00743D07" w14:paraId="47693E0E" w14:textId="77777777" w:rsidTr="00367E41">
        <w:trPr>
          <w:cantSplit/>
        </w:trPr>
        <w:tc>
          <w:tcPr>
            <w:tcW w:w="3788" w:type="dxa"/>
            <w:tcBorders>
              <w:top w:val="dotted" w:sz="8" w:space="0" w:color="A32020" w:themeColor="text2"/>
              <w:left w:val="single" w:sz="4" w:space="0" w:color="FFFFFF"/>
              <w:bottom w:val="dotted" w:sz="8" w:space="0" w:color="A32020" w:themeColor="text2"/>
              <w:right w:val="single" w:sz="4" w:space="0" w:color="FFFFFF"/>
            </w:tcBorders>
            <w:hideMark/>
          </w:tcPr>
          <w:p w14:paraId="3EC7BB3B" w14:textId="77777777" w:rsidR="00743D07" w:rsidRPr="00743D07" w:rsidRDefault="00743D07" w:rsidP="00367E41">
            <w:pPr>
              <w:pStyle w:val="TableTextNormal"/>
              <w:rPr>
                <w:szCs w:val="16"/>
              </w:rPr>
            </w:pPr>
            <w:r w:rsidRPr="00743D07">
              <w:rPr>
                <w:szCs w:val="16"/>
              </w:rPr>
              <w:t>Would the costs/benefits associated with the proposed measure affect some firms or individuals substantially more than others (e.g. small firms, part–time participants in occupations, etc.)?</w:t>
            </w:r>
          </w:p>
        </w:tc>
        <w:tc>
          <w:tcPr>
            <w:tcW w:w="2983" w:type="dxa"/>
            <w:tcBorders>
              <w:top w:val="dotted" w:sz="8" w:space="0" w:color="A32020" w:themeColor="text2"/>
              <w:left w:val="single" w:sz="4" w:space="0" w:color="FFFFFF"/>
              <w:bottom w:val="dotted" w:sz="8" w:space="0" w:color="A32020" w:themeColor="text2"/>
              <w:right w:val="single" w:sz="4" w:space="0" w:color="FFFFFF"/>
            </w:tcBorders>
          </w:tcPr>
          <w:p w14:paraId="0F66A020" w14:textId="0C4B225E" w:rsidR="00743D07" w:rsidRPr="00743D07" w:rsidRDefault="00655E94" w:rsidP="00D22E91">
            <w:pPr>
              <w:pStyle w:val="TableTextNormal"/>
              <w:rPr>
                <w:szCs w:val="16"/>
              </w:rPr>
            </w:pPr>
            <w:r>
              <w:rPr>
                <w:szCs w:val="16"/>
              </w:rPr>
              <w:t xml:space="preserve">Possibly, as the cost of a CHMP may </w:t>
            </w:r>
            <w:r w:rsidR="00D22E91">
              <w:rPr>
                <w:szCs w:val="16"/>
              </w:rPr>
              <w:t xml:space="preserve">be more significant </w:t>
            </w:r>
            <w:r>
              <w:rPr>
                <w:szCs w:val="16"/>
              </w:rPr>
              <w:t>for smaller firms. However, the cost of a CHMP is generally proportional to the size and type of the development.</w:t>
            </w:r>
          </w:p>
        </w:tc>
        <w:tc>
          <w:tcPr>
            <w:tcW w:w="1666" w:type="dxa"/>
            <w:tcBorders>
              <w:top w:val="dotted" w:sz="8" w:space="0" w:color="A32020" w:themeColor="text2"/>
              <w:left w:val="single" w:sz="4" w:space="0" w:color="FFFFFF"/>
              <w:bottom w:val="dotted" w:sz="8" w:space="0" w:color="A32020" w:themeColor="text2"/>
              <w:right w:val="single" w:sz="4" w:space="0" w:color="FFFFFF"/>
            </w:tcBorders>
          </w:tcPr>
          <w:p w14:paraId="6F19AF5C" w14:textId="16385B1C" w:rsidR="00743D07" w:rsidRPr="00743D07" w:rsidRDefault="00655E94" w:rsidP="00367E41">
            <w:pPr>
              <w:pStyle w:val="TableTextNormal"/>
              <w:rPr>
                <w:szCs w:val="16"/>
              </w:rPr>
            </w:pPr>
            <w:r>
              <w:rPr>
                <w:szCs w:val="16"/>
              </w:rPr>
              <w:t xml:space="preserve">Minimal, as the cost of a CHMP is a small part of the cost of </w:t>
            </w:r>
            <w:r w:rsidR="004F40E7">
              <w:rPr>
                <w:szCs w:val="16"/>
              </w:rPr>
              <w:t xml:space="preserve">large </w:t>
            </w:r>
            <w:r>
              <w:rPr>
                <w:szCs w:val="16"/>
              </w:rPr>
              <w:t>development</w:t>
            </w:r>
            <w:r w:rsidR="004F40E7">
              <w:rPr>
                <w:szCs w:val="16"/>
              </w:rPr>
              <w:t>s</w:t>
            </w:r>
            <w:r>
              <w:rPr>
                <w:szCs w:val="16"/>
              </w:rPr>
              <w:t>.</w:t>
            </w:r>
          </w:p>
        </w:tc>
      </w:tr>
      <w:tr w:rsidR="00743D07" w:rsidRPr="00743D07" w14:paraId="28925EFA" w14:textId="77777777" w:rsidTr="00367E41">
        <w:trPr>
          <w:cantSplit/>
        </w:trPr>
        <w:tc>
          <w:tcPr>
            <w:tcW w:w="3788" w:type="dxa"/>
            <w:tcBorders>
              <w:top w:val="dotted" w:sz="8" w:space="0" w:color="A32020" w:themeColor="text2"/>
              <w:left w:val="single" w:sz="4" w:space="0" w:color="FFFFFF"/>
              <w:bottom w:val="dotted" w:sz="8" w:space="0" w:color="A32020" w:themeColor="text2"/>
              <w:right w:val="single" w:sz="4" w:space="0" w:color="FFFFFF"/>
            </w:tcBorders>
            <w:hideMark/>
          </w:tcPr>
          <w:p w14:paraId="2B7E6CA3" w14:textId="77777777" w:rsidR="00743D07" w:rsidRPr="00743D07" w:rsidRDefault="00743D07" w:rsidP="00367E41">
            <w:pPr>
              <w:pStyle w:val="TableTextNormal"/>
              <w:rPr>
                <w:szCs w:val="16"/>
              </w:rPr>
            </w:pPr>
            <w:r w:rsidRPr="00743D07">
              <w:rPr>
                <w:szCs w:val="16"/>
              </w:rPr>
              <w:t>Would the proposed measure restrict the ability of businesses to choose the price, quality, range or location of their products?</w:t>
            </w:r>
          </w:p>
        </w:tc>
        <w:tc>
          <w:tcPr>
            <w:tcW w:w="2983" w:type="dxa"/>
            <w:tcBorders>
              <w:top w:val="dotted" w:sz="8" w:space="0" w:color="A32020" w:themeColor="text2"/>
              <w:left w:val="single" w:sz="4" w:space="0" w:color="FFFFFF"/>
              <w:bottom w:val="dotted" w:sz="8" w:space="0" w:color="A32020" w:themeColor="text2"/>
              <w:right w:val="single" w:sz="4" w:space="0" w:color="FFFFFF"/>
            </w:tcBorders>
          </w:tcPr>
          <w:p w14:paraId="2C1A82FB" w14:textId="6E1A70CE" w:rsidR="00743D07" w:rsidRPr="00743D07" w:rsidRDefault="00743D07">
            <w:pPr>
              <w:pStyle w:val="TableTextNormal"/>
              <w:rPr>
                <w:szCs w:val="16"/>
              </w:rPr>
            </w:pPr>
            <w:r w:rsidRPr="00743D07">
              <w:rPr>
                <w:szCs w:val="16"/>
              </w:rPr>
              <w:t xml:space="preserve">Yes. The proposed </w:t>
            </w:r>
            <w:r w:rsidR="00655E94">
              <w:rPr>
                <w:szCs w:val="16"/>
              </w:rPr>
              <w:t>changes</w:t>
            </w:r>
            <w:r w:rsidR="00655E94" w:rsidRPr="00743D07">
              <w:rPr>
                <w:szCs w:val="16"/>
              </w:rPr>
              <w:t xml:space="preserve"> </w:t>
            </w:r>
            <w:r w:rsidRPr="00743D07">
              <w:rPr>
                <w:szCs w:val="16"/>
              </w:rPr>
              <w:t>provide clarification on processes for the protection and management of Aboriginal cultural heritage. Developers and landowners must follow those processes and not intentionally harm Aboriginal cultural heritage unless there is agreement</w:t>
            </w:r>
            <w:r w:rsidR="00655E94">
              <w:rPr>
                <w:szCs w:val="16"/>
              </w:rPr>
              <w:t>.</w:t>
            </w:r>
          </w:p>
        </w:tc>
        <w:tc>
          <w:tcPr>
            <w:tcW w:w="1666" w:type="dxa"/>
            <w:tcBorders>
              <w:top w:val="dotted" w:sz="8" w:space="0" w:color="A32020" w:themeColor="text2"/>
              <w:left w:val="single" w:sz="4" w:space="0" w:color="FFFFFF"/>
              <w:bottom w:val="dotted" w:sz="8" w:space="0" w:color="A32020" w:themeColor="text2"/>
              <w:right w:val="single" w:sz="4" w:space="0" w:color="FFFFFF"/>
            </w:tcBorders>
          </w:tcPr>
          <w:p w14:paraId="101FA1E4" w14:textId="0079B333" w:rsidR="00743D07" w:rsidRPr="00743D07" w:rsidRDefault="00655E94" w:rsidP="007F2DAB">
            <w:pPr>
              <w:pStyle w:val="TableTextNormal"/>
              <w:rPr>
                <w:szCs w:val="16"/>
              </w:rPr>
            </w:pPr>
            <w:r>
              <w:rPr>
                <w:szCs w:val="16"/>
              </w:rPr>
              <w:t xml:space="preserve">Minimal as </w:t>
            </w:r>
            <w:r w:rsidR="00696845">
              <w:rPr>
                <w:szCs w:val="16"/>
              </w:rPr>
              <w:t xml:space="preserve">the impact is similar to that of the </w:t>
            </w:r>
            <w:r w:rsidR="00743D07" w:rsidRPr="00743D07">
              <w:rPr>
                <w:szCs w:val="16"/>
              </w:rPr>
              <w:t>previous requirements</w:t>
            </w:r>
            <w:r>
              <w:rPr>
                <w:szCs w:val="16"/>
              </w:rPr>
              <w:t>.</w:t>
            </w:r>
          </w:p>
        </w:tc>
      </w:tr>
      <w:tr w:rsidR="00743D07" w:rsidRPr="00743D07" w14:paraId="48167488" w14:textId="77777777" w:rsidTr="00367E41">
        <w:trPr>
          <w:cantSplit/>
        </w:trPr>
        <w:tc>
          <w:tcPr>
            <w:tcW w:w="3788" w:type="dxa"/>
            <w:tcBorders>
              <w:top w:val="dotted" w:sz="8" w:space="0" w:color="A32020" w:themeColor="text2"/>
              <w:left w:val="single" w:sz="4" w:space="0" w:color="FFFFFF"/>
              <w:bottom w:val="dotted" w:sz="8" w:space="0" w:color="A32020" w:themeColor="text2"/>
              <w:right w:val="single" w:sz="4" w:space="0" w:color="FFFFFF"/>
            </w:tcBorders>
            <w:hideMark/>
          </w:tcPr>
          <w:p w14:paraId="12526AAD" w14:textId="77777777" w:rsidR="00743D07" w:rsidRPr="00743D07" w:rsidRDefault="00743D07" w:rsidP="00367E41">
            <w:pPr>
              <w:pStyle w:val="TableTextNormal"/>
              <w:rPr>
                <w:szCs w:val="16"/>
              </w:rPr>
            </w:pPr>
            <w:r w:rsidRPr="00743D07">
              <w:rPr>
                <w:szCs w:val="16"/>
              </w:rPr>
              <w:t>Would the proposed measure lead to higher ongoing costs for new entrants that existing firms do not have to meet?</w:t>
            </w:r>
          </w:p>
        </w:tc>
        <w:tc>
          <w:tcPr>
            <w:tcW w:w="2983" w:type="dxa"/>
            <w:tcBorders>
              <w:top w:val="dotted" w:sz="8" w:space="0" w:color="A32020" w:themeColor="text2"/>
              <w:left w:val="single" w:sz="4" w:space="0" w:color="FFFFFF"/>
              <w:bottom w:val="dotted" w:sz="8" w:space="0" w:color="A32020" w:themeColor="text2"/>
              <w:right w:val="single" w:sz="4" w:space="0" w:color="FFFFFF"/>
            </w:tcBorders>
          </w:tcPr>
          <w:p w14:paraId="7ED317C1" w14:textId="5BB58DFB" w:rsidR="00743D07" w:rsidRPr="00743D07" w:rsidRDefault="00743D07" w:rsidP="00367E41">
            <w:pPr>
              <w:pStyle w:val="TableTextNormal"/>
              <w:rPr>
                <w:szCs w:val="16"/>
              </w:rPr>
            </w:pPr>
            <w:r w:rsidRPr="00743D07">
              <w:rPr>
                <w:szCs w:val="16"/>
              </w:rPr>
              <w:t>No</w:t>
            </w:r>
            <w:r w:rsidR="00655E94">
              <w:rPr>
                <w:szCs w:val="16"/>
              </w:rPr>
              <w:t>, the changes do not involve the imposition of new barriers to entry.</w:t>
            </w:r>
          </w:p>
        </w:tc>
        <w:tc>
          <w:tcPr>
            <w:tcW w:w="1666" w:type="dxa"/>
            <w:tcBorders>
              <w:top w:val="dotted" w:sz="8" w:space="0" w:color="A32020" w:themeColor="text2"/>
              <w:left w:val="single" w:sz="4" w:space="0" w:color="FFFFFF"/>
              <w:bottom w:val="dotted" w:sz="8" w:space="0" w:color="A32020" w:themeColor="text2"/>
              <w:right w:val="single" w:sz="4" w:space="0" w:color="FFFFFF"/>
            </w:tcBorders>
          </w:tcPr>
          <w:p w14:paraId="03434E10" w14:textId="5F14C8E6" w:rsidR="00743D07" w:rsidRPr="00743D07" w:rsidRDefault="00743D07" w:rsidP="00367E41">
            <w:pPr>
              <w:pStyle w:val="TableTextNormal"/>
              <w:rPr>
                <w:szCs w:val="16"/>
              </w:rPr>
            </w:pPr>
            <w:r w:rsidRPr="00743D07">
              <w:rPr>
                <w:szCs w:val="16"/>
              </w:rPr>
              <w:t>None</w:t>
            </w:r>
            <w:r w:rsidR="00655E94">
              <w:rPr>
                <w:szCs w:val="16"/>
              </w:rPr>
              <w:t>.</w:t>
            </w:r>
          </w:p>
        </w:tc>
      </w:tr>
      <w:tr w:rsidR="00743D07" w:rsidRPr="00743D07" w14:paraId="0E17D061" w14:textId="77777777" w:rsidTr="00367E41">
        <w:trPr>
          <w:cantSplit/>
          <w:trHeight w:val="698"/>
        </w:trPr>
        <w:tc>
          <w:tcPr>
            <w:tcW w:w="3788" w:type="dxa"/>
            <w:tcBorders>
              <w:top w:val="dotted" w:sz="8" w:space="0" w:color="A32020" w:themeColor="text2"/>
              <w:left w:val="single" w:sz="4" w:space="0" w:color="FFFFFF"/>
              <w:bottom w:val="single" w:sz="6" w:space="0" w:color="A32020" w:themeColor="text2"/>
              <w:right w:val="single" w:sz="4" w:space="0" w:color="FFFFFF"/>
            </w:tcBorders>
            <w:hideMark/>
          </w:tcPr>
          <w:p w14:paraId="20817282" w14:textId="77777777" w:rsidR="00743D07" w:rsidRPr="00743D07" w:rsidRDefault="00743D07" w:rsidP="00367E41">
            <w:pPr>
              <w:pStyle w:val="TableTextNormal"/>
              <w:rPr>
                <w:szCs w:val="16"/>
              </w:rPr>
            </w:pPr>
            <w:r w:rsidRPr="00743D07">
              <w:rPr>
                <w:szCs w:val="16"/>
              </w:rPr>
              <w:t>Is the ability or incentive to innovate or develop new products or services likely to be affected by the proposed measure?</w:t>
            </w:r>
          </w:p>
        </w:tc>
        <w:tc>
          <w:tcPr>
            <w:tcW w:w="2983" w:type="dxa"/>
            <w:tcBorders>
              <w:top w:val="dotted" w:sz="8" w:space="0" w:color="A32020" w:themeColor="text2"/>
              <w:left w:val="single" w:sz="4" w:space="0" w:color="FFFFFF"/>
              <w:bottom w:val="single" w:sz="6" w:space="0" w:color="A32020" w:themeColor="text2"/>
              <w:right w:val="single" w:sz="4" w:space="0" w:color="FFFFFF"/>
            </w:tcBorders>
          </w:tcPr>
          <w:p w14:paraId="21129B54" w14:textId="68BB294D" w:rsidR="00743D07" w:rsidRPr="00743D07" w:rsidRDefault="00743D07">
            <w:pPr>
              <w:pStyle w:val="TableTextNormal"/>
              <w:rPr>
                <w:szCs w:val="16"/>
              </w:rPr>
            </w:pPr>
            <w:r w:rsidRPr="00743D07">
              <w:rPr>
                <w:szCs w:val="16"/>
              </w:rPr>
              <w:t>No</w:t>
            </w:r>
            <w:r w:rsidR="008D7762">
              <w:rPr>
                <w:szCs w:val="16"/>
              </w:rPr>
              <w:t>, the services provided are not significantly affected by innovation.</w:t>
            </w:r>
          </w:p>
        </w:tc>
        <w:tc>
          <w:tcPr>
            <w:tcW w:w="1666" w:type="dxa"/>
            <w:tcBorders>
              <w:top w:val="dotted" w:sz="8" w:space="0" w:color="A32020" w:themeColor="text2"/>
              <w:left w:val="single" w:sz="4" w:space="0" w:color="FFFFFF"/>
              <w:bottom w:val="single" w:sz="6" w:space="0" w:color="A32020" w:themeColor="text2"/>
              <w:right w:val="single" w:sz="4" w:space="0" w:color="FFFFFF"/>
            </w:tcBorders>
          </w:tcPr>
          <w:p w14:paraId="61DD9E89" w14:textId="3B6BFCEA" w:rsidR="00743D07" w:rsidRPr="00743D07" w:rsidRDefault="00743D07" w:rsidP="00367E41">
            <w:pPr>
              <w:pStyle w:val="TableTextNormal"/>
              <w:rPr>
                <w:szCs w:val="16"/>
              </w:rPr>
            </w:pPr>
            <w:r w:rsidRPr="00743D07">
              <w:rPr>
                <w:szCs w:val="16"/>
              </w:rPr>
              <w:t>None</w:t>
            </w:r>
            <w:r w:rsidR="00655E94">
              <w:rPr>
                <w:szCs w:val="16"/>
              </w:rPr>
              <w:t>.</w:t>
            </w:r>
          </w:p>
        </w:tc>
      </w:tr>
    </w:tbl>
    <w:p w14:paraId="42A1CE36" w14:textId="77777777" w:rsidR="00743D07" w:rsidRDefault="00743D07" w:rsidP="00743D07">
      <w:pPr>
        <w:rPr>
          <w:color w:val="A32020" w:themeColor="text2"/>
          <w:sz w:val="16"/>
          <w:szCs w:val="16"/>
        </w:rPr>
      </w:pPr>
      <w:r>
        <w:rPr>
          <w:color w:val="A32020" w:themeColor="text2"/>
          <w:sz w:val="16"/>
          <w:szCs w:val="16"/>
        </w:rPr>
        <w:t xml:space="preserve">Source: Government of Victoria (2014), Victorian Guide to Regulation. Available at: </w:t>
      </w:r>
      <w:r w:rsidRPr="00B63284">
        <w:rPr>
          <w:color w:val="A32020" w:themeColor="text2"/>
          <w:sz w:val="16"/>
          <w:szCs w:val="16"/>
        </w:rPr>
        <w:t>http://www.dtf.vic.gov.au/publications/victoria-economy-publications/victorian-guide-to-regulation</w:t>
      </w:r>
    </w:p>
    <w:p w14:paraId="5470D791" w14:textId="77777777" w:rsidR="00743D07" w:rsidRDefault="00743D07" w:rsidP="00A006F3">
      <w:pPr>
        <w:pStyle w:val="PwCNormal"/>
        <w:numPr>
          <w:ilvl w:val="0"/>
          <w:numId w:val="39"/>
        </w:numPr>
        <w:spacing w:before="240" w:line="240" w:lineRule="atLeast"/>
        <w:rPr>
          <w:lang w:val="en-GB"/>
        </w:rPr>
      </w:pPr>
      <w:r>
        <w:rPr>
          <w:lang w:val="en-GB"/>
        </w:rPr>
        <w:t xml:space="preserve">The preceding chapters and analysis have generally demonstrated that </w:t>
      </w:r>
      <w:r w:rsidR="00E15ABA">
        <w:rPr>
          <w:lang w:val="en-GB"/>
        </w:rPr>
        <w:t xml:space="preserve">based on the quantified costs and benefits </w:t>
      </w:r>
      <w:r>
        <w:rPr>
          <w:lang w:val="en-GB"/>
        </w:rPr>
        <w:t>the proposed measures represent a net benefit, and that the government’s objectives can only be achieved by restricting competition in this way.</w:t>
      </w:r>
    </w:p>
    <w:p w14:paraId="58D51502" w14:textId="7F198366" w:rsidR="00743D07" w:rsidRDefault="00743D07" w:rsidP="00743D07">
      <w:pPr>
        <w:pStyle w:val="Heading6"/>
        <w:rPr>
          <w:lang w:val="en-US"/>
        </w:rPr>
      </w:pPr>
      <w:r>
        <w:rPr>
          <w:lang w:val="en-US"/>
        </w:rPr>
        <w:t>Implementation</w:t>
      </w:r>
    </w:p>
    <w:p w14:paraId="66474A6B" w14:textId="04D59C1C" w:rsidR="00DC636E" w:rsidRDefault="00DC636E" w:rsidP="00DC636E">
      <w:pPr>
        <w:pStyle w:val="PwCNormal"/>
        <w:numPr>
          <w:ilvl w:val="0"/>
          <w:numId w:val="0"/>
        </w:numPr>
        <w:rPr>
          <w:lang w:val="en-US"/>
        </w:rPr>
      </w:pPr>
      <w:r>
        <w:rPr>
          <w:lang w:val="en-US"/>
        </w:rPr>
        <w:t>The proposed Aboriginal Heritage Regulations 2018, and the regulatory approach, are substantially similar to the sunsetting Regulations. The implementation plan will ensure regulated parties and key stakeholders are sufficiently engaged regarding the proposed changes and are reasonably supported in transitioning to the new arrangements</w:t>
      </w:r>
      <w:r w:rsidR="00C47E55">
        <w:rPr>
          <w:lang w:val="en-US"/>
        </w:rPr>
        <w:t>, through written communication and meeting with organisations</w:t>
      </w:r>
      <w:r>
        <w:rPr>
          <w:lang w:val="en-US"/>
        </w:rPr>
        <w:t xml:space="preserve">. </w:t>
      </w:r>
    </w:p>
    <w:p w14:paraId="57FEE24E" w14:textId="77777777" w:rsidR="00DC636E" w:rsidRDefault="00DC636E" w:rsidP="00705BA8">
      <w:pPr>
        <w:pStyle w:val="Caption"/>
        <w:rPr>
          <w:lang w:val="en-US"/>
        </w:rPr>
      </w:pPr>
      <w:r>
        <w:rPr>
          <w:lang w:val="en-US"/>
        </w:rPr>
        <w:t>Communications</w:t>
      </w:r>
    </w:p>
    <w:p w14:paraId="683CB8B4" w14:textId="0B0C031D" w:rsidR="00DC636E" w:rsidRDefault="00DC636E" w:rsidP="00DC636E">
      <w:pPr>
        <w:pStyle w:val="PwCNormal"/>
        <w:numPr>
          <w:ilvl w:val="0"/>
          <w:numId w:val="0"/>
        </w:numPr>
        <w:rPr>
          <w:lang w:val="en-US"/>
        </w:rPr>
      </w:pPr>
      <w:r>
        <w:rPr>
          <w:lang w:val="en-US"/>
        </w:rPr>
        <w:t xml:space="preserve">The Aboriginal </w:t>
      </w:r>
      <w:r w:rsidR="004360EF">
        <w:rPr>
          <w:lang w:val="en-US"/>
        </w:rPr>
        <w:t>H</w:t>
      </w:r>
      <w:r>
        <w:rPr>
          <w:lang w:val="en-US"/>
        </w:rPr>
        <w:t>eritage Regulations 2018 will make changes to Victoria’s Aboriginal cultural heritage management system. These changes must be communicated to key stakeholders, namely:</w:t>
      </w:r>
    </w:p>
    <w:p w14:paraId="7C86C095" w14:textId="2A6F1982" w:rsidR="00DC636E" w:rsidRDefault="00696845" w:rsidP="00705BA8">
      <w:pPr>
        <w:pStyle w:val="ListBullet"/>
        <w:rPr>
          <w:lang w:val="en-US"/>
        </w:rPr>
      </w:pPr>
      <w:r>
        <w:rPr>
          <w:lang w:val="en-US"/>
        </w:rPr>
        <w:t>RAPs</w:t>
      </w:r>
    </w:p>
    <w:p w14:paraId="5897033F" w14:textId="4633EB25" w:rsidR="00DC636E" w:rsidRDefault="00696845" w:rsidP="00705BA8">
      <w:pPr>
        <w:pStyle w:val="ListBullet"/>
        <w:rPr>
          <w:lang w:val="en-US"/>
        </w:rPr>
      </w:pPr>
      <w:r>
        <w:rPr>
          <w:lang w:val="en-US"/>
        </w:rPr>
        <w:t>l</w:t>
      </w:r>
      <w:r w:rsidR="00DC636E">
        <w:rPr>
          <w:lang w:val="en-US"/>
        </w:rPr>
        <w:t xml:space="preserve">ocal </w:t>
      </w:r>
      <w:r>
        <w:rPr>
          <w:lang w:val="en-US"/>
        </w:rPr>
        <w:t>g</w:t>
      </w:r>
      <w:r w:rsidR="00DC636E">
        <w:rPr>
          <w:lang w:val="en-US"/>
        </w:rPr>
        <w:t xml:space="preserve">overnment </w:t>
      </w:r>
      <w:r>
        <w:rPr>
          <w:lang w:val="en-US"/>
        </w:rPr>
        <w:t>a</w:t>
      </w:r>
      <w:r w:rsidR="00DC636E">
        <w:rPr>
          <w:lang w:val="en-US"/>
        </w:rPr>
        <w:t>gencies</w:t>
      </w:r>
    </w:p>
    <w:p w14:paraId="3464701D" w14:textId="77777777" w:rsidR="00DC636E" w:rsidRDefault="00DC636E" w:rsidP="00705BA8">
      <w:pPr>
        <w:pStyle w:val="ListBullet"/>
        <w:rPr>
          <w:lang w:val="en-US"/>
        </w:rPr>
      </w:pPr>
      <w:r>
        <w:rPr>
          <w:lang w:val="en-US"/>
        </w:rPr>
        <w:t>Public land managers (including Parks Victoria and the Department of the Environment, Land, Water and Planning</w:t>
      </w:r>
    </w:p>
    <w:p w14:paraId="0C2DD56A" w14:textId="34DD9440" w:rsidR="00DC636E" w:rsidRDefault="00696845" w:rsidP="00705BA8">
      <w:pPr>
        <w:pStyle w:val="ListBullet"/>
        <w:rPr>
          <w:lang w:val="en-US"/>
        </w:rPr>
      </w:pPr>
      <w:r>
        <w:rPr>
          <w:lang w:val="en-US"/>
        </w:rPr>
        <w:t>h</w:t>
      </w:r>
      <w:r w:rsidR="00DC636E">
        <w:rPr>
          <w:lang w:val="en-US"/>
        </w:rPr>
        <w:t xml:space="preserve">eritage </w:t>
      </w:r>
      <w:r>
        <w:rPr>
          <w:lang w:val="en-US"/>
        </w:rPr>
        <w:t>a</w:t>
      </w:r>
      <w:r w:rsidR="00DC636E">
        <w:rPr>
          <w:lang w:val="en-US"/>
        </w:rPr>
        <w:t>dvisors</w:t>
      </w:r>
    </w:p>
    <w:p w14:paraId="556104EB" w14:textId="3D198282" w:rsidR="00DC636E" w:rsidRDefault="00696845" w:rsidP="00705BA8">
      <w:pPr>
        <w:pStyle w:val="ListBullet"/>
        <w:rPr>
          <w:lang w:val="en-US"/>
        </w:rPr>
      </w:pPr>
      <w:r>
        <w:rPr>
          <w:lang w:val="en-US"/>
        </w:rPr>
        <w:t>l</w:t>
      </w:r>
      <w:r w:rsidR="00DC636E">
        <w:rPr>
          <w:lang w:val="en-US"/>
        </w:rPr>
        <w:t>and users and developers.</w:t>
      </w:r>
    </w:p>
    <w:p w14:paraId="092D343E" w14:textId="3EC6061C" w:rsidR="00DC636E" w:rsidRDefault="00DC636E" w:rsidP="00705BA8">
      <w:pPr>
        <w:pStyle w:val="PwCNormal"/>
        <w:numPr>
          <w:ilvl w:val="0"/>
          <w:numId w:val="0"/>
        </w:numPr>
        <w:rPr>
          <w:lang w:val="en-US"/>
        </w:rPr>
      </w:pPr>
      <w:r>
        <w:rPr>
          <w:lang w:val="en-US"/>
        </w:rPr>
        <w:t xml:space="preserve">It is critical the changes to regulatory processes are communicated to stakeholders in advance of the new Regulations taking </w:t>
      </w:r>
      <w:r w:rsidR="00574420">
        <w:rPr>
          <w:lang w:val="en-US"/>
        </w:rPr>
        <w:t>e</w:t>
      </w:r>
      <w:r>
        <w:rPr>
          <w:lang w:val="en-US"/>
        </w:rPr>
        <w:t>ffect. This will ensure stakeholders are able to transition to the new Regulations with minimal disruption to existing processes. The communications for key stakeholders is outlined in the table below:</w:t>
      </w:r>
    </w:p>
    <w:p w14:paraId="7C80CD8E" w14:textId="4DE529FA" w:rsidR="00DC636E" w:rsidRDefault="00DC636E" w:rsidP="00705BA8">
      <w:pPr>
        <w:pStyle w:val="Caption"/>
      </w:pPr>
      <w:r>
        <w:t xml:space="preserve">Table </w:t>
      </w:r>
      <w:r w:rsidR="00B47FE6">
        <w:fldChar w:fldCharType="begin"/>
      </w:r>
      <w:r w:rsidR="00B47FE6">
        <w:instrText xml:space="preserve"> SEQ Table \* ARABIC </w:instrText>
      </w:r>
      <w:r w:rsidR="00B47FE6">
        <w:fldChar w:fldCharType="separate"/>
      </w:r>
      <w:r w:rsidR="000369A1">
        <w:rPr>
          <w:noProof/>
        </w:rPr>
        <w:t>22</w:t>
      </w:r>
      <w:r w:rsidR="00B47FE6">
        <w:rPr>
          <w:noProof/>
        </w:rPr>
        <w:fldChar w:fldCharType="end"/>
      </w:r>
      <w:r>
        <w:t>: AV stakeholder engagement strategy</w:t>
      </w:r>
    </w:p>
    <w:tbl>
      <w:tblPr>
        <w:tblStyle w:val="TableGrid"/>
        <w:tblW w:w="5000" w:type="pct"/>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CellMar>
          <w:top w:w="57" w:type="dxa"/>
        </w:tblCellMar>
        <w:tblLook w:val="04A0" w:firstRow="1" w:lastRow="0" w:firstColumn="1" w:lastColumn="0" w:noHBand="0" w:noVBand="1"/>
      </w:tblPr>
      <w:tblGrid>
        <w:gridCol w:w="1464"/>
        <w:gridCol w:w="4173"/>
        <w:gridCol w:w="2800"/>
      </w:tblGrid>
      <w:tr w:rsidR="00DC636E" w14:paraId="2A7FD7C7" w14:textId="77777777" w:rsidTr="00C35804">
        <w:trPr>
          <w:cantSplit/>
          <w:trHeight w:val="694"/>
          <w:tblHeader/>
        </w:trPr>
        <w:tc>
          <w:tcPr>
            <w:tcW w:w="854" w:type="pct"/>
            <w:shd w:val="clear" w:color="auto" w:fill="A32020" w:themeFill="text2"/>
            <w:vAlign w:val="center"/>
          </w:tcPr>
          <w:p w14:paraId="2639D111" w14:textId="77777777" w:rsidR="00DC636E" w:rsidRPr="00705BA8" w:rsidRDefault="00DC636E">
            <w:pPr>
              <w:pStyle w:val="PwCNormal"/>
              <w:numPr>
                <w:ilvl w:val="0"/>
                <w:numId w:val="0"/>
              </w:numPr>
              <w:rPr>
                <w:b/>
                <w:color w:val="FFFFFF" w:themeColor="background1"/>
                <w:lang w:val="en-US"/>
              </w:rPr>
            </w:pPr>
            <w:r w:rsidRPr="00705BA8">
              <w:rPr>
                <w:b/>
                <w:color w:val="FFFFFF" w:themeColor="background1"/>
                <w:lang w:val="en-US"/>
              </w:rPr>
              <w:t>Relevant stakeholder</w:t>
            </w:r>
          </w:p>
        </w:tc>
        <w:tc>
          <w:tcPr>
            <w:tcW w:w="2480" w:type="pct"/>
            <w:shd w:val="clear" w:color="auto" w:fill="A32020" w:themeFill="text2"/>
            <w:vAlign w:val="center"/>
          </w:tcPr>
          <w:p w14:paraId="131648E7" w14:textId="77777777" w:rsidR="00DC636E" w:rsidRPr="00705BA8" w:rsidRDefault="00DC636E">
            <w:pPr>
              <w:pStyle w:val="PwCNormal"/>
              <w:numPr>
                <w:ilvl w:val="0"/>
                <w:numId w:val="0"/>
              </w:numPr>
              <w:rPr>
                <w:b/>
                <w:color w:val="FFFFFF" w:themeColor="background1"/>
                <w:lang w:val="en-US"/>
              </w:rPr>
            </w:pPr>
            <w:r w:rsidRPr="00705BA8">
              <w:rPr>
                <w:b/>
                <w:color w:val="FFFFFF" w:themeColor="background1"/>
                <w:lang w:val="en-US"/>
              </w:rPr>
              <w:t>Regulatory changes</w:t>
            </w:r>
          </w:p>
        </w:tc>
        <w:tc>
          <w:tcPr>
            <w:tcW w:w="1666" w:type="pct"/>
            <w:shd w:val="clear" w:color="auto" w:fill="A32020" w:themeFill="text2"/>
            <w:vAlign w:val="center"/>
          </w:tcPr>
          <w:p w14:paraId="58F78395" w14:textId="77777777" w:rsidR="00DC636E" w:rsidRPr="00705BA8" w:rsidRDefault="00DC636E">
            <w:pPr>
              <w:pStyle w:val="PwCNormal"/>
              <w:numPr>
                <w:ilvl w:val="0"/>
                <w:numId w:val="0"/>
              </w:numPr>
              <w:rPr>
                <w:b/>
                <w:color w:val="FFFFFF" w:themeColor="background1"/>
                <w:lang w:val="en-US"/>
              </w:rPr>
            </w:pPr>
            <w:r w:rsidRPr="00705BA8">
              <w:rPr>
                <w:b/>
                <w:color w:val="FFFFFF" w:themeColor="background1"/>
                <w:lang w:val="en-US"/>
              </w:rPr>
              <w:t>Communications strategy</w:t>
            </w:r>
          </w:p>
        </w:tc>
      </w:tr>
      <w:tr w:rsidR="00DC636E" w14:paraId="32CD9520" w14:textId="77777777" w:rsidTr="00705BA8">
        <w:trPr>
          <w:trHeight w:val="694"/>
        </w:trPr>
        <w:tc>
          <w:tcPr>
            <w:tcW w:w="854" w:type="pct"/>
            <w:shd w:val="clear" w:color="auto" w:fill="7F7F7F" w:themeFill="text1" w:themeFillTint="80"/>
          </w:tcPr>
          <w:p w14:paraId="0585AF4F" w14:textId="77777777" w:rsidR="00DC636E" w:rsidRPr="00705BA8" w:rsidRDefault="00DC636E" w:rsidP="00730020">
            <w:pPr>
              <w:pStyle w:val="PwCNormal"/>
              <w:numPr>
                <w:ilvl w:val="0"/>
                <w:numId w:val="0"/>
              </w:numPr>
              <w:rPr>
                <w:b/>
                <w:color w:val="FFFFFF" w:themeColor="background1"/>
                <w:lang w:val="en-US"/>
              </w:rPr>
            </w:pPr>
            <w:r w:rsidRPr="00705BA8">
              <w:rPr>
                <w:b/>
                <w:color w:val="FFFFFF" w:themeColor="background1"/>
                <w:lang w:val="en-US"/>
              </w:rPr>
              <w:t>Land users and developers</w:t>
            </w:r>
          </w:p>
        </w:tc>
        <w:tc>
          <w:tcPr>
            <w:tcW w:w="2480" w:type="pct"/>
          </w:tcPr>
          <w:p w14:paraId="74A31E25" w14:textId="77777777" w:rsidR="00DC636E" w:rsidRDefault="00DC636E" w:rsidP="00730020">
            <w:pPr>
              <w:pStyle w:val="PwCNormal"/>
              <w:numPr>
                <w:ilvl w:val="0"/>
                <w:numId w:val="0"/>
              </w:numPr>
              <w:rPr>
                <w:lang w:val="en-US"/>
              </w:rPr>
            </w:pPr>
            <w:r>
              <w:rPr>
                <w:lang w:val="en-US"/>
              </w:rPr>
              <w:t>Land users and developers must be aware of changes to the defined high impact activities, so they know whether a proposed development activity will require the preparation of CHMP.</w:t>
            </w:r>
          </w:p>
          <w:p w14:paraId="30C87757" w14:textId="77777777" w:rsidR="00DC636E" w:rsidRDefault="00DC636E" w:rsidP="00730020">
            <w:pPr>
              <w:pStyle w:val="PwCNormal"/>
              <w:numPr>
                <w:ilvl w:val="0"/>
                <w:numId w:val="0"/>
              </w:numPr>
              <w:rPr>
                <w:lang w:val="en-US"/>
              </w:rPr>
            </w:pPr>
            <w:r>
              <w:rPr>
                <w:lang w:val="en-US"/>
              </w:rPr>
              <w:t>Land users and developers must also be aware of changes to the defined areas of cultural heritage sensitivity, including changes to parks, geological definitions, and clarification to the definition of waterway.</w:t>
            </w:r>
          </w:p>
        </w:tc>
        <w:tc>
          <w:tcPr>
            <w:tcW w:w="1666" w:type="pct"/>
          </w:tcPr>
          <w:p w14:paraId="15970EDD" w14:textId="32FA677B" w:rsidR="00DC636E" w:rsidRPr="00DC636E" w:rsidRDefault="00DC636E" w:rsidP="00705BA8">
            <w:pPr>
              <w:pStyle w:val="ListParagraph"/>
              <w:numPr>
                <w:ilvl w:val="0"/>
                <w:numId w:val="58"/>
              </w:numPr>
              <w:rPr>
                <w:lang w:val="en-US"/>
              </w:rPr>
            </w:pPr>
            <w:r w:rsidRPr="00DC636E">
              <w:rPr>
                <w:lang w:val="en-US"/>
              </w:rPr>
              <w:t>Updates to the AV website, including informative guidance material.</w:t>
            </w:r>
          </w:p>
          <w:p w14:paraId="5F21E7FC" w14:textId="6B88326F" w:rsidR="00DC636E" w:rsidRPr="00DC636E" w:rsidRDefault="00C47E55" w:rsidP="00705BA8">
            <w:pPr>
              <w:pStyle w:val="ListParagraph"/>
              <w:numPr>
                <w:ilvl w:val="0"/>
                <w:numId w:val="58"/>
              </w:numPr>
              <w:rPr>
                <w:lang w:val="en-US"/>
              </w:rPr>
            </w:pPr>
            <w:r>
              <w:rPr>
                <w:lang w:val="en-US"/>
              </w:rPr>
              <w:t>Write to and offer to meet with</w:t>
            </w:r>
            <w:r w:rsidRPr="00DC636E">
              <w:rPr>
                <w:lang w:val="en-US"/>
              </w:rPr>
              <w:t xml:space="preserve"> </w:t>
            </w:r>
            <w:r w:rsidR="00DC636E" w:rsidRPr="00DC636E">
              <w:rPr>
                <w:lang w:val="en-US"/>
              </w:rPr>
              <w:t>with peak industry bodies including the Urban Development Industry of Australia (Victoria).</w:t>
            </w:r>
          </w:p>
        </w:tc>
      </w:tr>
      <w:tr w:rsidR="00DC636E" w14:paraId="56CBBF74" w14:textId="77777777" w:rsidTr="00705BA8">
        <w:trPr>
          <w:trHeight w:val="694"/>
        </w:trPr>
        <w:tc>
          <w:tcPr>
            <w:tcW w:w="854" w:type="pct"/>
            <w:shd w:val="clear" w:color="auto" w:fill="7F7F7F" w:themeFill="text1" w:themeFillTint="80"/>
          </w:tcPr>
          <w:p w14:paraId="13DEB9A8" w14:textId="7169B762" w:rsidR="00DC636E" w:rsidRPr="00705BA8" w:rsidRDefault="00DC636E" w:rsidP="00730020">
            <w:pPr>
              <w:pStyle w:val="PwCNormal"/>
              <w:numPr>
                <w:ilvl w:val="0"/>
                <w:numId w:val="0"/>
              </w:numPr>
              <w:rPr>
                <w:b/>
                <w:color w:val="FFFFFF" w:themeColor="background1"/>
                <w:lang w:val="en-US"/>
              </w:rPr>
            </w:pPr>
            <w:r w:rsidRPr="00705BA8">
              <w:rPr>
                <w:b/>
                <w:color w:val="FFFFFF" w:themeColor="background1"/>
                <w:lang w:val="en-US"/>
              </w:rPr>
              <w:t>RAPs</w:t>
            </w:r>
          </w:p>
        </w:tc>
        <w:tc>
          <w:tcPr>
            <w:tcW w:w="2480" w:type="pct"/>
          </w:tcPr>
          <w:p w14:paraId="62850B04" w14:textId="06ED81FA" w:rsidR="00DC636E" w:rsidRDefault="00DC636E" w:rsidP="00730020">
            <w:pPr>
              <w:pStyle w:val="PwCNormal"/>
              <w:numPr>
                <w:ilvl w:val="0"/>
                <w:numId w:val="0"/>
              </w:numPr>
              <w:rPr>
                <w:lang w:val="en-US"/>
              </w:rPr>
            </w:pPr>
            <w:r>
              <w:rPr>
                <w:lang w:val="en-US"/>
              </w:rPr>
              <w:t>RAPs are responsible for approving CHMPs and regularly advice land users and managers of their responsibilities under the Act.</w:t>
            </w:r>
          </w:p>
          <w:p w14:paraId="25048002" w14:textId="7BFC6016" w:rsidR="00DC636E" w:rsidRDefault="00DC636E" w:rsidP="00730020">
            <w:pPr>
              <w:pStyle w:val="PwCNormal"/>
              <w:numPr>
                <w:ilvl w:val="0"/>
                <w:numId w:val="0"/>
              </w:numPr>
              <w:rPr>
                <w:lang w:val="en-US"/>
              </w:rPr>
            </w:pPr>
            <w:r>
              <w:rPr>
                <w:lang w:val="en-US"/>
              </w:rPr>
              <w:t>RAPs must be aware of changes to the defined high impact activities and areas of cultural heritage sensitivity, and any changes to, or clarification of, the standards for preparing CHMPs and other regulated heritage assessments.</w:t>
            </w:r>
          </w:p>
        </w:tc>
        <w:tc>
          <w:tcPr>
            <w:tcW w:w="1666" w:type="pct"/>
          </w:tcPr>
          <w:p w14:paraId="38AF8141" w14:textId="6303CBA0" w:rsidR="00DC636E" w:rsidRPr="00DC636E" w:rsidRDefault="00C47E55" w:rsidP="00705BA8">
            <w:pPr>
              <w:pStyle w:val="ListParagraph"/>
              <w:numPr>
                <w:ilvl w:val="0"/>
                <w:numId w:val="57"/>
              </w:numPr>
              <w:rPr>
                <w:lang w:val="en-US"/>
              </w:rPr>
            </w:pPr>
            <w:r>
              <w:rPr>
                <w:lang w:val="en-US"/>
              </w:rPr>
              <w:t>Write to and offer to meet</w:t>
            </w:r>
            <w:r w:rsidRPr="00DC636E" w:rsidDel="00C47E55">
              <w:rPr>
                <w:lang w:val="en-US"/>
              </w:rPr>
              <w:t xml:space="preserve"> </w:t>
            </w:r>
            <w:r w:rsidR="00DC636E" w:rsidRPr="00DC636E">
              <w:rPr>
                <w:lang w:val="en-US"/>
              </w:rPr>
              <w:t>with the Registered Aboriginal Party Working Group.</w:t>
            </w:r>
          </w:p>
          <w:p w14:paraId="3FFE5AC1" w14:textId="54A3CF6C" w:rsidR="00DC636E" w:rsidRPr="00DC636E" w:rsidRDefault="00DC636E" w:rsidP="00705BA8">
            <w:pPr>
              <w:pStyle w:val="ListParagraph"/>
              <w:numPr>
                <w:ilvl w:val="0"/>
                <w:numId w:val="57"/>
              </w:numPr>
              <w:rPr>
                <w:lang w:val="en-US"/>
              </w:rPr>
            </w:pPr>
            <w:r w:rsidRPr="00DC636E">
              <w:rPr>
                <w:lang w:val="en-US"/>
              </w:rPr>
              <w:t>RAP Forum (May 2018).</w:t>
            </w:r>
          </w:p>
          <w:p w14:paraId="1BEC642C" w14:textId="35B08486" w:rsidR="00DC636E" w:rsidRPr="00DC636E" w:rsidRDefault="00DC636E" w:rsidP="00705BA8">
            <w:pPr>
              <w:pStyle w:val="ListParagraph"/>
              <w:numPr>
                <w:ilvl w:val="0"/>
                <w:numId w:val="57"/>
              </w:numPr>
              <w:rPr>
                <w:lang w:val="en-US"/>
              </w:rPr>
            </w:pPr>
            <w:r w:rsidRPr="00DC636E">
              <w:rPr>
                <w:lang w:val="en-US"/>
              </w:rPr>
              <w:t>AV will provide informative guidance material.</w:t>
            </w:r>
          </w:p>
        </w:tc>
      </w:tr>
      <w:tr w:rsidR="00DC636E" w14:paraId="5BBED64C" w14:textId="77777777" w:rsidTr="00705BA8">
        <w:trPr>
          <w:trHeight w:val="694"/>
        </w:trPr>
        <w:tc>
          <w:tcPr>
            <w:tcW w:w="854" w:type="pct"/>
            <w:shd w:val="clear" w:color="auto" w:fill="7F7F7F" w:themeFill="text1" w:themeFillTint="80"/>
          </w:tcPr>
          <w:p w14:paraId="617CAC51" w14:textId="5ADEDBFF" w:rsidR="00DC636E" w:rsidRPr="00705BA8" w:rsidRDefault="00DC636E" w:rsidP="00730020">
            <w:pPr>
              <w:pStyle w:val="PwCNormal"/>
              <w:numPr>
                <w:ilvl w:val="0"/>
                <w:numId w:val="0"/>
              </w:numPr>
              <w:rPr>
                <w:b/>
                <w:color w:val="FFFFFF" w:themeColor="background1"/>
                <w:lang w:val="en-US"/>
              </w:rPr>
            </w:pPr>
            <w:r w:rsidRPr="00705BA8">
              <w:rPr>
                <w:b/>
                <w:color w:val="FFFFFF" w:themeColor="background1"/>
                <w:lang w:val="en-US"/>
              </w:rPr>
              <w:t>Local government agencies</w:t>
            </w:r>
          </w:p>
        </w:tc>
        <w:tc>
          <w:tcPr>
            <w:tcW w:w="2480" w:type="pct"/>
          </w:tcPr>
          <w:p w14:paraId="06EB7DD7" w14:textId="4F20725B" w:rsidR="00DC636E" w:rsidRDefault="00DC636E" w:rsidP="00730020">
            <w:pPr>
              <w:pStyle w:val="PwCNormal"/>
              <w:numPr>
                <w:ilvl w:val="0"/>
                <w:numId w:val="0"/>
              </w:numPr>
              <w:rPr>
                <w:lang w:val="en-US"/>
              </w:rPr>
            </w:pPr>
            <w:r>
              <w:rPr>
                <w:lang w:val="en-US"/>
              </w:rPr>
              <w:t>Local Government Agencies must be aware of changes to the defined high impact activities and areas of cultural heritage sensitivity to ensure statutory authorisations are not issued for activities which require a CHMP.</w:t>
            </w:r>
          </w:p>
        </w:tc>
        <w:tc>
          <w:tcPr>
            <w:tcW w:w="1666" w:type="pct"/>
          </w:tcPr>
          <w:p w14:paraId="13474F7D" w14:textId="23A7AA58" w:rsidR="00DC636E" w:rsidRPr="00DC636E" w:rsidRDefault="00C47E55" w:rsidP="00705BA8">
            <w:pPr>
              <w:pStyle w:val="ListParagraph"/>
              <w:numPr>
                <w:ilvl w:val="0"/>
                <w:numId w:val="56"/>
              </w:numPr>
              <w:rPr>
                <w:lang w:val="en-US"/>
              </w:rPr>
            </w:pPr>
            <w:r>
              <w:rPr>
                <w:lang w:val="en-US"/>
              </w:rPr>
              <w:t>Write to and offer to meet</w:t>
            </w:r>
            <w:r w:rsidRPr="00DC636E" w:rsidDel="00C47E55">
              <w:rPr>
                <w:lang w:val="en-US"/>
              </w:rPr>
              <w:t xml:space="preserve"> </w:t>
            </w:r>
            <w:r w:rsidR="00DC636E" w:rsidRPr="00DC636E">
              <w:rPr>
                <w:lang w:val="en-US"/>
              </w:rPr>
              <w:t>with the MAV.</w:t>
            </w:r>
          </w:p>
          <w:p w14:paraId="31C13299" w14:textId="77777777" w:rsidR="00DC636E" w:rsidRPr="00DC636E" w:rsidRDefault="00DC636E" w:rsidP="00705BA8">
            <w:pPr>
              <w:pStyle w:val="ListParagraph"/>
              <w:numPr>
                <w:ilvl w:val="0"/>
                <w:numId w:val="56"/>
              </w:numPr>
              <w:rPr>
                <w:lang w:val="en-US"/>
              </w:rPr>
            </w:pPr>
            <w:r w:rsidRPr="00DC636E">
              <w:rPr>
                <w:lang w:val="en-US"/>
              </w:rPr>
              <w:t>Engage directly with local government agencies.</w:t>
            </w:r>
          </w:p>
        </w:tc>
      </w:tr>
      <w:tr w:rsidR="00DC636E" w14:paraId="7E69504A" w14:textId="77777777" w:rsidTr="00705BA8">
        <w:trPr>
          <w:trHeight w:val="694"/>
        </w:trPr>
        <w:tc>
          <w:tcPr>
            <w:tcW w:w="854" w:type="pct"/>
            <w:shd w:val="clear" w:color="auto" w:fill="7F7F7F" w:themeFill="text1" w:themeFillTint="80"/>
          </w:tcPr>
          <w:p w14:paraId="432FFCB9" w14:textId="77777777" w:rsidR="00DC636E" w:rsidRPr="00705BA8" w:rsidRDefault="00DC636E" w:rsidP="00730020">
            <w:pPr>
              <w:pStyle w:val="PwCNormal"/>
              <w:numPr>
                <w:ilvl w:val="0"/>
                <w:numId w:val="0"/>
              </w:numPr>
              <w:rPr>
                <w:b/>
                <w:color w:val="FFFFFF" w:themeColor="background1"/>
                <w:lang w:val="en-US"/>
              </w:rPr>
            </w:pPr>
            <w:r w:rsidRPr="00705BA8">
              <w:rPr>
                <w:b/>
                <w:color w:val="FFFFFF" w:themeColor="background1"/>
                <w:lang w:val="en-US"/>
              </w:rPr>
              <w:t>Public Land Managers</w:t>
            </w:r>
          </w:p>
        </w:tc>
        <w:tc>
          <w:tcPr>
            <w:tcW w:w="2480" w:type="pct"/>
          </w:tcPr>
          <w:p w14:paraId="22FF1A41" w14:textId="77777777" w:rsidR="00DC636E" w:rsidRDefault="00DC636E" w:rsidP="00730020">
            <w:pPr>
              <w:pStyle w:val="PwCNormal"/>
              <w:numPr>
                <w:ilvl w:val="0"/>
                <w:numId w:val="0"/>
              </w:numPr>
              <w:rPr>
                <w:lang w:val="en-US"/>
              </w:rPr>
            </w:pPr>
            <w:r>
              <w:rPr>
                <w:lang w:val="en-US"/>
              </w:rPr>
              <w:t>Public Land Managers must be aware of changes to the defined areas of cultural heritage sensitivity, particularly regarding changes to the definition of parks</w:t>
            </w:r>
          </w:p>
        </w:tc>
        <w:tc>
          <w:tcPr>
            <w:tcW w:w="1666" w:type="pct"/>
          </w:tcPr>
          <w:p w14:paraId="2F9EE94F" w14:textId="723EB70D" w:rsidR="00DC636E" w:rsidRDefault="00C47E55" w:rsidP="00B3466C">
            <w:pPr>
              <w:pStyle w:val="ListParagraph"/>
              <w:numPr>
                <w:ilvl w:val="0"/>
                <w:numId w:val="56"/>
              </w:numPr>
              <w:rPr>
                <w:lang w:val="en-US"/>
              </w:rPr>
            </w:pPr>
            <w:r>
              <w:rPr>
                <w:lang w:val="en-US"/>
              </w:rPr>
              <w:t>Write to and offer to meet</w:t>
            </w:r>
            <w:r w:rsidDel="00C47E55">
              <w:rPr>
                <w:lang w:val="en-US"/>
              </w:rPr>
              <w:t xml:space="preserve"> </w:t>
            </w:r>
            <w:r w:rsidR="00DC636E">
              <w:rPr>
                <w:lang w:val="en-US"/>
              </w:rPr>
              <w:t>with public land managers, including Parks Victoria, Department of the Environment, Land, Water and Planning, water corporations, and catchment management authorities.</w:t>
            </w:r>
          </w:p>
        </w:tc>
      </w:tr>
      <w:tr w:rsidR="00DC636E" w14:paraId="18092A5E" w14:textId="77777777" w:rsidTr="00705BA8">
        <w:trPr>
          <w:trHeight w:val="694"/>
        </w:trPr>
        <w:tc>
          <w:tcPr>
            <w:tcW w:w="854" w:type="pct"/>
            <w:shd w:val="clear" w:color="auto" w:fill="7F7F7F" w:themeFill="text1" w:themeFillTint="80"/>
          </w:tcPr>
          <w:p w14:paraId="293A29DC" w14:textId="3F2B664A" w:rsidR="00DC636E" w:rsidRPr="00705BA8" w:rsidRDefault="00DC636E" w:rsidP="00730020">
            <w:pPr>
              <w:pStyle w:val="PwCNormal"/>
              <w:numPr>
                <w:ilvl w:val="0"/>
                <w:numId w:val="0"/>
              </w:numPr>
              <w:rPr>
                <w:b/>
                <w:color w:val="FFFFFF" w:themeColor="background1"/>
                <w:lang w:val="en-US"/>
              </w:rPr>
            </w:pPr>
            <w:r w:rsidRPr="00705BA8">
              <w:rPr>
                <w:b/>
                <w:color w:val="FFFFFF" w:themeColor="background1"/>
                <w:lang w:val="en-US"/>
              </w:rPr>
              <w:t>Heritage advisors</w:t>
            </w:r>
          </w:p>
        </w:tc>
        <w:tc>
          <w:tcPr>
            <w:tcW w:w="2480" w:type="pct"/>
          </w:tcPr>
          <w:p w14:paraId="3764A3E1" w14:textId="30BEA7C8" w:rsidR="00DC636E" w:rsidRDefault="00DC636E" w:rsidP="00730020">
            <w:pPr>
              <w:pStyle w:val="PwCNormal"/>
              <w:numPr>
                <w:ilvl w:val="0"/>
                <w:numId w:val="0"/>
              </w:numPr>
              <w:rPr>
                <w:lang w:val="en-US"/>
              </w:rPr>
            </w:pPr>
            <w:r>
              <w:rPr>
                <w:lang w:val="en-US"/>
              </w:rPr>
              <w:t xml:space="preserve">Heritage advisors regularly advise land users and developers of their responsibilities under the </w:t>
            </w:r>
            <w:r w:rsidRPr="00F456BD">
              <w:rPr>
                <w:i/>
                <w:lang w:val="en-US"/>
              </w:rPr>
              <w:t>Aboriginal Heritage Act 2006</w:t>
            </w:r>
            <w:r>
              <w:rPr>
                <w:lang w:val="en-US"/>
              </w:rPr>
              <w:t>. Further, Heritage Advisors are responsible for preparing CHMPs.</w:t>
            </w:r>
          </w:p>
          <w:p w14:paraId="2AEFC91A" w14:textId="77777777" w:rsidR="00DC636E" w:rsidRDefault="00DC636E" w:rsidP="00730020">
            <w:pPr>
              <w:pStyle w:val="PwCNormal"/>
              <w:numPr>
                <w:ilvl w:val="0"/>
                <w:numId w:val="0"/>
              </w:numPr>
              <w:rPr>
                <w:lang w:val="en-US"/>
              </w:rPr>
            </w:pPr>
            <w:r>
              <w:rPr>
                <w:lang w:val="en-US"/>
              </w:rPr>
              <w:t xml:space="preserve">Heritage Advisors must be aware of changes to the defined high impact activities and areas of cultural heritage sensitivity to ensure accurate advice is provided to land users and managers. Further, Heritage Advisors must be aware of changes to, or clarification of, the standards for preparing CHMPs and other regulated heritage assessments. </w:t>
            </w:r>
          </w:p>
        </w:tc>
        <w:tc>
          <w:tcPr>
            <w:tcW w:w="1666" w:type="pct"/>
          </w:tcPr>
          <w:p w14:paraId="4C02C688" w14:textId="71A307AA" w:rsidR="00DC636E" w:rsidRPr="00DC636E" w:rsidRDefault="00DC636E" w:rsidP="00705BA8">
            <w:pPr>
              <w:pStyle w:val="ListParagraph"/>
              <w:numPr>
                <w:ilvl w:val="0"/>
                <w:numId w:val="55"/>
              </w:numPr>
              <w:rPr>
                <w:lang w:val="en-US"/>
              </w:rPr>
            </w:pPr>
            <w:r w:rsidRPr="00DC636E">
              <w:rPr>
                <w:lang w:val="en-US"/>
              </w:rPr>
              <w:t>Heritage advisor information session (April 2018).</w:t>
            </w:r>
          </w:p>
          <w:p w14:paraId="21873250" w14:textId="6B0159B1" w:rsidR="00DC636E" w:rsidRPr="00DC636E" w:rsidRDefault="00C47E55" w:rsidP="00705BA8">
            <w:pPr>
              <w:pStyle w:val="ListParagraph"/>
              <w:numPr>
                <w:ilvl w:val="0"/>
                <w:numId w:val="55"/>
              </w:numPr>
              <w:rPr>
                <w:lang w:val="en-US"/>
              </w:rPr>
            </w:pPr>
            <w:r>
              <w:rPr>
                <w:lang w:val="en-US"/>
              </w:rPr>
              <w:t>Meet</w:t>
            </w:r>
            <w:r w:rsidRPr="00DC636E" w:rsidDel="00C47E55">
              <w:rPr>
                <w:lang w:val="en-US"/>
              </w:rPr>
              <w:t xml:space="preserve"> </w:t>
            </w:r>
            <w:r w:rsidR="00DC636E" w:rsidRPr="00DC636E">
              <w:rPr>
                <w:lang w:val="en-US"/>
              </w:rPr>
              <w:t>with the Australian Association of Consulting Archaeologists Incorporated.</w:t>
            </w:r>
          </w:p>
          <w:p w14:paraId="5AA1F7E9" w14:textId="2DDAD1C4" w:rsidR="00DC636E" w:rsidRPr="00DC636E" w:rsidRDefault="00C47E55" w:rsidP="00705BA8">
            <w:pPr>
              <w:pStyle w:val="ListParagraph"/>
              <w:numPr>
                <w:ilvl w:val="0"/>
                <w:numId w:val="55"/>
              </w:numPr>
              <w:rPr>
                <w:lang w:val="en-US"/>
              </w:rPr>
            </w:pPr>
            <w:r>
              <w:rPr>
                <w:lang w:val="en-US"/>
              </w:rPr>
              <w:t>Write to and offer to meet</w:t>
            </w:r>
            <w:r w:rsidRPr="00DC636E" w:rsidDel="00C47E55">
              <w:rPr>
                <w:lang w:val="en-US"/>
              </w:rPr>
              <w:t xml:space="preserve"> </w:t>
            </w:r>
            <w:r w:rsidR="00DC636E" w:rsidRPr="00DC636E">
              <w:rPr>
                <w:lang w:val="en-US"/>
              </w:rPr>
              <w:t>directly with Heritage Advisers and cultural heritage management consultancies.</w:t>
            </w:r>
          </w:p>
          <w:p w14:paraId="12B07F1D" w14:textId="44701838" w:rsidR="00DC636E" w:rsidRPr="00DC636E" w:rsidRDefault="00DC636E" w:rsidP="00705BA8">
            <w:pPr>
              <w:pStyle w:val="ListParagraph"/>
              <w:numPr>
                <w:ilvl w:val="0"/>
                <w:numId w:val="55"/>
              </w:numPr>
              <w:rPr>
                <w:lang w:val="en-US"/>
              </w:rPr>
            </w:pPr>
            <w:r w:rsidRPr="00DC636E">
              <w:rPr>
                <w:lang w:val="en-US"/>
              </w:rPr>
              <w:t>Updates to the AV website</w:t>
            </w:r>
          </w:p>
        </w:tc>
      </w:tr>
    </w:tbl>
    <w:p w14:paraId="289AB927" w14:textId="57DC612D" w:rsidR="00743D07" w:rsidRPr="00705BA8" w:rsidRDefault="00DC636E" w:rsidP="00705BA8">
      <w:pPr>
        <w:pStyle w:val="PwCNormal"/>
        <w:rPr>
          <w:color w:val="A32020" w:themeColor="text2"/>
          <w:sz w:val="18"/>
          <w:lang w:val="en-US"/>
        </w:rPr>
      </w:pPr>
      <w:r w:rsidDel="00DC636E">
        <w:rPr>
          <w:lang w:val="en-US"/>
        </w:rPr>
        <w:t xml:space="preserve"> </w:t>
      </w:r>
      <w:r w:rsidR="00C94E42" w:rsidRPr="00F75948">
        <w:rPr>
          <w:color w:val="A32020" w:themeColor="text2"/>
          <w:sz w:val="18"/>
          <w:lang w:val="en-US"/>
        </w:rPr>
        <w:t>Source: Information provided by AV.</w:t>
      </w:r>
    </w:p>
    <w:p w14:paraId="296852F7" w14:textId="605AD792" w:rsidR="00D00384" w:rsidRDefault="00D00384" w:rsidP="00D00384">
      <w:pPr>
        <w:pStyle w:val="Heading6"/>
        <w:rPr>
          <w:lang w:val="en-US"/>
        </w:rPr>
      </w:pPr>
      <w:r>
        <w:rPr>
          <w:lang w:val="en-US"/>
        </w:rPr>
        <w:t>Compliance and enforcement</w:t>
      </w:r>
    </w:p>
    <w:p w14:paraId="4282668A" w14:textId="31647235" w:rsidR="00A14DBC" w:rsidRDefault="00C94E42" w:rsidP="00705BA8">
      <w:pPr>
        <w:pStyle w:val="PwCNormal"/>
        <w:rPr>
          <w:lang w:val="en-US"/>
        </w:rPr>
      </w:pPr>
      <w:r>
        <w:rPr>
          <w:lang w:val="en-US"/>
        </w:rPr>
        <w:t>AV</w:t>
      </w:r>
      <w:r w:rsidR="00A14DBC" w:rsidRPr="00A14DBC">
        <w:rPr>
          <w:lang w:val="en-US"/>
        </w:rPr>
        <w:t xml:space="preserve"> will be responsible for adm</w:t>
      </w:r>
      <w:r w:rsidR="00D56D80">
        <w:rPr>
          <w:lang w:val="en-US"/>
        </w:rPr>
        <w:t>inistration of the proposed 2018</w:t>
      </w:r>
      <w:r w:rsidR="00A14DBC" w:rsidRPr="00A14DBC">
        <w:rPr>
          <w:lang w:val="en-US"/>
        </w:rPr>
        <w:t xml:space="preserve"> Regulations, primarily through its Heritage Services unit. Enforcement and compliance with the proposed Regulations will be coordinated by the State-wide Enforcement and Compliance Coordinator (SECC). </w:t>
      </w:r>
    </w:p>
    <w:p w14:paraId="2F44433C" w14:textId="2F9E8782" w:rsidR="00D56D80" w:rsidRDefault="00D56D80" w:rsidP="00705BA8">
      <w:pPr>
        <w:pStyle w:val="Heading7"/>
        <w:rPr>
          <w:lang w:val="en-US"/>
        </w:rPr>
      </w:pPr>
      <w:r>
        <w:rPr>
          <w:lang w:val="en-US"/>
        </w:rPr>
        <w:t>Compliance philosophy</w:t>
      </w:r>
    </w:p>
    <w:p w14:paraId="2AADCE5E" w14:textId="77777777" w:rsidR="00D56D80" w:rsidRPr="00D56D80" w:rsidRDefault="00D56D80" w:rsidP="00D56D80">
      <w:pPr>
        <w:pStyle w:val="PwCNormal"/>
        <w:rPr>
          <w:lang w:val="en-US"/>
        </w:rPr>
      </w:pPr>
      <w:r w:rsidRPr="00D56D80">
        <w:rPr>
          <w:lang w:val="en-US"/>
        </w:rPr>
        <w:t>AV engages in a risk based compliance and enforcement strategy. A risk-based approach allows the AV Compliance and Enforcement Program to focus on areas where the relative risks associated with non-compliance with the Act are greatest. This does not mean areas of low risk are neglected. Rather, tools employed in these areas are less time and resource intensive, allowing AV to direct a larger proportion of resources to high risk non-compliance issues. The four offences have been selected as the primary focus for AV compliance and enforcement activities based on available resources and the greatest perceived threat:</w:t>
      </w:r>
    </w:p>
    <w:p w14:paraId="7910ABEF" w14:textId="0B4C40DE" w:rsidR="00D56D80" w:rsidRPr="00D56D80" w:rsidRDefault="00D56D80" w:rsidP="00705BA8">
      <w:pPr>
        <w:pStyle w:val="ListBullet"/>
        <w:rPr>
          <w:lang w:val="en-US"/>
        </w:rPr>
      </w:pPr>
      <w:r w:rsidRPr="00D56D80">
        <w:rPr>
          <w:lang w:val="en-US"/>
        </w:rPr>
        <w:t>Harm to Aboriginal cultural heritage</w:t>
      </w:r>
      <w:r>
        <w:rPr>
          <w:lang w:val="en-US"/>
        </w:rPr>
        <w:t>.</w:t>
      </w:r>
    </w:p>
    <w:p w14:paraId="28FD52B5" w14:textId="4ECAC75E" w:rsidR="00D56D80" w:rsidRPr="00D56D80" w:rsidRDefault="00D56D80" w:rsidP="00705BA8">
      <w:pPr>
        <w:pStyle w:val="ListBullet"/>
        <w:rPr>
          <w:lang w:val="en-US"/>
        </w:rPr>
      </w:pPr>
      <w:r w:rsidRPr="00D56D80">
        <w:rPr>
          <w:lang w:val="en-US"/>
        </w:rPr>
        <w:t>Possession of Aboriginal Ancestral Remains</w:t>
      </w:r>
      <w:r>
        <w:rPr>
          <w:lang w:val="en-US"/>
        </w:rPr>
        <w:t>.</w:t>
      </w:r>
    </w:p>
    <w:p w14:paraId="47652E8A" w14:textId="3BC00C07" w:rsidR="00D56D80" w:rsidRPr="00D56D80" w:rsidRDefault="00D56D80" w:rsidP="00705BA8">
      <w:pPr>
        <w:pStyle w:val="ListBullet"/>
        <w:rPr>
          <w:lang w:val="en-US"/>
        </w:rPr>
      </w:pPr>
      <w:r w:rsidRPr="00D56D80">
        <w:rPr>
          <w:lang w:val="en-US"/>
        </w:rPr>
        <w:t>Undertaking activities without an approved CHMP or CHP- or not in accordance with the conditions of an approved CHP or CHMP</w:t>
      </w:r>
      <w:r>
        <w:rPr>
          <w:lang w:val="en-US"/>
        </w:rPr>
        <w:t>.</w:t>
      </w:r>
    </w:p>
    <w:p w14:paraId="06638D84" w14:textId="35DB33FE" w:rsidR="00D56D80" w:rsidRPr="00D56D80" w:rsidRDefault="00D56D80" w:rsidP="00705BA8">
      <w:pPr>
        <w:pStyle w:val="ListBullet"/>
        <w:rPr>
          <w:lang w:val="en-US"/>
        </w:rPr>
      </w:pPr>
      <w:r w:rsidRPr="00D56D80">
        <w:rPr>
          <w:lang w:val="en-US"/>
        </w:rPr>
        <w:t>Non-compliance with a Stop Order, 24 Hour Stop Order of non-compliance with an Improvement Notice.</w:t>
      </w:r>
    </w:p>
    <w:p w14:paraId="00AAB7E7" w14:textId="77777777" w:rsidR="00D56D80" w:rsidRPr="00D56D80" w:rsidRDefault="00D56D80" w:rsidP="00D56D80">
      <w:pPr>
        <w:pStyle w:val="PwCNormal"/>
        <w:rPr>
          <w:lang w:val="en-US"/>
        </w:rPr>
      </w:pPr>
      <w:r w:rsidRPr="00D56D80">
        <w:rPr>
          <w:lang w:val="en-US"/>
        </w:rPr>
        <w:t>Promoting compliance with the Act and the appropriate and respectful protection and management of Aboriginal cultural heritage through a threefold approach:</w:t>
      </w:r>
    </w:p>
    <w:p w14:paraId="173B0A1A" w14:textId="671346B4" w:rsidR="00D56D80" w:rsidRPr="00D56D80" w:rsidRDefault="00D56D80" w:rsidP="00705BA8">
      <w:pPr>
        <w:pStyle w:val="PwCNormal"/>
        <w:numPr>
          <w:ilvl w:val="0"/>
          <w:numId w:val="53"/>
        </w:numPr>
        <w:rPr>
          <w:lang w:val="en-US"/>
        </w:rPr>
      </w:pPr>
      <w:r w:rsidRPr="00D56D80">
        <w:rPr>
          <w:lang w:val="en-US"/>
        </w:rPr>
        <w:t>Information and education</w:t>
      </w:r>
    </w:p>
    <w:p w14:paraId="3457055F" w14:textId="5D8821EF" w:rsidR="00D56D80" w:rsidRPr="00D56D80" w:rsidRDefault="00D56D80" w:rsidP="00705BA8">
      <w:pPr>
        <w:pStyle w:val="PwCNormal"/>
        <w:numPr>
          <w:ilvl w:val="0"/>
          <w:numId w:val="53"/>
        </w:numPr>
        <w:rPr>
          <w:lang w:val="en-US"/>
        </w:rPr>
      </w:pPr>
      <w:r w:rsidRPr="00D56D80">
        <w:rPr>
          <w:lang w:val="en-US"/>
        </w:rPr>
        <w:t>Compliance monitoring and auditing; and</w:t>
      </w:r>
    </w:p>
    <w:p w14:paraId="409502F0" w14:textId="7A1EB226" w:rsidR="00D56D80" w:rsidRPr="00D56D80" w:rsidRDefault="00D56D80" w:rsidP="00705BA8">
      <w:pPr>
        <w:pStyle w:val="PwCNormal"/>
        <w:numPr>
          <w:ilvl w:val="0"/>
          <w:numId w:val="53"/>
        </w:numPr>
        <w:rPr>
          <w:lang w:val="en-US"/>
        </w:rPr>
      </w:pPr>
      <w:r w:rsidRPr="00D56D80">
        <w:rPr>
          <w:lang w:val="en-US"/>
        </w:rPr>
        <w:t>Enforcement.</w:t>
      </w:r>
    </w:p>
    <w:p w14:paraId="1FA48A83" w14:textId="77777777" w:rsidR="00A14DBC" w:rsidRPr="00A14DBC" w:rsidRDefault="00A14DBC" w:rsidP="00705BA8">
      <w:pPr>
        <w:pStyle w:val="Heading7"/>
        <w:rPr>
          <w:lang w:val="en-US"/>
        </w:rPr>
      </w:pPr>
      <w:r w:rsidRPr="00A14DBC">
        <w:rPr>
          <w:lang w:val="en-US"/>
        </w:rPr>
        <w:t>Programs to promote compliance</w:t>
      </w:r>
    </w:p>
    <w:p w14:paraId="066276EB" w14:textId="77777777" w:rsidR="00A14DBC" w:rsidRPr="00A14DBC" w:rsidRDefault="00A14DBC" w:rsidP="00705BA8">
      <w:pPr>
        <w:pStyle w:val="PwCNormal"/>
        <w:rPr>
          <w:lang w:val="en-US"/>
        </w:rPr>
      </w:pPr>
      <w:r w:rsidRPr="00A14DBC">
        <w:rPr>
          <w:lang w:val="en-US"/>
        </w:rPr>
        <w:t xml:space="preserve">AV undertakes a number of programs aimed to promote compliance. Such programs include awareness and information campaigns as well as education programs. AV will continue to work in partnership with Registered Aboriginal Parties (RAPs), industry groups and the broader community to achieve compliance with the proposed Regulations. </w:t>
      </w:r>
    </w:p>
    <w:p w14:paraId="0A78D91C" w14:textId="2B3CD3B9" w:rsidR="00A14DBC" w:rsidRPr="00A14DBC" w:rsidRDefault="00A14DBC" w:rsidP="00705BA8">
      <w:pPr>
        <w:pStyle w:val="Heading7"/>
        <w:rPr>
          <w:lang w:val="en-US"/>
        </w:rPr>
      </w:pPr>
      <w:r>
        <w:rPr>
          <w:lang w:val="en-US"/>
        </w:rPr>
        <w:t>Monitoring c</w:t>
      </w:r>
      <w:r w:rsidRPr="00A14DBC">
        <w:rPr>
          <w:lang w:val="en-US"/>
        </w:rPr>
        <w:t>ompliance</w:t>
      </w:r>
    </w:p>
    <w:p w14:paraId="592DC270" w14:textId="23C51D9C" w:rsidR="00A14DBC" w:rsidRPr="00A14DBC" w:rsidRDefault="00A14DBC" w:rsidP="00705BA8">
      <w:pPr>
        <w:pStyle w:val="PwCNormal"/>
        <w:rPr>
          <w:lang w:val="en-US"/>
        </w:rPr>
      </w:pPr>
      <w:r w:rsidRPr="00A14DBC">
        <w:rPr>
          <w:lang w:val="en-US"/>
        </w:rPr>
        <w:t xml:space="preserve">Authorised officers and Aboriginal heritage officers appointed under the Aboriginal Heritage Act 2006 (the Act) will support compliance monitoring and enforcement of the proposed Regulations. A dedicated team of authorised officers and Aboriginal heritage officers are already in place </w:t>
      </w:r>
      <w:r>
        <w:rPr>
          <w:lang w:val="en-US"/>
        </w:rPr>
        <w:t xml:space="preserve">to assist with enforcement and </w:t>
      </w:r>
      <w:r w:rsidRPr="00A14DBC">
        <w:rPr>
          <w:lang w:val="en-US"/>
        </w:rPr>
        <w:t xml:space="preserve">compliance monitoring.  </w:t>
      </w:r>
    </w:p>
    <w:p w14:paraId="4B893687" w14:textId="77777777" w:rsidR="00A14DBC" w:rsidRPr="00A14DBC" w:rsidRDefault="00A14DBC" w:rsidP="00705BA8">
      <w:pPr>
        <w:pStyle w:val="PwCNormal"/>
        <w:rPr>
          <w:lang w:val="en-US"/>
        </w:rPr>
      </w:pPr>
      <w:r w:rsidRPr="00A14DBC">
        <w:rPr>
          <w:lang w:val="en-US"/>
        </w:rPr>
        <w:t xml:space="preserve">Appointed by the Minister, authorised officers and Aboriginal heritage officers undergo ongoing and regular training to a high standard comparable to other authorised officers operating under similar Victorian legislation. The SECC provides support and resources to all Aboriginal heritage officers and authorised officers. The proposed Regulations will be incorporated into the training program and resources updated. </w:t>
      </w:r>
    </w:p>
    <w:p w14:paraId="69FDABD6" w14:textId="77777777" w:rsidR="00A14DBC" w:rsidRPr="00A14DBC" w:rsidRDefault="00A14DBC" w:rsidP="00705BA8">
      <w:pPr>
        <w:pStyle w:val="PwCNormal"/>
        <w:rPr>
          <w:lang w:val="en-US"/>
        </w:rPr>
      </w:pPr>
      <w:r w:rsidRPr="00A14DBC">
        <w:rPr>
          <w:lang w:val="en-US"/>
        </w:rPr>
        <w:t xml:space="preserve">Authorised officers are responsible for directing and overseeing Cultural Heritage Audits and have powers under the Act to assist with the investigation of offences such as breach of CHMP conditions or harm to Aboriginal cultural heritage. The Act and AV’s Investigations Manual provides clear guidance for authorised officers and Aboriginal heritage officers regarding the exercise of their powers when undertaking enforcement and compliance duties. </w:t>
      </w:r>
    </w:p>
    <w:p w14:paraId="43B625EE" w14:textId="77777777" w:rsidR="00A14DBC" w:rsidRPr="00A14DBC" w:rsidRDefault="00A14DBC" w:rsidP="00705BA8">
      <w:pPr>
        <w:pStyle w:val="Heading7"/>
        <w:rPr>
          <w:lang w:val="en-US"/>
        </w:rPr>
      </w:pPr>
      <w:r w:rsidRPr="00A14DBC">
        <w:rPr>
          <w:lang w:val="en-US"/>
        </w:rPr>
        <w:t>Enforcement measures</w:t>
      </w:r>
    </w:p>
    <w:p w14:paraId="4A5A588D" w14:textId="77777777" w:rsidR="00B43223" w:rsidRDefault="00A14DBC" w:rsidP="00705BA8">
      <w:pPr>
        <w:pStyle w:val="PwCNormal"/>
        <w:rPr>
          <w:lang w:val="en-US"/>
        </w:rPr>
      </w:pPr>
      <w:r w:rsidRPr="00A14DBC">
        <w:rPr>
          <w:lang w:val="en-US"/>
        </w:rPr>
        <w:t xml:space="preserve">Where there is a breach under the Act, a range of regulatory responses will be employed in line with AV’s Compliance and Enforcement Policy. These approaches escalate from education, advice and warnings to stop orders and prosecutions according to the severity or continuation of a contravention and in accordance with the criteria for determining appropriate response outlined in Aboriginal Victoria’s Investigation Manual. </w:t>
      </w:r>
    </w:p>
    <w:p w14:paraId="6AEAA211" w14:textId="77777777" w:rsidR="00B43223" w:rsidRDefault="00B43223" w:rsidP="00705BA8">
      <w:pPr>
        <w:pStyle w:val="Heading7"/>
        <w:rPr>
          <w:lang w:val="en-US"/>
        </w:rPr>
      </w:pPr>
      <w:r>
        <w:rPr>
          <w:lang w:val="en-US"/>
        </w:rPr>
        <w:t>Engagement with stakeholders</w:t>
      </w:r>
    </w:p>
    <w:p w14:paraId="1029EE9E" w14:textId="3EAE066C" w:rsidR="00B43223" w:rsidRPr="00B43223" w:rsidRDefault="00B43223" w:rsidP="00705BA8">
      <w:pPr>
        <w:pStyle w:val="PwCNormal"/>
        <w:rPr>
          <w:lang w:val="en-US"/>
        </w:rPr>
      </w:pPr>
      <w:r w:rsidRPr="00B43223">
        <w:rPr>
          <w:lang w:val="en-US"/>
        </w:rPr>
        <w:t>The aim of engaging in partnerships is to reduce risk of harm to Aboriginal cultural heritage by building capacity within and strengthening relationships between Aboriginal c</w:t>
      </w:r>
      <w:r>
        <w:rPr>
          <w:lang w:val="en-US"/>
        </w:rPr>
        <w:t>ommunities, industry groups and</w:t>
      </w:r>
      <w:r w:rsidRPr="00B43223">
        <w:rPr>
          <w:lang w:val="en-US"/>
        </w:rPr>
        <w:t xml:space="preserve"> other stakeholders to identify and manage their Aboriginal cultural heritage obligations.</w:t>
      </w:r>
    </w:p>
    <w:p w14:paraId="1746CA08" w14:textId="77777777" w:rsidR="00B43223" w:rsidRPr="00B43223" w:rsidRDefault="00B43223" w:rsidP="00705BA8">
      <w:pPr>
        <w:pStyle w:val="PwCNormal"/>
        <w:rPr>
          <w:lang w:val="en-US"/>
        </w:rPr>
      </w:pPr>
      <w:r w:rsidRPr="00B43223">
        <w:rPr>
          <w:lang w:val="en-US"/>
        </w:rPr>
        <w:t>AV encourages the voluntary adoption of compliance and 'best practice' approaches to managing and protecting Aboriginal cultural heritage through a responsive regulatory approach and by raising knowledge and awareness of Aboriginal cultural heritage and the Act, including:</w:t>
      </w:r>
    </w:p>
    <w:p w14:paraId="19709B42" w14:textId="7FA3315A" w:rsidR="00B43223" w:rsidRPr="00B43223" w:rsidRDefault="00B43223" w:rsidP="00705BA8">
      <w:pPr>
        <w:pStyle w:val="ListBullet"/>
        <w:rPr>
          <w:lang w:val="en-US"/>
        </w:rPr>
      </w:pPr>
      <w:r w:rsidRPr="00B43223">
        <w:rPr>
          <w:lang w:val="en-US"/>
        </w:rPr>
        <w:t>interacting formally and informally with community group industry representatives and sta</w:t>
      </w:r>
      <w:r>
        <w:rPr>
          <w:lang w:val="en-US"/>
        </w:rPr>
        <w:t>keholders to increase awareness</w:t>
      </w:r>
    </w:p>
    <w:p w14:paraId="0DC69F9E" w14:textId="2E9B8FA5" w:rsidR="00B43223" w:rsidRPr="00B43223" w:rsidRDefault="00B43223" w:rsidP="00705BA8">
      <w:pPr>
        <w:pStyle w:val="ListBullet"/>
        <w:rPr>
          <w:lang w:val="en-US"/>
        </w:rPr>
      </w:pPr>
      <w:r w:rsidRPr="00B43223">
        <w:rPr>
          <w:lang w:val="en-US"/>
        </w:rPr>
        <w:t xml:space="preserve">providing advice and </w:t>
      </w:r>
      <w:r>
        <w:rPr>
          <w:lang w:val="en-US"/>
        </w:rPr>
        <w:t>making presentations on the Act</w:t>
      </w:r>
    </w:p>
    <w:p w14:paraId="73E9AF4F" w14:textId="0213FE11" w:rsidR="00B43223" w:rsidRPr="00B43223" w:rsidRDefault="00B43223" w:rsidP="00705BA8">
      <w:pPr>
        <w:pStyle w:val="ListBullet"/>
        <w:rPr>
          <w:lang w:val="en-US"/>
        </w:rPr>
      </w:pPr>
      <w:r>
        <w:rPr>
          <w:lang w:val="en-US"/>
        </w:rPr>
        <w:t>p</w:t>
      </w:r>
      <w:r w:rsidRPr="00B43223">
        <w:rPr>
          <w:lang w:val="en-US"/>
        </w:rPr>
        <w:t>reparing and distributing guidelines, information sheets and policies;</w:t>
      </w:r>
    </w:p>
    <w:p w14:paraId="3D10EFCE" w14:textId="7964E59A" w:rsidR="00B43223" w:rsidRPr="00B43223" w:rsidRDefault="00B43223" w:rsidP="00705BA8">
      <w:pPr>
        <w:pStyle w:val="ListBullet"/>
        <w:rPr>
          <w:lang w:val="en-US"/>
        </w:rPr>
      </w:pPr>
      <w:r>
        <w:rPr>
          <w:lang w:val="en-US"/>
        </w:rPr>
        <w:t>e</w:t>
      </w:r>
      <w:r w:rsidRPr="00B43223">
        <w:rPr>
          <w:lang w:val="en-US"/>
        </w:rPr>
        <w:t>ncouraging stakeholders to undertake self-regulation by continually assessing and monitoring their activities. A range of tools are available to assist in the identification and management of A</w:t>
      </w:r>
      <w:r>
        <w:rPr>
          <w:lang w:val="en-US"/>
        </w:rPr>
        <w:t>boriginal cultural heritage (eg t</w:t>
      </w:r>
      <w:r w:rsidRPr="00B43223">
        <w:rPr>
          <w:lang w:val="en-US"/>
        </w:rPr>
        <w:t>he Aboriginal Cultural Heritage Register Information System (ACHRIS))</w:t>
      </w:r>
    </w:p>
    <w:p w14:paraId="3B2B5C9D" w14:textId="43A99EA0" w:rsidR="00B43223" w:rsidRPr="00B43223" w:rsidRDefault="00B43223" w:rsidP="00705BA8">
      <w:pPr>
        <w:pStyle w:val="ListBullet"/>
        <w:rPr>
          <w:lang w:val="en-US"/>
        </w:rPr>
      </w:pPr>
      <w:r>
        <w:rPr>
          <w:lang w:val="en-US"/>
        </w:rPr>
        <w:t>f</w:t>
      </w:r>
      <w:r w:rsidRPr="00B43223">
        <w:rPr>
          <w:lang w:val="en-US"/>
        </w:rPr>
        <w:t>acilitating investigations to identify, interpret and protect Aboriginal cultural heritage</w:t>
      </w:r>
    </w:p>
    <w:p w14:paraId="26B09BEF" w14:textId="3C88D749" w:rsidR="00D00384" w:rsidRPr="00B43223" w:rsidRDefault="00B43223" w:rsidP="00705BA8">
      <w:pPr>
        <w:pStyle w:val="ListBullet"/>
        <w:rPr>
          <w:lang w:val="en-US"/>
        </w:rPr>
      </w:pPr>
      <w:r>
        <w:rPr>
          <w:lang w:val="en-US"/>
        </w:rPr>
        <w:t>p</w:t>
      </w:r>
      <w:r w:rsidRPr="00B43223">
        <w:rPr>
          <w:lang w:val="en-US"/>
        </w:rPr>
        <w:t>romoting partnerships with Traditional Owners and RAPs in the management of Aboriginal cultural heritage.</w:t>
      </w:r>
      <w:r w:rsidRPr="00B43223" w:rsidDel="00A14DBC">
        <w:rPr>
          <w:lang w:val="en-US"/>
        </w:rPr>
        <w:t xml:space="preserve"> </w:t>
      </w:r>
    </w:p>
    <w:p w14:paraId="12772F10" w14:textId="168FB462" w:rsidR="00743D07" w:rsidRDefault="00D00384" w:rsidP="00D00384">
      <w:pPr>
        <w:pStyle w:val="Heading6"/>
        <w:rPr>
          <w:lang w:val="en-US"/>
        </w:rPr>
      </w:pPr>
      <w:bookmarkStart w:id="77" w:name="_Ref504151189"/>
      <w:r>
        <w:rPr>
          <w:lang w:val="en-US"/>
        </w:rPr>
        <w:t>Evaluation strategy</w:t>
      </w:r>
      <w:bookmarkEnd w:id="77"/>
    </w:p>
    <w:p w14:paraId="4A5752AA" w14:textId="59B0A2F2" w:rsidR="00A9212E" w:rsidRDefault="00A9212E" w:rsidP="00A9212E">
      <w:pPr>
        <w:pStyle w:val="PwCNormal"/>
        <w:numPr>
          <w:ilvl w:val="0"/>
          <w:numId w:val="0"/>
        </w:numPr>
        <w:rPr>
          <w:lang w:val="en-US"/>
        </w:rPr>
      </w:pPr>
      <w:r>
        <w:rPr>
          <w:lang w:val="en-US"/>
        </w:rPr>
        <w:t xml:space="preserve">The evaluation strategy should confirm </w:t>
      </w:r>
      <w:r w:rsidR="0057395F">
        <w:rPr>
          <w:lang w:val="en-US"/>
        </w:rPr>
        <w:t xml:space="preserve">whether </w:t>
      </w:r>
      <w:r>
        <w:rPr>
          <w:lang w:val="en-US"/>
        </w:rPr>
        <w:t xml:space="preserve">the Aboriginal Heritage Regulations 2018 provide better outcomes for Aboriginal cultural heritage </w:t>
      </w:r>
      <w:r w:rsidR="0057395F">
        <w:rPr>
          <w:lang w:val="en-US"/>
        </w:rPr>
        <w:t>without imposing unnecessarily</w:t>
      </w:r>
      <w:r>
        <w:rPr>
          <w:lang w:val="en-US"/>
        </w:rPr>
        <w:t xml:space="preserve"> </w:t>
      </w:r>
      <w:r w:rsidR="0057395F">
        <w:rPr>
          <w:lang w:val="en-US"/>
        </w:rPr>
        <w:t>highcosts on</w:t>
      </w:r>
      <w:r>
        <w:rPr>
          <w:lang w:val="en-US"/>
        </w:rPr>
        <w:t xml:space="preserve"> land users and developers.  </w:t>
      </w:r>
    </w:p>
    <w:p w14:paraId="130B2DEF" w14:textId="4557BEB5" w:rsidR="00A9212E" w:rsidRDefault="00A9212E" w:rsidP="00A9212E">
      <w:pPr>
        <w:pStyle w:val="PwCNormal"/>
        <w:numPr>
          <w:ilvl w:val="0"/>
          <w:numId w:val="0"/>
        </w:numPr>
        <w:rPr>
          <w:lang w:val="en-US"/>
        </w:rPr>
      </w:pPr>
      <w:r>
        <w:rPr>
          <w:lang w:val="en-US"/>
        </w:rPr>
        <w:t>Annual evaluation will be carried out internally</w:t>
      </w:r>
      <w:r w:rsidR="0057395F">
        <w:rPr>
          <w:lang w:val="en-US"/>
        </w:rPr>
        <w:t xml:space="preserve"> by AV</w:t>
      </w:r>
      <w:r>
        <w:rPr>
          <w:lang w:val="en-US"/>
        </w:rPr>
        <w:t>, in the form of internal progress status reports against Key Evaluation Questions (KEQ) (below).</w:t>
      </w:r>
    </w:p>
    <w:p w14:paraId="2EEDEC10" w14:textId="166CF6AC" w:rsidR="00A9212E" w:rsidRDefault="000816B5" w:rsidP="00A9212E">
      <w:pPr>
        <w:pStyle w:val="PwCNormal"/>
        <w:numPr>
          <w:ilvl w:val="0"/>
          <w:numId w:val="0"/>
        </w:numPr>
        <w:rPr>
          <w:lang w:val="en-US"/>
        </w:rPr>
      </w:pPr>
      <w:r>
        <w:rPr>
          <w:lang w:val="en-US"/>
        </w:rPr>
        <w:t>AV</w:t>
      </w:r>
      <w:r w:rsidR="00A9212E">
        <w:rPr>
          <w:lang w:val="en-US"/>
        </w:rPr>
        <w:t xml:space="preserve"> will use both qualitative and quantitative data to answer the KEQ. This will include data collected in Aboriginal Victoria’s cultural heritage management database; the Aboriginal Heritage Evaluation Management System (AHEMS). AHEMS manages the statutory timeframes for CHMPs, PAHTS, and CHPs, and records data across various fields including CHMP size and assessment type, proposed activity, </w:t>
      </w:r>
      <w:r w:rsidR="00A31D50">
        <w:rPr>
          <w:lang w:val="en-US"/>
        </w:rPr>
        <w:t>the</w:t>
      </w:r>
      <w:r>
        <w:rPr>
          <w:lang w:val="en-US"/>
        </w:rPr>
        <w:t xml:space="preserve"> </w:t>
      </w:r>
      <w:r w:rsidR="00A9212E">
        <w:rPr>
          <w:lang w:val="en-US"/>
        </w:rPr>
        <w:t>number of submissions, and relevant local government authority.</w:t>
      </w:r>
    </w:p>
    <w:p w14:paraId="7885EB2A" w14:textId="6D3FEE23" w:rsidR="00A9212E" w:rsidRDefault="000816B5" w:rsidP="00A9212E">
      <w:pPr>
        <w:pStyle w:val="PwCNormal"/>
        <w:numPr>
          <w:ilvl w:val="0"/>
          <w:numId w:val="0"/>
        </w:numPr>
        <w:rPr>
          <w:lang w:val="en-US"/>
        </w:rPr>
      </w:pPr>
      <w:r>
        <w:rPr>
          <w:lang w:val="en-US"/>
        </w:rPr>
        <w:t>AV</w:t>
      </w:r>
      <w:r w:rsidR="00A9212E">
        <w:rPr>
          <w:lang w:val="en-US"/>
        </w:rPr>
        <w:t xml:space="preserve"> will also collect stakeholder feedback gathered through survey and consultation with stakeholder representative bodies, such as the Australian Association of Consulting Archaeologists Incorporated. Together with the </w:t>
      </w:r>
    </w:p>
    <w:p w14:paraId="449BA3CB" w14:textId="489FA3C2" w:rsidR="00A9212E" w:rsidRDefault="000816B5" w:rsidP="00A9212E">
      <w:pPr>
        <w:pStyle w:val="PwCNormal"/>
        <w:numPr>
          <w:ilvl w:val="0"/>
          <w:numId w:val="0"/>
        </w:numPr>
        <w:rPr>
          <w:lang w:val="en-US"/>
        </w:rPr>
      </w:pPr>
      <w:r>
        <w:rPr>
          <w:lang w:val="en-US"/>
        </w:rPr>
        <w:t>AV</w:t>
      </w:r>
      <w:r w:rsidR="00A9212E">
        <w:rPr>
          <w:lang w:val="en-US"/>
        </w:rPr>
        <w:t xml:space="preserve"> will review the CHMP data collected over a 12 month period from the of the making of the new Regulations. Qualitative data will also be collected through a survey of key stakeholders at this time.</w:t>
      </w:r>
      <w:r w:rsidR="00A9212E" w:rsidRPr="00980526">
        <w:rPr>
          <w:rStyle w:val="FootnoteReference"/>
          <w:lang w:val="en-US"/>
        </w:rPr>
        <w:t xml:space="preserve"> </w:t>
      </w:r>
      <w:r w:rsidR="00A9212E">
        <w:rPr>
          <w:rStyle w:val="FootnoteReference"/>
          <w:lang w:val="en-US"/>
        </w:rPr>
        <w:footnoteReference w:id="108"/>
      </w:r>
    </w:p>
    <w:p w14:paraId="4675B141" w14:textId="2F5A2AA9" w:rsidR="00A9212E" w:rsidRDefault="00A9212E" w:rsidP="00A9212E">
      <w:pPr>
        <w:pStyle w:val="PwCNormal"/>
        <w:numPr>
          <w:ilvl w:val="0"/>
          <w:numId w:val="0"/>
        </w:numPr>
        <w:rPr>
          <w:lang w:val="en-US"/>
        </w:rPr>
      </w:pPr>
      <w:r>
        <w:rPr>
          <w:lang w:val="en-US"/>
        </w:rPr>
        <w:t>Evidence will be gathered under the following KEQs provided below. AV will use the KEQs to guide evaluation of the Regulations:</w:t>
      </w:r>
    </w:p>
    <w:p w14:paraId="2C1DDDDC" w14:textId="77777777" w:rsidR="00A9212E" w:rsidRDefault="00A9212E" w:rsidP="00A9212E">
      <w:pPr>
        <w:pStyle w:val="PwCNormal"/>
        <w:numPr>
          <w:ilvl w:val="0"/>
          <w:numId w:val="61"/>
        </w:numPr>
        <w:rPr>
          <w:lang w:val="en-US"/>
        </w:rPr>
      </w:pPr>
      <w:r>
        <w:rPr>
          <w:lang w:val="en-US"/>
        </w:rPr>
        <w:t>To what extent do the Regulations provide better protection for Aboriginal cultural heritage?</w:t>
      </w:r>
    </w:p>
    <w:p w14:paraId="257D906A" w14:textId="77777777" w:rsidR="004360EF" w:rsidRDefault="004360EF" w:rsidP="004360EF">
      <w:pPr>
        <w:pStyle w:val="PwCNormal"/>
        <w:numPr>
          <w:ilvl w:val="1"/>
          <w:numId w:val="61"/>
        </w:numPr>
        <w:rPr>
          <w:lang w:val="en-US"/>
        </w:rPr>
      </w:pPr>
      <w:r>
        <w:rPr>
          <w:lang w:val="en-US"/>
        </w:rPr>
        <w:t>To what extent do CHMPs prepared for each high impact activity result in the protection of Aboriginal cultural heritage?</w:t>
      </w:r>
    </w:p>
    <w:p w14:paraId="46005891" w14:textId="77777777" w:rsidR="004360EF" w:rsidRDefault="004360EF" w:rsidP="004360EF">
      <w:pPr>
        <w:pStyle w:val="PwCNormal"/>
        <w:numPr>
          <w:ilvl w:val="1"/>
          <w:numId w:val="61"/>
        </w:numPr>
        <w:rPr>
          <w:lang w:val="en-US"/>
        </w:rPr>
      </w:pPr>
      <w:r>
        <w:rPr>
          <w:lang w:val="en-US"/>
        </w:rPr>
        <w:t>To what extent do CHMPs prepared in each categ0ry of cultural heritage sensitivity protect Aboriginal cultural heritage?</w:t>
      </w:r>
    </w:p>
    <w:p w14:paraId="5D19E8AF" w14:textId="50E18ECF" w:rsidR="004360EF" w:rsidRDefault="004360EF" w:rsidP="004360EF">
      <w:pPr>
        <w:pStyle w:val="PwCNormal"/>
        <w:numPr>
          <w:ilvl w:val="1"/>
          <w:numId w:val="61"/>
        </w:numPr>
        <w:rPr>
          <w:lang w:val="en-US"/>
        </w:rPr>
      </w:pPr>
      <w:r>
        <w:rPr>
          <w:lang w:val="en-US"/>
        </w:rPr>
        <w:t xml:space="preserve">To what extent do CHMPs which include a complex assessment better define the extent, nature and significance of Aboriginal cultural heritage than CHMPs which include only a desktop and standard assessment? </w:t>
      </w:r>
    </w:p>
    <w:p w14:paraId="7DCCDB43" w14:textId="597FB659" w:rsidR="00394108" w:rsidRPr="00394108" w:rsidRDefault="00394108" w:rsidP="00394108">
      <w:pPr>
        <w:pStyle w:val="ListParagraph"/>
        <w:numPr>
          <w:ilvl w:val="1"/>
          <w:numId w:val="61"/>
        </w:numPr>
        <w:rPr>
          <w:lang w:val="en-US"/>
        </w:rPr>
      </w:pPr>
      <w:r w:rsidRPr="00394108">
        <w:rPr>
          <w:lang w:val="en-US"/>
        </w:rPr>
        <w:t>To what extent are CHMP costs proportionate relative to the risks posed to heritage and the value of the work being undertaken?</w:t>
      </w:r>
    </w:p>
    <w:p w14:paraId="6E4DA199" w14:textId="5AF00543" w:rsidR="00A9212E" w:rsidRDefault="00A9212E" w:rsidP="007C0109">
      <w:pPr>
        <w:pStyle w:val="PwCNormal"/>
        <w:numPr>
          <w:ilvl w:val="0"/>
          <w:numId w:val="61"/>
        </w:numPr>
        <w:rPr>
          <w:lang w:val="en-US"/>
        </w:rPr>
      </w:pPr>
      <w:r>
        <w:rPr>
          <w:lang w:val="en-US"/>
        </w:rPr>
        <w:t>To what extent does the CHMP guide reduce the regulatory burden to proponents of development activities?</w:t>
      </w:r>
    </w:p>
    <w:p w14:paraId="07F19BBB" w14:textId="6D37F2D2" w:rsidR="00A9212E" w:rsidRDefault="00A9212E" w:rsidP="007C0109">
      <w:pPr>
        <w:pStyle w:val="PwCNormal"/>
        <w:numPr>
          <w:ilvl w:val="1"/>
          <w:numId w:val="61"/>
        </w:numPr>
        <w:rPr>
          <w:lang w:val="en-US"/>
        </w:rPr>
      </w:pPr>
      <w:r>
        <w:rPr>
          <w:lang w:val="en-US"/>
        </w:rPr>
        <w:t>To what extent has amendments to the CHMP guide reduced the number of CHMPs that include a complex assessment?</w:t>
      </w:r>
    </w:p>
    <w:p w14:paraId="1EE915D1" w14:textId="515FF545" w:rsidR="00A9212E" w:rsidRDefault="00A9212E" w:rsidP="007C0109">
      <w:pPr>
        <w:pStyle w:val="PwCNormal"/>
        <w:numPr>
          <w:ilvl w:val="1"/>
          <w:numId w:val="61"/>
        </w:numPr>
        <w:rPr>
          <w:lang w:val="en-US"/>
        </w:rPr>
      </w:pPr>
      <w:r>
        <w:rPr>
          <w:lang w:val="en-US"/>
        </w:rPr>
        <w:t>To what extent has amendments to the CHMP guide reduced the number of CHMPs refused, or additional information requested, by the Secretary’s delegate?</w:t>
      </w:r>
    </w:p>
    <w:p w14:paraId="01C6BA8B" w14:textId="500C966D" w:rsidR="00A9212E" w:rsidRDefault="00A9212E" w:rsidP="007C0109">
      <w:pPr>
        <w:pStyle w:val="PwCNormal"/>
        <w:numPr>
          <w:ilvl w:val="0"/>
          <w:numId w:val="61"/>
        </w:numPr>
        <w:rPr>
          <w:lang w:val="en-US"/>
        </w:rPr>
      </w:pPr>
      <w:r>
        <w:rPr>
          <w:lang w:val="en-US"/>
        </w:rPr>
        <w:t>To what extent are the fees prescribed by the Regulations appropriate?</w:t>
      </w:r>
    </w:p>
    <w:p w14:paraId="6CB3C9AD" w14:textId="77777777" w:rsidR="000816B5" w:rsidRDefault="00A9212E" w:rsidP="007C0109">
      <w:pPr>
        <w:pStyle w:val="PwCNormal"/>
        <w:numPr>
          <w:ilvl w:val="1"/>
          <w:numId w:val="61"/>
        </w:numPr>
        <w:rPr>
          <w:lang w:val="en-US"/>
        </w:rPr>
      </w:pPr>
      <w:r w:rsidRPr="000816B5">
        <w:rPr>
          <w:lang w:val="en-US"/>
        </w:rPr>
        <w:t xml:space="preserve">To what extent are Sponsors of development activities satisfied with the fees </w:t>
      </w:r>
      <w:r w:rsidR="00E55F33" w:rsidRPr="000816B5">
        <w:rPr>
          <w:lang w:val="en-US"/>
        </w:rPr>
        <w:t>they pay as prescribed by the Regulations?</w:t>
      </w:r>
      <w:r w:rsidR="000816B5" w:rsidRPr="000816B5">
        <w:rPr>
          <w:lang w:val="en-US"/>
        </w:rPr>
        <w:t xml:space="preserve"> </w:t>
      </w:r>
    </w:p>
    <w:p w14:paraId="5D8470D7" w14:textId="35109DC2" w:rsidR="004360EF" w:rsidRDefault="000816B5" w:rsidP="007C0109">
      <w:pPr>
        <w:pStyle w:val="PwCNormal"/>
        <w:numPr>
          <w:ilvl w:val="1"/>
          <w:numId w:val="61"/>
        </w:numPr>
        <w:rPr>
          <w:lang w:val="en-US"/>
        </w:rPr>
      </w:pPr>
      <w:r w:rsidRPr="00BF6B74">
        <w:rPr>
          <w:lang w:val="en-US"/>
        </w:rPr>
        <w:t>To what extent are RAPs satisfied with the fees they charge as prescribed by the Regulations?</w:t>
      </w:r>
    </w:p>
    <w:p w14:paraId="2F3E00F3" w14:textId="7B4D0C26" w:rsidR="00394108" w:rsidRPr="00394108" w:rsidRDefault="00394108" w:rsidP="00394108">
      <w:pPr>
        <w:pStyle w:val="ListParagraph"/>
        <w:numPr>
          <w:ilvl w:val="1"/>
          <w:numId w:val="61"/>
        </w:numPr>
        <w:rPr>
          <w:lang w:val="en-US"/>
        </w:rPr>
      </w:pPr>
      <w:r w:rsidRPr="00394108">
        <w:rPr>
          <w:lang w:val="en-US"/>
        </w:rPr>
        <w:t>To what extent is the activity area size the best determinate of evaluation complexity and cost?</w:t>
      </w:r>
    </w:p>
    <w:p w14:paraId="1DE7BBCE" w14:textId="600905AD" w:rsidR="00C94E42" w:rsidRPr="00324A74" w:rsidRDefault="00C94E42" w:rsidP="00324A74">
      <w:pPr>
        <w:pStyle w:val="Caption"/>
      </w:pPr>
      <w:r w:rsidRPr="007C0109">
        <w:t xml:space="preserve">Table </w:t>
      </w:r>
      <w:r w:rsidR="00B47FE6">
        <w:fldChar w:fldCharType="begin"/>
      </w:r>
      <w:r w:rsidR="00B47FE6">
        <w:instrText xml:space="preserve"> SEQ Table \* ARABIC </w:instrText>
      </w:r>
      <w:r w:rsidR="00B47FE6">
        <w:fldChar w:fldCharType="separate"/>
      </w:r>
      <w:r w:rsidR="000369A1">
        <w:rPr>
          <w:noProof/>
        </w:rPr>
        <w:t>23</w:t>
      </w:r>
      <w:r w:rsidR="00B47FE6">
        <w:rPr>
          <w:noProof/>
        </w:rPr>
        <w:fldChar w:fldCharType="end"/>
      </w:r>
      <w:r w:rsidRPr="007C0109">
        <w:t>: Evaluation indicators</w:t>
      </w:r>
    </w:p>
    <w:tbl>
      <w:tblPr>
        <w:tblStyle w:val="TableGrid"/>
        <w:tblW w:w="0" w:type="auto"/>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CellMar>
          <w:top w:w="57" w:type="dxa"/>
        </w:tblCellMar>
        <w:tblLook w:val="04A0" w:firstRow="1" w:lastRow="0" w:firstColumn="1" w:lastColumn="0" w:noHBand="0" w:noVBand="1"/>
      </w:tblPr>
      <w:tblGrid>
        <w:gridCol w:w="2235"/>
        <w:gridCol w:w="1984"/>
        <w:gridCol w:w="4218"/>
      </w:tblGrid>
      <w:tr w:rsidR="00DC636E" w:rsidRPr="000816B5" w14:paraId="7F04AAA5" w14:textId="34DB1557" w:rsidTr="00705BA8">
        <w:tc>
          <w:tcPr>
            <w:tcW w:w="2235" w:type="dxa"/>
            <w:shd w:val="clear" w:color="auto" w:fill="A32020" w:themeFill="text2"/>
          </w:tcPr>
          <w:p w14:paraId="06772AC3" w14:textId="1F4A1929" w:rsidR="00DC636E" w:rsidRPr="007C0109" w:rsidRDefault="00DC636E" w:rsidP="007C0109">
            <w:pPr>
              <w:rPr>
                <w:b/>
                <w:color w:val="FFFFFF" w:themeColor="background1"/>
              </w:rPr>
            </w:pPr>
            <w:r w:rsidRPr="007C0109">
              <w:rPr>
                <w:b/>
                <w:color w:val="FFFFFF" w:themeColor="background1"/>
              </w:rPr>
              <w:t>Intended outcome</w:t>
            </w:r>
          </w:p>
        </w:tc>
        <w:tc>
          <w:tcPr>
            <w:tcW w:w="1984" w:type="dxa"/>
            <w:shd w:val="clear" w:color="auto" w:fill="A32020" w:themeFill="text2"/>
          </w:tcPr>
          <w:p w14:paraId="24B035BC" w14:textId="78B3F2FD" w:rsidR="00DC636E" w:rsidRPr="007C0109" w:rsidRDefault="00DC636E" w:rsidP="007C0109">
            <w:pPr>
              <w:rPr>
                <w:b/>
                <w:color w:val="FFFFFF" w:themeColor="background1"/>
              </w:rPr>
            </w:pPr>
            <w:r w:rsidRPr="007C0109">
              <w:rPr>
                <w:b/>
                <w:color w:val="FFFFFF" w:themeColor="background1"/>
              </w:rPr>
              <w:t>Indicator</w:t>
            </w:r>
          </w:p>
        </w:tc>
        <w:tc>
          <w:tcPr>
            <w:tcW w:w="4218" w:type="dxa"/>
            <w:shd w:val="clear" w:color="auto" w:fill="A32020" w:themeFill="text2"/>
          </w:tcPr>
          <w:p w14:paraId="170A3E4C" w14:textId="2A7DBD7C" w:rsidR="00DC636E" w:rsidRPr="007C0109" w:rsidRDefault="00DC636E" w:rsidP="007C0109">
            <w:pPr>
              <w:rPr>
                <w:b/>
                <w:color w:val="FFFFFF" w:themeColor="background1"/>
              </w:rPr>
            </w:pPr>
            <w:r w:rsidRPr="007C0109">
              <w:rPr>
                <w:b/>
                <w:color w:val="FFFFFF" w:themeColor="background1"/>
              </w:rPr>
              <w:t>Measure</w:t>
            </w:r>
          </w:p>
        </w:tc>
      </w:tr>
      <w:tr w:rsidR="00394108" w14:paraId="0A0DF736" w14:textId="7370E369" w:rsidTr="00705BA8">
        <w:trPr>
          <w:trHeight w:val="1187"/>
        </w:trPr>
        <w:tc>
          <w:tcPr>
            <w:tcW w:w="2235" w:type="dxa"/>
            <w:vMerge w:val="restart"/>
            <w:shd w:val="clear" w:color="auto" w:fill="7F7F7F" w:themeFill="text1" w:themeFillTint="80"/>
          </w:tcPr>
          <w:p w14:paraId="71136F41" w14:textId="53CE7588" w:rsidR="00394108" w:rsidRPr="007C0109" w:rsidRDefault="00394108" w:rsidP="007C0109">
            <w:pPr>
              <w:rPr>
                <w:b/>
                <w:color w:val="FFFFFF" w:themeColor="background1"/>
              </w:rPr>
            </w:pPr>
            <w:r w:rsidRPr="007C0109">
              <w:rPr>
                <w:b/>
                <w:color w:val="FFFFFF" w:themeColor="background1"/>
              </w:rPr>
              <w:t>Better protection for Aboriginal cultural heritage</w:t>
            </w:r>
          </w:p>
        </w:tc>
        <w:tc>
          <w:tcPr>
            <w:tcW w:w="1984" w:type="dxa"/>
            <w:vMerge w:val="restart"/>
          </w:tcPr>
          <w:p w14:paraId="119FFF6F" w14:textId="55D80683" w:rsidR="00394108" w:rsidRPr="007C0109" w:rsidRDefault="00394108" w:rsidP="00394108">
            <w:r w:rsidRPr="007C0109">
              <w:t>CHMPs provide effective protection measures for defined high impact activities.</w:t>
            </w:r>
          </w:p>
        </w:tc>
        <w:tc>
          <w:tcPr>
            <w:tcW w:w="4218" w:type="dxa"/>
          </w:tcPr>
          <w:p w14:paraId="421711AD" w14:textId="4252897A" w:rsidR="00394108" w:rsidRPr="007C0109" w:rsidRDefault="00394108" w:rsidP="007C0109">
            <w:r w:rsidRPr="007C0109">
              <w:t>Number of CHMPs approved for newly defined high impact activities, which include identification and management of Aboriginal cultural heritage.</w:t>
            </w:r>
          </w:p>
        </w:tc>
      </w:tr>
      <w:tr w:rsidR="00394108" w14:paraId="6531119E" w14:textId="77777777" w:rsidTr="00705BA8">
        <w:trPr>
          <w:trHeight w:val="1187"/>
        </w:trPr>
        <w:tc>
          <w:tcPr>
            <w:tcW w:w="2235" w:type="dxa"/>
            <w:vMerge/>
            <w:shd w:val="clear" w:color="auto" w:fill="7F7F7F" w:themeFill="text1" w:themeFillTint="80"/>
          </w:tcPr>
          <w:p w14:paraId="29C22EEE" w14:textId="77777777" w:rsidR="00394108" w:rsidRPr="00D87BDB" w:rsidRDefault="00394108" w:rsidP="00D87BDB">
            <w:pPr>
              <w:rPr>
                <w:b/>
                <w:color w:val="FFFFFF" w:themeColor="background1"/>
              </w:rPr>
            </w:pPr>
          </w:p>
        </w:tc>
        <w:tc>
          <w:tcPr>
            <w:tcW w:w="1984" w:type="dxa"/>
            <w:vMerge/>
          </w:tcPr>
          <w:p w14:paraId="198F2A58" w14:textId="77777777" w:rsidR="00394108" w:rsidRPr="00D87BDB" w:rsidRDefault="00394108" w:rsidP="00D87BDB"/>
        </w:tc>
        <w:tc>
          <w:tcPr>
            <w:tcW w:w="4218" w:type="dxa"/>
          </w:tcPr>
          <w:p w14:paraId="24582931" w14:textId="080520A1" w:rsidR="00394108" w:rsidRPr="00324A74" w:rsidRDefault="00394108" w:rsidP="00D87BDB">
            <w:r>
              <w:t>Number of CHMPS prepared in each category of cultural heritage sensitivity which result in the identification of Aboriginal cultural heritage.</w:t>
            </w:r>
          </w:p>
        </w:tc>
      </w:tr>
      <w:tr w:rsidR="00394108" w14:paraId="6BFB889D" w14:textId="77777777" w:rsidTr="00705BA8">
        <w:trPr>
          <w:trHeight w:val="1187"/>
        </w:trPr>
        <w:tc>
          <w:tcPr>
            <w:tcW w:w="2235" w:type="dxa"/>
            <w:vMerge/>
            <w:shd w:val="clear" w:color="auto" w:fill="7F7F7F" w:themeFill="text1" w:themeFillTint="80"/>
          </w:tcPr>
          <w:p w14:paraId="7CFD16FF" w14:textId="77777777" w:rsidR="00394108" w:rsidRPr="00D87BDB" w:rsidRDefault="00394108" w:rsidP="00D87BDB">
            <w:pPr>
              <w:rPr>
                <w:b/>
                <w:color w:val="FFFFFF" w:themeColor="background1"/>
              </w:rPr>
            </w:pPr>
          </w:p>
        </w:tc>
        <w:tc>
          <w:tcPr>
            <w:tcW w:w="1984" w:type="dxa"/>
            <w:vMerge/>
          </w:tcPr>
          <w:p w14:paraId="1468378A" w14:textId="77777777" w:rsidR="00394108" w:rsidRPr="00D87BDB" w:rsidRDefault="00394108" w:rsidP="00D87BDB"/>
        </w:tc>
        <w:tc>
          <w:tcPr>
            <w:tcW w:w="4218" w:type="dxa"/>
          </w:tcPr>
          <w:p w14:paraId="7D276931" w14:textId="4A9BE949" w:rsidR="00394108" w:rsidRDefault="00394108" w:rsidP="00324A74">
            <w:r>
              <w:t>Number of CHMPs prepared for each category of high impact activity which result in the identification of Aboriginal cultural heritage.</w:t>
            </w:r>
          </w:p>
        </w:tc>
      </w:tr>
      <w:tr w:rsidR="00394108" w14:paraId="500A2C73" w14:textId="77777777" w:rsidTr="00705BA8">
        <w:trPr>
          <w:trHeight w:val="1187"/>
        </w:trPr>
        <w:tc>
          <w:tcPr>
            <w:tcW w:w="2235" w:type="dxa"/>
            <w:vMerge/>
            <w:shd w:val="clear" w:color="auto" w:fill="7F7F7F" w:themeFill="text1" w:themeFillTint="80"/>
          </w:tcPr>
          <w:p w14:paraId="1BECF90A" w14:textId="77777777" w:rsidR="00394108" w:rsidRPr="00D87BDB" w:rsidRDefault="00394108" w:rsidP="00D87BDB">
            <w:pPr>
              <w:rPr>
                <w:b/>
                <w:color w:val="FFFFFF" w:themeColor="background1"/>
              </w:rPr>
            </w:pPr>
          </w:p>
        </w:tc>
        <w:tc>
          <w:tcPr>
            <w:tcW w:w="1984" w:type="dxa"/>
          </w:tcPr>
          <w:p w14:paraId="6D1AAB2E" w14:textId="7573EF81" w:rsidR="00394108" w:rsidRPr="00D87BDB" w:rsidRDefault="00394108" w:rsidP="00D87BDB">
            <w:r w:rsidRPr="00BE4521">
              <w:t>Prescribed triggers result in the preparation of CHMP costs that are proportionate relative to the risks posed to heritage and the value of the activity</w:t>
            </w:r>
          </w:p>
        </w:tc>
        <w:tc>
          <w:tcPr>
            <w:tcW w:w="4218" w:type="dxa"/>
          </w:tcPr>
          <w:p w14:paraId="3325E68B" w14:textId="7BB80FB6" w:rsidR="00394108" w:rsidRDefault="00394108" w:rsidP="00324A74">
            <w:r w:rsidRPr="00BE4521">
              <w:t>Number of CHMPs prepared for each category of high impact activity and activity area size which do not result in the identification of Aboriginal cultural heritage.</w:t>
            </w:r>
          </w:p>
        </w:tc>
      </w:tr>
      <w:tr w:rsidR="00394108" w14:paraId="5F83D0AE" w14:textId="77777777" w:rsidTr="00705BA8">
        <w:trPr>
          <w:trHeight w:val="1187"/>
        </w:trPr>
        <w:tc>
          <w:tcPr>
            <w:tcW w:w="2235" w:type="dxa"/>
            <w:vMerge/>
            <w:shd w:val="clear" w:color="auto" w:fill="7F7F7F" w:themeFill="text1" w:themeFillTint="80"/>
          </w:tcPr>
          <w:p w14:paraId="31581C55" w14:textId="77777777" w:rsidR="00394108" w:rsidRPr="00D87BDB" w:rsidRDefault="00394108" w:rsidP="00D87BDB">
            <w:pPr>
              <w:rPr>
                <w:b/>
                <w:color w:val="FFFFFF" w:themeColor="background1"/>
              </w:rPr>
            </w:pPr>
          </w:p>
        </w:tc>
        <w:tc>
          <w:tcPr>
            <w:tcW w:w="1984" w:type="dxa"/>
          </w:tcPr>
          <w:p w14:paraId="1C43B994" w14:textId="42541364" w:rsidR="00394108" w:rsidRPr="00D87BDB" w:rsidRDefault="00394108" w:rsidP="00D87BDB">
            <w:r w:rsidRPr="007C0109">
              <w:t>CHMPs do not unnecessarily include a complex assessment.</w:t>
            </w:r>
          </w:p>
        </w:tc>
        <w:tc>
          <w:tcPr>
            <w:tcW w:w="4218" w:type="dxa"/>
          </w:tcPr>
          <w:p w14:paraId="6D332E4A" w14:textId="2E78C39D" w:rsidR="00394108" w:rsidRDefault="00394108" w:rsidP="00324A74">
            <w:r w:rsidRPr="007C0109">
              <w:t>Proportion of CHMPs which include a complex assessment.</w:t>
            </w:r>
          </w:p>
        </w:tc>
      </w:tr>
      <w:tr w:rsidR="00394108" w14:paraId="784B9BBA" w14:textId="098900A5" w:rsidTr="00705BA8">
        <w:trPr>
          <w:trHeight w:val="458"/>
        </w:trPr>
        <w:tc>
          <w:tcPr>
            <w:tcW w:w="2235" w:type="dxa"/>
            <w:shd w:val="clear" w:color="auto" w:fill="7F7F7F" w:themeFill="text1" w:themeFillTint="80"/>
          </w:tcPr>
          <w:p w14:paraId="54D19288" w14:textId="0EF9A289" w:rsidR="00394108" w:rsidRPr="007C0109" w:rsidRDefault="00394108" w:rsidP="007C0109">
            <w:pPr>
              <w:rPr>
                <w:b/>
                <w:color w:val="FFFFFF" w:themeColor="background1"/>
              </w:rPr>
            </w:pPr>
            <w:r w:rsidRPr="007C0109">
              <w:rPr>
                <w:b/>
                <w:color w:val="FFFFFF" w:themeColor="background1"/>
              </w:rPr>
              <w:t>Reduced regulatory burden for land users and developers.</w:t>
            </w:r>
          </w:p>
        </w:tc>
        <w:tc>
          <w:tcPr>
            <w:tcW w:w="1984" w:type="dxa"/>
          </w:tcPr>
          <w:p w14:paraId="06EF42ED" w14:textId="47769D30" w:rsidR="00394108" w:rsidRPr="007C0109" w:rsidRDefault="00394108" w:rsidP="007C0109">
            <w:r w:rsidRPr="007C0109">
              <w:t>More CHMPs prepared according to the standards.</w:t>
            </w:r>
          </w:p>
        </w:tc>
        <w:tc>
          <w:tcPr>
            <w:tcW w:w="4218" w:type="dxa"/>
          </w:tcPr>
          <w:p w14:paraId="23E73792" w14:textId="3CA4129C" w:rsidR="00394108" w:rsidRPr="007C0109" w:rsidRDefault="00394108" w:rsidP="007C0109">
            <w:r w:rsidRPr="007C0109">
              <w:t>Number of CHMPS refused, or additional information requested, by the Secretary’s delegate.</w:t>
            </w:r>
          </w:p>
        </w:tc>
      </w:tr>
      <w:tr w:rsidR="00394108" w14:paraId="75F2207F" w14:textId="48AEA358" w:rsidTr="00705BA8">
        <w:tc>
          <w:tcPr>
            <w:tcW w:w="2235" w:type="dxa"/>
            <w:shd w:val="clear" w:color="auto" w:fill="7F7F7F" w:themeFill="text1" w:themeFillTint="80"/>
          </w:tcPr>
          <w:p w14:paraId="07A2178C" w14:textId="67EA6386" w:rsidR="00394108" w:rsidRPr="007C0109" w:rsidRDefault="00394108" w:rsidP="007C0109">
            <w:pPr>
              <w:rPr>
                <w:b/>
                <w:color w:val="FFFFFF" w:themeColor="background1"/>
              </w:rPr>
            </w:pPr>
            <w:r w:rsidRPr="007C0109">
              <w:rPr>
                <w:b/>
                <w:color w:val="FFFFFF" w:themeColor="background1"/>
              </w:rPr>
              <w:t>Improved guidelines for CHMP standards</w:t>
            </w:r>
          </w:p>
        </w:tc>
        <w:tc>
          <w:tcPr>
            <w:tcW w:w="1984" w:type="dxa"/>
          </w:tcPr>
          <w:p w14:paraId="706E1BC4" w14:textId="2ECAC33E" w:rsidR="00394108" w:rsidRPr="007C0109" w:rsidRDefault="00394108" w:rsidP="007C0109">
            <w:r w:rsidRPr="007C0109">
              <w:t>Stakeholder satisfaction with fee structure.</w:t>
            </w:r>
          </w:p>
        </w:tc>
        <w:tc>
          <w:tcPr>
            <w:tcW w:w="4218" w:type="dxa"/>
          </w:tcPr>
          <w:p w14:paraId="4B2C1A19" w14:textId="267CFDE9" w:rsidR="00394108" w:rsidRPr="007C0109" w:rsidRDefault="00394108" w:rsidP="007C0109">
            <w:r w:rsidRPr="007C0109">
              <w:t>Number of complaints Sponsors and Registered Aboriginal Parties, and stakeholder feedback.</w:t>
            </w:r>
          </w:p>
        </w:tc>
      </w:tr>
      <w:tr w:rsidR="00394108" w14:paraId="12534B93" w14:textId="42895BEA" w:rsidTr="00705BA8">
        <w:tc>
          <w:tcPr>
            <w:tcW w:w="2235" w:type="dxa"/>
            <w:shd w:val="clear" w:color="auto" w:fill="7F7F7F" w:themeFill="text1" w:themeFillTint="80"/>
          </w:tcPr>
          <w:p w14:paraId="64D5AC29" w14:textId="6EBD556A" w:rsidR="00394108" w:rsidRPr="007C0109" w:rsidRDefault="00394108" w:rsidP="007C0109">
            <w:pPr>
              <w:rPr>
                <w:b/>
                <w:color w:val="FFFFFF" w:themeColor="background1"/>
              </w:rPr>
            </w:pPr>
            <w:r w:rsidRPr="007C0109">
              <w:rPr>
                <w:b/>
                <w:color w:val="FFFFFF" w:themeColor="background1"/>
              </w:rPr>
              <w:t>Application of evaluation fee  structure</w:t>
            </w:r>
          </w:p>
        </w:tc>
        <w:tc>
          <w:tcPr>
            <w:tcW w:w="1984" w:type="dxa"/>
          </w:tcPr>
          <w:p w14:paraId="743A7CD4" w14:textId="3B742BFE" w:rsidR="00394108" w:rsidRPr="007C0109" w:rsidRDefault="00394108" w:rsidP="007C0109">
            <w:r>
              <w:t xml:space="preserve">Prescribed evaluation fee categories are the most appropriate determinate of evaluation complexity. </w:t>
            </w:r>
          </w:p>
        </w:tc>
        <w:tc>
          <w:tcPr>
            <w:tcW w:w="4218" w:type="dxa"/>
          </w:tcPr>
          <w:p w14:paraId="02D3CC5A" w14:textId="10300702" w:rsidR="00394108" w:rsidRPr="007C0109" w:rsidRDefault="00394108" w:rsidP="007C0109">
            <w:r>
              <w:t xml:space="preserve">CHMP evaluation times in relation to activity area size and other potentially relevant factors. </w:t>
            </w:r>
          </w:p>
        </w:tc>
      </w:tr>
    </w:tbl>
    <w:p w14:paraId="0BB35241" w14:textId="77777777" w:rsidR="00743D07" w:rsidRDefault="00743D07" w:rsidP="007C0109">
      <w:pPr>
        <w:pStyle w:val="PwCNormal"/>
        <w:numPr>
          <w:ilvl w:val="0"/>
          <w:numId w:val="0"/>
        </w:numPr>
        <w:ind w:left="720" w:firstLine="720"/>
        <w:rPr>
          <w:lang w:val="en-US"/>
        </w:rPr>
      </w:pPr>
    </w:p>
    <w:p w14:paraId="4930F189" w14:textId="0CA514C6" w:rsidR="00743D07" w:rsidRDefault="002B6B28" w:rsidP="00705BA8">
      <w:pPr>
        <w:pStyle w:val="Heading2"/>
        <w:rPr>
          <w:lang w:val="en-US"/>
        </w:rPr>
      </w:pPr>
      <w:bookmarkStart w:id="78" w:name="_Ref504556259"/>
      <w:bookmarkStart w:id="79" w:name="_Toc507761455"/>
      <w:r>
        <w:rPr>
          <w:lang w:val="en-US"/>
        </w:rPr>
        <w:t>Analysis of fees</w:t>
      </w:r>
      <w:bookmarkEnd w:id="78"/>
      <w:bookmarkEnd w:id="79"/>
    </w:p>
    <w:p w14:paraId="7D136AB1" w14:textId="00C2202D" w:rsidR="00D33819" w:rsidRDefault="00D33819" w:rsidP="002B6B28">
      <w:pPr>
        <w:pStyle w:val="Heading6"/>
        <w:rPr>
          <w:lang w:val="en-US"/>
        </w:rPr>
      </w:pPr>
      <w:r>
        <w:rPr>
          <w:lang w:val="en-US"/>
        </w:rPr>
        <w:t>Criteria to assess fee options</w:t>
      </w:r>
    </w:p>
    <w:p w14:paraId="31CFD151" w14:textId="77777777" w:rsidR="00FE0C78" w:rsidRDefault="00FE0C78" w:rsidP="00FE0C78">
      <w:pPr>
        <w:pStyle w:val="PwCNormal"/>
        <w:rPr>
          <w:lang w:val="en-US"/>
        </w:rPr>
      </w:pPr>
      <w:r>
        <w:rPr>
          <w:lang w:val="en-US"/>
        </w:rPr>
        <w:t>The re-making of the Regulations involves ensuring that the fees charged reflect costs incurred to ensure both efficiency and equity objectives are met. The principles of cost recovery are generally that:</w:t>
      </w:r>
      <w:r>
        <w:rPr>
          <w:rStyle w:val="FootnoteReference"/>
          <w:lang w:val="en-US"/>
        </w:rPr>
        <w:footnoteReference w:id="109"/>
      </w:r>
    </w:p>
    <w:p w14:paraId="0C9DD7D6" w14:textId="77777777" w:rsidR="00FE0C78" w:rsidRDefault="00FE0C78" w:rsidP="00FE0C78">
      <w:pPr>
        <w:pStyle w:val="ListBullet"/>
        <w:rPr>
          <w:lang w:val="en-US"/>
        </w:rPr>
      </w:pPr>
      <w:r>
        <w:rPr>
          <w:lang w:val="en-US"/>
        </w:rPr>
        <w:t>fees should be set on a full cost recovery basis, where possible, to ensure that the objectives of efficiency and equity are met, ie ensure that those parties that give rise to the need for government regulation pay the associated costs</w:t>
      </w:r>
    </w:p>
    <w:p w14:paraId="1E6DE431" w14:textId="77777777" w:rsidR="00FE0C78" w:rsidRDefault="00FE0C78" w:rsidP="00FE0C78">
      <w:pPr>
        <w:pStyle w:val="ListBullet"/>
        <w:rPr>
          <w:lang w:val="en-US"/>
        </w:rPr>
      </w:pPr>
      <w:r>
        <w:rPr>
          <w:lang w:val="en-US"/>
        </w:rPr>
        <w:t>full cost represents the value of all the resources used in the provision of an output or activity</w:t>
      </w:r>
    </w:p>
    <w:p w14:paraId="78D7EF28" w14:textId="77777777" w:rsidR="00FE0C78" w:rsidRDefault="00FE0C78" w:rsidP="00FE0C78">
      <w:pPr>
        <w:pStyle w:val="ListBullet"/>
        <w:rPr>
          <w:lang w:val="en-US"/>
        </w:rPr>
      </w:pPr>
      <w:r>
        <w:rPr>
          <w:lang w:val="en-US"/>
        </w:rPr>
        <w:t>there are situations where full cost recovery may be impractical, such as where:</w:t>
      </w:r>
    </w:p>
    <w:p w14:paraId="0EFEDD0D" w14:textId="77777777" w:rsidR="00FE0C78" w:rsidRDefault="00FE0C78" w:rsidP="00FE0C78">
      <w:pPr>
        <w:pStyle w:val="ListBullet2"/>
        <w:rPr>
          <w:lang w:val="en-US"/>
        </w:rPr>
      </w:pPr>
      <w:r>
        <w:rPr>
          <w:lang w:val="en-US"/>
        </w:rPr>
        <w:t>practical implementation issues make cost recovery infeasible</w:t>
      </w:r>
    </w:p>
    <w:p w14:paraId="6272F797" w14:textId="77777777" w:rsidR="00FE0C78" w:rsidRDefault="00FE0C78" w:rsidP="00FE0C78">
      <w:pPr>
        <w:pStyle w:val="ListBullet2"/>
        <w:rPr>
          <w:lang w:val="en-US"/>
        </w:rPr>
      </w:pPr>
      <w:r>
        <w:rPr>
          <w:lang w:val="en-US"/>
        </w:rPr>
        <w:t>there are benefits to third parties (‘positive externalities’) that should be considered</w:t>
      </w:r>
    </w:p>
    <w:p w14:paraId="6F913AB6" w14:textId="77777777" w:rsidR="00FE0C78" w:rsidRDefault="00FE0C78" w:rsidP="00FE0C78">
      <w:pPr>
        <w:pStyle w:val="ListBullet2"/>
        <w:rPr>
          <w:lang w:val="en-US"/>
        </w:rPr>
      </w:pPr>
      <w:r>
        <w:rPr>
          <w:lang w:val="en-US"/>
        </w:rPr>
        <w:t>social policy or vertical equity considerations outweigh the efficiency benefits related to full cost recovery</w:t>
      </w:r>
    </w:p>
    <w:p w14:paraId="318656AC" w14:textId="77777777" w:rsidR="00FE0C78" w:rsidRDefault="00FE0C78" w:rsidP="00FE0C78">
      <w:pPr>
        <w:pStyle w:val="ListBullet2"/>
        <w:rPr>
          <w:lang w:val="en-US"/>
        </w:rPr>
      </w:pPr>
      <w:r>
        <w:rPr>
          <w:lang w:val="en-US"/>
        </w:rPr>
        <w:t>high fees may lead to a material reduction in compliance.</w:t>
      </w:r>
    </w:p>
    <w:p w14:paraId="09B7D662" w14:textId="77777777" w:rsidR="00FE0C78" w:rsidRDefault="00FE0C78" w:rsidP="00FE0C78">
      <w:pPr>
        <w:pStyle w:val="PwCNormal"/>
        <w:rPr>
          <w:lang w:val="en-US"/>
        </w:rPr>
      </w:pPr>
      <w:r>
        <w:rPr>
          <w:lang w:val="en-US"/>
        </w:rPr>
        <w:t>In the case of the Regulations, there are some reasons why full cost recovery may not be appropriate. These include:</w:t>
      </w:r>
    </w:p>
    <w:p w14:paraId="6CA83588" w14:textId="77777777" w:rsidR="00FE0C78" w:rsidRDefault="00FE0C78" w:rsidP="00FE0C78">
      <w:pPr>
        <w:pStyle w:val="ListBullet"/>
        <w:rPr>
          <w:lang w:val="en-US"/>
        </w:rPr>
      </w:pPr>
      <w:r>
        <w:rPr>
          <w:lang w:val="en-US"/>
        </w:rPr>
        <w:t>the relatively small size of RAPs and the external benefits they bring to Victorian Aboriginal communities</w:t>
      </w:r>
    </w:p>
    <w:p w14:paraId="0C1A8AA3" w14:textId="2EF1BFD3" w:rsidR="00FE0C78" w:rsidRPr="0038095C" w:rsidRDefault="00FE0C78" w:rsidP="00FE0C78">
      <w:pPr>
        <w:pStyle w:val="ListBullet"/>
        <w:rPr>
          <w:lang w:val="en-US"/>
        </w:rPr>
      </w:pPr>
      <w:r>
        <w:rPr>
          <w:lang w:val="en-US"/>
        </w:rPr>
        <w:t>the fee revenue paid to AV not directly covering the costs of .</w:t>
      </w:r>
      <w:r w:rsidR="00BC550B">
        <w:rPr>
          <w:lang w:val="en-US"/>
        </w:rPr>
        <w:t>evaluations</w:t>
      </w:r>
      <w:r>
        <w:rPr>
          <w:lang w:val="en-US"/>
        </w:rPr>
        <w:t>.</w:t>
      </w:r>
    </w:p>
    <w:p w14:paraId="59F75699" w14:textId="5A309FDD" w:rsidR="00D33819" w:rsidRDefault="004D7EB0" w:rsidP="00705BA8">
      <w:pPr>
        <w:pStyle w:val="PwCNormal"/>
        <w:rPr>
          <w:lang w:val="en-US"/>
        </w:rPr>
      </w:pPr>
      <w:r>
        <w:rPr>
          <w:lang w:val="en-US"/>
        </w:rPr>
        <w:t>The criteria to assess the fee options are shown below:</w:t>
      </w:r>
    </w:p>
    <w:p w14:paraId="2B305586" w14:textId="05D9DBEE" w:rsidR="003E6862" w:rsidRDefault="003E6862" w:rsidP="00705BA8">
      <w:pPr>
        <w:pStyle w:val="Caption"/>
      </w:pPr>
      <w:bookmarkStart w:id="80" w:name="_Ref504376520"/>
      <w:r>
        <w:t xml:space="preserve">Table </w:t>
      </w:r>
      <w:r w:rsidR="00B47FE6">
        <w:fldChar w:fldCharType="begin"/>
      </w:r>
      <w:r w:rsidR="00B47FE6">
        <w:instrText xml:space="preserve"> SEQ Table \* ARABIC </w:instrText>
      </w:r>
      <w:r w:rsidR="00B47FE6">
        <w:fldChar w:fldCharType="separate"/>
      </w:r>
      <w:r w:rsidR="000369A1">
        <w:rPr>
          <w:noProof/>
        </w:rPr>
        <w:t>24</w:t>
      </w:r>
      <w:r w:rsidR="00B47FE6">
        <w:rPr>
          <w:noProof/>
        </w:rPr>
        <w:fldChar w:fldCharType="end"/>
      </w:r>
      <w:bookmarkEnd w:id="80"/>
      <w:r>
        <w:t>: Criteria to assess fee options</w:t>
      </w:r>
    </w:p>
    <w:tbl>
      <w:tblPr>
        <w:tblStyle w:val="TableGrid"/>
        <w:tblW w:w="0" w:type="auto"/>
        <w:tblLook w:val="04A0" w:firstRow="1" w:lastRow="0" w:firstColumn="1" w:lastColumn="0" w:noHBand="0" w:noVBand="1"/>
      </w:tblPr>
      <w:tblGrid>
        <w:gridCol w:w="6912"/>
        <w:gridCol w:w="1525"/>
      </w:tblGrid>
      <w:tr w:rsidR="009631CB" w14:paraId="0C128AFD" w14:textId="77777777" w:rsidTr="00C35804">
        <w:trPr>
          <w:cantSplit/>
          <w:tblHeader/>
        </w:trPr>
        <w:tc>
          <w:tcPr>
            <w:tcW w:w="6912" w:type="dxa"/>
            <w:shd w:val="clear" w:color="auto" w:fill="7F7F7F" w:themeFill="text1" w:themeFillTint="80"/>
            <w:vAlign w:val="center"/>
          </w:tcPr>
          <w:p w14:paraId="19CA4FA3" w14:textId="4725B586" w:rsidR="004D7EB0" w:rsidRPr="00705BA8" w:rsidRDefault="004D7EB0">
            <w:pPr>
              <w:rPr>
                <w:b/>
                <w:color w:val="FFFFFF" w:themeColor="background1"/>
              </w:rPr>
            </w:pPr>
            <w:r w:rsidRPr="00705BA8">
              <w:rPr>
                <w:b/>
                <w:color w:val="FFFFFF" w:themeColor="background1"/>
              </w:rPr>
              <w:t>Criterion</w:t>
            </w:r>
          </w:p>
        </w:tc>
        <w:tc>
          <w:tcPr>
            <w:tcW w:w="1525" w:type="dxa"/>
            <w:shd w:val="clear" w:color="auto" w:fill="7F7F7F" w:themeFill="text1" w:themeFillTint="80"/>
            <w:vAlign w:val="center"/>
          </w:tcPr>
          <w:p w14:paraId="015DF1D1" w14:textId="29618E75" w:rsidR="004D7EB0" w:rsidRPr="00705BA8" w:rsidRDefault="004D7EB0" w:rsidP="00705BA8">
            <w:pPr>
              <w:jc w:val="center"/>
              <w:rPr>
                <w:b/>
                <w:color w:val="FFFFFF" w:themeColor="background1"/>
              </w:rPr>
            </w:pPr>
            <w:r w:rsidRPr="00705BA8">
              <w:rPr>
                <w:b/>
                <w:color w:val="FFFFFF" w:themeColor="background1"/>
              </w:rPr>
              <w:t>Weighting</w:t>
            </w:r>
          </w:p>
        </w:tc>
      </w:tr>
      <w:tr w:rsidR="009631CB" w14:paraId="7D5519BF" w14:textId="77777777" w:rsidTr="00C35804">
        <w:trPr>
          <w:cantSplit/>
        </w:trPr>
        <w:tc>
          <w:tcPr>
            <w:tcW w:w="6912" w:type="dxa"/>
            <w:vAlign w:val="center"/>
          </w:tcPr>
          <w:p w14:paraId="46EF5968" w14:textId="6ABB4483" w:rsidR="004D7EB0" w:rsidRDefault="002A5BEA" w:rsidP="004E4E44">
            <w:r>
              <w:t>Full cost recovery – ensuring that fees are efficient and effective, reflect the full costs of the activities</w:t>
            </w:r>
            <w:r w:rsidR="004E4E44">
              <w:t>, and recover specific costs from specific users</w:t>
            </w:r>
            <w:r>
              <w:t>.</w:t>
            </w:r>
            <w:r w:rsidR="004E4E44">
              <w:t xml:space="preserve"> Ie land-users activities’ give rise to the need for regulation, and the cost of this oversight is reflected in the fees charged.</w:t>
            </w:r>
            <w:r w:rsidR="00B24287">
              <w:t xml:space="preserve"> This</w:t>
            </w:r>
            <w:r w:rsidR="004E4E44">
              <w:t xml:space="preserve"> criterion has the highest weighting </w:t>
            </w:r>
            <w:r w:rsidR="00B24287">
              <w:t xml:space="preserve">as </w:t>
            </w:r>
            <w:r w:rsidR="004E4E44">
              <w:t>efficient and equitable fees align with government fiscal goals, ensure resources are allocated in an efficient manner, and that people are treated in a consistent way.</w:t>
            </w:r>
          </w:p>
        </w:tc>
        <w:tc>
          <w:tcPr>
            <w:tcW w:w="1525" w:type="dxa"/>
            <w:vAlign w:val="center"/>
          </w:tcPr>
          <w:p w14:paraId="6745D6FA" w14:textId="60496539" w:rsidR="004D7EB0" w:rsidRDefault="00AB64BA" w:rsidP="00705BA8">
            <w:pPr>
              <w:jc w:val="center"/>
            </w:pPr>
            <w:r>
              <w:t>6</w:t>
            </w:r>
            <w:r w:rsidR="002A5BEA">
              <w:t>0%</w:t>
            </w:r>
          </w:p>
        </w:tc>
      </w:tr>
      <w:tr w:rsidR="009631CB" w14:paraId="25B9AAA7" w14:textId="77777777" w:rsidTr="00C35804">
        <w:trPr>
          <w:cantSplit/>
        </w:trPr>
        <w:tc>
          <w:tcPr>
            <w:tcW w:w="6912" w:type="dxa"/>
            <w:vAlign w:val="center"/>
          </w:tcPr>
          <w:p w14:paraId="44C9A7ED" w14:textId="373A1444" w:rsidR="004D7EB0" w:rsidRDefault="00750CC4" w:rsidP="00BC3D77">
            <w:r>
              <w:t>Preventing induced demand changes</w:t>
            </w:r>
            <w:r w:rsidR="002A5BEA">
              <w:t xml:space="preserve"> – ensuring that high fees do not lead to an increase in non-compliance.</w:t>
            </w:r>
            <w:r w:rsidR="004E4E44">
              <w:t xml:space="preserve"> This criterion is given a 20 per cent weighting as it should not outweigh the objective of full cost recovery, however, is important to avoid perverse outcomes such as non-compliance.</w:t>
            </w:r>
          </w:p>
        </w:tc>
        <w:tc>
          <w:tcPr>
            <w:tcW w:w="1525" w:type="dxa"/>
            <w:vAlign w:val="center"/>
          </w:tcPr>
          <w:p w14:paraId="073C0C89" w14:textId="5937D81C" w:rsidR="004D7EB0" w:rsidRDefault="00AB64BA" w:rsidP="00705BA8">
            <w:pPr>
              <w:jc w:val="center"/>
            </w:pPr>
            <w:r>
              <w:t>20</w:t>
            </w:r>
            <w:r w:rsidR="002A5BEA">
              <w:t>%</w:t>
            </w:r>
          </w:p>
        </w:tc>
      </w:tr>
      <w:tr w:rsidR="009631CB" w14:paraId="04188C5A" w14:textId="77777777" w:rsidTr="00C35804">
        <w:trPr>
          <w:cantSplit/>
        </w:trPr>
        <w:tc>
          <w:tcPr>
            <w:tcW w:w="6912" w:type="dxa"/>
            <w:vAlign w:val="center"/>
          </w:tcPr>
          <w:p w14:paraId="5ED49C10" w14:textId="46BB5542" w:rsidR="004D7EB0" w:rsidRDefault="00690B70" w:rsidP="00962DA8">
            <w:r>
              <w:t>Simplicity</w:t>
            </w:r>
            <w:r w:rsidR="002A5BEA">
              <w:t xml:space="preserve"> – </w:t>
            </w:r>
            <w:r>
              <w:t>providing simplicity for land-users, RAPs, government and other stakeholders.</w:t>
            </w:r>
            <w:r w:rsidR="004E4E44">
              <w:t xml:space="preserve"> This criterion is also given a 20 per cent weighting as it </w:t>
            </w:r>
            <w:r w:rsidR="00962DA8">
              <w:t>should not outweigh the objective of full cost recovery, however, is important to ensure that the regulatory complexity for land-users, Government and RAPs is minimised where possible.</w:t>
            </w:r>
          </w:p>
        </w:tc>
        <w:tc>
          <w:tcPr>
            <w:tcW w:w="1525" w:type="dxa"/>
            <w:vAlign w:val="center"/>
          </w:tcPr>
          <w:p w14:paraId="1D73F206" w14:textId="6734BA50" w:rsidR="004D7EB0" w:rsidRDefault="00AB64BA" w:rsidP="00705BA8">
            <w:pPr>
              <w:jc w:val="center"/>
            </w:pPr>
            <w:r>
              <w:t>20</w:t>
            </w:r>
            <w:r w:rsidR="002A5BEA">
              <w:t>%</w:t>
            </w:r>
          </w:p>
        </w:tc>
      </w:tr>
    </w:tbl>
    <w:p w14:paraId="03F10D8C" w14:textId="77777777" w:rsidR="002B6B28" w:rsidRDefault="002B6B28" w:rsidP="00705BA8">
      <w:pPr>
        <w:pStyle w:val="Heading6"/>
        <w:spacing w:before="240"/>
        <w:rPr>
          <w:lang w:val="en-US"/>
        </w:rPr>
      </w:pPr>
      <w:r>
        <w:rPr>
          <w:lang w:val="en-US"/>
        </w:rPr>
        <w:t>The base case</w:t>
      </w:r>
    </w:p>
    <w:p w14:paraId="51A16D1B" w14:textId="1B2FF8C1" w:rsidR="002B6B28" w:rsidRDefault="002B6B28" w:rsidP="002B6B28">
      <w:pPr>
        <w:pStyle w:val="PwCNormal"/>
        <w:rPr>
          <w:lang w:val="en-US"/>
        </w:rPr>
      </w:pPr>
      <w:r>
        <w:rPr>
          <w:lang w:val="en-US"/>
        </w:rPr>
        <w:t xml:space="preserve">The base case for the fees prescribed by the Regulations is that no fees can be charged for the </w:t>
      </w:r>
      <w:r w:rsidR="00BC550B">
        <w:rPr>
          <w:lang w:val="en-US"/>
        </w:rPr>
        <w:t>evaluations</w:t>
      </w:r>
      <w:r w:rsidR="00B56E5F">
        <w:rPr>
          <w:lang w:val="en-US"/>
        </w:rPr>
        <w:t xml:space="preserve"> as shown in </w:t>
      </w:r>
      <w:r w:rsidR="00B56E5F">
        <w:rPr>
          <w:lang w:val="en-US"/>
        </w:rPr>
        <w:fldChar w:fldCharType="begin"/>
      </w:r>
      <w:r w:rsidR="00B56E5F">
        <w:rPr>
          <w:lang w:val="en-US"/>
        </w:rPr>
        <w:instrText xml:space="preserve"> REF _Ref507604532 \h </w:instrText>
      </w:r>
      <w:r w:rsidR="00B56E5F">
        <w:rPr>
          <w:lang w:val="en-US"/>
        </w:rPr>
      </w:r>
      <w:r w:rsidR="00B56E5F">
        <w:rPr>
          <w:lang w:val="en-US"/>
        </w:rPr>
        <w:fldChar w:fldCharType="separate"/>
      </w:r>
      <w:r w:rsidR="000369A1">
        <w:t xml:space="preserve">Table </w:t>
      </w:r>
      <w:r w:rsidR="000369A1">
        <w:rPr>
          <w:noProof/>
        </w:rPr>
        <w:t>25</w:t>
      </w:r>
      <w:r w:rsidR="00B56E5F">
        <w:rPr>
          <w:lang w:val="en-US"/>
        </w:rPr>
        <w:fldChar w:fldCharType="end"/>
      </w:r>
      <w:r w:rsidR="00B56E5F">
        <w:rPr>
          <w:lang w:val="en-US"/>
        </w:rPr>
        <w:t>.</w:t>
      </w:r>
    </w:p>
    <w:p w14:paraId="58815E54" w14:textId="2E18C1DC" w:rsidR="00895C57" w:rsidRDefault="00895C57" w:rsidP="007C0109">
      <w:pPr>
        <w:pStyle w:val="Caption"/>
      </w:pPr>
      <w:bookmarkStart w:id="81" w:name="_Ref507604532"/>
      <w:r>
        <w:t xml:space="preserve">Table </w:t>
      </w:r>
      <w:r w:rsidR="00B47FE6">
        <w:fldChar w:fldCharType="begin"/>
      </w:r>
      <w:r w:rsidR="00B47FE6">
        <w:instrText xml:space="preserve"> SEQ Table \* ARAB</w:instrText>
      </w:r>
      <w:r w:rsidR="00B47FE6">
        <w:instrText xml:space="preserve">IC </w:instrText>
      </w:r>
      <w:r w:rsidR="00B47FE6">
        <w:fldChar w:fldCharType="separate"/>
      </w:r>
      <w:r w:rsidR="000369A1">
        <w:rPr>
          <w:noProof/>
        </w:rPr>
        <w:t>25</w:t>
      </w:r>
      <w:r w:rsidR="00B47FE6">
        <w:rPr>
          <w:noProof/>
        </w:rPr>
        <w:fldChar w:fldCharType="end"/>
      </w:r>
      <w:bookmarkEnd w:id="81"/>
      <w:r>
        <w:t>: Evaluation type and processes</w:t>
      </w:r>
    </w:p>
    <w:tbl>
      <w:tblPr>
        <w:tblStyle w:val="TableGrid"/>
        <w:tblW w:w="8583"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3677"/>
        <w:gridCol w:w="4906"/>
      </w:tblGrid>
      <w:tr w:rsidR="00390796" w14:paraId="663D8718" w14:textId="77777777" w:rsidTr="007C0109">
        <w:trPr>
          <w:trHeight w:val="381"/>
        </w:trPr>
        <w:tc>
          <w:tcPr>
            <w:tcW w:w="3677" w:type="dxa"/>
            <w:shd w:val="clear" w:color="auto" w:fill="A32020" w:themeFill="text2"/>
            <w:vAlign w:val="center"/>
          </w:tcPr>
          <w:p w14:paraId="07C068D8" w14:textId="0044079C" w:rsidR="00390796" w:rsidRPr="007C0109" w:rsidRDefault="00895C57">
            <w:pPr>
              <w:rPr>
                <w:b/>
                <w:color w:val="FFFFFF" w:themeColor="background1"/>
              </w:rPr>
            </w:pPr>
            <w:r w:rsidRPr="007C0109">
              <w:rPr>
                <w:b/>
                <w:color w:val="FFFFFF" w:themeColor="background1"/>
              </w:rPr>
              <w:t>Evaluation type</w:t>
            </w:r>
          </w:p>
        </w:tc>
        <w:tc>
          <w:tcPr>
            <w:tcW w:w="4906" w:type="dxa"/>
            <w:shd w:val="clear" w:color="auto" w:fill="A32020" w:themeFill="text2"/>
            <w:vAlign w:val="center"/>
          </w:tcPr>
          <w:p w14:paraId="7B82DBF7" w14:textId="4CE48D50" w:rsidR="00390796" w:rsidRPr="007C0109" w:rsidRDefault="00895C57">
            <w:pPr>
              <w:rPr>
                <w:b/>
                <w:color w:val="FFFFFF" w:themeColor="background1"/>
              </w:rPr>
            </w:pPr>
            <w:r>
              <w:rPr>
                <w:b/>
                <w:color w:val="FFFFFF" w:themeColor="background1"/>
              </w:rPr>
              <w:t>Evaluation process</w:t>
            </w:r>
          </w:p>
        </w:tc>
      </w:tr>
      <w:tr w:rsidR="00390796" w14:paraId="2455BC20" w14:textId="77777777" w:rsidTr="007C0109">
        <w:trPr>
          <w:trHeight w:val="492"/>
        </w:trPr>
        <w:tc>
          <w:tcPr>
            <w:tcW w:w="3677" w:type="dxa"/>
            <w:vAlign w:val="center"/>
          </w:tcPr>
          <w:p w14:paraId="61748101" w14:textId="0D729829" w:rsidR="00390796" w:rsidRDefault="00895C57" w:rsidP="007C0109">
            <w:pPr>
              <w:pStyle w:val="ListBullet"/>
              <w:numPr>
                <w:ilvl w:val="0"/>
                <w:numId w:val="0"/>
              </w:numPr>
              <w:spacing w:before="0" w:after="0"/>
            </w:pPr>
            <w:r>
              <w:t>Cultural Heritage Permits applications (evaluated by the Secretary or RAPs).</w:t>
            </w:r>
          </w:p>
        </w:tc>
        <w:tc>
          <w:tcPr>
            <w:tcW w:w="4906" w:type="dxa"/>
            <w:vAlign w:val="center"/>
          </w:tcPr>
          <w:p w14:paraId="4D85E2AC" w14:textId="2812F085" w:rsidR="00390796" w:rsidRDefault="00B56E5F">
            <w:r>
              <w:t>Process involves desktop research, consultation with Traditional Owners, communications with the applicant, preparation of mapping requirements (as required), and sign-off by senior management.</w:t>
            </w:r>
          </w:p>
        </w:tc>
      </w:tr>
      <w:tr w:rsidR="00390796" w14:paraId="4AFB3C16" w14:textId="77777777" w:rsidTr="007C0109">
        <w:trPr>
          <w:trHeight w:val="492"/>
        </w:trPr>
        <w:tc>
          <w:tcPr>
            <w:tcW w:w="3677" w:type="dxa"/>
            <w:vAlign w:val="center"/>
          </w:tcPr>
          <w:p w14:paraId="081ED0B9" w14:textId="3F8C890D" w:rsidR="00390796" w:rsidRDefault="00895C57" w:rsidP="007C0109">
            <w:pPr>
              <w:pStyle w:val="ListBullet"/>
              <w:numPr>
                <w:ilvl w:val="0"/>
                <w:numId w:val="0"/>
              </w:numPr>
              <w:spacing w:before="0" w:after="0"/>
            </w:pPr>
            <w:r>
              <w:t>Preliminary Aboriginal Heritage Tests (evaluated</w:t>
            </w:r>
            <w:r w:rsidDel="002217DE">
              <w:t xml:space="preserve"> </w:t>
            </w:r>
            <w:r>
              <w:t>by the Secretary).</w:t>
            </w:r>
          </w:p>
        </w:tc>
        <w:tc>
          <w:tcPr>
            <w:tcW w:w="4906" w:type="dxa"/>
            <w:vAlign w:val="center"/>
          </w:tcPr>
          <w:p w14:paraId="213A0C6B" w14:textId="4A283F08" w:rsidR="00390796" w:rsidRDefault="00B56E5F" w:rsidP="00BC3D77">
            <w:r>
              <w:t>Process involves an initial assessment by the Heritage Assessments team.</w:t>
            </w:r>
          </w:p>
        </w:tc>
      </w:tr>
      <w:tr w:rsidR="00390796" w14:paraId="5AA6AE0F" w14:textId="77777777" w:rsidTr="007C0109">
        <w:trPr>
          <w:trHeight w:val="482"/>
        </w:trPr>
        <w:tc>
          <w:tcPr>
            <w:tcW w:w="3677" w:type="dxa"/>
            <w:vAlign w:val="center"/>
          </w:tcPr>
          <w:p w14:paraId="233D0251" w14:textId="71DCD2B6" w:rsidR="00390796" w:rsidRDefault="00895C57" w:rsidP="007C0109">
            <w:pPr>
              <w:pStyle w:val="ListBullet"/>
              <w:numPr>
                <w:ilvl w:val="0"/>
                <w:numId w:val="0"/>
              </w:numPr>
              <w:spacing w:before="0" w:after="0"/>
            </w:pPr>
            <w:r>
              <w:t>Notices of intention to prepare a CHMP (processed by the Department).</w:t>
            </w:r>
          </w:p>
        </w:tc>
        <w:tc>
          <w:tcPr>
            <w:tcW w:w="4906" w:type="dxa"/>
            <w:vAlign w:val="center"/>
          </w:tcPr>
          <w:p w14:paraId="768EAD99" w14:textId="0506F6F1" w:rsidR="00390796" w:rsidRDefault="00B56E5F" w:rsidP="00BC3D77">
            <w:r>
              <w:t>Process involves assessment</w:t>
            </w:r>
            <w:r w:rsidR="00895C57">
              <w:t xml:space="preserve"> by the Heritage Assessments team.</w:t>
            </w:r>
          </w:p>
        </w:tc>
      </w:tr>
      <w:tr w:rsidR="00390796" w14:paraId="584E2C81" w14:textId="77777777" w:rsidTr="007C0109">
        <w:trPr>
          <w:trHeight w:val="492"/>
        </w:trPr>
        <w:tc>
          <w:tcPr>
            <w:tcW w:w="3677" w:type="dxa"/>
            <w:vAlign w:val="center"/>
          </w:tcPr>
          <w:p w14:paraId="47704972" w14:textId="21B9D994" w:rsidR="00390796" w:rsidRDefault="00895C57" w:rsidP="007C0109">
            <w:pPr>
              <w:pStyle w:val="ListBullet"/>
              <w:numPr>
                <w:ilvl w:val="0"/>
                <w:numId w:val="0"/>
              </w:numPr>
              <w:spacing w:before="0" w:after="0"/>
            </w:pPr>
            <w:r>
              <w:t>CHMP applications (evaluated by the Secretary</w:t>
            </w:r>
            <w:r w:rsidDel="002217DE">
              <w:t xml:space="preserve"> </w:t>
            </w:r>
            <w:r>
              <w:t>or RAPs).</w:t>
            </w:r>
          </w:p>
        </w:tc>
        <w:tc>
          <w:tcPr>
            <w:tcW w:w="4906" w:type="dxa"/>
            <w:vAlign w:val="center"/>
          </w:tcPr>
          <w:p w14:paraId="39BE65A5" w14:textId="04536B74" w:rsidR="00390796" w:rsidRDefault="00B56E5F">
            <w:r>
              <w:t xml:space="preserve">Process involves assessment </w:t>
            </w:r>
            <w:r w:rsidR="00895C57">
              <w:t>by the regional team to evaluate the CHMP, then assessed by the Heritage Assessments team and signed off by the Heritage Manager and Director, then registered as an Aboriginal place.</w:t>
            </w:r>
          </w:p>
        </w:tc>
      </w:tr>
      <w:tr w:rsidR="00390796" w14:paraId="19B351D0" w14:textId="77777777" w:rsidTr="007C0109">
        <w:trPr>
          <w:trHeight w:val="656"/>
        </w:trPr>
        <w:tc>
          <w:tcPr>
            <w:tcW w:w="3677" w:type="dxa"/>
            <w:vAlign w:val="center"/>
          </w:tcPr>
          <w:p w14:paraId="4A0E283B" w14:textId="1FAF4369" w:rsidR="00390796" w:rsidRDefault="00895C57" w:rsidP="007C0109">
            <w:pPr>
              <w:pStyle w:val="ListBullet"/>
              <w:numPr>
                <w:ilvl w:val="0"/>
                <w:numId w:val="0"/>
              </w:numPr>
              <w:spacing w:before="0" w:after="0"/>
            </w:pPr>
            <w:r>
              <w:t>A</w:t>
            </w:r>
            <w:r w:rsidRPr="00E2345E">
              <w:t xml:space="preserve">pplications for approval of amendment to approved </w:t>
            </w:r>
            <w:r>
              <w:t>CHMP (evaluated by the Secretary</w:t>
            </w:r>
            <w:r w:rsidDel="002217DE">
              <w:t xml:space="preserve"> </w:t>
            </w:r>
            <w:r>
              <w:t>or RAPs).</w:t>
            </w:r>
          </w:p>
        </w:tc>
        <w:tc>
          <w:tcPr>
            <w:tcW w:w="4906" w:type="dxa"/>
            <w:vAlign w:val="center"/>
          </w:tcPr>
          <w:p w14:paraId="1C2A3155" w14:textId="33671642" w:rsidR="00390796" w:rsidRDefault="00895C57">
            <w:r>
              <w:t>Similar process to a full CHMP.</w:t>
            </w:r>
          </w:p>
        </w:tc>
      </w:tr>
      <w:tr w:rsidR="00390796" w14:paraId="38FF0DBC" w14:textId="77777777" w:rsidTr="007C0109">
        <w:trPr>
          <w:trHeight w:val="492"/>
        </w:trPr>
        <w:tc>
          <w:tcPr>
            <w:tcW w:w="3677" w:type="dxa"/>
            <w:vAlign w:val="center"/>
          </w:tcPr>
          <w:p w14:paraId="0F565A6E" w14:textId="14CDAAA9" w:rsidR="00390796" w:rsidRDefault="00895C57" w:rsidP="007C0109">
            <w:pPr>
              <w:pStyle w:val="ListBullet"/>
              <w:numPr>
                <w:ilvl w:val="0"/>
                <w:numId w:val="0"/>
              </w:numPr>
              <w:spacing w:before="0" w:after="0"/>
            </w:pPr>
            <w:r>
              <w:t>Access to the Victorian Aboriginal Heritage Register (processed by the Secretary).</w:t>
            </w:r>
          </w:p>
        </w:tc>
        <w:tc>
          <w:tcPr>
            <w:tcW w:w="4906" w:type="dxa"/>
            <w:vAlign w:val="center"/>
          </w:tcPr>
          <w:p w14:paraId="7ED7D478" w14:textId="0FC38E75" w:rsidR="00390796" w:rsidRDefault="00B56E5F">
            <w:r>
              <w:t xml:space="preserve">Process involves assessment </w:t>
            </w:r>
            <w:r w:rsidR="00895C57">
              <w:t>by Registry staff (including to confirm whether the applicant has the right of access under the Act), and then requiring sign-off by a more senior staff member. Application may need escalation depending on whether it relates to possible damage or destruction of Aboriginal cultural heritage.</w:t>
            </w:r>
          </w:p>
        </w:tc>
      </w:tr>
      <w:tr w:rsidR="00895C57" w14:paraId="324834F5" w14:textId="77777777" w:rsidTr="007C0109">
        <w:trPr>
          <w:trHeight w:val="501"/>
        </w:trPr>
        <w:tc>
          <w:tcPr>
            <w:tcW w:w="3677" w:type="dxa"/>
            <w:vAlign w:val="center"/>
          </w:tcPr>
          <w:p w14:paraId="425C7736" w14:textId="29DFBB23" w:rsidR="00895C57" w:rsidRDefault="00895C57" w:rsidP="007C0109">
            <w:pPr>
              <w:pStyle w:val="ListBullet"/>
              <w:numPr>
                <w:ilvl w:val="0"/>
                <w:numId w:val="0"/>
              </w:numPr>
              <w:spacing w:before="0" w:after="0"/>
            </w:pPr>
            <w:r>
              <w:t>Application to the Secretary for advice on whether a record exists on the Register (processed by the Secretary).</w:t>
            </w:r>
          </w:p>
        </w:tc>
        <w:tc>
          <w:tcPr>
            <w:tcW w:w="4906" w:type="dxa"/>
            <w:vAlign w:val="center"/>
          </w:tcPr>
          <w:p w14:paraId="70561A9F" w14:textId="70DE947A" w:rsidR="00895C57" w:rsidRDefault="00B56E5F" w:rsidP="00B56E5F">
            <w:r>
              <w:t xml:space="preserve">Process involves assessment </w:t>
            </w:r>
            <w:r w:rsidR="00895C57">
              <w:t>by Registry staff (including to confirm whether the applicant has the right of access under the Act), and then requiring sign-off by a more senior staff member. Application may need escalation depending on whether it relates to possible damage or destruction of Aboriginal cultural heritage.</w:t>
            </w:r>
          </w:p>
        </w:tc>
      </w:tr>
    </w:tbl>
    <w:p w14:paraId="1E946FF2" w14:textId="77777777" w:rsidR="002B6B28" w:rsidRDefault="002B6B28" w:rsidP="007C0109">
      <w:pPr>
        <w:pStyle w:val="PwCNormal"/>
        <w:spacing w:before="240"/>
        <w:rPr>
          <w:lang w:val="en-US"/>
        </w:rPr>
      </w:pPr>
      <w:r>
        <w:rPr>
          <w:lang w:val="en-US"/>
        </w:rPr>
        <w:t xml:space="preserve">Apart from CHMPs, all mechanisms would still need to be undertaken under the Act, however, as fees could not be charged, government and RAPs would need to fund the cost of their assessment activities through other revenue. </w:t>
      </w:r>
    </w:p>
    <w:p w14:paraId="3F975A46" w14:textId="77777777" w:rsidR="002B6B28" w:rsidRDefault="002B6B28" w:rsidP="002B6B28">
      <w:pPr>
        <w:pStyle w:val="Heading6"/>
        <w:rPr>
          <w:lang w:val="en-US"/>
        </w:rPr>
      </w:pPr>
      <w:r>
        <w:rPr>
          <w:lang w:val="en-US"/>
        </w:rPr>
        <w:t>Fee options</w:t>
      </w:r>
    </w:p>
    <w:p w14:paraId="252F24F4" w14:textId="1EA15F22" w:rsidR="00FE0C78" w:rsidRDefault="00FE0C78" w:rsidP="00705BA8">
      <w:pPr>
        <w:pStyle w:val="Heading7"/>
        <w:rPr>
          <w:lang w:val="en-US"/>
        </w:rPr>
      </w:pPr>
      <w:r>
        <w:rPr>
          <w:lang w:val="en-US"/>
        </w:rPr>
        <w:t>Options summary</w:t>
      </w:r>
    </w:p>
    <w:p w14:paraId="70F5E291" w14:textId="4E7D4D33" w:rsidR="00FE0C78" w:rsidRDefault="00750CC4" w:rsidP="00705BA8">
      <w:pPr>
        <w:pStyle w:val="PwCNormal"/>
        <w:rPr>
          <w:lang w:val="en-US"/>
        </w:rPr>
      </w:pPr>
      <w:r w:rsidRPr="00750CC4">
        <w:rPr>
          <w:lang w:val="en-US"/>
        </w:rPr>
        <w:t xml:space="preserve">The </w:t>
      </w:r>
      <w:r>
        <w:rPr>
          <w:lang w:val="en-US"/>
        </w:rPr>
        <w:t xml:space="preserve">fee </w:t>
      </w:r>
      <w:r w:rsidRPr="00750CC4">
        <w:rPr>
          <w:lang w:val="en-US"/>
        </w:rPr>
        <w:t xml:space="preserve">options </w:t>
      </w:r>
      <w:r>
        <w:rPr>
          <w:lang w:val="en-US"/>
        </w:rPr>
        <w:t xml:space="preserve">have been formulated with regard to consultation with AV and RAPs as part of this RIS, as well as previous </w:t>
      </w:r>
      <w:r w:rsidRPr="00750CC4">
        <w:rPr>
          <w:lang w:val="en-US"/>
        </w:rPr>
        <w:t>consultation by AV over the past year, including the pu</w:t>
      </w:r>
      <w:r>
        <w:rPr>
          <w:lang w:val="en-US"/>
        </w:rPr>
        <w:t>blication of a discussion paper. In summary, the fee options</w:t>
      </w:r>
      <w:r w:rsidR="0008594F">
        <w:rPr>
          <w:lang w:val="en-US"/>
        </w:rPr>
        <w:t xml:space="preserve"> examined in detail in this section</w:t>
      </w:r>
      <w:r>
        <w:rPr>
          <w:lang w:val="en-US"/>
        </w:rPr>
        <w:t xml:space="preserve"> involve:</w:t>
      </w:r>
    </w:p>
    <w:p w14:paraId="7EE01C79" w14:textId="21313D17" w:rsidR="00750CC4" w:rsidRDefault="00750CC4" w:rsidP="00705BA8">
      <w:pPr>
        <w:pStyle w:val="ListBullet"/>
        <w:rPr>
          <w:lang w:val="en-US"/>
        </w:rPr>
      </w:pPr>
      <w:r>
        <w:rPr>
          <w:lang w:val="en-US"/>
        </w:rPr>
        <w:t xml:space="preserve">Option 1: Re-make existing fees – </w:t>
      </w:r>
      <w:r w:rsidR="00901FC8">
        <w:rPr>
          <w:lang w:val="en-US"/>
        </w:rPr>
        <w:t>this fee option maintains the existing fee regime, which gives stakeholders continuity and reduces uncertainty.</w:t>
      </w:r>
    </w:p>
    <w:p w14:paraId="2BECFE14" w14:textId="3C4A3F5B" w:rsidR="00750CC4" w:rsidRDefault="00750CC4" w:rsidP="00705BA8">
      <w:pPr>
        <w:pStyle w:val="ListBullet"/>
        <w:rPr>
          <w:lang w:val="en-US"/>
        </w:rPr>
      </w:pPr>
      <w:r>
        <w:rPr>
          <w:lang w:val="en-US"/>
        </w:rPr>
        <w:t>Option 2: Single set of fees based on weighted average cost recovery –</w:t>
      </w:r>
      <w:r w:rsidR="00901FC8">
        <w:rPr>
          <w:lang w:val="en-US"/>
        </w:rPr>
        <w:t xml:space="preserve"> this fee option involves updating the fees based on information collected from stakeholders on their costs involv</w:t>
      </w:r>
      <w:r w:rsidR="00FB6DF0">
        <w:rPr>
          <w:lang w:val="en-US"/>
        </w:rPr>
        <w:t xml:space="preserve">ed with undertaking </w:t>
      </w:r>
      <w:r w:rsidR="00E360A2">
        <w:rPr>
          <w:lang w:val="en-US"/>
        </w:rPr>
        <w:t>evaluations</w:t>
      </w:r>
      <w:r w:rsidR="00FB6DF0">
        <w:rPr>
          <w:lang w:val="en-US"/>
        </w:rPr>
        <w:t>, and estimating fee levels based on a</w:t>
      </w:r>
      <w:r w:rsidR="00E360A2">
        <w:rPr>
          <w:lang w:val="en-US"/>
        </w:rPr>
        <w:t>n</w:t>
      </w:r>
      <w:r w:rsidR="00FB6DF0">
        <w:rPr>
          <w:lang w:val="en-US"/>
        </w:rPr>
        <w:t xml:space="preserve"> average of Government and RAPs costs weighted by the number of </w:t>
      </w:r>
      <w:r w:rsidR="00E360A2">
        <w:rPr>
          <w:lang w:val="en-US"/>
        </w:rPr>
        <w:t xml:space="preserve">evaluations </w:t>
      </w:r>
      <w:r w:rsidR="00FB6DF0">
        <w:rPr>
          <w:lang w:val="en-US"/>
        </w:rPr>
        <w:t>they undertook.</w:t>
      </w:r>
    </w:p>
    <w:p w14:paraId="7913CD2B" w14:textId="076D6958" w:rsidR="00750CC4" w:rsidRDefault="00750CC4" w:rsidP="00705BA8">
      <w:pPr>
        <w:pStyle w:val="ListBullet"/>
        <w:rPr>
          <w:lang w:val="en-US"/>
        </w:rPr>
      </w:pPr>
      <w:r>
        <w:rPr>
          <w:lang w:val="en-US"/>
        </w:rPr>
        <w:t xml:space="preserve">Option 3: Variable fees by </w:t>
      </w:r>
      <w:r w:rsidR="00E360A2">
        <w:rPr>
          <w:lang w:val="en-US"/>
        </w:rPr>
        <w:t xml:space="preserve">evaluator </w:t>
      </w:r>
      <w:r>
        <w:rPr>
          <w:lang w:val="en-US"/>
        </w:rPr>
        <w:t xml:space="preserve">– </w:t>
      </w:r>
      <w:r w:rsidR="00901FC8">
        <w:rPr>
          <w:lang w:val="en-US"/>
        </w:rPr>
        <w:t>this fee option splits the fee levels into different fees for Government and RAPs to reflect their dif</w:t>
      </w:r>
      <w:r w:rsidR="00FB6DF0">
        <w:rPr>
          <w:lang w:val="en-US"/>
        </w:rPr>
        <w:t>ferent cost bases and do not disadvantage the party with a higher cost base.</w:t>
      </w:r>
    </w:p>
    <w:p w14:paraId="61241FC0" w14:textId="77777777" w:rsidR="00C213C6" w:rsidRPr="00B3466C" w:rsidRDefault="001B5B58" w:rsidP="0008594F">
      <w:pPr>
        <w:pStyle w:val="PwCNormal"/>
        <w:rPr>
          <w:lang w:val="en-US"/>
        </w:rPr>
      </w:pPr>
      <w:r>
        <w:rPr>
          <w:lang w:val="en-US"/>
        </w:rPr>
        <w:t>O</w:t>
      </w:r>
      <w:r w:rsidR="0008594F">
        <w:rPr>
          <w:lang w:val="en-US"/>
        </w:rPr>
        <w:t xml:space="preserve">ther fee options </w:t>
      </w:r>
      <w:r>
        <w:rPr>
          <w:lang w:val="en-US"/>
        </w:rPr>
        <w:t xml:space="preserve">were considered but not included in the final list of options because AV considered the above to be the most </w:t>
      </w:r>
      <w:r>
        <w:t>feasible based on the fee criteria and cost recovery implications. F</w:t>
      </w:r>
      <w:r>
        <w:rPr>
          <w:lang w:val="en-US"/>
        </w:rPr>
        <w:t xml:space="preserve">or example, it is often appropriate to differentiate fees by different types of user to reflect differences in the regulatory costs they impose or in their ability to pay. In this case, however, AV considers it would be impractical to set such differentiated fees because </w:t>
      </w:r>
      <w:r w:rsidR="003A34A7">
        <w:rPr>
          <w:lang w:val="en-US"/>
        </w:rPr>
        <w:t xml:space="preserve">the diversity of land users means it is </w:t>
      </w:r>
      <w:r w:rsidR="003A34A7">
        <w:t xml:space="preserve">not possible to define distinct broad categories of users with similar characteristics to use as a basis </w:t>
      </w:r>
      <w:r w:rsidR="0052731D">
        <w:t xml:space="preserve">to structure </w:t>
      </w:r>
      <w:r w:rsidR="003A34A7">
        <w:t>fees</w:t>
      </w:r>
      <w:r w:rsidR="0052731D">
        <w:t xml:space="preserve"> in this way</w:t>
      </w:r>
      <w:r w:rsidR="003A34A7">
        <w:t>.</w:t>
      </w:r>
      <w:r w:rsidR="00D941A2">
        <w:t xml:space="preserve"> </w:t>
      </w:r>
    </w:p>
    <w:p w14:paraId="03C3CCAC" w14:textId="22703018" w:rsidR="0008594F" w:rsidRPr="00DC4A3F" w:rsidRDefault="00E26251" w:rsidP="0008594F">
      <w:pPr>
        <w:pStyle w:val="PwCNormal"/>
        <w:rPr>
          <w:lang w:val="en-US"/>
        </w:rPr>
      </w:pPr>
      <w:r>
        <w:t>AV also did not consider charging different fees for</w:t>
      </w:r>
      <w:r w:rsidR="00C213C6">
        <w:t xml:space="preserve"> CHMPs with</w:t>
      </w:r>
      <w:r>
        <w:t xml:space="preserve"> complex assessments to be appropriate given it is difficult to assess the complexity of a CHMP prior to conducting it, and variable fees would introduce further uncertainty.</w:t>
      </w:r>
      <w:r w:rsidR="00C213C6">
        <w:t xml:space="preserve"> </w:t>
      </w:r>
    </w:p>
    <w:p w14:paraId="18CA88ED" w14:textId="6BF1C96F" w:rsidR="00FE0C78" w:rsidRPr="00DC4A3F" w:rsidRDefault="00FE0C78" w:rsidP="00705BA8">
      <w:pPr>
        <w:pStyle w:val="Heading7"/>
        <w:rPr>
          <w:lang w:val="en-US"/>
        </w:rPr>
      </w:pPr>
      <w:r>
        <w:rPr>
          <w:lang w:val="en-US"/>
        </w:rPr>
        <w:t>Analysis</w:t>
      </w:r>
    </w:p>
    <w:p w14:paraId="2C6F1496" w14:textId="35EF0331" w:rsidR="002B6B28" w:rsidRDefault="002B6B28" w:rsidP="00705BA8">
      <w:pPr>
        <w:pStyle w:val="PwCNormal"/>
        <w:rPr>
          <w:lang w:val="en-US"/>
        </w:rPr>
      </w:pPr>
      <w:r>
        <w:rPr>
          <w:lang w:val="en-US"/>
        </w:rPr>
        <w:t>The costs incurred by Government and RAPs relate primarily to staff time costs</w:t>
      </w:r>
      <w:r w:rsidR="00577E93">
        <w:rPr>
          <w:lang w:val="en-US"/>
        </w:rPr>
        <w:t>, apart from the overhead costs of maintaining the Register (discussed further below)</w:t>
      </w:r>
      <w:r>
        <w:rPr>
          <w:lang w:val="en-US"/>
        </w:rPr>
        <w:t xml:space="preserve">. The input data for each </w:t>
      </w:r>
      <w:r w:rsidR="00E360A2">
        <w:rPr>
          <w:lang w:val="en-US"/>
        </w:rPr>
        <w:t xml:space="preserve">evaluator </w:t>
      </w:r>
      <w:r>
        <w:rPr>
          <w:lang w:val="en-US"/>
        </w:rPr>
        <w:t>is shown in</w:t>
      </w:r>
      <w:r w:rsidR="00E5103C">
        <w:rPr>
          <w:lang w:val="en-US"/>
        </w:rPr>
        <w:t xml:space="preserve"> </w:t>
      </w:r>
      <w:r w:rsidR="00E5103C">
        <w:rPr>
          <w:lang w:val="en-US"/>
        </w:rPr>
        <w:fldChar w:fldCharType="begin"/>
      </w:r>
      <w:r w:rsidR="00E5103C">
        <w:rPr>
          <w:lang w:val="en-US"/>
        </w:rPr>
        <w:instrText xml:space="preserve"> REF _Ref505173212 \h </w:instrText>
      </w:r>
      <w:r w:rsidR="00E5103C">
        <w:rPr>
          <w:lang w:val="en-US"/>
        </w:rPr>
      </w:r>
      <w:r w:rsidR="00E5103C">
        <w:rPr>
          <w:lang w:val="en-US"/>
        </w:rPr>
        <w:fldChar w:fldCharType="separate"/>
      </w:r>
      <w:r w:rsidR="000369A1">
        <w:t xml:space="preserve">Table </w:t>
      </w:r>
      <w:r w:rsidR="000369A1">
        <w:rPr>
          <w:noProof/>
        </w:rPr>
        <w:t>26</w:t>
      </w:r>
      <w:r w:rsidR="00E5103C">
        <w:rPr>
          <w:lang w:val="en-US"/>
        </w:rPr>
        <w:fldChar w:fldCharType="end"/>
      </w:r>
      <w:r>
        <w:rPr>
          <w:lang w:val="en-US"/>
        </w:rPr>
        <w:t xml:space="preserve">. Estimating the appropriate fees is difficult for this RIS given that there are a diverse array of organisations that will undertake </w:t>
      </w:r>
      <w:r w:rsidR="00E360A2">
        <w:rPr>
          <w:lang w:val="en-US"/>
        </w:rPr>
        <w:t>evaluations</w:t>
      </w:r>
      <w:r>
        <w:rPr>
          <w:lang w:val="en-US"/>
        </w:rPr>
        <w:t xml:space="preserve">, ranging from </w:t>
      </w:r>
      <w:r w:rsidR="00FD0A3F">
        <w:rPr>
          <w:lang w:val="en-US"/>
        </w:rPr>
        <w:t xml:space="preserve">AV </w:t>
      </w:r>
      <w:r>
        <w:rPr>
          <w:lang w:val="en-US"/>
        </w:rPr>
        <w:t>to small-sized RAPs.</w:t>
      </w:r>
    </w:p>
    <w:p w14:paraId="3C757A36" w14:textId="5A74C8C5" w:rsidR="002B6B28" w:rsidRDefault="002B6B28" w:rsidP="00705BA8">
      <w:pPr>
        <w:pStyle w:val="PwCNormal"/>
        <w:rPr>
          <w:lang w:val="en-US"/>
        </w:rPr>
      </w:pPr>
      <w:r>
        <w:rPr>
          <w:lang w:val="en-US"/>
        </w:rPr>
        <w:t>Data for the fees analysis are primarily sourced from AV and the survey of RAPs. These data were checked against previous reviews and reports. While there are differences in data, these could be explained by the changes in the regulatory framework in 2016.</w:t>
      </w:r>
      <w:r w:rsidR="00F06927">
        <w:rPr>
          <w:rStyle w:val="FootnoteReference"/>
          <w:lang w:val="en-US"/>
        </w:rPr>
        <w:footnoteReference w:id="110"/>
      </w:r>
      <w:r w:rsidR="008068A9">
        <w:rPr>
          <w:lang w:val="en-US"/>
        </w:rPr>
        <w:t xml:space="preserve"> It is important to note that RAPs have previously stated that an increase in fees would be desirable, however, the data provided indicated that fees are largely in line with current activities.</w:t>
      </w:r>
    </w:p>
    <w:p w14:paraId="01DE3A8B" w14:textId="7278CABA" w:rsidR="002B6B28" w:rsidRDefault="002B6B28" w:rsidP="002B6B28">
      <w:pPr>
        <w:pStyle w:val="Caption"/>
      </w:pPr>
      <w:bookmarkStart w:id="82" w:name="_Ref505173212"/>
      <w:r>
        <w:t xml:space="preserve">Table </w:t>
      </w:r>
      <w:r w:rsidR="00B47FE6">
        <w:fldChar w:fldCharType="begin"/>
      </w:r>
      <w:r w:rsidR="00B47FE6">
        <w:instrText xml:space="preserve"> SEQ Table \* ARABIC </w:instrText>
      </w:r>
      <w:r w:rsidR="00B47FE6">
        <w:fldChar w:fldCharType="separate"/>
      </w:r>
      <w:r w:rsidR="000369A1">
        <w:rPr>
          <w:noProof/>
        </w:rPr>
        <w:t>26</w:t>
      </w:r>
      <w:r w:rsidR="00B47FE6">
        <w:rPr>
          <w:noProof/>
        </w:rPr>
        <w:fldChar w:fldCharType="end"/>
      </w:r>
      <w:bookmarkEnd w:id="82"/>
      <w:r>
        <w:t>: Inputs for fee recovery (2018 dollars)</w:t>
      </w:r>
    </w:p>
    <w:tbl>
      <w:tblPr>
        <w:tblStyle w:val="ListTable3-Accent11"/>
        <w:tblW w:w="8755" w:type="dxa"/>
        <w:tblLook w:val="04A0" w:firstRow="1" w:lastRow="0" w:firstColumn="1" w:lastColumn="0" w:noHBand="0" w:noVBand="1"/>
      </w:tblPr>
      <w:tblGrid>
        <w:gridCol w:w="2153"/>
        <w:gridCol w:w="2200"/>
        <w:gridCol w:w="2201"/>
        <w:gridCol w:w="2201"/>
      </w:tblGrid>
      <w:tr w:rsidR="002B6B28" w14:paraId="771836E3" w14:textId="77777777" w:rsidTr="00C35804">
        <w:trPr>
          <w:cnfStyle w:val="100000000000" w:firstRow="1" w:lastRow="0" w:firstColumn="0" w:lastColumn="0" w:oddVBand="0" w:evenVBand="0" w:oddHBand="0" w:evenHBand="0" w:firstRowFirstColumn="0" w:firstRowLastColumn="0" w:lastRowFirstColumn="0" w:lastRowLastColumn="0"/>
          <w:cantSplit/>
          <w:trHeight w:val="318"/>
          <w:tblHeader/>
        </w:trPr>
        <w:tc>
          <w:tcPr>
            <w:cnfStyle w:val="001000000100" w:firstRow="0" w:lastRow="0" w:firstColumn="1" w:lastColumn="0" w:oddVBand="0" w:evenVBand="0" w:oddHBand="0" w:evenHBand="0" w:firstRowFirstColumn="1" w:firstRowLastColumn="0" w:lastRowFirstColumn="0" w:lastRowLastColumn="0"/>
            <w:tcW w:w="2153" w:type="dxa"/>
            <w:vAlign w:val="center"/>
          </w:tcPr>
          <w:p w14:paraId="4578A091" w14:textId="44E0A5D7" w:rsidR="002B6B28" w:rsidRDefault="00A67B1F" w:rsidP="00620701">
            <w:r>
              <w:t xml:space="preserve">Evaluator </w:t>
            </w:r>
            <w:r w:rsidR="002B6B28">
              <w:t>inputs</w:t>
            </w:r>
          </w:p>
        </w:tc>
        <w:tc>
          <w:tcPr>
            <w:tcW w:w="2200" w:type="dxa"/>
            <w:vAlign w:val="center"/>
          </w:tcPr>
          <w:p w14:paraId="3FB4ABC0" w14:textId="77777777" w:rsidR="002B6B28" w:rsidRDefault="002B6B28" w:rsidP="00620701">
            <w:pPr>
              <w:jc w:val="center"/>
              <w:cnfStyle w:val="100000000000" w:firstRow="1" w:lastRow="0" w:firstColumn="0" w:lastColumn="0" w:oddVBand="0" w:evenVBand="0" w:oddHBand="0" w:evenHBand="0" w:firstRowFirstColumn="0" w:firstRowLastColumn="0" w:lastRowFirstColumn="0" w:lastRowLastColumn="0"/>
            </w:pPr>
            <w:r>
              <w:t>AV</w:t>
            </w:r>
            <w:r>
              <w:rPr>
                <w:rStyle w:val="FootnoteReference"/>
              </w:rPr>
              <w:footnoteReference w:id="111"/>
            </w:r>
          </w:p>
        </w:tc>
        <w:tc>
          <w:tcPr>
            <w:tcW w:w="2201" w:type="dxa"/>
            <w:vAlign w:val="center"/>
          </w:tcPr>
          <w:p w14:paraId="112DC3C3" w14:textId="77777777" w:rsidR="002B6B28" w:rsidRDefault="002B6B28" w:rsidP="00620701">
            <w:pPr>
              <w:jc w:val="center"/>
              <w:cnfStyle w:val="100000000000" w:firstRow="1" w:lastRow="0" w:firstColumn="0" w:lastColumn="0" w:oddVBand="0" w:evenVBand="0" w:oddHBand="0" w:evenHBand="0" w:firstRowFirstColumn="0" w:firstRowLastColumn="0" w:lastRowFirstColumn="0" w:lastRowLastColumn="0"/>
            </w:pPr>
            <w:r>
              <w:t>RAPs</w:t>
            </w:r>
            <w:r>
              <w:rPr>
                <w:rStyle w:val="FootnoteReference"/>
              </w:rPr>
              <w:footnoteReference w:id="112"/>
            </w:r>
          </w:p>
        </w:tc>
        <w:tc>
          <w:tcPr>
            <w:tcW w:w="2201" w:type="dxa"/>
            <w:vAlign w:val="center"/>
          </w:tcPr>
          <w:p w14:paraId="23BBCF9B" w14:textId="77777777" w:rsidR="002B6B28" w:rsidRDefault="002B6B28" w:rsidP="00620701">
            <w:pPr>
              <w:jc w:val="center"/>
              <w:cnfStyle w:val="100000000000" w:firstRow="1" w:lastRow="0" w:firstColumn="0" w:lastColumn="0" w:oddVBand="0" w:evenVBand="0" w:oddHBand="0" w:evenHBand="0" w:firstRowFirstColumn="0" w:firstRowLastColumn="0" w:lastRowFirstColumn="0" w:lastRowLastColumn="0"/>
            </w:pPr>
            <w:r>
              <w:t>VAHC</w:t>
            </w:r>
            <w:r>
              <w:rPr>
                <w:rStyle w:val="FootnoteReference"/>
              </w:rPr>
              <w:footnoteReference w:id="113"/>
            </w:r>
          </w:p>
        </w:tc>
      </w:tr>
      <w:tr w:rsidR="002B6B28" w14:paraId="07CDBE95" w14:textId="77777777" w:rsidTr="00C35804">
        <w:trPr>
          <w:cnfStyle w:val="000000100000" w:firstRow="0" w:lastRow="0" w:firstColumn="0" w:lastColumn="0" w:oddVBand="0" w:evenVBand="0" w:oddHBand="1" w:evenHBand="0" w:firstRowFirstColumn="0" w:firstRowLastColumn="0" w:lastRowFirstColumn="0" w:lastRowLastColumn="0"/>
          <w:cantSplit/>
          <w:trHeight w:val="617"/>
        </w:trPr>
        <w:tc>
          <w:tcPr>
            <w:cnfStyle w:val="001000000000" w:firstRow="0" w:lastRow="0" w:firstColumn="1" w:lastColumn="0" w:oddVBand="0" w:evenVBand="0" w:oddHBand="0" w:evenHBand="0" w:firstRowFirstColumn="0" w:firstRowLastColumn="0" w:lastRowFirstColumn="0" w:lastRowLastColumn="0"/>
            <w:tcW w:w="2153" w:type="dxa"/>
            <w:shd w:val="clear" w:color="auto" w:fill="808080" w:themeFill="background1" w:themeFillShade="80"/>
            <w:vAlign w:val="center"/>
          </w:tcPr>
          <w:p w14:paraId="76FE8A8A" w14:textId="7946F5C1" w:rsidR="002B6B28" w:rsidRPr="009F1FC2" w:rsidRDefault="00A67B1F" w:rsidP="00620701">
            <w:pPr>
              <w:rPr>
                <w:color w:val="FFFFFF" w:themeColor="background1"/>
              </w:rPr>
            </w:pPr>
            <w:r>
              <w:rPr>
                <w:color w:val="FFFFFF" w:themeColor="background1"/>
              </w:rPr>
              <w:t xml:space="preserve">Evaluator </w:t>
            </w:r>
            <w:r w:rsidR="002B6B28">
              <w:rPr>
                <w:color w:val="FFFFFF" w:themeColor="background1"/>
              </w:rPr>
              <w:t>staff level</w:t>
            </w:r>
          </w:p>
        </w:tc>
        <w:tc>
          <w:tcPr>
            <w:tcW w:w="2200" w:type="dxa"/>
            <w:vAlign w:val="center"/>
          </w:tcPr>
          <w:p w14:paraId="1E15B583" w14:textId="77777777" w:rsidR="002B6B28" w:rsidRDefault="002B6B28" w:rsidP="00620701">
            <w:pPr>
              <w:jc w:val="center"/>
              <w:cnfStyle w:val="000000100000" w:firstRow="0" w:lastRow="0" w:firstColumn="0" w:lastColumn="0" w:oddVBand="0" w:evenVBand="0" w:oddHBand="1" w:evenHBand="0" w:firstRowFirstColumn="0" w:firstRowLastColumn="0" w:lastRowFirstColumn="0" w:lastRowLastColumn="0"/>
            </w:pPr>
            <w:r>
              <w:t>Mix of VPS 4 and VPS 5 (for CHMPs)</w:t>
            </w:r>
          </w:p>
        </w:tc>
        <w:tc>
          <w:tcPr>
            <w:tcW w:w="2201" w:type="dxa"/>
            <w:vAlign w:val="center"/>
          </w:tcPr>
          <w:p w14:paraId="41E1334A" w14:textId="79BA48D9" w:rsidR="002B6B28" w:rsidRDefault="002B6B28" w:rsidP="00576197">
            <w:pPr>
              <w:jc w:val="center"/>
              <w:cnfStyle w:val="000000100000" w:firstRow="0" w:lastRow="0" w:firstColumn="0" w:lastColumn="0" w:oddVBand="0" w:evenVBand="0" w:oddHBand="1" w:evenHBand="0" w:firstRowFirstColumn="0" w:firstRowLastColumn="0" w:lastRowFirstColumn="0" w:lastRowLastColumn="0"/>
            </w:pPr>
            <w:r>
              <w:t xml:space="preserve">72% Cultural Heritage Officer, 20% Admin Support Officer, 8% Executive Officer (or equivalent </w:t>
            </w:r>
            <w:r w:rsidR="001C5DB1">
              <w:t>positions</w:t>
            </w:r>
            <w:r>
              <w:t>)</w:t>
            </w:r>
          </w:p>
        </w:tc>
        <w:tc>
          <w:tcPr>
            <w:tcW w:w="2201" w:type="dxa"/>
            <w:vAlign w:val="center"/>
          </w:tcPr>
          <w:p w14:paraId="77796968" w14:textId="77777777" w:rsidR="002B6B28" w:rsidRDefault="002B6B28" w:rsidP="00620701">
            <w:pPr>
              <w:jc w:val="center"/>
              <w:cnfStyle w:val="000000100000" w:firstRow="0" w:lastRow="0" w:firstColumn="0" w:lastColumn="0" w:oddVBand="0" w:evenVBand="0" w:oddHBand="1" w:evenHBand="0" w:firstRowFirstColumn="0" w:firstRowLastColumn="0" w:lastRowFirstColumn="0" w:lastRowLastColumn="0"/>
            </w:pPr>
            <w:r>
              <w:t>VPS 3</w:t>
            </w:r>
          </w:p>
        </w:tc>
      </w:tr>
      <w:tr w:rsidR="002B6B28" w14:paraId="35C836D5" w14:textId="77777777" w:rsidTr="00C35804">
        <w:trPr>
          <w:cantSplit/>
          <w:trHeight w:val="318"/>
        </w:trPr>
        <w:tc>
          <w:tcPr>
            <w:cnfStyle w:val="001000000000" w:firstRow="0" w:lastRow="0" w:firstColumn="1" w:lastColumn="0" w:oddVBand="0" w:evenVBand="0" w:oddHBand="0" w:evenHBand="0" w:firstRowFirstColumn="0" w:firstRowLastColumn="0" w:lastRowFirstColumn="0" w:lastRowLastColumn="0"/>
            <w:tcW w:w="2153" w:type="dxa"/>
            <w:shd w:val="clear" w:color="auto" w:fill="808080" w:themeFill="background1" w:themeFillShade="80"/>
            <w:vAlign w:val="center"/>
          </w:tcPr>
          <w:p w14:paraId="7B152115" w14:textId="77777777" w:rsidR="002B6B28" w:rsidRPr="009F1FC2" w:rsidRDefault="002B6B28" w:rsidP="00620701">
            <w:pPr>
              <w:rPr>
                <w:color w:val="FFFFFF" w:themeColor="background1"/>
              </w:rPr>
            </w:pPr>
            <w:r>
              <w:rPr>
                <w:color w:val="FFFFFF" w:themeColor="background1"/>
              </w:rPr>
              <w:t xml:space="preserve">Oncosts </w:t>
            </w:r>
          </w:p>
        </w:tc>
        <w:tc>
          <w:tcPr>
            <w:tcW w:w="2200" w:type="dxa"/>
            <w:vAlign w:val="center"/>
          </w:tcPr>
          <w:p w14:paraId="74A3235A" w14:textId="77777777" w:rsidR="002B6B28" w:rsidRPr="004D12C3" w:rsidRDefault="002B6B28" w:rsidP="00620701">
            <w:pPr>
              <w:jc w:val="center"/>
              <w:cnfStyle w:val="000000000000" w:firstRow="0" w:lastRow="0" w:firstColumn="0" w:lastColumn="0" w:oddVBand="0" w:evenVBand="0" w:oddHBand="0" w:evenHBand="0" w:firstRowFirstColumn="0" w:firstRowLastColumn="0" w:lastRowFirstColumn="0" w:lastRowLastColumn="0"/>
            </w:pPr>
            <w:r w:rsidRPr="004D12C3">
              <w:t>10%</w:t>
            </w:r>
            <w:r>
              <w:rPr>
                <w:rStyle w:val="FootnoteReference"/>
              </w:rPr>
              <w:footnoteReference w:id="114"/>
            </w:r>
          </w:p>
        </w:tc>
        <w:tc>
          <w:tcPr>
            <w:tcW w:w="2201" w:type="dxa"/>
            <w:vAlign w:val="center"/>
          </w:tcPr>
          <w:p w14:paraId="3190364C" w14:textId="77777777" w:rsidR="002B6B28" w:rsidRPr="004D12C3" w:rsidRDefault="002B6B28" w:rsidP="00620701">
            <w:pPr>
              <w:jc w:val="center"/>
              <w:cnfStyle w:val="000000000000" w:firstRow="0" w:lastRow="0" w:firstColumn="0" w:lastColumn="0" w:oddVBand="0" w:evenVBand="0" w:oddHBand="0" w:evenHBand="0" w:firstRowFirstColumn="0" w:firstRowLastColumn="0" w:lastRowFirstColumn="0" w:lastRowLastColumn="0"/>
            </w:pPr>
            <w:r w:rsidRPr="004D12C3">
              <w:t>16.5%</w:t>
            </w:r>
            <w:r>
              <w:rPr>
                <w:rStyle w:val="FootnoteReference"/>
              </w:rPr>
              <w:footnoteReference w:id="115"/>
            </w:r>
          </w:p>
        </w:tc>
        <w:tc>
          <w:tcPr>
            <w:tcW w:w="2201" w:type="dxa"/>
            <w:vAlign w:val="center"/>
          </w:tcPr>
          <w:p w14:paraId="047FCC2B" w14:textId="77777777" w:rsidR="002B6B28" w:rsidRPr="004D12C3" w:rsidRDefault="002B6B28" w:rsidP="00620701">
            <w:pPr>
              <w:jc w:val="center"/>
              <w:cnfStyle w:val="000000000000" w:firstRow="0" w:lastRow="0" w:firstColumn="0" w:lastColumn="0" w:oddVBand="0" w:evenVBand="0" w:oddHBand="0" w:evenHBand="0" w:firstRowFirstColumn="0" w:firstRowLastColumn="0" w:lastRowFirstColumn="0" w:lastRowLastColumn="0"/>
            </w:pPr>
            <w:r w:rsidRPr="004D12C3">
              <w:t>10%</w:t>
            </w:r>
          </w:p>
        </w:tc>
      </w:tr>
      <w:tr w:rsidR="002B6B28" w14:paraId="10D5A6D7" w14:textId="77777777" w:rsidTr="00C35804">
        <w:trPr>
          <w:cnfStyle w:val="000000100000" w:firstRow="0" w:lastRow="0" w:firstColumn="0" w:lastColumn="0" w:oddVBand="0" w:evenVBand="0" w:oddHBand="1" w:evenHBand="0" w:firstRowFirstColumn="0" w:firstRowLastColumn="0" w:lastRowFirstColumn="0" w:lastRowLastColumn="0"/>
          <w:cantSplit/>
          <w:trHeight w:val="318"/>
        </w:trPr>
        <w:tc>
          <w:tcPr>
            <w:cnfStyle w:val="001000000000" w:firstRow="0" w:lastRow="0" w:firstColumn="1" w:lastColumn="0" w:oddVBand="0" w:evenVBand="0" w:oddHBand="0" w:evenHBand="0" w:firstRowFirstColumn="0" w:firstRowLastColumn="0" w:lastRowFirstColumn="0" w:lastRowLastColumn="0"/>
            <w:tcW w:w="2153" w:type="dxa"/>
            <w:shd w:val="clear" w:color="auto" w:fill="808080" w:themeFill="background1" w:themeFillShade="80"/>
            <w:vAlign w:val="center"/>
          </w:tcPr>
          <w:p w14:paraId="5CEC5F78" w14:textId="77777777" w:rsidR="002B6B28" w:rsidRDefault="002B6B28" w:rsidP="00620701">
            <w:pPr>
              <w:rPr>
                <w:color w:val="FFFFFF" w:themeColor="background1"/>
              </w:rPr>
            </w:pPr>
            <w:r>
              <w:rPr>
                <w:color w:val="FFFFFF" w:themeColor="background1"/>
              </w:rPr>
              <w:t>Overheads</w:t>
            </w:r>
          </w:p>
        </w:tc>
        <w:tc>
          <w:tcPr>
            <w:tcW w:w="2200" w:type="dxa"/>
            <w:vAlign w:val="center"/>
          </w:tcPr>
          <w:p w14:paraId="7317737B" w14:textId="77777777" w:rsidR="002B6B28" w:rsidRPr="004D12C3" w:rsidRDefault="002B6B28" w:rsidP="00620701">
            <w:pPr>
              <w:jc w:val="center"/>
              <w:cnfStyle w:val="000000100000" w:firstRow="0" w:lastRow="0" w:firstColumn="0" w:lastColumn="0" w:oddVBand="0" w:evenVBand="0" w:oddHBand="1" w:evenHBand="0" w:firstRowFirstColumn="0" w:firstRowLastColumn="0" w:lastRowFirstColumn="0" w:lastRowLastColumn="0"/>
            </w:pPr>
            <w:r w:rsidRPr="004D12C3">
              <w:t>50%</w:t>
            </w:r>
            <w:r>
              <w:rPr>
                <w:rStyle w:val="FootnoteReference"/>
              </w:rPr>
              <w:footnoteReference w:id="116"/>
            </w:r>
          </w:p>
        </w:tc>
        <w:tc>
          <w:tcPr>
            <w:tcW w:w="2201" w:type="dxa"/>
            <w:vAlign w:val="center"/>
          </w:tcPr>
          <w:p w14:paraId="65B61D4F" w14:textId="77777777" w:rsidR="002B6B28" w:rsidRPr="004D12C3" w:rsidRDefault="002B6B28" w:rsidP="00620701">
            <w:pPr>
              <w:jc w:val="center"/>
              <w:cnfStyle w:val="000000100000" w:firstRow="0" w:lastRow="0" w:firstColumn="0" w:lastColumn="0" w:oddVBand="0" w:evenVBand="0" w:oddHBand="1" w:evenHBand="0" w:firstRowFirstColumn="0" w:firstRowLastColumn="0" w:lastRowFirstColumn="0" w:lastRowLastColumn="0"/>
            </w:pPr>
            <w:r w:rsidRPr="004D12C3">
              <w:t>13%</w:t>
            </w:r>
            <w:r>
              <w:rPr>
                <w:rStyle w:val="FootnoteReference"/>
              </w:rPr>
              <w:footnoteReference w:id="117"/>
            </w:r>
          </w:p>
        </w:tc>
        <w:tc>
          <w:tcPr>
            <w:tcW w:w="2201" w:type="dxa"/>
            <w:vAlign w:val="center"/>
          </w:tcPr>
          <w:p w14:paraId="168F41A2" w14:textId="77777777" w:rsidR="002B6B28" w:rsidRPr="004D12C3" w:rsidRDefault="002B6B28" w:rsidP="00620701">
            <w:pPr>
              <w:jc w:val="center"/>
              <w:cnfStyle w:val="000000100000" w:firstRow="0" w:lastRow="0" w:firstColumn="0" w:lastColumn="0" w:oddVBand="0" w:evenVBand="0" w:oddHBand="1" w:evenHBand="0" w:firstRowFirstColumn="0" w:firstRowLastColumn="0" w:lastRowFirstColumn="0" w:lastRowLastColumn="0"/>
            </w:pPr>
            <w:r w:rsidRPr="004D12C3">
              <w:t>50%</w:t>
            </w:r>
          </w:p>
        </w:tc>
      </w:tr>
      <w:tr w:rsidR="002B6B28" w14:paraId="0805B747" w14:textId="77777777" w:rsidTr="00C35804">
        <w:trPr>
          <w:cantSplit/>
          <w:trHeight w:val="318"/>
        </w:trPr>
        <w:tc>
          <w:tcPr>
            <w:cnfStyle w:val="001000000000" w:firstRow="0" w:lastRow="0" w:firstColumn="1" w:lastColumn="0" w:oddVBand="0" w:evenVBand="0" w:oddHBand="0" w:evenHBand="0" w:firstRowFirstColumn="0" w:firstRowLastColumn="0" w:lastRowFirstColumn="0" w:lastRowLastColumn="0"/>
            <w:tcW w:w="2153" w:type="dxa"/>
            <w:shd w:val="clear" w:color="auto" w:fill="808080" w:themeFill="background1" w:themeFillShade="80"/>
            <w:vAlign w:val="center"/>
          </w:tcPr>
          <w:p w14:paraId="6F6E486A" w14:textId="324EE659" w:rsidR="002B6B28" w:rsidRPr="009F1FC2" w:rsidRDefault="002B6B28" w:rsidP="00620701">
            <w:pPr>
              <w:rPr>
                <w:color w:val="FFFFFF" w:themeColor="background1"/>
              </w:rPr>
            </w:pPr>
            <w:r>
              <w:rPr>
                <w:color w:val="FFFFFF" w:themeColor="background1"/>
              </w:rPr>
              <w:t>Weighted average hourly cost including on</w:t>
            </w:r>
            <w:r w:rsidR="00A67B1F">
              <w:rPr>
                <w:color w:val="FFFFFF" w:themeColor="background1"/>
              </w:rPr>
              <w:t>-</w:t>
            </w:r>
            <w:r>
              <w:rPr>
                <w:color w:val="FFFFFF" w:themeColor="background1"/>
              </w:rPr>
              <w:t>costs and overheads</w:t>
            </w:r>
          </w:p>
        </w:tc>
        <w:tc>
          <w:tcPr>
            <w:tcW w:w="2200" w:type="dxa"/>
            <w:vAlign w:val="center"/>
          </w:tcPr>
          <w:p w14:paraId="74DD0131" w14:textId="2FA7856F" w:rsidR="002B6B28" w:rsidRPr="004D12C3" w:rsidRDefault="002B6B28" w:rsidP="001F175B">
            <w:pPr>
              <w:jc w:val="center"/>
              <w:cnfStyle w:val="000000000000" w:firstRow="0" w:lastRow="0" w:firstColumn="0" w:lastColumn="0" w:oddVBand="0" w:evenVBand="0" w:oddHBand="0" w:evenHBand="0" w:firstRowFirstColumn="0" w:firstRowLastColumn="0" w:lastRowFirstColumn="0" w:lastRowLastColumn="0"/>
            </w:pPr>
            <w:r w:rsidRPr="004D12C3">
              <w:t>$</w:t>
            </w:r>
            <w:r w:rsidR="001F175B">
              <w:t>103.35</w:t>
            </w:r>
          </w:p>
        </w:tc>
        <w:tc>
          <w:tcPr>
            <w:tcW w:w="2201" w:type="dxa"/>
            <w:vAlign w:val="center"/>
          </w:tcPr>
          <w:p w14:paraId="5D83AA36" w14:textId="096979FE" w:rsidR="002B6B28" w:rsidRPr="004D12C3" w:rsidRDefault="002B6B28" w:rsidP="00620701">
            <w:pPr>
              <w:jc w:val="center"/>
              <w:cnfStyle w:val="000000000000" w:firstRow="0" w:lastRow="0" w:firstColumn="0" w:lastColumn="0" w:oddVBand="0" w:evenVBand="0" w:oddHBand="0" w:evenHBand="0" w:firstRowFirstColumn="0" w:firstRowLastColumn="0" w:lastRowFirstColumn="0" w:lastRowLastColumn="0"/>
            </w:pPr>
            <w:r w:rsidRPr="004D12C3">
              <w:t>$</w:t>
            </w:r>
            <w:r>
              <w:t>69.2</w:t>
            </w:r>
            <w:r w:rsidR="001F175B">
              <w:t>3</w:t>
            </w:r>
          </w:p>
        </w:tc>
        <w:tc>
          <w:tcPr>
            <w:tcW w:w="2201" w:type="dxa"/>
            <w:vAlign w:val="center"/>
          </w:tcPr>
          <w:p w14:paraId="1F25CBBC" w14:textId="6FD62917" w:rsidR="002B6B28" w:rsidRPr="004D12C3" w:rsidRDefault="001F175B" w:rsidP="00620701">
            <w:pPr>
              <w:jc w:val="center"/>
              <w:cnfStyle w:val="000000000000" w:firstRow="0" w:lastRow="0" w:firstColumn="0" w:lastColumn="0" w:oddVBand="0" w:evenVBand="0" w:oddHBand="0" w:evenHBand="0" w:firstRowFirstColumn="0" w:firstRowLastColumn="0" w:lastRowFirstColumn="0" w:lastRowLastColumn="0"/>
            </w:pPr>
            <w:r>
              <w:t>$80.50</w:t>
            </w:r>
          </w:p>
        </w:tc>
      </w:tr>
    </w:tbl>
    <w:p w14:paraId="5E54D94F" w14:textId="459B50D5" w:rsidR="002B6B28" w:rsidRDefault="007C358F" w:rsidP="002B6B28">
      <w:pPr>
        <w:pStyle w:val="PwCNormal"/>
        <w:numPr>
          <w:ilvl w:val="0"/>
          <w:numId w:val="0"/>
        </w:numPr>
        <w:spacing w:before="240"/>
        <w:rPr>
          <w:lang w:val="en-US"/>
        </w:rPr>
      </w:pPr>
      <w:r>
        <w:rPr>
          <w:lang w:val="en-US"/>
        </w:rPr>
        <w:fldChar w:fldCharType="begin"/>
      </w:r>
      <w:r>
        <w:rPr>
          <w:lang w:val="en-US"/>
        </w:rPr>
        <w:instrText xml:space="preserve"> REF _Ref504055278 \h </w:instrText>
      </w:r>
      <w:r>
        <w:rPr>
          <w:lang w:val="en-US"/>
        </w:rPr>
      </w:r>
      <w:r>
        <w:rPr>
          <w:lang w:val="en-US"/>
        </w:rPr>
        <w:fldChar w:fldCharType="separate"/>
      </w:r>
      <w:r w:rsidR="000369A1">
        <w:t xml:space="preserve">Table </w:t>
      </w:r>
      <w:r w:rsidR="000369A1">
        <w:rPr>
          <w:noProof/>
        </w:rPr>
        <w:t>27</w:t>
      </w:r>
      <w:r>
        <w:rPr>
          <w:lang w:val="en-US"/>
        </w:rPr>
        <w:fldChar w:fldCharType="end"/>
      </w:r>
      <w:r w:rsidR="002B6B28">
        <w:rPr>
          <w:lang w:val="en-US"/>
        </w:rPr>
        <w:t xml:space="preserve"> shows the time involved in the </w:t>
      </w:r>
      <w:r w:rsidR="00A67B1F">
        <w:rPr>
          <w:lang w:val="en-US"/>
        </w:rPr>
        <w:t xml:space="preserve">evaluations </w:t>
      </w:r>
      <w:r w:rsidR="002B6B28">
        <w:rPr>
          <w:lang w:val="en-US"/>
        </w:rPr>
        <w:t>for each fee type and implied fee.</w:t>
      </w:r>
    </w:p>
    <w:p w14:paraId="7821A694" w14:textId="1F062920" w:rsidR="002B6B28" w:rsidRDefault="002B6B28" w:rsidP="002B6B28">
      <w:pPr>
        <w:pStyle w:val="Caption"/>
      </w:pPr>
      <w:bookmarkStart w:id="83" w:name="_Ref504055278"/>
      <w:r>
        <w:t xml:space="preserve">Table </w:t>
      </w:r>
      <w:r w:rsidR="00B47FE6">
        <w:fldChar w:fldCharType="begin"/>
      </w:r>
      <w:r w:rsidR="00B47FE6">
        <w:instrText xml:space="preserve"> SEQ Table \* ARABIC </w:instrText>
      </w:r>
      <w:r w:rsidR="00B47FE6">
        <w:fldChar w:fldCharType="separate"/>
      </w:r>
      <w:r w:rsidR="000369A1">
        <w:rPr>
          <w:noProof/>
        </w:rPr>
        <w:t>27</w:t>
      </w:r>
      <w:r w:rsidR="00B47FE6">
        <w:rPr>
          <w:noProof/>
        </w:rPr>
        <w:fldChar w:fldCharType="end"/>
      </w:r>
      <w:bookmarkEnd w:id="83"/>
      <w:r>
        <w:t>: Government time and costs for each fee type (2018 dollars)</w:t>
      </w:r>
    </w:p>
    <w:tbl>
      <w:tblPr>
        <w:tblStyle w:val="ListTable3-Accent11"/>
        <w:tblW w:w="8437" w:type="dxa"/>
        <w:tblLook w:val="04A0" w:firstRow="1" w:lastRow="0" w:firstColumn="1" w:lastColumn="0" w:noHBand="0" w:noVBand="1"/>
      </w:tblPr>
      <w:tblGrid>
        <w:gridCol w:w="1518"/>
        <w:gridCol w:w="1839"/>
        <w:gridCol w:w="2481"/>
        <w:gridCol w:w="1405"/>
        <w:gridCol w:w="13"/>
        <w:gridCol w:w="1181"/>
      </w:tblGrid>
      <w:tr w:rsidR="002B6B28" w14:paraId="09AB0E36" w14:textId="77777777" w:rsidTr="00C661E4">
        <w:trPr>
          <w:cnfStyle w:val="100000000000" w:firstRow="1" w:lastRow="0" w:firstColumn="0" w:lastColumn="0" w:oddVBand="0" w:evenVBand="0" w:oddHBand="0" w:evenHBand="0" w:firstRowFirstColumn="0" w:firstRowLastColumn="0" w:lastRowFirstColumn="0" w:lastRowLastColumn="0"/>
          <w:trHeight w:val="178"/>
        </w:trPr>
        <w:tc>
          <w:tcPr>
            <w:cnfStyle w:val="001000000100" w:firstRow="0" w:lastRow="0" w:firstColumn="1" w:lastColumn="0" w:oddVBand="0" w:evenVBand="0" w:oddHBand="0" w:evenHBand="0" w:firstRowFirstColumn="1" w:firstRowLastColumn="0" w:lastRowFirstColumn="0" w:lastRowLastColumn="0"/>
            <w:tcW w:w="1518" w:type="dxa"/>
            <w:vAlign w:val="center"/>
          </w:tcPr>
          <w:p w14:paraId="3E0077C6" w14:textId="77777777" w:rsidR="002B6B28" w:rsidRDefault="002B6B28" w:rsidP="00620701">
            <w:r>
              <w:t>Fee type</w:t>
            </w:r>
          </w:p>
        </w:tc>
        <w:tc>
          <w:tcPr>
            <w:tcW w:w="1839" w:type="dxa"/>
            <w:vAlign w:val="center"/>
          </w:tcPr>
          <w:p w14:paraId="32FFB215" w14:textId="3276B226" w:rsidR="002B6B28" w:rsidRDefault="002B6B28" w:rsidP="00A67B1F">
            <w:pPr>
              <w:jc w:val="center"/>
              <w:cnfStyle w:val="100000000000" w:firstRow="1" w:lastRow="0" w:firstColumn="0" w:lastColumn="0" w:oddVBand="0" w:evenVBand="0" w:oddHBand="0" w:evenHBand="0" w:firstRowFirstColumn="0" w:firstRowLastColumn="0" w:lastRowFirstColumn="0" w:lastRowLastColumn="0"/>
            </w:pPr>
            <w:r>
              <w:t xml:space="preserve">Government </w:t>
            </w:r>
            <w:r w:rsidR="00A67B1F">
              <w:t xml:space="preserve">evaluation </w:t>
            </w:r>
            <w:r>
              <w:t>time (hours)</w:t>
            </w:r>
            <w:r>
              <w:rPr>
                <w:rStyle w:val="FootnoteReference"/>
              </w:rPr>
              <w:footnoteReference w:id="118"/>
            </w:r>
          </w:p>
        </w:tc>
        <w:tc>
          <w:tcPr>
            <w:tcW w:w="2481" w:type="dxa"/>
            <w:vAlign w:val="center"/>
          </w:tcPr>
          <w:p w14:paraId="165FB097" w14:textId="0E9D2AEF" w:rsidR="002B6B28" w:rsidRDefault="002B6B28" w:rsidP="00A67B1F">
            <w:pPr>
              <w:jc w:val="center"/>
              <w:cnfStyle w:val="100000000000" w:firstRow="1" w:lastRow="0" w:firstColumn="0" w:lastColumn="0" w:oddVBand="0" w:evenVBand="0" w:oddHBand="0" w:evenHBand="0" w:firstRowFirstColumn="0" w:firstRowLastColumn="0" w:lastRowFirstColumn="0" w:lastRowLastColumn="0"/>
            </w:pPr>
            <w:r>
              <w:t xml:space="preserve">Implied Government cost per </w:t>
            </w:r>
            <w:r w:rsidR="00A67B1F">
              <w:t>evaluation</w:t>
            </w:r>
          </w:p>
        </w:tc>
        <w:tc>
          <w:tcPr>
            <w:tcW w:w="1418" w:type="dxa"/>
            <w:gridSpan w:val="2"/>
            <w:vAlign w:val="center"/>
          </w:tcPr>
          <w:p w14:paraId="700645FA" w14:textId="47A00FDF" w:rsidR="002B6B28" w:rsidRDefault="002B6B28" w:rsidP="007F2DAB">
            <w:pPr>
              <w:jc w:val="center"/>
              <w:cnfStyle w:val="100000000000" w:firstRow="1" w:lastRow="0" w:firstColumn="0" w:lastColumn="0" w:oddVBand="0" w:evenVBand="0" w:oddHBand="0" w:evenHBand="0" w:firstRowFirstColumn="0" w:firstRowLastColumn="0" w:lastRowFirstColumn="0" w:lastRowLastColumn="0"/>
            </w:pPr>
            <w:r w:rsidRPr="009E52CA">
              <w:t>Number undertaken each year (</w:t>
            </w:r>
            <w:r w:rsidR="00CF58B5" w:rsidRPr="009E52CA">
              <w:t>preferred options</w:t>
            </w:r>
            <w:r w:rsidRPr="009E52CA">
              <w:t>)</w:t>
            </w:r>
          </w:p>
        </w:tc>
        <w:tc>
          <w:tcPr>
            <w:tcW w:w="1181" w:type="dxa"/>
            <w:vAlign w:val="center"/>
          </w:tcPr>
          <w:p w14:paraId="3BB77FB5" w14:textId="77777777" w:rsidR="002B6B28" w:rsidRDefault="002B6B28" w:rsidP="00620701">
            <w:pPr>
              <w:jc w:val="center"/>
              <w:cnfStyle w:val="100000000000" w:firstRow="1" w:lastRow="0" w:firstColumn="0" w:lastColumn="0" w:oddVBand="0" w:evenVBand="0" w:oddHBand="0" w:evenHBand="0" w:firstRowFirstColumn="0" w:firstRowLastColumn="0" w:lastRowFirstColumn="0" w:lastRowLastColumn="0"/>
            </w:pPr>
            <w:r w:rsidRPr="00900BE8">
              <w:t>Total cost to AV</w:t>
            </w:r>
            <w:r>
              <w:t xml:space="preserve"> per year</w:t>
            </w:r>
          </w:p>
        </w:tc>
      </w:tr>
      <w:tr w:rsidR="00C661E4" w14:paraId="0EA2F19D" w14:textId="77777777" w:rsidTr="007C010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024CDDBA" w14:textId="77777777" w:rsidR="00C661E4" w:rsidRDefault="00C661E4" w:rsidP="00C661E4">
            <w:pPr>
              <w:rPr>
                <w:color w:val="FFFFFF" w:themeColor="background1"/>
              </w:rPr>
            </w:pPr>
            <w:r>
              <w:rPr>
                <w:color w:val="FFFFFF" w:themeColor="background1"/>
              </w:rPr>
              <w:t>CHP application</w:t>
            </w:r>
          </w:p>
        </w:tc>
        <w:tc>
          <w:tcPr>
            <w:tcW w:w="1839" w:type="dxa"/>
            <w:vAlign w:val="center"/>
          </w:tcPr>
          <w:p w14:paraId="59E2CD36" w14:textId="3E84BF1B"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38.0 </w:t>
            </w:r>
          </w:p>
        </w:tc>
        <w:tc>
          <w:tcPr>
            <w:tcW w:w="2481" w:type="dxa"/>
            <w:vAlign w:val="center"/>
          </w:tcPr>
          <w:p w14:paraId="6CE763A3" w14:textId="0C8662D5"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$3,927 </w:t>
            </w:r>
          </w:p>
        </w:tc>
        <w:tc>
          <w:tcPr>
            <w:tcW w:w="1405" w:type="dxa"/>
            <w:vAlign w:val="center"/>
          </w:tcPr>
          <w:p w14:paraId="03E65EF4" w14:textId="71C03E92"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9E151F">
              <w:t>22</w:t>
            </w:r>
          </w:p>
        </w:tc>
        <w:tc>
          <w:tcPr>
            <w:tcW w:w="1194" w:type="dxa"/>
            <w:gridSpan w:val="2"/>
            <w:vAlign w:val="center"/>
          </w:tcPr>
          <w:p w14:paraId="37D55822" w14:textId="1A8A2FA4"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1D00C8">
              <w:t xml:space="preserve">$86,399 </w:t>
            </w:r>
          </w:p>
        </w:tc>
      </w:tr>
      <w:tr w:rsidR="00C661E4" w14:paraId="36C85016" w14:textId="77777777" w:rsidTr="007C0109">
        <w:trPr>
          <w:trHeight w:val="345"/>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1C1BBEAC" w14:textId="77777777" w:rsidR="00C661E4" w:rsidRDefault="00C661E4" w:rsidP="00C661E4">
            <w:pPr>
              <w:rPr>
                <w:color w:val="FFFFFF" w:themeColor="background1"/>
              </w:rPr>
            </w:pPr>
            <w:r>
              <w:rPr>
                <w:color w:val="FFFFFF" w:themeColor="background1"/>
              </w:rPr>
              <w:t>Certification of a PAHT</w:t>
            </w:r>
          </w:p>
        </w:tc>
        <w:tc>
          <w:tcPr>
            <w:tcW w:w="1839" w:type="dxa"/>
            <w:vAlign w:val="center"/>
          </w:tcPr>
          <w:p w14:paraId="6F6E8D85" w14:textId="42526B23"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6.5 </w:t>
            </w:r>
          </w:p>
        </w:tc>
        <w:tc>
          <w:tcPr>
            <w:tcW w:w="2481" w:type="dxa"/>
            <w:vAlign w:val="center"/>
          </w:tcPr>
          <w:p w14:paraId="7F381AA1" w14:textId="6221E6EF"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$672 </w:t>
            </w:r>
          </w:p>
        </w:tc>
        <w:tc>
          <w:tcPr>
            <w:tcW w:w="1405" w:type="dxa"/>
            <w:vAlign w:val="center"/>
          </w:tcPr>
          <w:p w14:paraId="2662814F" w14:textId="2112C78D"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9E151F">
              <w:t>37</w:t>
            </w:r>
          </w:p>
        </w:tc>
        <w:tc>
          <w:tcPr>
            <w:tcW w:w="1194" w:type="dxa"/>
            <w:gridSpan w:val="2"/>
            <w:vAlign w:val="center"/>
          </w:tcPr>
          <w:p w14:paraId="2C07800D" w14:textId="67CE2621"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1D00C8">
              <w:t xml:space="preserve">$24,855 </w:t>
            </w:r>
          </w:p>
        </w:tc>
      </w:tr>
      <w:tr w:rsidR="00C661E4" w14:paraId="6336C991" w14:textId="77777777" w:rsidTr="007C010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3DB51BE8" w14:textId="77777777" w:rsidR="00C661E4" w:rsidRPr="009F1FC2" w:rsidRDefault="00C661E4" w:rsidP="00C661E4">
            <w:pPr>
              <w:rPr>
                <w:color w:val="FFFFFF" w:themeColor="background1"/>
              </w:rPr>
            </w:pPr>
            <w:r>
              <w:rPr>
                <w:color w:val="FFFFFF" w:themeColor="background1"/>
              </w:rPr>
              <w:t>NOI to prepare a CHMP</w:t>
            </w:r>
          </w:p>
        </w:tc>
        <w:tc>
          <w:tcPr>
            <w:tcW w:w="1839" w:type="dxa"/>
            <w:vAlign w:val="center"/>
          </w:tcPr>
          <w:p w14:paraId="67FC6ACC" w14:textId="2216A709"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1.0 </w:t>
            </w:r>
          </w:p>
        </w:tc>
        <w:tc>
          <w:tcPr>
            <w:tcW w:w="2481" w:type="dxa"/>
            <w:vAlign w:val="center"/>
          </w:tcPr>
          <w:p w14:paraId="5999F3F1" w14:textId="1BD2240B"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$103 </w:t>
            </w:r>
          </w:p>
        </w:tc>
        <w:tc>
          <w:tcPr>
            <w:tcW w:w="1418" w:type="dxa"/>
            <w:gridSpan w:val="2"/>
            <w:vAlign w:val="center"/>
          </w:tcPr>
          <w:p w14:paraId="02304A9B" w14:textId="67BD7A0F"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t>400</w:t>
            </w:r>
          </w:p>
        </w:tc>
        <w:tc>
          <w:tcPr>
            <w:tcW w:w="1181" w:type="dxa"/>
            <w:vAlign w:val="center"/>
          </w:tcPr>
          <w:p w14:paraId="11AADEEC" w14:textId="0BDE5383"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A50DF3">
              <w:t xml:space="preserve">$41,378 </w:t>
            </w:r>
          </w:p>
        </w:tc>
      </w:tr>
      <w:tr w:rsidR="00C661E4" w14:paraId="2595CE83" w14:textId="77777777" w:rsidTr="007C0109">
        <w:trPr>
          <w:trHeight w:val="178"/>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47DFBB9B" w14:textId="77777777" w:rsidR="00C661E4" w:rsidRPr="009F1FC2" w:rsidRDefault="00C661E4" w:rsidP="00C661E4">
            <w:pPr>
              <w:rPr>
                <w:color w:val="FFFFFF" w:themeColor="background1"/>
              </w:rPr>
            </w:pPr>
            <w:r>
              <w:rPr>
                <w:color w:val="FFFFFF" w:themeColor="background1"/>
              </w:rPr>
              <w:t>CHMP with a desktop assessment</w:t>
            </w:r>
          </w:p>
        </w:tc>
        <w:tc>
          <w:tcPr>
            <w:tcW w:w="1839" w:type="dxa"/>
            <w:vAlign w:val="center"/>
          </w:tcPr>
          <w:p w14:paraId="6D2D13C7" w14:textId="26369359"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17.0 </w:t>
            </w:r>
          </w:p>
        </w:tc>
        <w:tc>
          <w:tcPr>
            <w:tcW w:w="2481" w:type="dxa"/>
            <w:vAlign w:val="center"/>
          </w:tcPr>
          <w:p w14:paraId="755CBDC3" w14:textId="4B0C7337"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$1,369 </w:t>
            </w:r>
          </w:p>
        </w:tc>
        <w:tc>
          <w:tcPr>
            <w:tcW w:w="1418" w:type="dxa"/>
            <w:gridSpan w:val="2"/>
            <w:vAlign w:val="center"/>
          </w:tcPr>
          <w:p w14:paraId="01E8E771" w14:textId="1970FCA5"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9E151F">
              <w:t>22</w:t>
            </w:r>
          </w:p>
        </w:tc>
        <w:tc>
          <w:tcPr>
            <w:tcW w:w="1181" w:type="dxa"/>
            <w:vAlign w:val="center"/>
          </w:tcPr>
          <w:p w14:paraId="5F03886E" w14:textId="7BF8C676"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A50DF3">
              <w:t xml:space="preserve">$25,643 </w:t>
            </w:r>
          </w:p>
        </w:tc>
      </w:tr>
      <w:tr w:rsidR="00C661E4" w14:paraId="062C1031" w14:textId="77777777" w:rsidTr="007C0109">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7F204D4E" w14:textId="77777777" w:rsidR="00C661E4" w:rsidRDefault="00C661E4" w:rsidP="00C661E4">
            <w:pPr>
              <w:rPr>
                <w:color w:val="FFFFFF" w:themeColor="background1"/>
              </w:rPr>
            </w:pPr>
            <w:r>
              <w:rPr>
                <w:color w:val="FFFFFF" w:themeColor="background1"/>
              </w:rPr>
              <w:t>CHMP with a standard assessment</w:t>
            </w:r>
          </w:p>
        </w:tc>
        <w:tc>
          <w:tcPr>
            <w:tcW w:w="1839" w:type="dxa"/>
            <w:vAlign w:val="center"/>
          </w:tcPr>
          <w:p w14:paraId="1542A1C0" w14:textId="11E290C9"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19.0 </w:t>
            </w:r>
          </w:p>
        </w:tc>
        <w:tc>
          <w:tcPr>
            <w:tcW w:w="2481" w:type="dxa"/>
            <w:vAlign w:val="center"/>
          </w:tcPr>
          <w:p w14:paraId="3843F255" w14:textId="140D33D0"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$1,826 </w:t>
            </w:r>
          </w:p>
        </w:tc>
        <w:tc>
          <w:tcPr>
            <w:tcW w:w="1418" w:type="dxa"/>
            <w:gridSpan w:val="2"/>
            <w:vAlign w:val="center"/>
          </w:tcPr>
          <w:p w14:paraId="21B46778" w14:textId="6CD658DA"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9E151F">
              <w:t>72</w:t>
            </w:r>
          </w:p>
        </w:tc>
        <w:tc>
          <w:tcPr>
            <w:tcW w:w="1181" w:type="dxa"/>
            <w:vAlign w:val="center"/>
          </w:tcPr>
          <w:p w14:paraId="20F2301A" w14:textId="59896596"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A50DF3">
              <w:t xml:space="preserve">$114,687 </w:t>
            </w:r>
          </w:p>
        </w:tc>
      </w:tr>
      <w:tr w:rsidR="00C661E4" w14:paraId="62D87646" w14:textId="77777777" w:rsidTr="007C0109">
        <w:trPr>
          <w:trHeight w:val="178"/>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6375EADC" w14:textId="77777777" w:rsidR="00C661E4" w:rsidRDefault="00C661E4" w:rsidP="00C661E4">
            <w:pPr>
              <w:rPr>
                <w:color w:val="FFFFFF" w:themeColor="background1"/>
              </w:rPr>
            </w:pPr>
            <w:r>
              <w:rPr>
                <w:color w:val="FFFFFF" w:themeColor="background1"/>
              </w:rPr>
              <w:t>CHMP with a complex assessment</w:t>
            </w:r>
          </w:p>
        </w:tc>
        <w:tc>
          <w:tcPr>
            <w:tcW w:w="1839" w:type="dxa"/>
            <w:vAlign w:val="center"/>
          </w:tcPr>
          <w:p w14:paraId="3DBFE991" w14:textId="070B2016"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21.0 </w:t>
            </w:r>
          </w:p>
        </w:tc>
        <w:tc>
          <w:tcPr>
            <w:tcW w:w="2481" w:type="dxa"/>
            <w:vAlign w:val="center"/>
          </w:tcPr>
          <w:p w14:paraId="06702BE2" w14:textId="6C082894"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B373F">
              <w:t xml:space="preserve">$2,170 </w:t>
            </w:r>
          </w:p>
        </w:tc>
        <w:tc>
          <w:tcPr>
            <w:tcW w:w="1418" w:type="dxa"/>
            <w:gridSpan w:val="2"/>
            <w:vAlign w:val="center"/>
          </w:tcPr>
          <w:p w14:paraId="1850262A" w14:textId="100996A7"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9E151F">
              <w:t>28</w:t>
            </w:r>
            <w:r>
              <w:t>4</w:t>
            </w:r>
          </w:p>
        </w:tc>
        <w:tc>
          <w:tcPr>
            <w:tcW w:w="1181" w:type="dxa"/>
            <w:vAlign w:val="center"/>
          </w:tcPr>
          <w:p w14:paraId="55D4E16A" w14:textId="5AE532E6"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A50DF3">
              <w:t xml:space="preserve">$690,837 </w:t>
            </w:r>
          </w:p>
        </w:tc>
      </w:tr>
      <w:tr w:rsidR="00C661E4" w14:paraId="76796B9A" w14:textId="77777777" w:rsidTr="007C010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253E424F" w14:textId="77777777" w:rsidR="00C661E4" w:rsidRPr="009F1FC2" w:rsidRDefault="00C661E4" w:rsidP="00C661E4">
            <w:pPr>
              <w:rPr>
                <w:color w:val="FFFFFF" w:themeColor="background1"/>
              </w:rPr>
            </w:pPr>
            <w:r>
              <w:rPr>
                <w:color w:val="FFFFFF" w:themeColor="background1"/>
              </w:rPr>
              <w:t>Application to amend a CHMP</w:t>
            </w:r>
          </w:p>
        </w:tc>
        <w:tc>
          <w:tcPr>
            <w:tcW w:w="1839" w:type="dxa"/>
            <w:vAlign w:val="center"/>
          </w:tcPr>
          <w:p w14:paraId="6082933C" w14:textId="639AFE94"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9.5 </w:t>
            </w:r>
          </w:p>
        </w:tc>
        <w:tc>
          <w:tcPr>
            <w:tcW w:w="2481" w:type="dxa"/>
            <w:vAlign w:val="center"/>
          </w:tcPr>
          <w:p w14:paraId="0C574A07" w14:textId="4C254E21"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B373F">
              <w:t xml:space="preserve">$982 </w:t>
            </w:r>
          </w:p>
        </w:tc>
        <w:tc>
          <w:tcPr>
            <w:tcW w:w="1418" w:type="dxa"/>
            <w:gridSpan w:val="2"/>
            <w:vAlign w:val="center"/>
          </w:tcPr>
          <w:p w14:paraId="0BBFB13C" w14:textId="4B65E98F"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9E151F">
              <w:t>17</w:t>
            </w:r>
          </w:p>
        </w:tc>
        <w:tc>
          <w:tcPr>
            <w:tcW w:w="1181" w:type="dxa"/>
            <w:vAlign w:val="center"/>
          </w:tcPr>
          <w:p w14:paraId="53FEF13C" w14:textId="4E332413"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A50DF3">
              <w:t xml:space="preserve">$19,896 </w:t>
            </w:r>
          </w:p>
        </w:tc>
      </w:tr>
      <w:tr w:rsidR="00C661E4" w14:paraId="494BF1E6" w14:textId="77777777" w:rsidTr="007C0109">
        <w:trPr>
          <w:trHeight w:val="178"/>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2B21E6DC" w14:textId="77777777" w:rsidR="00C661E4" w:rsidRDefault="00C661E4" w:rsidP="00C661E4">
            <w:pPr>
              <w:rPr>
                <w:color w:val="FFFFFF" w:themeColor="background1"/>
              </w:rPr>
            </w:pPr>
            <w:r>
              <w:rPr>
                <w:color w:val="FFFFFF" w:themeColor="background1"/>
              </w:rPr>
              <w:t>Application for access to the Register</w:t>
            </w:r>
          </w:p>
        </w:tc>
        <w:tc>
          <w:tcPr>
            <w:tcW w:w="1839" w:type="dxa"/>
            <w:vAlign w:val="center"/>
          </w:tcPr>
          <w:p w14:paraId="4EA25FC3" w14:textId="1406B8CC"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t>0.2</w:t>
            </w:r>
          </w:p>
        </w:tc>
        <w:tc>
          <w:tcPr>
            <w:tcW w:w="2481" w:type="dxa"/>
            <w:vAlign w:val="center"/>
          </w:tcPr>
          <w:p w14:paraId="46408D83" w14:textId="1AFBCFCF"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5E2C36">
              <w:t>$</w:t>
            </w:r>
            <w:r>
              <w:t>258</w:t>
            </w:r>
            <w:r>
              <w:rPr>
                <w:rStyle w:val="FootnoteReference"/>
              </w:rPr>
              <w:footnoteReference w:id="119"/>
            </w:r>
          </w:p>
        </w:tc>
        <w:tc>
          <w:tcPr>
            <w:tcW w:w="1405" w:type="dxa"/>
            <w:vAlign w:val="center"/>
          </w:tcPr>
          <w:p w14:paraId="3581B3FB" w14:textId="57792D4A"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9E151F">
              <w:t>636</w:t>
            </w:r>
          </w:p>
        </w:tc>
        <w:tc>
          <w:tcPr>
            <w:tcW w:w="1194" w:type="dxa"/>
            <w:gridSpan w:val="2"/>
            <w:vAlign w:val="center"/>
          </w:tcPr>
          <w:p w14:paraId="4BE27269" w14:textId="4960090C"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B21D66">
              <w:t xml:space="preserve">$164,353 </w:t>
            </w:r>
          </w:p>
        </w:tc>
      </w:tr>
      <w:tr w:rsidR="00C661E4" w14:paraId="55465DFA" w14:textId="77777777" w:rsidTr="007C0109">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18" w:type="dxa"/>
            <w:shd w:val="clear" w:color="auto" w:fill="808080" w:themeFill="background1" w:themeFillShade="80"/>
            <w:vAlign w:val="center"/>
          </w:tcPr>
          <w:p w14:paraId="018BD089" w14:textId="77777777" w:rsidR="00C661E4" w:rsidRDefault="00C661E4" w:rsidP="00C661E4">
            <w:pPr>
              <w:rPr>
                <w:color w:val="FFFFFF" w:themeColor="background1"/>
              </w:rPr>
            </w:pPr>
            <w:r>
              <w:rPr>
                <w:color w:val="FFFFFF" w:themeColor="background1"/>
              </w:rPr>
              <w:t>Application to provide advice on information held in the Register</w:t>
            </w:r>
          </w:p>
        </w:tc>
        <w:tc>
          <w:tcPr>
            <w:tcW w:w="1839" w:type="dxa"/>
            <w:vAlign w:val="center"/>
          </w:tcPr>
          <w:p w14:paraId="6BCBD249" w14:textId="5AC3ACBD"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t>0.5</w:t>
            </w:r>
          </w:p>
        </w:tc>
        <w:tc>
          <w:tcPr>
            <w:tcW w:w="2481" w:type="dxa"/>
            <w:vAlign w:val="center"/>
          </w:tcPr>
          <w:p w14:paraId="054F3568" w14:textId="0447EAD4"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5E2C36">
              <w:t>$</w:t>
            </w:r>
            <w:r>
              <w:t>297</w:t>
            </w:r>
            <w:r>
              <w:rPr>
                <w:rStyle w:val="FootnoteReference"/>
              </w:rPr>
              <w:footnoteReference w:id="120"/>
            </w:r>
          </w:p>
        </w:tc>
        <w:tc>
          <w:tcPr>
            <w:tcW w:w="1405" w:type="dxa"/>
            <w:vAlign w:val="center"/>
          </w:tcPr>
          <w:p w14:paraId="4AC0919A" w14:textId="3B6A26C1"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9E151F">
              <w:t>2,734</w:t>
            </w:r>
          </w:p>
        </w:tc>
        <w:tc>
          <w:tcPr>
            <w:tcW w:w="1194" w:type="dxa"/>
            <w:gridSpan w:val="2"/>
            <w:vAlign w:val="center"/>
          </w:tcPr>
          <w:p w14:paraId="589E8AF9" w14:textId="560875D8"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B21D66">
              <w:t xml:space="preserve">$813,355 </w:t>
            </w:r>
          </w:p>
        </w:tc>
      </w:tr>
    </w:tbl>
    <w:p w14:paraId="079032C4" w14:textId="77777777" w:rsidR="002B6B28" w:rsidRPr="00047904" w:rsidRDefault="002B6B28" w:rsidP="002B6B28">
      <w:pPr>
        <w:spacing w:after="240"/>
        <w:rPr>
          <w:color w:val="A32020" w:themeColor="text2"/>
          <w:sz w:val="16"/>
          <w:szCs w:val="16"/>
        </w:rPr>
      </w:pPr>
      <w:r w:rsidRPr="00047904">
        <w:rPr>
          <w:color w:val="A32020" w:themeColor="text2"/>
          <w:sz w:val="16"/>
          <w:szCs w:val="16"/>
        </w:rPr>
        <w:t>Note: All assessment times are cumulative, ie include previous levels of assessments.</w:t>
      </w:r>
    </w:p>
    <w:p w14:paraId="41F82EBE" w14:textId="1AAAE291" w:rsidR="002B6B28" w:rsidRDefault="002B6B28" w:rsidP="002B6B28">
      <w:pPr>
        <w:pStyle w:val="PwCNormal"/>
      </w:pPr>
      <w:r>
        <w:t>In total, AV’s costs are estimated to amount to $</w:t>
      </w:r>
      <w:r w:rsidR="00CF58B5">
        <w:t>749,813</w:t>
      </w:r>
      <w:r>
        <w:t xml:space="preserve"> per year</w:t>
      </w:r>
      <w:r w:rsidR="00CF58B5">
        <w:t xml:space="preserve"> under the preferred options</w:t>
      </w:r>
      <w:r>
        <w:t>.</w:t>
      </w:r>
    </w:p>
    <w:p w14:paraId="692608EF" w14:textId="4A157F3E" w:rsidR="002B6B28" w:rsidRDefault="002B6B28" w:rsidP="002B6B28">
      <w:pPr>
        <w:pStyle w:val="Caption"/>
      </w:pPr>
      <w:r>
        <w:t xml:space="preserve">Table </w:t>
      </w:r>
      <w:r w:rsidR="00B47FE6">
        <w:fldChar w:fldCharType="begin"/>
      </w:r>
      <w:r w:rsidR="00B47FE6">
        <w:instrText xml:space="preserve"> SEQ Table \* ARABIC </w:instrText>
      </w:r>
      <w:r w:rsidR="00B47FE6">
        <w:fldChar w:fldCharType="separate"/>
      </w:r>
      <w:r w:rsidR="000369A1">
        <w:rPr>
          <w:noProof/>
        </w:rPr>
        <w:t>28</w:t>
      </w:r>
      <w:r w:rsidR="00B47FE6">
        <w:rPr>
          <w:noProof/>
        </w:rPr>
        <w:fldChar w:fldCharType="end"/>
      </w:r>
      <w:r>
        <w:t>: RAP time and costs for each fee type (2018 dollars)</w:t>
      </w:r>
    </w:p>
    <w:tbl>
      <w:tblPr>
        <w:tblStyle w:val="ListTable3-Accent11"/>
        <w:tblW w:w="8437" w:type="dxa"/>
        <w:tblLook w:val="04A0" w:firstRow="1" w:lastRow="0" w:firstColumn="1" w:lastColumn="0" w:noHBand="0" w:noVBand="1"/>
      </w:tblPr>
      <w:tblGrid>
        <w:gridCol w:w="1669"/>
        <w:gridCol w:w="1652"/>
        <w:gridCol w:w="2087"/>
        <w:gridCol w:w="1557"/>
        <w:gridCol w:w="115"/>
        <w:gridCol w:w="1357"/>
      </w:tblGrid>
      <w:tr w:rsidR="00713992" w14:paraId="103BD664" w14:textId="77777777" w:rsidTr="00C661E4">
        <w:trPr>
          <w:cnfStyle w:val="100000000000" w:firstRow="1" w:lastRow="0" w:firstColumn="0" w:lastColumn="0" w:oddVBand="0" w:evenVBand="0" w:oddHBand="0" w:evenHBand="0" w:firstRowFirstColumn="0" w:firstRowLastColumn="0" w:lastRowFirstColumn="0" w:lastRowLastColumn="0"/>
          <w:trHeight w:val="178"/>
        </w:trPr>
        <w:tc>
          <w:tcPr>
            <w:cnfStyle w:val="001000000100" w:firstRow="0" w:lastRow="0" w:firstColumn="1" w:lastColumn="0" w:oddVBand="0" w:evenVBand="0" w:oddHBand="0" w:evenHBand="0" w:firstRowFirstColumn="1" w:firstRowLastColumn="0" w:lastRowFirstColumn="0" w:lastRowLastColumn="0"/>
            <w:tcW w:w="1494" w:type="dxa"/>
            <w:vAlign w:val="center"/>
          </w:tcPr>
          <w:p w14:paraId="7331B7D3" w14:textId="77777777" w:rsidR="002B6B28" w:rsidRDefault="002B6B28" w:rsidP="00620701">
            <w:r>
              <w:t>Fee type</w:t>
            </w:r>
          </w:p>
        </w:tc>
        <w:tc>
          <w:tcPr>
            <w:tcW w:w="1828" w:type="dxa"/>
            <w:vAlign w:val="center"/>
          </w:tcPr>
          <w:p w14:paraId="55661548" w14:textId="49E01A95" w:rsidR="002B6B28" w:rsidRDefault="002B6B28" w:rsidP="00A67B1F">
            <w:pPr>
              <w:jc w:val="center"/>
              <w:cnfStyle w:val="100000000000" w:firstRow="1" w:lastRow="0" w:firstColumn="0" w:lastColumn="0" w:oddVBand="0" w:evenVBand="0" w:oddHBand="0" w:evenHBand="0" w:firstRowFirstColumn="0" w:firstRowLastColumn="0" w:lastRowFirstColumn="0" w:lastRowLastColumn="0"/>
            </w:pPr>
            <w:r>
              <w:t xml:space="preserve">Weighted average RAP </w:t>
            </w:r>
            <w:r w:rsidR="00A67B1F">
              <w:t xml:space="preserve">evaluation </w:t>
            </w:r>
            <w:r>
              <w:t>time (hours)</w:t>
            </w:r>
            <w:r>
              <w:rPr>
                <w:rStyle w:val="FootnoteReference"/>
              </w:rPr>
              <w:footnoteReference w:id="121"/>
            </w:r>
          </w:p>
        </w:tc>
        <w:tc>
          <w:tcPr>
            <w:tcW w:w="2481" w:type="dxa"/>
            <w:vAlign w:val="center"/>
          </w:tcPr>
          <w:p w14:paraId="484B6045" w14:textId="3568A37E" w:rsidR="002B6B28" w:rsidRDefault="002B6B28" w:rsidP="00A67B1F">
            <w:pPr>
              <w:jc w:val="center"/>
              <w:cnfStyle w:val="100000000000" w:firstRow="1" w:lastRow="0" w:firstColumn="0" w:lastColumn="0" w:oddVBand="0" w:evenVBand="0" w:oddHBand="0" w:evenHBand="0" w:firstRowFirstColumn="0" w:firstRowLastColumn="0" w:lastRowFirstColumn="0" w:lastRowLastColumn="0"/>
            </w:pPr>
            <w:r>
              <w:t xml:space="preserve">Implied RAP cost per </w:t>
            </w:r>
            <w:r w:rsidR="00A67B1F">
              <w:t>evaluation</w:t>
            </w:r>
          </w:p>
        </w:tc>
        <w:tc>
          <w:tcPr>
            <w:tcW w:w="1500" w:type="dxa"/>
            <w:gridSpan w:val="2"/>
            <w:vAlign w:val="center"/>
          </w:tcPr>
          <w:p w14:paraId="0EB90D3D" w14:textId="4A2A8CDC" w:rsidR="002B6B28" w:rsidRDefault="00CF58B5" w:rsidP="00620701">
            <w:pPr>
              <w:jc w:val="center"/>
              <w:cnfStyle w:val="100000000000" w:firstRow="1" w:lastRow="0" w:firstColumn="0" w:lastColumn="0" w:oddVBand="0" w:evenVBand="0" w:oddHBand="0" w:evenHBand="0" w:firstRowFirstColumn="0" w:firstRowLastColumn="0" w:lastRowFirstColumn="0" w:lastRowLastColumn="0"/>
            </w:pPr>
            <w:r w:rsidRPr="009B714C">
              <w:t>Number undertaken each year (preferred options)</w:t>
            </w:r>
          </w:p>
        </w:tc>
        <w:tc>
          <w:tcPr>
            <w:tcW w:w="1134" w:type="dxa"/>
            <w:vAlign w:val="center"/>
          </w:tcPr>
          <w:p w14:paraId="6C3D8C4A" w14:textId="77777777" w:rsidR="002B6B28" w:rsidRDefault="002B6B28" w:rsidP="00620701">
            <w:pPr>
              <w:jc w:val="center"/>
              <w:cnfStyle w:val="100000000000" w:firstRow="1" w:lastRow="0" w:firstColumn="0" w:lastColumn="0" w:oddVBand="0" w:evenVBand="0" w:oddHBand="0" w:evenHBand="0" w:firstRowFirstColumn="0" w:firstRowLastColumn="0" w:lastRowFirstColumn="0" w:lastRowLastColumn="0"/>
            </w:pPr>
            <w:r>
              <w:t>Total cost to RAPs per year</w:t>
            </w:r>
          </w:p>
        </w:tc>
      </w:tr>
      <w:tr w:rsidR="00713992" w14:paraId="25922A3D" w14:textId="77777777" w:rsidTr="007C010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00" w:type="dxa"/>
            <w:shd w:val="clear" w:color="auto" w:fill="808080" w:themeFill="background1" w:themeFillShade="80"/>
            <w:vAlign w:val="center"/>
          </w:tcPr>
          <w:p w14:paraId="629C7632" w14:textId="77777777" w:rsidR="00CF58B5" w:rsidRDefault="00CF58B5" w:rsidP="00CF58B5">
            <w:pPr>
              <w:rPr>
                <w:color w:val="FFFFFF" w:themeColor="background1"/>
              </w:rPr>
            </w:pPr>
            <w:r>
              <w:rPr>
                <w:color w:val="FFFFFF" w:themeColor="background1"/>
              </w:rPr>
              <w:t>CHP application</w:t>
            </w:r>
          </w:p>
        </w:tc>
        <w:tc>
          <w:tcPr>
            <w:tcW w:w="1827" w:type="dxa"/>
            <w:vAlign w:val="center"/>
          </w:tcPr>
          <w:p w14:paraId="276F3B06" w14:textId="77777777" w:rsidR="00CF58B5" w:rsidRDefault="00CF58B5" w:rsidP="00CF58B5">
            <w:pPr>
              <w:jc w:val="center"/>
              <w:cnfStyle w:val="000000100000" w:firstRow="0" w:lastRow="0" w:firstColumn="0" w:lastColumn="0" w:oddVBand="0" w:evenVBand="0" w:oddHBand="1" w:evenHBand="0" w:firstRowFirstColumn="0" w:firstRowLastColumn="0" w:lastRowFirstColumn="0" w:lastRowLastColumn="0"/>
            </w:pPr>
            <w:r>
              <w:t>38.0</w:t>
            </w:r>
            <w:r>
              <w:rPr>
                <w:rStyle w:val="FootnoteReference"/>
              </w:rPr>
              <w:footnoteReference w:id="122"/>
            </w:r>
          </w:p>
        </w:tc>
        <w:tc>
          <w:tcPr>
            <w:tcW w:w="1510" w:type="dxa"/>
            <w:vAlign w:val="center"/>
          </w:tcPr>
          <w:p w14:paraId="71382D5E" w14:textId="77777777" w:rsidR="00CF58B5" w:rsidRPr="00F46585" w:rsidRDefault="00CF58B5" w:rsidP="00CF58B5">
            <w:pPr>
              <w:jc w:val="center"/>
              <w:cnfStyle w:val="000000100000" w:firstRow="0" w:lastRow="0" w:firstColumn="0" w:lastColumn="0" w:oddVBand="0" w:evenVBand="0" w:oddHBand="1" w:evenHBand="0" w:firstRowFirstColumn="0" w:firstRowLastColumn="0" w:lastRowFirstColumn="0" w:lastRowLastColumn="0"/>
            </w:pPr>
            <w:r w:rsidRPr="00752D53">
              <w:t xml:space="preserve">$2,631 </w:t>
            </w:r>
          </w:p>
        </w:tc>
        <w:tc>
          <w:tcPr>
            <w:tcW w:w="1650" w:type="dxa"/>
            <w:vAlign w:val="center"/>
          </w:tcPr>
          <w:p w14:paraId="13316756" w14:textId="781AE859" w:rsidR="00CF58B5" w:rsidRPr="00F46585" w:rsidRDefault="00CF58B5" w:rsidP="007F2DAB">
            <w:pPr>
              <w:jc w:val="center"/>
              <w:cnfStyle w:val="000000100000" w:firstRow="0" w:lastRow="0" w:firstColumn="0" w:lastColumn="0" w:oddVBand="0" w:evenVBand="0" w:oddHBand="1" w:evenHBand="0" w:firstRowFirstColumn="0" w:firstRowLastColumn="0" w:lastRowFirstColumn="0" w:lastRowLastColumn="0"/>
            </w:pPr>
            <w:r>
              <w:t>4</w:t>
            </w:r>
          </w:p>
        </w:tc>
        <w:tc>
          <w:tcPr>
            <w:tcW w:w="1650" w:type="dxa"/>
            <w:gridSpan w:val="2"/>
            <w:vAlign w:val="center"/>
          </w:tcPr>
          <w:p w14:paraId="69560F34" w14:textId="77777777" w:rsidR="00CF58B5" w:rsidRPr="00F46585" w:rsidRDefault="00CF58B5" w:rsidP="00CF58B5">
            <w:pPr>
              <w:jc w:val="center"/>
              <w:cnfStyle w:val="000000100000" w:firstRow="0" w:lastRow="0" w:firstColumn="0" w:lastColumn="0" w:oddVBand="0" w:evenVBand="0" w:oddHBand="1" w:evenHBand="0" w:firstRowFirstColumn="0" w:firstRowLastColumn="0" w:lastRowFirstColumn="0" w:lastRowLastColumn="0"/>
            </w:pPr>
            <w:r w:rsidRPr="00FF6D52">
              <w:t xml:space="preserve">$10,523 </w:t>
            </w:r>
          </w:p>
        </w:tc>
      </w:tr>
      <w:tr w:rsidR="00713992" w14:paraId="11D2198D" w14:textId="77777777" w:rsidTr="007C0109">
        <w:trPr>
          <w:trHeight w:val="345"/>
        </w:trPr>
        <w:tc>
          <w:tcPr>
            <w:cnfStyle w:val="001000000000" w:firstRow="0" w:lastRow="0" w:firstColumn="1" w:lastColumn="0" w:oddVBand="0" w:evenVBand="0" w:oddHBand="0" w:evenHBand="0" w:firstRowFirstColumn="0" w:firstRowLastColumn="0" w:lastRowFirstColumn="0" w:lastRowLastColumn="0"/>
            <w:tcW w:w="1800" w:type="dxa"/>
            <w:shd w:val="clear" w:color="auto" w:fill="808080" w:themeFill="background1" w:themeFillShade="80"/>
            <w:vAlign w:val="center"/>
          </w:tcPr>
          <w:p w14:paraId="736B32A9" w14:textId="77777777" w:rsidR="00C661E4" w:rsidRPr="009F1FC2" w:rsidRDefault="00C661E4" w:rsidP="00C661E4">
            <w:pPr>
              <w:rPr>
                <w:color w:val="FFFFFF" w:themeColor="background1"/>
              </w:rPr>
            </w:pPr>
            <w:r>
              <w:rPr>
                <w:color w:val="FFFFFF" w:themeColor="background1"/>
              </w:rPr>
              <w:t>NOI to prepare a CHMP</w:t>
            </w:r>
          </w:p>
        </w:tc>
        <w:tc>
          <w:tcPr>
            <w:tcW w:w="1827" w:type="dxa"/>
            <w:vAlign w:val="center"/>
          </w:tcPr>
          <w:p w14:paraId="728368B0" w14:textId="77777777"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0F1780">
              <w:t>2.7</w:t>
            </w:r>
          </w:p>
        </w:tc>
        <w:tc>
          <w:tcPr>
            <w:tcW w:w="1510" w:type="dxa"/>
            <w:vAlign w:val="center"/>
          </w:tcPr>
          <w:p w14:paraId="36542C56" w14:textId="77777777"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52D53">
              <w:t xml:space="preserve">$185 </w:t>
            </w:r>
          </w:p>
        </w:tc>
        <w:tc>
          <w:tcPr>
            <w:tcW w:w="1799" w:type="dxa"/>
            <w:gridSpan w:val="2"/>
            <w:vAlign w:val="center"/>
          </w:tcPr>
          <w:p w14:paraId="5635B795" w14:textId="0A54D8B1"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AF77A4">
              <w:t>38</w:t>
            </w:r>
            <w:r>
              <w:t>1</w:t>
            </w:r>
          </w:p>
        </w:tc>
        <w:tc>
          <w:tcPr>
            <w:tcW w:w="1501" w:type="dxa"/>
            <w:vAlign w:val="center"/>
          </w:tcPr>
          <w:p w14:paraId="65D0AEE3" w14:textId="7409AF73"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0B42EF">
              <w:t xml:space="preserve">$70,393 </w:t>
            </w:r>
          </w:p>
        </w:tc>
      </w:tr>
      <w:tr w:rsidR="00713992" w14:paraId="7608EEAC" w14:textId="77777777" w:rsidTr="00C661E4">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94" w:type="dxa"/>
            <w:shd w:val="clear" w:color="auto" w:fill="808080" w:themeFill="background1" w:themeFillShade="80"/>
            <w:vAlign w:val="center"/>
          </w:tcPr>
          <w:p w14:paraId="442AFCF4" w14:textId="77777777" w:rsidR="00C661E4" w:rsidRPr="009F1FC2" w:rsidRDefault="00C661E4" w:rsidP="00C661E4">
            <w:pPr>
              <w:rPr>
                <w:color w:val="FFFFFF" w:themeColor="background1"/>
              </w:rPr>
            </w:pPr>
            <w:r>
              <w:rPr>
                <w:color w:val="FFFFFF" w:themeColor="background1"/>
              </w:rPr>
              <w:t>CHMP with a desktop assessment</w:t>
            </w:r>
          </w:p>
        </w:tc>
        <w:tc>
          <w:tcPr>
            <w:tcW w:w="1828" w:type="dxa"/>
            <w:vAlign w:val="center"/>
          </w:tcPr>
          <w:p w14:paraId="40370876" w14:textId="77777777"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0F1780">
              <w:t>4.7</w:t>
            </w:r>
          </w:p>
        </w:tc>
        <w:tc>
          <w:tcPr>
            <w:tcW w:w="2481" w:type="dxa"/>
            <w:vAlign w:val="center"/>
          </w:tcPr>
          <w:p w14:paraId="1A4C7F52" w14:textId="77777777"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52D53">
              <w:t xml:space="preserve">$325 </w:t>
            </w:r>
          </w:p>
        </w:tc>
        <w:tc>
          <w:tcPr>
            <w:tcW w:w="1500" w:type="dxa"/>
            <w:gridSpan w:val="2"/>
            <w:vAlign w:val="center"/>
          </w:tcPr>
          <w:p w14:paraId="03BD2836" w14:textId="6C78EB43"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AF77A4">
              <w:t>19</w:t>
            </w:r>
          </w:p>
        </w:tc>
        <w:tc>
          <w:tcPr>
            <w:tcW w:w="1134" w:type="dxa"/>
            <w:vAlign w:val="center"/>
          </w:tcPr>
          <w:p w14:paraId="0ABC54AC" w14:textId="329CD4FA"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0B42EF">
              <w:t xml:space="preserve">$6,118 </w:t>
            </w:r>
          </w:p>
        </w:tc>
      </w:tr>
      <w:tr w:rsidR="00713992" w14:paraId="7292447F" w14:textId="77777777" w:rsidTr="00C661E4">
        <w:trPr>
          <w:trHeight w:val="178"/>
        </w:trPr>
        <w:tc>
          <w:tcPr>
            <w:cnfStyle w:val="001000000000" w:firstRow="0" w:lastRow="0" w:firstColumn="1" w:lastColumn="0" w:oddVBand="0" w:evenVBand="0" w:oddHBand="0" w:evenHBand="0" w:firstRowFirstColumn="0" w:firstRowLastColumn="0" w:lastRowFirstColumn="0" w:lastRowLastColumn="0"/>
            <w:tcW w:w="1494" w:type="dxa"/>
            <w:shd w:val="clear" w:color="auto" w:fill="808080" w:themeFill="background1" w:themeFillShade="80"/>
            <w:vAlign w:val="center"/>
          </w:tcPr>
          <w:p w14:paraId="4FB9326C" w14:textId="77777777" w:rsidR="00C661E4" w:rsidRDefault="00C661E4" w:rsidP="00C661E4">
            <w:pPr>
              <w:rPr>
                <w:color w:val="FFFFFF" w:themeColor="background1"/>
              </w:rPr>
            </w:pPr>
            <w:r>
              <w:rPr>
                <w:color w:val="FFFFFF" w:themeColor="background1"/>
              </w:rPr>
              <w:t>CHMP with a standard assessment</w:t>
            </w:r>
          </w:p>
        </w:tc>
        <w:tc>
          <w:tcPr>
            <w:tcW w:w="1828" w:type="dxa"/>
            <w:vAlign w:val="center"/>
          </w:tcPr>
          <w:p w14:paraId="0ED02F7B" w14:textId="77777777"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0F1780">
              <w:t>8.3</w:t>
            </w:r>
          </w:p>
        </w:tc>
        <w:tc>
          <w:tcPr>
            <w:tcW w:w="2481" w:type="dxa"/>
            <w:vAlign w:val="center"/>
          </w:tcPr>
          <w:p w14:paraId="63BA37C8" w14:textId="77777777"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52D53">
              <w:t xml:space="preserve">$575 </w:t>
            </w:r>
          </w:p>
        </w:tc>
        <w:tc>
          <w:tcPr>
            <w:tcW w:w="1500" w:type="dxa"/>
            <w:gridSpan w:val="2"/>
            <w:vAlign w:val="center"/>
          </w:tcPr>
          <w:p w14:paraId="79FAD309" w14:textId="1F1BFCE8"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AF77A4">
              <w:t>62</w:t>
            </w:r>
          </w:p>
        </w:tc>
        <w:tc>
          <w:tcPr>
            <w:tcW w:w="1134" w:type="dxa"/>
            <w:vAlign w:val="center"/>
          </w:tcPr>
          <w:p w14:paraId="267F093E" w14:textId="220B5613"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0B42EF">
              <w:t xml:space="preserve">$35,579 </w:t>
            </w:r>
          </w:p>
        </w:tc>
      </w:tr>
      <w:tr w:rsidR="00713992" w14:paraId="2FB89547" w14:textId="77777777" w:rsidTr="00C661E4">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94" w:type="dxa"/>
            <w:shd w:val="clear" w:color="auto" w:fill="808080" w:themeFill="background1" w:themeFillShade="80"/>
            <w:vAlign w:val="center"/>
          </w:tcPr>
          <w:p w14:paraId="705AA615" w14:textId="77777777" w:rsidR="00C661E4" w:rsidRDefault="00C661E4" w:rsidP="00C661E4">
            <w:pPr>
              <w:rPr>
                <w:color w:val="FFFFFF" w:themeColor="background1"/>
              </w:rPr>
            </w:pPr>
            <w:r>
              <w:rPr>
                <w:color w:val="FFFFFF" w:themeColor="background1"/>
              </w:rPr>
              <w:t>CHMP with a complex assessment</w:t>
            </w:r>
          </w:p>
        </w:tc>
        <w:tc>
          <w:tcPr>
            <w:tcW w:w="1828" w:type="dxa"/>
            <w:vAlign w:val="center"/>
          </w:tcPr>
          <w:p w14:paraId="60A26DD6" w14:textId="77777777" w:rsidR="00C661E4"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0F1780">
              <w:t>14.8</w:t>
            </w:r>
          </w:p>
        </w:tc>
        <w:tc>
          <w:tcPr>
            <w:tcW w:w="2481" w:type="dxa"/>
            <w:vAlign w:val="center"/>
          </w:tcPr>
          <w:p w14:paraId="525C8E79" w14:textId="77777777"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752D53">
              <w:t xml:space="preserve">$1,025 </w:t>
            </w:r>
          </w:p>
        </w:tc>
        <w:tc>
          <w:tcPr>
            <w:tcW w:w="1500" w:type="dxa"/>
            <w:gridSpan w:val="2"/>
            <w:vAlign w:val="center"/>
          </w:tcPr>
          <w:p w14:paraId="43D288BB" w14:textId="2383DF37" w:rsidR="00C661E4" w:rsidRPr="00F46585" w:rsidRDefault="00C661E4" w:rsidP="00C661E4">
            <w:pPr>
              <w:jc w:val="center"/>
              <w:cnfStyle w:val="000000100000" w:firstRow="0" w:lastRow="0" w:firstColumn="0" w:lastColumn="0" w:oddVBand="0" w:evenVBand="0" w:oddHBand="1" w:evenHBand="0" w:firstRowFirstColumn="0" w:firstRowLastColumn="0" w:lastRowFirstColumn="0" w:lastRowLastColumn="0"/>
            </w:pPr>
            <w:r w:rsidRPr="00AF77A4">
              <w:t>243</w:t>
            </w:r>
          </w:p>
        </w:tc>
        <w:tc>
          <w:tcPr>
            <w:tcW w:w="1134" w:type="dxa"/>
            <w:vAlign w:val="center"/>
          </w:tcPr>
          <w:p w14:paraId="7ED4406D" w14:textId="27F1D89E" w:rsidR="00C661E4" w:rsidRPr="00F46585" w:rsidRDefault="00C661E4" w:rsidP="00AC7EE5">
            <w:pPr>
              <w:jc w:val="center"/>
              <w:cnfStyle w:val="000000100000" w:firstRow="0" w:lastRow="0" w:firstColumn="0" w:lastColumn="0" w:oddVBand="0" w:evenVBand="0" w:oddHBand="1" w:evenHBand="0" w:firstRowFirstColumn="0" w:firstRowLastColumn="0" w:lastRowFirstColumn="0" w:lastRowLastColumn="0"/>
            </w:pPr>
            <w:r w:rsidRPr="000B42EF">
              <w:t xml:space="preserve">$249,449 </w:t>
            </w:r>
          </w:p>
        </w:tc>
      </w:tr>
      <w:tr w:rsidR="00713992" w14:paraId="207FF830" w14:textId="77777777" w:rsidTr="00C661E4">
        <w:trPr>
          <w:trHeight w:val="702"/>
        </w:trPr>
        <w:tc>
          <w:tcPr>
            <w:cnfStyle w:val="001000000000" w:firstRow="0" w:lastRow="0" w:firstColumn="1" w:lastColumn="0" w:oddVBand="0" w:evenVBand="0" w:oddHBand="0" w:evenHBand="0" w:firstRowFirstColumn="0" w:firstRowLastColumn="0" w:lastRowFirstColumn="0" w:lastRowLastColumn="0"/>
            <w:tcW w:w="1494" w:type="dxa"/>
            <w:shd w:val="clear" w:color="auto" w:fill="808080" w:themeFill="background1" w:themeFillShade="80"/>
            <w:vAlign w:val="center"/>
          </w:tcPr>
          <w:p w14:paraId="57438C0C" w14:textId="77777777" w:rsidR="00C661E4" w:rsidRPr="009F1FC2" w:rsidRDefault="00C661E4" w:rsidP="00C661E4">
            <w:pPr>
              <w:rPr>
                <w:color w:val="FFFFFF" w:themeColor="background1"/>
              </w:rPr>
            </w:pPr>
            <w:r>
              <w:rPr>
                <w:color w:val="FFFFFF" w:themeColor="background1"/>
              </w:rPr>
              <w:t>Application to amend a CHMP</w:t>
            </w:r>
          </w:p>
        </w:tc>
        <w:tc>
          <w:tcPr>
            <w:tcW w:w="1828" w:type="dxa"/>
            <w:vAlign w:val="center"/>
          </w:tcPr>
          <w:p w14:paraId="55609E98" w14:textId="77777777" w:rsidR="00C661E4"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0F1780">
              <w:t>5.8</w:t>
            </w:r>
          </w:p>
        </w:tc>
        <w:tc>
          <w:tcPr>
            <w:tcW w:w="2481" w:type="dxa"/>
            <w:vAlign w:val="center"/>
          </w:tcPr>
          <w:p w14:paraId="76B11F2F" w14:textId="77777777"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752D53">
              <w:t xml:space="preserve">$402 </w:t>
            </w:r>
          </w:p>
        </w:tc>
        <w:tc>
          <w:tcPr>
            <w:tcW w:w="1500" w:type="dxa"/>
            <w:gridSpan w:val="2"/>
            <w:vAlign w:val="center"/>
          </w:tcPr>
          <w:p w14:paraId="0406327B" w14:textId="31308A30" w:rsidR="00C661E4" w:rsidRPr="00F46585" w:rsidRDefault="00C661E4" w:rsidP="00C661E4">
            <w:pPr>
              <w:jc w:val="center"/>
              <w:cnfStyle w:val="000000000000" w:firstRow="0" w:lastRow="0" w:firstColumn="0" w:lastColumn="0" w:oddVBand="0" w:evenVBand="0" w:oddHBand="0" w:evenHBand="0" w:firstRowFirstColumn="0" w:firstRowLastColumn="0" w:lastRowFirstColumn="0" w:lastRowLastColumn="0"/>
            </w:pPr>
            <w:r w:rsidRPr="00AF77A4">
              <w:t>19</w:t>
            </w:r>
          </w:p>
        </w:tc>
        <w:tc>
          <w:tcPr>
            <w:tcW w:w="1134" w:type="dxa"/>
            <w:vAlign w:val="center"/>
          </w:tcPr>
          <w:p w14:paraId="7CCB5B71" w14:textId="040FE458" w:rsidR="00C661E4" w:rsidRPr="00F46585" w:rsidRDefault="00C661E4" w:rsidP="00AC7EE5">
            <w:pPr>
              <w:jc w:val="center"/>
              <w:cnfStyle w:val="000000000000" w:firstRow="0" w:lastRow="0" w:firstColumn="0" w:lastColumn="0" w:oddVBand="0" w:evenVBand="0" w:oddHBand="0" w:evenHBand="0" w:firstRowFirstColumn="0" w:firstRowLastColumn="0" w:lastRowFirstColumn="0" w:lastRowLastColumn="0"/>
            </w:pPr>
            <w:r w:rsidRPr="000B42EF">
              <w:t xml:space="preserve">$7,862 </w:t>
            </w:r>
          </w:p>
        </w:tc>
      </w:tr>
    </w:tbl>
    <w:p w14:paraId="6860FFE9" w14:textId="77777777" w:rsidR="002B6B28" w:rsidRPr="00047904" w:rsidRDefault="002B6B28" w:rsidP="002B6B28">
      <w:pPr>
        <w:spacing w:after="240"/>
        <w:rPr>
          <w:color w:val="A32020" w:themeColor="text2"/>
          <w:sz w:val="16"/>
          <w:szCs w:val="16"/>
        </w:rPr>
      </w:pPr>
      <w:r>
        <w:rPr>
          <w:color w:val="A32020" w:themeColor="text2"/>
          <w:sz w:val="16"/>
          <w:szCs w:val="16"/>
        </w:rPr>
        <w:t>Note</w:t>
      </w:r>
      <w:r w:rsidRPr="00047904">
        <w:rPr>
          <w:color w:val="A32020" w:themeColor="text2"/>
          <w:sz w:val="16"/>
          <w:szCs w:val="16"/>
        </w:rPr>
        <w:t xml:space="preserve">: </w:t>
      </w:r>
      <w:r>
        <w:rPr>
          <w:color w:val="A32020" w:themeColor="text2"/>
          <w:sz w:val="16"/>
          <w:szCs w:val="16"/>
        </w:rPr>
        <w:t>All assessment times are cumulative, ie include previous levels of assessments.</w:t>
      </w:r>
    </w:p>
    <w:p w14:paraId="6C466981" w14:textId="2D5C0DC1" w:rsidR="002B6B28" w:rsidRDefault="002B6B28" w:rsidP="002B6B28">
      <w:pPr>
        <w:pStyle w:val="PwCNormal"/>
        <w:rPr>
          <w:lang w:val="en-US"/>
        </w:rPr>
      </w:pPr>
      <w:r>
        <w:rPr>
          <w:lang w:val="en-US"/>
        </w:rPr>
        <w:t>RAPs costs total $</w:t>
      </w:r>
      <w:r w:rsidR="00CF58B5">
        <w:rPr>
          <w:lang w:val="en-US"/>
        </w:rPr>
        <w:t>378,683</w:t>
      </w:r>
      <w:r>
        <w:rPr>
          <w:lang w:val="en-US"/>
        </w:rPr>
        <w:t xml:space="preserve"> per year for all </w:t>
      </w:r>
      <w:r w:rsidR="00A67B1F">
        <w:rPr>
          <w:lang w:val="en-US"/>
        </w:rPr>
        <w:t xml:space="preserve">evaluations </w:t>
      </w:r>
      <w:r w:rsidR="00CF58B5">
        <w:rPr>
          <w:lang w:val="en-US"/>
        </w:rPr>
        <w:t>under the preferred options</w:t>
      </w:r>
      <w:r>
        <w:rPr>
          <w:lang w:val="en-US"/>
        </w:rPr>
        <w:t xml:space="preserve">. It is possible that their proportion of </w:t>
      </w:r>
      <w:r w:rsidR="00A67B1F">
        <w:rPr>
          <w:lang w:val="en-US"/>
        </w:rPr>
        <w:t xml:space="preserve">evaluations </w:t>
      </w:r>
      <w:r>
        <w:rPr>
          <w:lang w:val="en-US"/>
        </w:rPr>
        <w:t>may go up in the medium-term as existing RAPs are</w:t>
      </w:r>
      <w:r w:rsidR="00A67B1F">
        <w:rPr>
          <w:lang w:val="en-US"/>
        </w:rPr>
        <w:t xml:space="preserve">as are expanded, and/or </w:t>
      </w:r>
      <w:r>
        <w:rPr>
          <w:lang w:val="en-US"/>
        </w:rPr>
        <w:t xml:space="preserve">and new RAPs are </w:t>
      </w:r>
      <w:r w:rsidR="00A67B1F">
        <w:rPr>
          <w:lang w:val="en-US"/>
        </w:rPr>
        <w:t>appointed</w:t>
      </w:r>
      <w:r>
        <w:rPr>
          <w:lang w:val="en-US"/>
        </w:rPr>
        <w:t>.</w:t>
      </w:r>
    </w:p>
    <w:p w14:paraId="644A6E3A" w14:textId="77777777" w:rsidR="002B6B28" w:rsidRDefault="002B6B28" w:rsidP="002B6B28">
      <w:pPr>
        <w:pStyle w:val="Heading7"/>
        <w:rPr>
          <w:lang w:val="en-US"/>
        </w:rPr>
      </w:pPr>
      <w:bookmarkStart w:id="84" w:name="_Ref507756038"/>
      <w:r>
        <w:rPr>
          <w:lang w:val="en-US"/>
        </w:rPr>
        <w:t>Option 1: Re-make existing fees</w:t>
      </w:r>
      <w:bookmarkEnd w:id="84"/>
    </w:p>
    <w:p w14:paraId="1673845C" w14:textId="18CA4C04" w:rsidR="002B6B28" w:rsidRDefault="002B6B28" w:rsidP="002B6B28">
      <w:pPr>
        <w:pStyle w:val="PwCNormal"/>
        <w:rPr>
          <w:lang w:val="en-US"/>
        </w:rPr>
      </w:pPr>
      <w:r>
        <w:rPr>
          <w:lang w:val="en-US"/>
        </w:rPr>
        <w:t xml:space="preserve">Option 1 involves re-making the current fees at the present fee unit level. A fee unit is valued at $14.22 </w:t>
      </w:r>
      <w:r w:rsidR="00B8561A">
        <w:rPr>
          <w:lang w:val="en-US"/>
        </w:rPr>
        <w:t xml:space="preserve">for 2017-18 </w:t>
      </w:r>
      <w:r>
        <w:rPr>
          <w:lang w:val="en-US"/>
        </w:rPr>
        <w:t>by the Department of Treasury and Finance.</w:t>
      </w:r>
      <w:r>
        <w:rPr>
          <w:rStyle w:val="FootnoteReference"/>
          <w:lang w:val="en-US"/>
        </w:rPr>
        <w:footnoteReference w:id="123"/>
      </w:r>
      <w:r>
        <w:rPr>
          <w:lang w:val="en-US"/>
        </w:rPr>
        <w:t xml:space="preserve"> These are shown in </w:t>
      </w:r>
      <w:r w:rsidR="007C358F">
        <w:rPr>
          <w:lang w:val="en-US"/>
        </w:rPr>
        <w:fldChar w:fldCharType="begin"/>
      </w:r>
      <w:r w:rsidR="007C358F">
        <w:rPr>
          <w:lang w:val="en-US"/>
        </w:rPr>
        <w:instrText xml:space="preserve"> REF _Ref504055253 \h </w:instrText>
      </w:r>
      <w:r w:rsidR="007C358F">
        <w:rPr>
          <w:lang w:val="en-US"/>
        </w:rPr>
      </w:r>
      <w:r w:rsidR="007C358F">
        <w:rPr>
          <w:lang w:val="en-US"/>
        </w:rPr>
        <w:fldChar w:fldCharType="separate"/>
      </w:r>
      <w:r w:rsidR="000369A1">
        <w:t xml:space="preserve">Table </w:t>
      </w:r>
      <w:r w:rsidR="000369A1">
        <w:rPr>
          <w:noProof/>
        </w:rPr>
        <w:t>29</w:t>
      </w:r>
      <w:r w:rsidR="007C358F">
        <w:rPr>
          <w:lang w:val="en-US"/>
        </w:rPr>
        <w:fldChar w:fldCharType="end"/>
      </w:r>
      <w:r>
        <w:rPr>
          <w:lang w:val="en-US"/>
        </w:rPr>
        <w:t>.</w:t>
      </w:r>
      <w:r w:rsidR="00B60C05">
        <w:rPr>
          <w:lang w:val="en-US"/>
        </w:rPr>
        <w:t xml:space="preserve"> For the purposes of the fee levels</w:t>
      </w:r>
      <w:r w:rsidR="00587855">
        <w:rPr>
          <w:lang w:val="en-US"/>
        </w:rPr>
        <w:t>, the activity sizes are defined as follows</w:t>
      </w:r>
      <w:r w:rsidR="00B60C05">
        <w:rPr>
          <w:lang w:val="en-US"/>
        </w:rPr>
        <w:t>:</w:t>
      </w:r>
    </w:p>
    <w:p w14:paraId="30A312B7" w14:textId="4CA9DC80" w:rsidR="00B60C05" w:rsidRDefault="00B60C05" w:rsidP="007C0109">
      <w:pPr>
        <w:pStyle w:val="ListBullet"/>
        <w:rPr>
          <w:lang w:val="en-US"/>
        </w:rPr>
      </w:pPr>
      <w:r>
        <w:rPr>
          <w:lang w:val="en-US"/>
        </w:rPr>
        <w:t>Small activity: Means an activity with an activity area of one hectare or less, or that is a linear project with a length of one kilometre or less.</w:t>
      </w:r>
    </w:p>
    <w:p w14:paraId="2B7CF889" w14:textId="35D9399C" w:rsidR="00B60C05" w:rsidRDefault="00B60C05" w:rsidP="007C0109">
      <w:pPr>
        <w:pStyle w:val="ListBullet"/>
        <w:rPr>
          <w:lang w:val="en-US"/>
        </w:rPr>
      </w:pPr>
      <w:r w:rsidRPr="00AC7EE5">
        <w:rPr>
          <w:lang w:val="en-US"/>
        </w:rPr>
        <w:t>Medium activity: Means an activity with an activity area of more than one hectare b</w:t>
      </w:r>
      <w:r w:rsidRPr="00A87D8C">
        <w:rPr>
          <w:lang w:val="en-US"/>
        </w:rPr>
        <w:t>ut not more than 40 hectares, or that is a linear project with a len</w:t>
      </w:r>
      <w:r w:rsidRPr="003D3EF7">
        <w:rPr>
          <w:lang w:val="en-US"/>
        </w:rPr>
        <w:t>gth of more than one kilometre but not more than five kilometres</w:t>
      </w:r>
      <w:r>
        <w:rPr>
          <w:lang w:val="en-US"/>
        </w:rPr>
        <w:t>.</w:t>
      </w:r>
    </w:p>
    <w:p w14:paraId="46BC0359" w14:textId="78D85D15" w:rsidR="00B60C05" w:rsidRDefault="00B60C05" w:rsidP="007C0109">
      <w:pPr>
        <w:pStyle w:val="ListBullet"/>
        <w:rPr>
          <w:lang w:val="en-US"/>
        </w:rPr>
      </w:pPr>
      <w:r w:rsidRPr="00AC7EE5">
        <w:rPr>
          <w:lang w:val="en-US"/>
        </w:rPr>
        <w:t>Large activity: Means an activity with an activity area of more than 40 hectares, or that is a linear project with a length of more than five kilometres</w:t>
      </w:r>
      <w:r w:rsidRPr="00A87D8C">
        <w:rPr>
          <w:lang w:val="en-US"/>
        </w:rPr>
        <w:t>.</w:t>
      </w:r>
    </w:p>
    <w:p w14:paraId="02C9864E" w14:textId="77777777" w:rsidR="00BC3D77" w:rsidRPr="00BC3D77" w:rsidRDefault="00BC3D77" w:rsidP="00BC3D77">
      <w:pPr>
        <w:pStyle w:val="ListBullet"/>
        <w:numPr>
          <w:ilvl w:val="0"/>
          <w:numId w:val="0"/>
        </w:numPr>
        <w:rPr>
          <w:lang w:val="en-US"/>
        </w:rPr>
      </w:pPr>
      <w:r w:rsidRPr="00BC3D77">
        <w:rPr>
          <w:lang w:val="en-US"/>
        </w:rPr>
        <w:t>Evaluation costs for different sized activity areas were estimated in the previous 2007 RIS. The prescribed fees were intended to reflect the cost to the Approval Body in evaluating the CHMP, rather than any potential damage to Aboriginal cultural heritage that may occur. The estimate was informed by consultation with two Aboriginal groups that had responsibilities for the evaluation of Aboriginal cultural heritage management reports about the processes involved, and the time required to evaluate a CHMP involving a medium-sized activity involving a standard assessment. This provided the basis for estimating the remaining fees, which differ according to the number of RAPs involved in the evaluation, the complexity of the assessment and the size of the activity area.</w:t>
      </w:r>
    </w:p>
    <w:p w14:paraId="5C2F8257" w14:textId="083213EA" w:rsidR="00BC3D77" w:rsidRDefault="00BC3D77" w:rsidP="00BC3D77">
      <w:pPr>
        <w:pStyle w:val="ListBullet"/>
        <w:numPr>
          <w:ilvl w:val="0"/>
          <w:numId w:val="0"/>
        </w:numPr>
        <w:rPr>
          <w:lang w:val="en-US"/>
        </w:rPr>
      </w:pPr>
      <w:r w:rsidRPr="00BC3D77">
        <w:rPr>
          <w:lang w:val="en-US"/>
        </w:rPr>
        <w:t>The size of the activity area positively correlates to the extent of archaeological  testing required in the CHMP assessment. Consequently, CHMPs which include greater and more complex archaeological testing will take longer to be evaluated by approval bodies. Other factors which may influence the CHMP evaluation time cannot be known until completion of the assessment (for example, the nature, extent, and significance of Aboriginal cultural heritage present in the activity area). Therefore, no changes to the definitions of activity area sizes are proposed.</w:t>
      </w:r>
    </w:p>
    <w:p w14:paraId="68A9765D" w14:textId="0677C895" w:rsidR="002B6B28" w:rsidRDefault="002B6B28" w:rsidP="002B6B28">
      <w:pPr>
        <w:pStyle w:val="Caption"/>
      </w:pPr>
      <w:bookmarkStart w:id="85" w:name="_Ref504055253"/>
      <w:r>
        <w:t xml:space="preserve">Table </w:t>
      </w:r>
      <w:r w:rsidR="00B47FE6">
        <w:fldChar w:fldCharType="begin"/>
      </w:r>
      <w:r w:rsidR="00B47FE6">
        <w:instrText xml:space="preserve"> SEQ Table \* ARABIC </w:instrText>
      </w:r>
      <w:r w:rsidR="00B47FE6">
        <w:fldChar w:fldCharType="separate"/>
      </w:r>
      <w:r w:rsidR="000369A1">
        <w:rPr>
          <w:noProof/>
        </w:rPr>
        <w:t>29</w:t>
      </w:r>
      <w:r w:rsidR="00B47FE6">
        <w:rPr>
          <w:noProof/>
        </w:rPr>
        <w:fldChar w:fldCharType="end"/>
      </w:r>
      <w:bookmarkEnd w:id="85"/>
      <w:r>
        <w:t>: Fee levels for Option 1</w:t>
      </w:r>
    </w:p>
    <w:tbl>
      <w:tblPr>
        <w:tblW w:w="8506" w:type="dxa"/>
        <w:tblInd w:w="-34"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4111"/>
        <w:gridCol w:w="1985"/>
        <w:gridCol w:w="2410"/>
      </w:tblGrid>
      <w:tr w:rsidR="002B6B28" w:rsidRPr="00556915" w14:paraId="42B36E68" w14:textId="77777777" w:rsidTr="00C35804">
        <w:trPr>
          <w:cantSplit/>
          <w:trHeight w:val="378"/>
          <w:tblHeader/>
        </w:trPr>
        <w:tc>
          <w:tcPr>
            <w:tcW w:w="4111" w:type="dxa"/>
            <w:shd w:val="clear" w:color="auto" w:fill="A32020" w:themeFill="accent1"/>
            <w:noWrap/>
            <w:vAlign w:val="center"/>
            <w:hideMark/>
          </w:tcPr>
          <w:p w14:paraId="482ECFC9" w14:textId="77777777" w:rsidR="002B6B28" w:rsidRPr="00556915" w:rsidRDefault="002B6B28" w:rsidP="00620701">
            <w:pPr>
              <w:rPr>
                <w:b/>
                <w:bCs/>
                <w:color w:val="FFFFFF" w:themeColor="background1"/>
              </w:rPr>
            </w:pPr>
            <w:r w:rsidRPr="00556915">
              <w:rPr>
                <w:b/>
                <w:bCs/>
                <w:color w:val="FFFFFF" w:themeColor="background1"/>
              </w:rPr>
              <w:t>Fee</w:t>
            </w:r>
          </w:p>
        </w:tc>
        <w:tc>
          <w:tcPr>
            <w:tcW w:w="1985" w:type="dxa"/>
            <w:shd w:val="clear" w:color="auto" w:fill="A32020" w:themeFill="accent1"/>
            <w:vAlign w:val="center"/>
            <w:hideMark/>
          </w:tcPr>
          <w:p w14:paraId="46E6317A" w14:textId="77777777" w:rsidR="002B6B28" w:rsidRPr="00556915" w:rsidRDefault="002B6B28" w:rsidP="00620701">
            <w:pPr>
              <w:jc w:val="center"/>
              <w:rPr>
                <w:b/>
                <w:bCs/>
                <w:color w:val="FFFFFF" w:themeColor="background1"/>
              </w:rPr>
            </w:pPr>
            <w:r w:rsidRPr="00556915">
              <w:rPr>
                <w:b/>
                <w:bCs/>
                <w:color w:val="FFFFFF" w:themeColor="background1"/>
              </w:rPr>
              <w:t>Current fee units</w:t>
            </w:r>
          </w:p>
        </w:tc>
        <w:tc>
          <w:tcPr>
            <w:tcW w:w="2410" w:type="dxa"/>
            <w:shd w:val="clear" w:color="auto" w:fill="A32020" w:themeFill="accent1"/>
            <w:vAlign w:val="center"/>
            <w:hideMark/>
          </w:tcPr>
          <w:p w14:paraId="0804FEE6" w14:textId="6B792ECD" w:rsidR="002B6B28" w:rsidRPr="00556915" w:rsidRDefault="002B6B28" w:rsidP="00B8561A">
            <w:pPr>
              <w:jc w:val="center"/>
              <w:rPr>
                <w:b/>
                <w:bCs/>
                <w:color w:val="FFFFFF" w:themeColor="background1"/>
              </w:rPr>
            </w:pPr>
            <w:r w:rsidRPr="00556915">
              <w:rPr>
                <w:b/>
                <w:bCs/>
                <w:color w:val="FFFFFF" w:themeColor="background1"/>
              </w:rPr>
              <w:t>Value</w:t>
            </w:r>
            <w:r w:rsidR="00B8561A">
              <w:rPr>
                <w:b/>
                <w:bCs/>
                <w:color w:val="FFFFFF" w:themeColor="background1"/>
              </w:rPr>
              <w:t xml:space="preserve"> for 2017-18</w:t>
            </w:r>
          </w:p>
        </w:tc>
      </w:tr>
      <w:tr w:rsidR="00A1550E" w:rsidRPr="00556915" w14:paraId="44561C0E" w14:textId="77777777" w:rsidTr="004A1E5B">
        <w:trPr>
          <w:cantSplit/>
          <w:trHeight w:val="252"/>
        </w:trPr>
        <w:tc>
          <w:tcPr>
            <w:tcW w:w="4111" w:type="dxa"/>
            <w:shd w:val="clear" w:color="auto" w:fill="7F7F7F" w:themeFill="text1" w:themeFillTint="80"/>
            <w:vAlign w:val="center"/>
            <w:hideMark/>
          </w:tcPr>
          <w:p w14:paraId="789F761A" w14:textId="7FB6675C" w:rsidR="00A1550E" w:rsidRPr="00556915" w:rsidRDefault="00A1550E" w:rsidP="00620701">
            <w:pPr>
              <w:rPr>
                <w:b/>
                <w:bCs/>
                <w:color w:val="FFFFFF" w:themeColor="background1"/>
              </w:rPr>
            </w:pPr>
            <w:r w:rsidRPr="00556915">
              <w:rPr>
                <w:b/>
                <w:bCs/>
                <w:color w:val="FFFFFF" w:themeColor="background1"/>
              </w:rPr>
              <w:t>CHPs</w:t>
            </w:r>
            <w:r>
              <w:rPr>
                <w:rStyle w:val="FootnoteReference"/>
                <w:b/>
                <w:bCs/>
                <w:color w:val="FFFFFF" w:themeColor="background1"/>
              </w:rPr>
              <w:footnoteReference w:id="124"/>
            </w:r>
          </w:p>
        </w:tc>
        <w:tc>
          <w:tcPr>
            <w:tcW w:w="4395" w:type="dxa"/>
            <w:gridSpan w:val="2"/>
            <w:shd w:val="clear" w:color="auto" w:fill="auto"/>
            <w:vAlign w:val="center"/>
            <w:hideMark/>
          </w:tcPr>
          <w:p w14:paraId="6A25B9CF" w14:textId="77777777" w:rsidR="00A1550E" w:rsidRPr="00203451" w:rsidRDefault="00A1550E" w:rsidP="00620701">
            <w:pPr>
              <w:jc w:val="center"/>
            </w:pPr>
          </w:p>
        </w:tc>
      </w:tr>
      <w:tr w:rsidR="002B6B28" w:rsidRPr="00556915" w14:paraId="4824B558" w14:textId="77777777" w:rsidTr="00C35804">
        <w:trPr>
          <w:cantSplit/>
          <w:trHeight w:val="252"/>
        </w:trPr>
        <w:tc>
          <w:tcPr>
            <w:tcW w:w="4111" w:type="dxa"/>
            <w:shd w:val="clear" w:color="auto" w:fill="7F7F7F" w:themeFill="text1" w:themeFillTint="80"/>
            <w:vAlign w:val="center"/>
            <w:hideMark/>
          </w:tcPr>
          <w:p w14:paraId="367F2778" w14:textId="77777777" w:rsidR="002B6B28" w:rsidRPr="00556915" w:rsidRDefault="002B6B28" w:rsidP="00620701">
            <w:pPr>
              <w:rPr>
                <w:color w:val="FFFFFF" w:themeColor="background1"/>
              </w:rPr>
            </w:pPr>
            <w:r w:rsidRPr="00556915">
              <w:rPr>
                <w:color w:val="FFFFFF" w:themeColor="background1"/>
              </w:rPr>
              <w:t>Discovery and research</w:t>
            </w:r>
          </w:p>
        </w:tc>
        <w:tc>
          <w:tcPr>
            <w:tcW w:w="1985" w:type="dxa"/>
            <w:shd w:val="clear" w:color="auto" w:fill="auto"/>
            <w:vAlign w:val="center"/>
            <w:hideMark/>
          </w:tcPr>
          <w:p w14:paraId="4719ED07" w14:textId="77777777" w:rsidR="002B6B28" w:rsidRPr="00556915" w:rsidRDefault="002B6B28" w:rsidP="00620701">
            <w:pPr>
              <w:jc w:val="center"/>
            </w:pPr>
            <w:r w:rsidRPr="00236DA8">
              <w:t>8</w:t>
            </w:r>
          </w:p>
        </w:tc>
        <w:tc>
          <w:tcPr>
            <w:tcW w:w="2410" w:type="dxa"/>
            <w:shd w:val="clear" w:color="auto" w:fill="auto"/>
            <w:vAlign w:val="center"/>
            <w:hideMark/>
          </w:tcPr>
          <w:p w14:paraId="48A6F57E" w14:textId="77777777" w:rsidR="002B6B28" w:rsidRPr="00203451" w:rsidRDefault="002B6B28" w:rsidP="00620701">
            <w:pPr>
              <w:jc w:val="center"/>
            </w:pPr>
            <w:r w:rsidRPr="00236DA8">
              <w:t>$113.76</w:t>
            </w:r>
          </w:p>
        </w:tc>
      </w:tr>
      <w:tr w:rsidR="002B6B28" w:rsidRPr="00556915" w14:paraId="6563DB14" w14:textId="77777777" w:rsidTr="00C35804">
        <w:trPr>
          <w:cantSplit/>
          <w:trHeight w:val="252"/>
        </w:trPr>
        <w:tc>
          <w:tcPr>
            <w:tcW w:w="4111" w:type="dxa"/>
            <w:shd w:val="clear" w:color="auto" w:fill="7F7F7F" w:themeFill="text1" w:themeFillTint="80"/>
            <w:vAlign w:val="center"/>
            <w:hideMark/>
          </w:tcPr>
          <w:p w14:paraId="434DD140" w14:textId="77777777" w:rsidR="002B6B28" w:rsidRPr="00556915" w:rsidRDefault="002B6B28" w:rsidP="00620701">
            <w:pPr>
              <w:rPr>
                <w:color w:val="FFFFFF" w:themeColor="background1"/>
              </w:rPr>
            </w:pPr>
            <w:r w:rsidRPr="00556915">
              <w:rPr>
                <w:color w:val="FFFFFF" w:themeColor="background1"/>
              </w:rPr>
              <w:t>Harm Aboriginal cultural heritage</w:t>
            </w:r>
          </w:p>
        </w:tc>
        <w:tc>
          <w:tcPr>
            <w:tcW w:w="1985" w:type="dxa"/>
            <w:shd w:val="clear" w:color="auto" w:fill="auto"/>
            <w:vAlign w:val="center"/>
            <w:hideMark/>
          </w:tcPr>
          <w:p w14:paraId="1B616DC0" w14:textId="77777777" w:rsidR="002B6B28" w:rsidRPr="00556915" w:rsidRDefault="002B6B28" w:rsidP="00620701">
            <w:pPr>
              <w:jc w:val="center"/>
            </w:pPr>
            <w:r w:rsidRPr="00236DA8">
              <w:t>46</w:t>
            </w:r>
          </w:p>
        </w:tc>
        <w:tc>
          <w:tcPr>
            <w:tcW w:w="2410" w:type="dxa"/>
            <w:shd w:val="clear" w:color="auto" w:fill="auto"/>
            <w:vAlign w:val="center"/>
            <w:hideMark/>
          </w:tcPr>
          <w:p w14:paraId="03BC2F01" w14:textId="77777777" w:rsidR="002B6B28" w:rsidRPr="00203451" w:rsidRDefault="002B6B28" w:rsidP="00620701">
            <w:pPr>
              <w:jc w:val="center"/>
            </w:pPr>
            <w:r w:rsidRPr="00236DA8">
              <w:t>$654.12</w:t>
            </w:r>
          </w:p>
        </w:tc>
      </w:tr>
      <w:tr w:rsidR="002B6B28" w:rsidRPr="00556915" w14:paraId="26ABC8C6" w14:textId="77777777" w:rsidTr="00C35804">
        <w:trPr>
          <w:cantSplit/>
          <w:trHeight w:val="252"/>
        </w:trPr>
        <w:tc>
          <w:tcPr>
            <w:tcW w:w="4111" w:type="dxa"/>
            <w:shd w:val="clear" w:color="auto" w:fill="7F7F7F" w:themeFill="text1" w:themeFillTint="80"/>
            <w:vAlign w:val="center"/>
            <w:hideMark/>
          </w:tcPr>
          <w:p w14:paraId="42D8846D" w14:textId="77777777" w:rsidR="002B6B28" w:rsidRPr="00556915" w:rsidRDefault="002B6B28" w:rsidP="00620701">
            <w:pPr>
              <w:rPr>
                <w:color w:val="FFFFFF" w:themeColor="background1"/>
              </w:rPr>
            </w:pPr>
            <w:r w:rsidRPr="00556915">
              <w:rPr>
                <w:color w:val="FFFFFF" w:themeColor="background1"/>
              </w:rPr>
              <w:t>Sell or remove Aboriginal object</w:t>
            </w:r>
          </w:p>
        </w:tc>
        <w:tc>
          <w:tcPr>
            <w:tcW w:w="1985" w:type="dxa"/>
            <w:shd w:val="clear" w:color="auto" w:fill="auto"/>
            <w:vAlign w:val="center"/>
            <w:hideMark/>
          </w:tcPr>
          <w:p w14:paraId="075D3499" w14:textId="77777777" w:rsidR="002B6B28" w:rsidRPr="00556915" w:rsidRDefault="002B6B28" w:rsidP="00620701">
            <w:pPr>
              <w:jc w:val="center"/>
            </w:pPr>
            <w:r w:rsidRPr="00236DA8">
              <w:t>13</w:t>
            </w:r>
          </w:p>
        </w:tc>
        <w:tc>
          <w:tcPr>
            <w:tcW w:w="2410" w:type="dxa"/>
            <w:shd w:val="clear" w:color="auto" w:fill="auto"/>
            <w:vAlign w:val="center"/>
            <w:hideMark/>
          </w:tcPr>
          <w:p w14:paraId="1DB793BF" w14:textId="77777777" w:rsidR="002B6B28" w:rsidRPr="00203451" w:rsidRDefault="002B6B28" w:rsidP="00620701">
            <w:pPr>
              <w:jc w:val="center"/>
            </w:pPr>
            <w:r w:rsidRPr="00236DA8">
              <w:t>$184.86</w:t>
            </w:r>
          </w:p>
        </w:tc>
      </w:tr>
      <w:tr w:rsidR="002B6B28" w:rsidRPr="00556915" w14:paraId="5376618E" w14:textId="77777777" w:rsidTr="00C35804">
        <w:trPr>
          <w:cantSplit/>
          <w:trHeight w:val="252"/>
        </w:trPr>
        <w:tc>
          <w:tcPr>
            <w:tcW w:w="4111" w:type="dxa"/>
            <w:shd w:val="clear" w:color="auto" w:fill="7F7F7F" w:themeFill="text1" w:themeFillTint="80"/>
            <w:vAlign w:val="center"/>
            <w:hideMark/>
          </w:tcPr>
          <w:p w14:paraId="27422B39" w14:textId="77777777" w:rsidR="002B6B28" w:rsidRPr="00556915" w:rsidRDefault="002B6B28" w:rsidP="00620701">
            <w:pPr>
              <w:rPr>
                <w:b/>
                <w:bCs/>
                <w:color w:val="FFFFFF" w:themeColor="background1"/>
              </w:rPr>
            </w:pPr>
            <w:r w:rsidRPr="00556915">
              <w:rPr>
                <w:b/>
                <w:bCs/>
                <w:color w:val="FFFFFF" w:themeColor="background1"/>
              </w:rPr>
              <w:t>PAHTs</w:t>
            </w:r>
          </w:p>
        </w:tc>
        <w:tc>
          <w:tcPr>
            <w:tcW w:w="1985" w:type="dxa"/>
            <w:shd w:val="clear" w:color="auto" w:fill="auto"/>
            <w:vAlign w:val="center"/>
            <w:hideMark/>
          </w:tcPr>
          <w:p w14:paraId="3080F4A3" w14:textId="77777777" w:rsidR="002B6B28" w:rsidRPr="00556915" w:rsidRDefault="002B6B28" w:rsidP="00620701">
            <w:pPr>
              <w:jc w:val="center"/>
              <w:rPr>
                <w:b/>
                <w:bCs/>
              </w:rPr>
            </w:pPr>
          </w:p>
        </w:tc>
        <w:tc>
          <w:tcPr>
            <w:tcW w:w="2410" w:type="dxa"/>
            <w:shd w:val="clear" w:color="auto" w:fill="auto"/>
            <w:vAlign w:val="center"/>
            <w:hideMark/>
          </w:tcPr>
          <w:p w14:paraId="5E35DD44" w14:textId="77777777" w:rsidR="002B6B28" w:rsidRPr="00203451" w:rsidRDefault="002B6B28" w:rsidP="00620701">
            <w:pPr>
              <w:jc w:val="center"/>
            </w:pPr>
          </w:p>
        </w:tc>
      </w:tr>
      <w:tr w:rsidR="002B6B28" w:rsidRPr="00556915" w14:paraId="75E8C22D" w14:textId="77777777" w:rsidTr="00C35804">
        <w:trPr>
          <w:cantSplit/>
          <w:trHeight w:val="252"/>
        </w:trPr>
        <w:tc>
          <w:tcPr>
            <w:tcW w:w="4111" w:type="dxa"/>
            <w:shd w:val="clear" w:color="auto" w:fill="7F7F7F" w:themeFill="text1" w:themeFillTint="80"/>
            <w:vAlign w:val="center"/>
            <w:hideMark/>
          </w:tcPr>
          <w:p w14:paraId="7F8954FB" w14:textId="77777777" w:rsidR="002B6B28" w:rsidRPr="00556915" w:rsidRDefault="002B6B28" w:rsidP="00620701">
            <w:pPr>
              <w:rPr>
                <w:color w:val="FFFFFF" w:themeColor="background1"/>
              </w:rPr>
            </w:pPr>
            <w:r w:rsidRPr="00556915">
              <w:rPr>
                <w:color w:val="FFFFFF" w:themeColor="background1"/>
              </w:rPr>
              <w:t>Small activity</w:t>
            </w:r>
          </w:p>
        </w:tc>
        <w:tc>
          <w:tcPr>
            <w:tcW w:w="1985" w:type="dxa"/>
            <w:shd w:val="clear" w:color="auto" w:fill="auto"/>
            <w:vAlign w:val="center"/>
            <w:hideMark/>
          </w:tcPr>
          <w:p w14:paraId="528E1D90" w14:textId="77777777" w:rsidR="002B6B28" w:rsidRPr="00556915" w:rsidRDefault="002B6B28" w:rsidP="00620701">
            <w:pPr>
              <w:jc w:val="center"/>
            </w:pPr>
            <w:r w:rsidRPr="00236DA8">
              <w:t>40</w:t>
            </w:r>
          </w:p>
        </w:tc>
        <w:tc>
          <w:tcPr>
            <w:tcW w:w="2410" w:type="dxa"/>
            <w:shd w:val="clear" w:color="auto" w:fill="auto"/>
            <w:vAlign w:val="center"/>
            <w:hideMark/>
          </w:tcPr>
          <w:p w14:paraId="31110B3C" w14:textId="77777777" w:rsidR="002B6B28" w:rsidRPr="00203451" w:rsidRDefault="002B6B28" w:rsidP="00620701">
            <w:pPr>
              <w:jc w:val="center"/>
            </w:pPr>
            <w:r w:rsidRPr="00236DA8">
              <w:t>$568.80</w:t>
            </w:r>
          </w:p>
        </w:tc>
      </w:tr>
      <w:tr w:rsidR="002B6B28" w:rsidRPr="00556915" w14:paraId="5C6ABCCC" w14:textId="77777777" w:rsidTr="00C35804">
        <w:trPr>
          <w:cantSplit/>
          <w:trHeight w:val="252"/>
        </w:trPr>
        <w:tc>
          <w:tcPr>
            <w:tcW w:w="4111" w:type="dxa"/>
            <w:shd w:val="clear" w:color="auto" w:fill="7F7F7F" w:themeFill="text1" w:themeFillTint="80"/>
            <w:vAlign w:val="center"/>
            <w:hideMark/>
          </w:tcPr>
          <w:p w14:paraId="7D6E4030" w14:textId="77777777" w:rsidR="002B6B28" w:rsidRPr="00556915" w:rsidRDefault="002B6B28" w:rsidP="00620701">
            <w:pPr>
              <w:rPr>
                <w:color w:val="FFFFFF" w:themeColor="background1"/>
              </w:rPr>
            </w:pPr>
            <w:r w:rsidRPr="00556915">
              <w:rPr>
                <w:color w:val="FFFFFF" w:themeColor="background1"/>
              </w:rPr>
              <w:t>Medium activity</w:t>
            </w:r>
          </w:p>
        </w:tc>
        <w:tc>
          <w:tcPr>
            <w:tcW w:w="1985" w:type="dxa"/>
            <w:shd w:val="clear" w:color="auto" w:fill="auto"/>
            <w:vAlign w:val="center"/>
            <w:hideMark/>
          </w:tcPr>
          <w:p w14:paraId="09A17DC8" w14:textId="77777777" w:rsidR="002B6B28" w:rsidRPr="00556915" w:rsidRDefault="002B6B28" w:rsidP="00620701">
            <w:pPr>
              <w:jc w:val="center"/>
            </w:pPr>
            <w:r w:rsidRPr="00236DA8">
              <w:t>80</w:t>
            </w:r>
          </w:p>
        </w:tc>
        <w:tc>
          <w:tcPr>
            <w:tcW w:w="2410" w:type="dxa"/>
            <w:shd w:val="clear" w:color="auto" w:fill="auto"/>
            <w:vAlign w:val="center"/>
            <w:hideMark/>
          </w:tcPr>
          <w:p w14:paraId="13631D61" w14:textId="77777777" w:rsidR="002B6B28" w:rsidRPr="00203451" w:rsidRDefault="002B6B28" w:rsidP="00620701">
            <w:pPr>
              <w:jc w:val="center"/>
            </w:pPr>
            <w:r w:rsidRPr="00236DA8">
              <w:t>$1,137.60</w:t>
            </w:r>
          </w:p>
        </w:tc>
      </w:tr>
      <w:tr w:rsidR="002B6B28" w:rsidRPr="00556915" w14:paraId="2EA83D31" w14:textId="77777777" w:rsidTr="00C35804">
        <w:trPr>
          <w:cantSplit/>
          <w:trHeight w:val="252"/>
        </w:trPr>
        <w:tc>
          <w:tcPr>
            <w:tcW w:w="4111" w:type="dxa"/>
            <w:shd w:val="clear" w:color="auto" w:fill="7F7F7F" w:themeFill="text1" w:themeFillTint="80"/>
            <w:vAlign w:val="center"/>
            <w:hideMark/>
          </w:tcPr>
          <w:p w14:paraId="05D9BE8C" w14:textId="77777777" w:rsidR="002B6B28" w:rsidRPr="00556915" w:rsidRDefault="002B6B28" w:rsidP="00620701">
            <w:pPr>
              <w:rPr>
                <w:color w:val="FFFFFF" w:themeColor="background1"/>
              </w:rPr>
            </w:pPr>
            <w:r w:rsidRPr="00556915">
              <w:rPr>
                <w:color w:val="FFFFFF" w:themeColor="background1"/>
              </w:rPr>
              <w:t>Large activity</w:t>
            </w:r>
          </w:p>
        </w:tc>
        <w:tc>
          <w:tcPr>
            <w:tcW w:w="1985" w:type="dxa"/>
            <w:shd w:val="clear" w:color="auto" w:fill="auto"/>
            <w:vAlign w:val="center"/>
            <w:hideMark/>
          </w:tcPr>
          <w:p w14:paraId="0D6FAB92" w14:textId="77777777" w:rsidR="002B6B28" w:rsidRPr="00556915" w:rsidRDefault="002B6B28" w:rsidP="00620701">
            <w:pPr>
              <w:jc w:val="center"/>
            </w:pPr>
            <w:r w:rsidRPr="00236DA8">
              <w:t>120</w:t>
            </w:r>
          </w:p>
        </w:tc>
        <w:tc>
          <w:tcPr>
            <w:tcW w:w="2410" w:type="dxa"/>
            <w:shd w:val="clear" w:color="auto" w:fill="auto"/>
            <w:vAlign w:val="center"/>
            <w:hideMark/>
          </w:tcPr>
          <w:p w14:paraId="1015C80C" w14:textId="77777777" w:rsidR="002B6B28" w:rsidRPr="00203451" w:rsidRDefault="002B6B28" w:rsidP="00620701">
            <w:pPr>
              <w:jc w:val="center"/>
            </w:pPr>
            <w:r w:rsidRPr="00236DA8">
              <w:t>$1,706.40</w:t>
            </w:r>
          </w:p>
        </w:tc>
      </w:tr>
      <w:tr w:rsidR="002B6B28" w:rsidRPr="00556915" w14:paraId="3673B293" w14:textId="77777777" w:rsidTr="00C35804">
        <w:trPr>
          <w:cantSplit/>
          <w:trHeight w:val="252"/>
        </w:trPr>
        <w:tc>
          <w:tcPr>
            <w:tcW w:w="4111" w:type="dxa"/>
            <w:shd w:val="clear" w:color="auto" w:fill="7F7F7F" w:themeFill="text1" w:themeFillTint="80"/>
            <w:vAlign w:val="center"/>
            <w:hideMark/>
          </w:tcPr>
          <w:p w14:paraId="0740498F" w14:textId="77777777" w:rsidR="002B6B28" w:rsidRPr="00556915" w:rsidRDefault="002B6B28" w:rsidP="00620701">
            <w:pPr>
              <w:rPr>
                <w:b/>
                <w:bCs/>
                <w:color w:val="FFFFFF" w:themeColor="background1"/>
              </w:rPr>
            </w:pPr>
            <w:r w:rsidRPr="00556915">
              <w:rPr>
                <w:b/>
                <w:bCs/>
                <w:color w:val="FFFFFF" w:themeColor="background1"/>
              </w:rPr>
              <w:t>NOI to prepare a CHMP</w:t>
            </w:r>
          </w:p>
        </w:tc>
        <w:tc>
          <w:tcPr>
            <w:tcW w:w="1985" w:type="dxa"/>
            <w:shd w:val="clear" w:color="auto" w:fill="auto"/>
            <w:vAlign w:val="center"/>
            <w:hideMark/>
          </w:tcPr>
          <w:p w14:paraId="4852B4BC" w14:textId="77777777" w:rsidR="002B6B28" w:rsidRPr="00556915" w:rsidRDefault="002B6B28" w:rsidP="00620701">
            <w:pPr>
              <w:jc w:val="center"/>
            </w:pPr>
            <w:r w:rsidRPr="00236DA8">
              <w:t>8</w:t>
            </w:r>
          </w:p>
        </w:tc>
        <w:tc>
          <w:tcPr>
            <w:tcW w:w="2410" w:type="dxa"/>
            <w:shd w:val="clear" w:color="auto" w:fill="auto"/>
            <w:vAlign w:val="center"/>
            <w:hideMark/>
          </w:tcPr>
          <w:p w14:paraId="27EC7C92" w14:textId="77777777" w:rsidR="002B6B28" w:rsidRPr="00203451" w:rsidRDefault="002B6B28" w:rsidP="00620701">
            <w:pPr>
              <w:jc w:val="center"/>
            </w:pPr>
            <w:r w:rsidRPr="00236DA8">
              <w:t>$113.76</w:t>
            </w:r>
          </w:p>
        </w:tc>
      </w:tr>
      <w:tr w:rsidR="00A1550E" w:rsidRPr="00556915" w14:paraId="0A3A3665" w14:textId="77777777" w:rsidTr="00556BFB">
        <w:trPr>
          <w:cantSplit/>
          <w:trHeight w:val="252"/>
        </w:trPr>
        <w:tc>
          <w:tcPr>
            <w:tcW w:w="4111" w:type="dxa"/>
            <w:shd w:val="clear" w:color="auto" w:fill="7F7F7F" w:themeFill="text1" w:themeFillTint="80"/>
            <w:vAlign w:val="center"/>
            <w:hideMark/>
          </w:tcPr>
          <w:p w14:paraId="0F967A76" w14:textId="77777777" w:rsidR="00A1550E" w:rsidRPr="00556915" w:rsidRDefault="00A1550E" w:rsidP="00620701">
            <w:pPr>
              <w:rPr>
                <w:b/>
                <w:bCs/>
                <w:color w:val="FFFFFF" w:themeColor="background1"/>
              </w:rPr>
            </w:pPr>
            <w:r w:rsidRPr="00556915">
              <w:rPr>
                <w:b/>
                <w:bCs/>
                <w:color w:val="FFFFFF" w:themeColor="background1"/>
              </w:rPr>
              <w:t>CHMPs - one authority only</w:t>
            </w:r>
          </w:p>
        </w:tc>
        <w:tc>
          <w:tcPr>
            <w:tcW w:w="4395" w:type="dxa"/>
            <w:gridSpan w:val="2"/>
            <w:shd w:val="clear" w:color="auto" w:fill="auto"/>
            <w:vAlign w:val="center"/>
            <w:hideMark/>
          </w:tcPr>
          <w:p w14:paraId="5379FF0B" w14:textId="77777777" w:rsidR="00A1550E" w:rsidRPr="00203451" w:rsidRDefault="00A1550E" w:rsidP="00620701">
            <w:pPr>
              <w:jc w:val="center"/>
            </w:pPr>
          </w:p>
        </w:tc>
      </w:tr>
      <w:tr w:rsidR="002B6B28" w:rsidRPr="00556915" w14:paraId="75902C74" w14:textId="77777777" w:rsidTr="00C35804">
        <w:trPr>
          <w:cantSplit/>
          <w:trHeight w:val="252"/>
        </w:trPr>
        <w:tc>
          <w:tcPr>
            <w:tcW w:w="4111" w:type="dxa"/>
            <w:shd w:val="clear" w:color="auto" w:fill="7F7F7F" w:themeFill="text1" w:themeFillTint="80"/>
            <w:vAlign w:val="center"/>
            <w:hideMark/>
          </w:tcPr>
          <w:p w14:paraId="76457BA8" w14:textId="77777777" w:rsidR="002B6B28" w:rsidRPr="00556915" w:rsidRDefault="002B6B28" w:rsidP="00620701">
            <w:pPr>
              <w:rPr>
                <w:color w:val="FFFFFF" w:themeColor="background1"/>
              </w:rPr>
            </w:pPr>
            <w:r w:rsidRPr="00556915">
              <w:rPr>
                <w:color w:val="FFFFFF" w:themeColor="background1"/>
              </w:rPr>
              <w:t>Desktop assessment - small activity</w:t>
            </w:r>
          </w:p>
        </w:tc>
        <w:tc>
          <w:tcPr>
            <w:tcW w:w="1985" w:type="dxa"/>
            <w:shd w:val="clear" w:color="auto" w:fill="auto"/>
            <w:vAlign w:val="center"/>
            <w:hideMark/>
          </w:tcPr>
          <w:p w14:paraId="62A5DA5C" w14:textId="77777777" w:rsidR="002B6B28" w:rsidRPr="00556915" w:rsidRDefault="002B6B28" w:rsidP="00620701">
            <w:pPr>
              <w:jc w:val="center"/>
            </w:pPr>
            <w:r w:rsidRPr="00236DA8">
              <w:t>10</w:t>
            </w:r>
          </w:p>
        </w:tc>
        <w:tc>
          <w:tcPr>
            <w:tcW w:w="2410" w:type="dxa"/>
            <w:shd w:val="clear" w:color="auto" w:fill="auto"/>
            <w:vAlign w:val="center"/>
            <w:hideMark/>
          </w:tcPr>
          <w:p w14:paraId="0FB6DEDB" w14:textId="77777777" w:rsidR="002B6B28" w:rsidRPr="00203451" w:rsidRDefault="002B6B28" w:rsidP="00620701">
            <w:pPr>
              <w:jc w:val="center"/>
            </w:pPr>
            <w:r w:rsidRPr="00236DA8">
              <w:t>$142.20</w:t>
            </w:r>
          </w:p>
        </w:tc>
      </w:tr>
      <w:tr w:rsidR="002B6B28" w:rsidRPr="00556915" w14:paraId="462E75F2" w14:textId="77777777" w:rsidTr="00C35804">
        <w:trPr>
          <w:cantSplit/>
          <w:trHeight w:val="252"/>
        </w:trPr>
        <w:tc>
          <w:tcPr>
            <w:tcW w:w="4111" w:type="dxa"/>
            <w:shd w:val="clear" w:color="auto" w:fill="7F7F7F" w:themeFill="text1" w:themeFillTint="80"/>
            <w:vAlign w:val="center"/>
            <w:hideMark/>
          </w:tcPr>
          <w:p w14:paraId="3706677C" w14:textId="77777777" w:rsidR="002B6B28" w:rsidRPr="00556915" w:rsidRDefault="002B6B28" w:rsidP="00620701">
            <w:pPr>
              <w:rPr>
                <w:color w:val="FFFFFF" w:themeColor="background1"/>
              </w:rPr>
            </w:pPr>
            <w:r w:rsidRPr="00556915">
              <w:rPr>
                <w:color w:val="FFFFFF" w:themeColor="background1"/>
              </w:rPr>
              <w:t>Desktop assessment - medium activity</w:t>
            </w:r>
          </w:p>
        </w:tc>
        <w:tc>
          <w:tcPr>
            <w:tcW w:w="1985" w:type="dxa"/>
            <w:shd w:val="clear" w:color="auto" w:fill="auto"/>
            <w:vAlign w:val="center"/>
            <w:hideMark/>
          </w:tcPr>
          <w:p w14:paraId="0BBCD7F1" w14:textId="77777777" w:rsidR="002B6B28" w:rsidRPr="00556915" w:rsidRDefault="002B6B28" w:rsidP="00620701">
            <w:pPr>
              <w:jc w:val="center"/>
            </w:pPr>
            <w:r w:rsidRPr="00236DA8">
              <w:t>20</w:t>
            </w:r>
          </w:p>
        </w:tc>
        <w:tc>
          <w:tcPr>
            <w:tcW w:w="2410" w:type="dxa"/>
            <w:shd w:val="clear" w:color="auto" w:fill="auto"/>
            <w:vAlign w:val="center"/>
            <w:hideMark/>
          </w:tcPr>
          <w:p w14:paraId="66B4EE7F" w14:textId="77777777" w:rsidR="002B6B28" w:rsidRPr="00203451" w:rsidRDefault="002B6B28" w:rsidP="00620701">
            <w:pPr>
              <w:jc w:val="center"/>
            </w:pPr>
            <w:r w:rsidRPr="00236DA8">
              <w:t>$284.40</w:t>
            </w:r>
          </w:p>
        </w:tc>
      </w:tr>
      <w:tr w:rsidR="002B6B28" w:rsidRPr="00556915" w14:paraId="59231B58" w14:textId="77777777" w:rsidTr="00C35804">
        <w:trPr>
          <w:cantSplit/>
          <w:trHeight w:val="252"/>
        </w:trPr>
        <w:tc>
          <w:tcPr>
            <w:tcW w:w="4111" w:type="dxa"/>
            <w:shd w:val="clear" w:color="auto" w:fill="7F7F7F" w:themeFill="text1" w:themeFillTint="80"/>
            <w:vAlign w:val="center"/>
            <w:hideMark/>
          </w:tcPr>
          <w:p w14:paraId="7F6FAFC2" w14:textId="77777777" w:rsidR="002B6B28" w:rsidRPr="00556915" w:rsidRDefault="002B6B28" w:rsidP="00620701">
            <w:pPr>
              <w:rPr>
                <w:color w:val="FFFFFF" w:themeColor="background1"/>
              </w:rPr>
            </w:pPr>
            <w:r w:rsidRPr="00556915">
              <w:rPr>
                <w:color w:val="FFFFFF" w:themeColor="background1"/>
              </w:rPr>
              <w:t>Desktop assessment - large activity</w:t>
            </w:r>
          </w:p>
        </w:tc>
        <w:tc>
          <w:tcPr>
            <w:tcW w:w="1985" w:type="dxa"/>
            <w:shd w:val="clear" w:color="auto" w:fill="auto"/>
            <w:vAlign w:val="center"/>
            <w:hideMark/>
          </w:tcPr>
          <w:p w14:paraId="7AB6A66D" w14:textId="77777777" w:rsidR="002B6B28" w:rsidRPr="00556915" w:rsidRDefault="002B6B28" w:rsidP="00620701">
            <w:pPr>
              <w:jc w:val="center"/>
            </w:pPr>
            <w:r w:rsidRPr="00236DA8">
              <w:t>40</w:t>
            </w:r>
          </w:p>
        </w:tc>
        <w:tc>
          <w:tcPr>
            <w:tcW w:w="2410" w:type="dxa"/>
            <w:shd w:val="clear" w:color="auto" w:fill="auto"/>
            <w:vAlign w:val="center"/>
            <w:hideMark/>
          </w:tcPr>
          <w:p w14:paraId="4C1B94AA" w14:textId="77777777" w:rsidR="002B6B28" w:rsidRPr="00203451" w:rsidRDefault="002B6B28" w:rsidP="00620701">
            <w:pPr>
              <w:jc w:val="center"/>
            </w:pPr>
            <w:r w:rsidRPr="00236DA8">
              <w:t>$568.80</w:t>
            </w:r>
          </w:p>
        </w:tc>
      </w:tr>
      <w:tr w:rsidR="002B6B28" w:rsidRPr="00556915" w14:paraId="6783320E" w14:textId="77777777" w:rsidTr="00C35804">
        <w:trPr>
          <w:cantSplit/>
          <w:trHeight w:val="252"/>
        </w:trPr>
        <w:tc>
          <w:tcPr>
            <w:tcW w:w="4111" w:type="dxa"/>
            <w:shd w:val="clear" w:color="auto" w:fill="7F7F7F" w:themeFill="text1" w:themeFillTint="80"/>
            <w:vAlign w:val="center"/>
            <w:hideMark/>
          </w:tcPr>
          <w:p w14:paraId="32DCD3CA" w14:textId="77777777" w:rsidR="002B6B28" w:rsidRPr="00556915" w:rsidRDefault="002B6B28" w:rsidP="00620701">
            <w:pPr>
              <w:rPr>
                <w:color w:val="FFFFFF" w:themeColor="background1"/>
              </w:rPr>
            </w:pPr>
            <w:r w:rsidRPr="00556915">
              <w:rPr>
                <w:color w:val="FFFFFF" w:themeColor="background1"/>
              </w:rPr>
              <w:t>Standard assessment - small activity</w:t>
            </w:r>
          </w:p>
        </w:tc>
        <w:tc>
          <w:tcPr>
            <w:tcW w:w="1985" w:type="dxa"/>
            <w:shd w:val="clear" w:color="auto" w:fill="auto"/>
            <w:vAlign w:val="center"/>
            <w:hideMark/>
          </w:tcPr>
          <w:p w14:paraId="5CB5B789" w14:textId="77777777" w:rsidR="002B6B28" w:rsidRPr="00556915" w:rsidRDefault="002B6B28" w:rsidP="00620701">
            <w:pPr>
              <w:jc w:val="center"/>
            </w:pPr>
            <w:r w:rsidRPr="00236DA8">
              <w:t>40</w:t>
            </w:r>
          </w:p>
        </w:tc>
        <w:tc>
          <w:tcPr>
            <w:tcW w:w="2410" w:type="dxa"/>
            <w:shd w:val="clear" w:color="auto" w:fill="auto"/>
            <w:vAlign w:val="center"/>
            <w:hideMark/>
          </w:tcPr>
          <w:p w14:paraId="424EE3BA" w14:textId="77777777" w:rsidR="002B6B28" w:rsidRPr="00203451" w:rsidRDefault="002B6B28" w:rsidP="00620701">
            <w:pPr>
              <w:jc w:val="center"/>
            </w:pPr>
            <w:r w:rsidRPr="00236DA8">
              <w:t>$568.80</w:t>
            </w:r>
          </w:p>
        </w:tc>
      </w:tr>
      <w:tr w:rsidR="002B6B28" w:rsidRPr="00556915" w14:paraId="165B958B" w14:textId="77777777" w:rsidTr="00C35804">
        <w:trPr>
          <w:cantSplit/>
          <w:trHeight w:val="252"/>
        </w:trPr>
        <w:tc>
          <w:tcPr>
            <w:tcW w:w="4111" w:type="dxa"/>
            <w:shd w:val="clear" w:color="auto" w:fill="7F7F7F" w:themeFill="text1" w:themeFillTint="80"/>
            <w:vAlign w:val="center"/>
            <w:hideMark/>
          </w:tcPr>
          <w:p w14:paraId="2F243AF9" w14:textId="77777777" w:rsidR="002B6B28" w:rsidRPr="00556915" w:rsidRDefault="002B6B28" w:rsidP="00620701">
            <w:pPr>
              <w:rPr>
                <w:color w:val="FFFFFF" w:themeColor="background1"/>
              </w:rPr>
            </w:pPr>
            <w:r w:rsidRPr="00556915">
              <w:rPr>
                <w:color w:val="FFFFFF" w:themeColor="background1"/>
              </w:rPr>
              <w:t>Standard assessment - medium activity</w:t>
            </w:r>
          </w:p>
        </w:tc>
        <w:tc>
          <w:tcPr>
            <w:tcW w:w="1985" w:type="dxa"/>
            <w:shd w:val="clear" w:color="auto" w:fill="auto"/>
            <w:vAlign w:val="center"/>
            <w:hideMark/>
          </w:tcPr>
          <w:p w14:paraId="1BF72DEA" w14:textId="77777777" w:rsidR="002B6B28" w:rsidRPr="00556915" w:rsidRDefault="002B6B28" w:rsidP="00620701">
            <w:pPr>
              <w:jc w:val="center"/>
            </w:pPr>
            <w:r w:rsidRPr="00236DA8">
              <w:t>80</w:t>
            </w:r>
          </w:p>
        </w:tc>
        <w:tc>
          <w:tcPr>
            <w:tcW w:w="2410" w:type="dxa"/>
            <w:shd w:val="clear" w:color="auto" w:fill="auto"/>
            <w:vAlign w:val="center"/>
            <w:hideMark/>
          </w:tcPr>
          <w:p w14:paraId="74A91A1C" w14:textId="77777777" w:rsidR="002B6B28" w:rsidRPr="00203451" w:rsidRDefault="002B6B28" w:rsidP="00620701">
            <w:pPr>
              <w:jc w:val="center"/>
            </w:pPr>
            <w:r w:rsidRPr="00236DA8">
              <w:t>$1,137.60</w:t>
            </w:r>
          </w:p>
        </w:tc>
      </w:tr>
      <w:tr w:rsidR="002B6B28" w:rsidRPr="00556915" w14:paraId="5F2DDE36" w14:textId="77777777" w:rsidTr="00C35804">
        <w:trPr>
          <w:cantSplit/>
          <w:trHeight w:val="252"/>
        </w:trPr>
        <w:tc>
          <w:tcPr>
            <w:tcW w:w="4111" w:type="dxa"/>
            <w:shd w:val="clear" w:color="auto" w:fill="7F7F7F" w:themeFill="text1" w:themeFillTint="80"/>
            <w:vAlign w:val="center"/>
            <w:hideMark/>
          </w:tcPr>
          <w:p w14:paraId="5284A23A" w14:textId="77777777" w:rsidR="002B6B28" w:rsidRPr="00556915" w:rsidRDefault="002B6B28" w:rsidP="00620701">
            <w:pPr>
              <w:rPr>
                <w:color w:val="FFFFFF" w:themeColor="background1"/>
              </w:rPr>
            </w:pPr>
            <w:r w:rsidRPr="00556915">
              <w:rPr>
                <w:color w:val="FFFFFF" w:themeColor="background1"/>
              </w:rPr>
              <w:t>Standard assessment - large activity</w:t>
            </w:r>
          </w:p>
        </w:tc>
        <w:tc>
          <w:tcPr>
            <w:tcW w:w="1985" w:type="dxa"/>
            <w:shd w:val="clear" w:color="auto" w:fill="auto"/>
            <w:vAlign w:val="center"/>
            <w:hideMark/>
          </w:tcPr>
          <w:p w14:paraId="455075C5" w14:textId="77777777" w:rsidR="002B6B28" w:rsidRPr="00556915" w:rsidRDefault="002B6B28" w:rsidP="00620701">
            <w:pPr>
              <w:jc w:val="center"/>
            </w:pPr>
            <w:r w:rsidRPr="00236DA8">
              <w:t>120</w:t>
            </w:r>
          </w:p>
        </w:tc>
        <w:tc>
          <w:tcPr>
            <w:tcW w:w="2410" w:type="dxa"/>
            <w:shd w:val="clear" w:color="auto" w:fill="auto"/>
            <w:vAlign w:val="center"/>
            <w:hideMark/>
          </w:tcPr>
          <w:p w14:paraId="3AC2D338" w14:textId="77777777" w:rsidR="002B6B28" w:rsidRPr="00203451" w:rsidRDefault="002B6B28" w:rsidP="00620701">
            <w:pPr>
              <w:jc w:val="center"/>
            </w:pPr>
            <w:r w:rsidRPr="00236DA8">
              <w:t>$1,706.40</w:t>
            </w:r>
          </w:p>
        </w:tc>
      </w:tr>
      <w:tr w:rsidR="002B6B28" w:rsidRPr="00556915" w14:paraId="08F415C2" w14:textId="77777777" w:rsidTr="00C35804">
        <w:trPr>
          <w:cantSplit/>
          <w:trHeight w:val="252"/>
        </w:trPr>
        <w:tc>
          <w:tcPr>
            <w:tcW w:w="4111" w:type="dxa"/>
            <w:shd w:val="clear" w:color="auto" w:fill="7F7F7F" w:themeFill="text1" w:themeFillTint="80"/>
            <w:vAlign w:val="center"/>
            <w:hideMark/>
          </w:tcPr>
          <w:p w14:paraId="7DB2B9C5" w14:textId="77777777" w:rsidR="002B6B28" w:rsidRPr="00556915" w:rsidRDefault="002B6B28" w:rsidP="00620701">
            <w:pPr>
              <w:rPr>
                <w:color w:val="FFFFFF" w:themeColor="background1"/>
              </w:rPr>
            </w:pPr>
            <w:r w:rsidRPr="00556915">
              <w:rPr>
                <w:color w:val="FFFFFF" w:themeColor="background1"/>
              </w:rPr>
              <w:t>Complex assessment - small activity</w:t>
            </w:r>
          </w:p>
        </w:tc>
        <w:tc>
          <w:tcPr>
            <w:tcW w:w="1985" w:type="dxa"/>
            <w:shd w:val="clear" w:color="auto" w:fill="auto"/>
            <w:vAlign w:val="center"/>
            <w:hideMark/>
          </w:tcPr>
          <w:p w14:paraId="4C8DB9F2" w14:textId="77777777" w:rsidR="002B6B28" w:rsidRPr="00556915" w:rsidRDefault="002B6B28" w:rsidP="00620701">
            <w:pPr>
              <w:jc w:val="center"/>
            </w:pPr>
            <w:r w:rsidRPr="00236DA8">
              <w:t>60</w:t>
            </w:r>
          </w:p>
        </w:tc>
        <w:tc>
          <w:tcPr>
            <w:tcW w:w="2410" w:type="dxa"/>
            <w:shd w:val="clear" w:color="auto" w:fill="auto"/>
            <w:vAlign w:val="center"/>
            <w:hideMark/>
          </w:tcPr>
          <w:p w14:paraId="74234AA8" w14:textId="77777777" w:rsidR="002B6B28" w:rsidRPr="00203451" w:rsidRDefault="002B6B28" w:rsidP="00620701">
            <w:pPr>
              <w:jc w:val="center"/>
            </w:pPr>
            <w:r w:rsidRPr="00236DA8">
              <w:t>$853.20</w:t>
            </w:r>
          </w:p>
        </w:tc>
      </w:tr>
      <w:tr w:rsidR="002B6B28" w:rsidRPr="00556915" w14:paraId="0E77B432" w14:textId="77777777" w:rsidTr="00C35804">
        <w:trPr>
          <w:cantSplit/>
          <w:trHeight w:val="252"/>
        </w:trPr>
        <w:tc>
          <w:tcPr>
            <w:tcW w:w="4111" w:type="dxa"/>
            <w:shd w:val="clear" w:color="auto" w:fill="7F7F7F" w:themeFill="text1" w:themeFillTint="80"/>
            <w:vAlign w:val="center"/>
            <w:hideMark/>
          </w:tcPr>
          <w:p w14:paraId="16F3575F" w14:textId="77777777" w:rsidR="002B6B28" w:rsidRPr="00556915" w:rsidRDefault="002B6B28" w:rsidP="00620701">
            <w:pPr>
              <w:rPr>
                <w:color w:val="FFFFFF" w:themeColor="background1"/>
              </w:rPr>
            </w:pPr>
            <w:r w:rsidRPr="00556915">
              <w:rPr>
                <w:color w:val="FFFFFF" w:themeColor="background1"/>
              </w:rPr>
              <w:t>Complex assessment - medium activity</w:t>
            </w:r>
          </w:p>
        </w:tc>
        <w:tc>
          <w:tcPr>
            <w:tcW w:w="1985" w:type="dxa"/>
            <w:shd w:val="clear" w:color="auto" w:fill="auto"/>
            <w:vAlign w:val="center"/>
            <w:hideMark/>
          </w:tcPr>
          <w:p w14:paraId="106B8B37" w14:textId="77777777" w:rsidR="002B6B28" w:rsidRPr="00556915" w:rsidRDefault="002B6B28" w:rsidP="00620701">
            <w:pPr>
              <w:jc w:val="center"/>
            </w:pPr>
            <w:r w:rsidRPr="00236DA8">
              <w:t>120</w:t>
            </w:r>
          </w:p>
        </w:tc>
        <w:tc>
          <w:tcPr>
            <w:tcW w:w="2410" w:type="dxa"/>
            <w:shd w:val="clear" w:color="auto" w:fill="auto"/>
            <w:vAlign w:val="center"/>
            <w:hideMark/>
          </w:tcPr>
          <w:p w14:paraId="08C87D33" w14:textId="77777777" w:rsidR="002B6B28" w:rsidRPr="00203451" w:rsidRDefault="002B6B28" w:rsidP="00620701">
            <w:pPr>
              <w:jc w:val="center"/>
            </w:pPr>
            <w:r w:rsidRPr="00236DA8">
              <w:t>$1,706.40</w:t>
            </w:r>
          </w:p>
        </w:tc>
      </w:tr>
      <w:tr w:rsidR="002B6B28" w:rsidRPr="00556915" w14:paraId="69F06B7D" w14:textId="77777777" w:rsidTr="00C35804">
        <w:trPr>
          <w:cantSplit/>
          <w:trHeight w:val="252"/>
        </w:trPr>
        <w:tc>
          <w:tcPr>
            <w:tcW w:w="4111" w:type="dxa"/>
            <w:shd w:val="clear" w:color="auto" w:fill="7F7F7F" w:themeFill="text1" w:themeFillTint="80"/>
            <w:vAlign w:val="center"/>
            <w:hideMark/>
          </w:tcPr>
          <w:p w14:paraId="21488B27" w14:textId="77777777" w:rsidR="002B6B28" w:rsidRPr="00556915" w:rsidRDefault="002B6B28" w:rsidP="00620701">
            <w:pPr>
              <w:rPr>
                <w:color w:val="FFFFFF" w:themeColor="background1"/>
              </w:rPr>
            </w:pPr>
            <w:r w:rsidRPr="00556915">
              <w:rPr>
                <w:color w:val="FFFFFF" w:themeColor="background1"/>
              </w:rPr>
              <w:t>Complex assessment - large activity</w:t>
            </w:r>
          </w:p>
        </w:tc>
        <w:tc>
          <w:tcPr>
            <w:tcW w:w="1985" w:type="dxa"/>
            <w:shd w:val="clear" w:color="auto" w:fill="auto"/>
            <w:vAlign w:val="center"/>
            <w:hideMark/>
          </w:tcPr>
          <w:p w14:paraId="770F185A" w14:textId="77777777" w:rsidR="002B6B28" w:rsidRPr="00556915" w:rsidRDefault="002B6B28" w:rsidP="00620701">
            <w:pPr>
              <w:jc w:val="center"/>
            </w:pPr>
            <w:r w:rsidRPr="00236DA8">
              <w:t>240</w:t>
            </w:r>
          </w:p>
        </w:tc>
        <w:tc>
          <w:tcPr>
            <w:tcW w:w="2410" w:type="dxa"/>
            <w:shd w:val="clear" w:color="auto" w:fill="auto"/>
            <w:vAlign w:val="center"/>
            <w:hideMark/>
          </w:tcPr>
          <w:p w14:paraId="192635F3" w14:textId="77777777" w:rsidR="002B6B28" w:rsidRPr="00203451" w:rsidRDefault="002B6B28" w:rsidP="00620701">
            <w:pPr>
              <w:jc w:val="center"/>
            </w:pPr>
            <w:r w:rsidRPr="00236DA8">
              <w:t>$3,412.80</w:t>
            </w:r>
          </w:p>
        </w:tc>
      </w:tr>
      <w:tr w:rsidR="00A1550E" w:rsidRPr="00556915" w14:paraId="0B2055FF" w14:textId="77777777" w:rsidTr="002736DF">
        <w:trPr>
          <w:cantSplit/>
          <w:trHeight w:val="252"/>
        </w:trPr>
        <w:tc>
          <w:tcPr>
            <w:tcW w:w="4111" w:type="dxa"/>
            <w:shd w:val="clear" w:color="auto" w:fill="7F7F7F" w:themeFill="text1" w:themeFillTint="80"/>
            <w:vAlign w:val="center"/>
            <w:hideMark/>
          </w:tcPr>
          <w:p w14:paraId="47588DCD" w14:textId="77777777" w:rsidR="00A1550E" w:rsidRPr="00556915" w:rsidRDefault="00A1550E" w:rsidP="00620701">
            <w:pPr>
              <w:rPr>
                <w:b/>
                <w:bCs/>
                <w:color w:val="FFFFFF" w:themeColor="background1"/>
              </w:rPr>
            </w:pPr>
            <w:r w:rsidRPr="00556915">
              <w:rPr>
                <w:b/>
                <w:bCs/>
                <w:color w:val="FFFFFF" w:themeColor="background1"/>
              </w:rPr>
              <w:t>CHMPs - two authorities</w:t>
            </w:r>
          </w:p>
        </w:tc>
        <w:tc>
          <w:tcPr>
            <w:tcW w:w="4395" w:type="dxa"/>
            <w:gridSpan w:val="2"/>
            <w:shd w:val="clear" w:color="auto" w:fill="auto"/>
            <w:vAlign w:val="center"/>
            <w:hideMark/>
          </w:tcPr>
          <w:p w14:paraId="07A61FD8" w14:textId="77777777" w:rsidR="00A1550E" w:rsidRPr="00203451" w:rsidRDefault="00A1550E" w:rsidP="00620701">
            <w:pPr>
              <w:jc w:val="center"/>
            </w:pPr>
          </w:p>
        </w:tc>
      </w:tr>
      <w:tr w:rsidR="002B6B28" w:rsidRPr="00556915" w14:paraId="5BF5AD4E" w14:textId="77777777" w:rsidTr="00C35804">
        <w:trPr>
          <w:cantSplit/>
          <w:trHeight w:val="252"/>
        </w:trPr>
        <w:tc>
          <w:tcPr>
            <w:tcW w:w="4111" w:type="dxa"/>
            <w:shd w:val="clear" w:color="auto" w:fill="7F7F7F" w:themeFill="text1" w:themeFillTint="80"/>
            <w:vAlign w:val="center"/>
            <w:hideMark/>
          </w:tcPr>
          <w:p w14:paraId="728FD7C6" w14:textId="77777777" w:rsidR="002B6B28" w:rsidRPr="00556915" w:rsidRDefault="002B6B28" w:rsidP="00620701">
            <w:pPr>
              <w:rPr>
                <w:color w:val="FFFFFF" w:themeColor="background1"/>
              </w:rPr>
            </w:pPr>
            <w:r w:rsidRPr="00556915">
              <w:rPr>
                <w:color w:val="FFFFFF" w:themeColor="background1"/>
              </w:rPr>
              <w:t>Desktop assessment - small activity</w:t>
            </w:r>
          </w:p>
        </w:tc>
        <w:tc>
          <w:tcPr>
            <w:tcW w:w="1985" w:type="dxa"/>
            <w:shd w:val="clear" w:color="auto" w:fill="auto"/>
            <w:vAlign w:val="center"/>
            <w:hideMark/>
          </w:tcPr>
          <w:p w14:paraId="1355B35B" w14:textId="77777777" w:rsidR="002B6B28" w:rsidRPr="00556915" w:rsidRDefault="002B6B28" w:rsidP="00620701">
            <w:pPr>
              <w:jc w:val="center"/>
            </w:pPr>
            <w:r w:rsidRPr="00236DA8">
              <w:t>8</w:t>
            </w:r>
          </w:p>
        </w:tc>
        <w:tc>
          <w:tcPr>
            <w:tcW w:w="2410" w:type="dxa"/>
            <w:shd w:val="clear" w:color="auto" w:fill="auto"/>
            <w:vAlign w:val="center"/>
            <w:hideMark/>
          </w:tcPr>
          <w:p w14:paraId="59CE573D" w14:textId="77777777" w:rsidR="002B6B28" w:rsidRPr="00203451" w:rsidRDefault="002B6B28" w:rsidP="00620701">
            <w:pPr>
              <w:jc w:val="center"/>
            </w:pPr>
            <w:r w:rsidRPr="00236DA8">
              <w:t>$113.76</w:t>
            </w:r>
          </w:p>
        </w:tc>
      </w:tr>
      <w:tr w:rsidR="002B6B28" w:rsidRPr="00556915" w14:paraId="28A934B3" w14:textId="77777777" w:rsidTr="00C35804">
        <w:trPr>
          <w:cantSplit/>
          <w:trHeight w:val="252"/>
        </w:trPr>
        <w:tc>
          <w:tcPr>
            <w:tcW w:w="4111" w:type="dxa"/>
            <w:shd w:val="clear" w:color="auto" w:fill="7F7F7F" w:themeFill="text1" w:themeFillTint="80"/>
            <w:vAlign w:val="center"/>
            <w:hideMark/>
          </w:tcPr>
          <w:p w14:paraId="7B06639F" w14:textId="77777777" w:rsidR="002B6B28" w:rsidRPr="00556915" w:rsidRDefault="002B6B28" w:rsidP="00620701">
            <w:pPr>
              <w:rPr>
                <w:color w:val="FFFFFF" w:themeColor="background1"/>
              </w:rPr>
            </w:pPr>
            <w:r w:rsidRPr="00556915">
              <w:rPr>
                <w:color w:val="FFFFFF" w:themeColor="background1"/>
              </w:rPr>
              <w:t>Desktop assessment - medium activity</w:t>
            </w:r>
          </w:p>
        </w:tc>
        <w:tc>
          <w:tcPr>
            <w:tcW w:w="1985" w:type="dxa"/>
            <w:shd w:val="clear" w:color="auto" w:fill="auto"/>
            <w:vAlign w:val="center"/>
            <w:hideMark/>
          </w:tcPr>
          <w:p w14:paraId="3F28C63E" w14:textId="77777777" w:rsidR="002B6B28" w:rsidRPr="00556915" w:rsidRDefault="002B6B28" w:rsidP="00620701">
            <w:pPr>
              <w:jc w:val="center"/>
            </w:pPr>
            <w:r w:rsidRPr="00236DA8">
              <w:t>15</w:t>
            </w:r>
          </w:p>
        </w:tc>
        <w:tc>
          <w:tcPr>
            <w:tcW w:w="2410" w:type="dxa"/>
            <w:shd w:val="clear" w:color="auto" w:fill="auto"/>
            <w:vAlign w:val="center"/>
            <w:hideMark/>
          </w:tcPr>
          <w:p w14:paraId="1A4A1F8D" w14:textId="77777777" w:rsidR="002B6B28" w:rsidRPr="00203451" w:rsidRDefault="002B6B28" w:rsidP="00620701">
            <w:pPr>
              <w:jc w:val="center"/>
            </w:pPr>
            <w:r w:rsidRPr="00236DA8">
              <w:t>$213.30</w:t>
            </w:r>
          </w:p>
        </w:tc>
      </w:tr>
      <w:tr w:rsidR="002B6B28" w:rsidRPr="00556915" w14:paraId="77EF40B5" w14:textId="77777777" w:rsidTr="00C35804">
        <w:trPr>
          <w:cantSplit/>
          <w:trHeight w:val="252"/>
        </w:trPr>
        <w:tc>
          <w:tcPr>
            <w:tcW w:w="4111" w:type="dxa"/>
            <w:shd w:val="clear" w:color="auto" w:fill="7F7F7F" w:themeFill="text1" w:themeFillTint="80"/>
            <w:vAlign w:val="center"/>
            <w:hideMark/>
          </w:tcPr>
          <w:p w14:paraId="7E576DA6" w14:textId="77777777" w:rsidR="002B6B28" w:rsidRPr="00556915" w:rsidRDefault="002B6B28" w:rsidP="00620701">
            <w:pPr>
              <w:rPr>
                <w:color w:val="FFFFFF" w:themeColor="background1"/>
              </w:rPr>
            </w:pPr>
            <w:r w:rsidRPr="00556915">
              <w:rPr>
                <w:color w:val="FFFFFF" w:themeColor="background1"/>
              </w:rPr>
              <w:t>Desktop assessment - large activity</w:t>
            </w:r>
          </w:p>
        </w:tc>
        <w:tc>
          <w:tcPr>
            <w:tcW w:w="1985" w:type="dxa"/>
            <w:shd w:val="clear" w:color="auto" w:fill="auto"/>
            <w:vAlign w:val="center"/>
            <w:hideMark/>
          </w:tcPr>
          <w:p w14:paraId="7B16631A" w14:textId="77777777" w:rsidR="002B6B28" w:rsidRPr="00556915" w:rsidRDefault="002B6B28" w:rsidP="00620701">
            <w:pPr>
              <w:jc w:val="center"/>
            </w:pPr>
            <w:r w:rsidRPr="00236DA8">
              <w:t>30</w:t>
            </w:r>
          </w:p>
        </w:tc>
        <w:tc>
          <w:tcPr>
            <w:tcW w:w="2410" w:type="dxa"/>
            <w:shd w:val="clear" w:color="auto" w:fill="auto"/>
            <w:vAlign w:val="center"/>
            <w:hideMark/>
          </w:tcPr>
          <w:p w14:paraId="24E4C892" w14:textId="77777777" w:rsidR="002B6B28" w:rsidRPr="00203451" w:rsidRDefault="002B6B28" w:rsidP="00620701">
            <w:pPr>
              <w:jc w:val="center"/>
            </w:pPr>
            <w:r w:rsidRPr="00236DA8">
              <w:t>$426.60</w:t>
            </w:r>
          </w:p>
        </w:tc>
      </w:tr>
      <w:tr w:rsidR="002B6B28" w:rsidRPr="00556915" w14:paraId="4E39C30F" w14:textId="77777777" w:rsidTr="00C35804">
        <w:trPr>
          <w:cantSplit/>
          <w:trHeight w:val="252"/>
        </w:trPr>
        <w:tc>
          <w:tcPr>
            <w:tcW w:w="4111" w:type="dxa"/>
            <w:shd w:val="clear" w:color="auto" w:fill="7F7F7F" w:themeFill="text1" w:themeFillTint="80"/>
            <w:vAlign w:val="center"/>
            <w:hideMark/>
          </w:tcPr>
          <w:p w14:paraId="30925E62" w14:textId="77777777" w:rsidR="002B6B28" w:rsidRPr="00556915" w:rsidRDefault="002B6B28" w:rsidP="00620701">
            <w:pPr>
              <w:rPr>
                <w:color w:val="FFFFFF" w:themeColor="background1"/>
              </w:rPr>
            </w:pPr>
            <w:r w:rsidRPr="00556915">
              <w:rPr>
                <w:color w:val="FFFFFF" w:themeColor="background1"/>
              </w:rPr>
              <w:t>Standard assessment - small activity</w:t>
            </w:r>
          </w:p>
        </w:tc>
        <w:tc>
          <w:tcPr>
            <w:tcW w:w="1985" w:type="dxa"/>
            <w:shd w:val="clear" w:color="auto" w:fill="auto"/>
            <w:vAlign w:val="center"/>
            <w:hideMark/>
          </w:tcPr>
          <w:p w14:paraId="7A3BAE8A" w14:textId="77777777" w:rsidR="002B6B28" w:rsidRPr="00556915" w:rsidRDefault="002B6B28" w:rsidP="00620701">
            <w:pPr>
              <w:jc w:val="center"/>
            </w:pPr>
            <w:r w:rsidRPr="00236DA8">
              <w:t>30</w:t>
            </w:r>
          </w:p>
        </w:tc>
        <w:tc>
          <w:tcPr>
            <w:tcW w:w="2410" w:type="dxa"/>
            <w:shd w:val="clear" w:color="auto" w:fill="auto"/>
            <w:vAlign w:val="center"/>
            <w:hideMark/>
          </w:tcPr>
          <w:p w14:paraId="5EA3D546" w14:textId="77777777" w:rsidR="002B6B28" w:rsidRPr="00203451" w:rsidRDefault="002B6B28" w:rsidP="00620701">
            <w:pPr>
              <w:jc w:val="center"/>
            </w:pPr>
            <w:r w:rsidRPr="00236DA8">
              <w:t>$426.60</w:t>
            </w:r>
          </w:p>
        </w:tc>
      </w:tr>
      <w:tr w:rsidR="002B6B28" w:rsidRPr="00556915" w14:paraId="1430A72B" w14:textId="77777777" w:rsidTr="00C35804">
        <w:trPr>
          <w:cantSplit/>
          <w:trHeight w:val="252"/>
        </w:trPr>
        <w:tc>
          <w:tcPr>
            <w:tcW w:w="4111" w:type="dxa"/>
            <w:shd w:val="clear" w:color="auto" w:fill="7F7F7F" w:themeFill="text1" w:themeFillTint="80"/>
            <w:vAlign w:val="center"/>
            <w:hideMark/>
          </w:tcPr>
          <w:p w14:paraId="18FCEE1E" w14:textId="77777777" w:rsidR="002B6B28" w:rsidRPr="00556915" w:rsidRDefault="002B6B28" w:rsidP="00620701">
            <w:pPr>
              <w:rPr>
                <w:color w:val="FFFFFF" w:themeColor="background1"/>
              </w:rPr>
            </w:pPr>
            <w:r w:rsidRPr="00556915">
              <w:rPr>
                <w:color w:val="FFFFFF" w:themeColor="background1"/>
              </w:rPr>
              <w:t>Standard assessment - medium activity</w:t>
            </w:r>
          </w:p>
        </w:tc>
        <w:tc>
          <w:tcPr>
            <w:tcW w:w="1985" w:type="dxa"/>
            <w:shd w:val="clear" w:color="auto" w:fill="auto"/>
            <w:vAlign w:val="center"/>
            <w:hideMark/>
          </w:tcPr>
          <w:p w14:paraId="3A47BC4E" w14:textId="77777777" w:rsidR="002B6B28" w:rsidRPr="00556915" w:rsidRDefault="002B6B28" w:rsidP="00620701">
            <w:pPr>
              <w:jc w:val="center"/>
            </w:pPr>
            <w:r w:rsidRPr="00236DA8">
              <w:t>60</w:t>
            </w:r>
          </w:p>
        </w:tc>
        <w:tc>
          <w:tcPr>
            <w:tcW w:w="2410" w:type="dxa"/>
            <w:shd w:val="clear" w:color="auto" w:fill="auto"/>
            <w:vAlign w:val="center"/>
            <w:hideMark/>
          </w:tcPr>
          <w:p w14:paraId="6D0FDA25" w14:textId="77777777" w:rsidR="002B6B28" w:rsidRPr="00203451" w:rsidRDefault="002B6B28" w:rsidP="00620701">
            <w:pPr>
              <w:jc w:val="center"/>
            </w:pPr>
            <w:r w:rsidRPr="00236DA8">
              <w:t>$853.20</w:t>
            </w:r>
          </w:p>
        </w:tc>
      </w:tr>
      <w:tr w:rsidR="002B6B28" w:rsidRPr="00556915" w14:paraId="765C72E8" w14:textId="77777777" w:rsidTr="00C35804">
        <w:trPr>
          <w:cantSplit/>
          <w:trHeight w:val="252"/>
        </w:trPr>
        <w:tc>
          <w:tcPr>
            <w:tcW w:w="4111" w:type="dxa"/>
            <w:shd w:val="clear" w:color="auto" w:fill="7F7F7F" w:themeFill="text1" w:themeFillTint="80"/>
            <w:vAlign w:val="center"/>
            <w:hideMark/>
          </w:tcPr>
          <w:p w14:paraId="2989DB7D" w14:textId="77777777" w:rsidR="002B6B28" w:rsidRPr="00556915" w:rsidRDefault="002B6B28" w:rsidP="00620701">
            <w:pPr>
              <w:rPr>
                <w:color w:val="FFFFFF" w:themeColor="background1"/>
              </w:rPr>
            </w:pPr>
            <w:r w:rsidRPr="00556915">
              <w:rPr>
                <w:color w:val="FFFFFF" w:themeColor="background1"/>
              </w:rPr>
              <w:t>Standard assessment - large activity</w:t>
            </w:r>
          </w:p>
        </w:tc>
        <w:tc>
          <w:tcPr>
            <w:tcW w:w="1985" w:type="dxa"/>
            <w:shd w:val="clear" w:color="auto" w:fill="auto"/>
            <w:vAlign w:val="center"/>
            <w:hideMark/>
          </w:tcPr>
          <w:p w14:paraId="28B60D19" w14:textId="77777777" w:rsidR="002B6B28" w:rsidRPr="00556915" w:rsidRDefault="002B6B28" w:rsidP="00620701">
            <w:pPr>
              <w:jc w:val="center"/>
            </w:pPr>
            <w:r w:rsidRPr="00236DA8">
              <w:t>160</w:t>
            </w:r>
          </w:p>
        </w:tc>
        <w:tc>
          <w:tcPr>
            <w:tcW w:w="2410" w:type="dxa"/>
            <w:shd w:val="clear" w:color="auto" w:fill="auto"/>
            <w:vAlign w:val="center"/>
            <w:hideMark/>
          </w:tcPr>
          <w:p w14:paraId="6B2144E2" w14:textId="77777777" w:rsidR="002B6B28" w:rsidRPr="00203451" w:rsidRDefault="002B6B28" w:rsidP="00620701">
            <w:pPr>
              <w:jc w:val="center"/>
            </w:pPr>
            <w:r w:rsidRPr="00236DA8">
              <w:t>$2,275.20</w:t>
            </w:r>
          </w:p>
        </w:tc>
      </w:tr>
      <w:tr w:rsidR="002B6B28" w:rsidRPr="00556915" w14:paraId="568B0CA8" w14:textId="77777777" w:rsidTr="00C35804">
        <w:trPr>
          <w:cantSplit/>
          <w:trHeight w:val="252"/>
        </w:trPr>
        <w:tc>
          <w:tcPr>
            <w:tcW w:w="4111" w:type="dxa"/>
            <w:shd w:val="clear" w:color="auto" w:fill="7F7F7F" w:themeFill="text1" w:themeFillTint="80"/>
            <w:vAlign w:val="center"/>
            <w:hideMark/>
          </w:tcPr>
          <w:p w14:paraId="53B12232" w14:textId="77777777" w:rsidR="002B6B28" w:rsidRPr="00556915" w:rsidRDefault="002B6B28" w:rsidP="00620701">
            <w:pPr>
              <w:rPr>
                <w:color w:val="FFFFFF" w:themeColor="background1"/>
              </w:rPr>
            </w:pPr>
            <w:r w:rsidRPr="00556915">
              <w:rPr>
                <w:color w:val="FFFFFF" w:themeColor="background1"/>
              </w:rPr>
              <w:t>Complex assessment - small activity</w:t>
            </w:r>
          </w:p>
        </w:tc>
        <w:tc>
          <w:tcPr>
            <w:tcW w:w="1985" w:type="dxa"/>
            <w:shd w:val="clear" w:color="auto" w:fill="auto"/>
            <w:vAlign w:val="center"/>
            <w:hideMark/>
          </w:tcPr>
          <w:p w14:paraId="4D79B201" w14:textId="77777777" w:rsidR="002B6B28" w:rsidRPr="00556915" w:rsidRDefault="002B6B28" w:rsidP="00620701">
            <w:pPr>
              <w:jc w:val="center"/>
            </w:pPr>
            <w:r w:rsidRPr="00236DA8">
              <w:t>80</w:t>
            </w:r>
          </w:p>
        </w:tc>
        <w:tc>
          <w:tcPr>
            <w:tcW w:w="2410" w:type="dxa"/>
            <w:shd w:val="clear" w:color="auto" w:fill="auto"/>
            <w:vAlign w:val="center"/>
            <w:hideMark/>
          </w:tcPr>
          <w:p w14:paraId="50AEA209" w14:textId="77777777" w:rsidR="002B6B28" w:rsidRPr="00203451" w:rsidRDefault="002B6B28" w:rsidP="00620701">
            <w:pPr>
              <w:jc w:val="center"/>
            </w:pPr>
            <w:r w:rsidRPr="00236DA8">
              <w:t>$1,137.60</w:t>
            </w:r>
          </w:p>
        </w:tc>
      </w:tr>
      <w:tr w:rsidR="002B6B28" w:rsidRPr="00556915" w14:paraId="63DB3A57" w14:textId="77777777" w:rsidTr="00C35804">
        <w:trPr>
          <w:cantSplit/>
          <w:trHeight w:val="252"/>
        </w:trPr>
        <w:tc>
          <w:tcPr>
            <w:tcW w:w="4111" w:type="dxa"/>
            <w:shd w:val="clear" w:color="auto" w:fill="7F7F7F" w:themeFill="text1" w:themeFillTint="80"/>
            <w:vAlign w:val="center"/>
            <w:hideMark/>
          </w:tcPr>
          <w:p w14:paraId="2F717D9F" w14:textId="77777777" w:rsidR="002B6B28" w:rsidRPr="00556915" w:rsidRDefault="002B6B28" w:rsidP="00620701">
            <w:pPr>
              <w:rPr>
                <w:color w:val="FFFFFF" w:themeColor="background1"/>
              </w:rPr>
            </w:pPr>
            <w:r w:rsidRPr="00556915">
              <w:rPr>
                <w:color w:val="FFFFFF" w:themeColor="background1"/>
              </w:rPr>
              <w:t>Complex assessment - medium activity</w:t>
            </w:r>
          </w:p>
        </w:tc>
        <w:tc>
          <w:tcPr>
            <w:tcW w:w="1985" w:type="dxa"/>
            <w:shd w:val="clear" w:color="auto" w:fill="auto"/>
            <w:vAlign w:val="center"/>
            <w:hideMark/>
          </w:tcPr>
          <w:p w14:paraId="2FED0884" w14:textId="77777777" w:rsidR="002B6B28" w:rsidRPr="00556915" w:rsidRDefault="002B6B28" w:rsidP="00620701">
            <w:pPr>
              <w:jc w:val="center"/>
            </w:pPr>
            <w:r w:rsidRPr="00236DA8">
              <w:t>160</w:t>
            </w:r>
          </w:p>
        </w:tc>
        <w:tc>
          <w:tcPr>
            <w:tcW w:w="2410" w:type="dxa"/>
            <w:shd w:val="clear" w:color="auto" w:fill="auto"/>
            <w:vAlign w:val="center"/>
            <w:hideMark/>
          </w:tcPr>
          <w:p w14:paraId="336C7BEE" w14:textId="77777777" w:rsidR="002B6B28" w:rsidRPr="00203451" w:rsidRDefault="002B6B28" w:rsidP="00620701">
            <w:pPr>
              <w:jc w:val="center"/>
            </w:pPr>
            <w:r w:rsidRPr="00236DA8">
              <w:t>$2,275.20</w:t>
            </w:r>
          </w:p>
        </w:tc>
      </w:tr>
      <w:tr w:rsidR="002B6B28" w:rsidRPr="00556915" w14:paraId="0F1F201F" w14:textId="77777777" w:rsidTr="00C35804">
        <w:trPr>
          <w:cantSplit/>
          <w:trHeight w:val="252"/>
        </w:trPr>
        <w:tc>
          <w:tcPr>
            <w:tcW w:w="4111" w:type="dxa"/>
            <w:shd w:val="clear" w:color="auto" w:fill="7F7F7F" w:themeFill="text1" w:themeFillTint="80"/>
            <w:vAlign w:val="center"/>
            <w:hideMark/>
          </w:tcPr>
          <w:p w14:paraId="6C5A167C" w14:textId="77777777" w:rsidR="002B6B28" w:rsidRPr="00556915" w:rsidRDefault="002B6B28" w:rsidP="00620701">
            <w:pPr>
              <w:rPr>
                <w:color w:val="FFFFFF" w:themeColor="background1"/>
              </w:rPr>
            </w:pPr>
            <w:r w:rsidRPr="00556915">
              <w:rPr>
                <w:color w:val="FFFFFF" w:themeColor="background1"/>
              </w:rPr>
              <w:t>Complex assessment - large activity</w:t>
            </w:r>
          </w:p>
        </w:tc>
        <w:tc>
          <w:tcPr>
            <w:tcW w:w="1985" w:type="dxa"/>
            <w:shd w:val="clear" w:color="auto" w:fill="auto"/>
            <w:vAlign w:val="center"/>
            <w:hideMark/>
          </w:tcPr>
          <w:p w14:paraId="571D8F0D" w14:textId="77777777" w:rsidR="002B6B28" w:rsidRPr="00556915" w:rsidRDefault="002B6B28" w:rsidP="00620701">
            <w:pPr>
              <w:jc w:val="center"/>
            </w:pPr>
            <w:r w:rsidRPr="00236DA8">
              <w:t>320</w:t>
            </w:r>
          </w:p>
        </w:tc>
        <w:tc>
          <w:tcPr>
            <w:tcW w:w="2410" w:type="dxa"/>
            <w:shd w:val="clear" w:color="auto" w:fill="auto"/>
            <w:vAlign w:val="center"/>
            <w:hideMark/>
          </w:tcPr>
          <w:p w14:paraId="2405D73E" w14:textId="77777777" w:rsidR="002B6B28" w:rsidRPr="00203451" w:rsidRDefault="002B6B28" w:rsidP="00620701">
            <w:pPr>
              <w:jc w:val="center"/>
            </w:pPr>
            <w:r w:rsidRPr="00236DA8">
              <w:t>$4,550.40</w:t>
            </w:r>
          </w:p>
        </w:tc>
      </w:tr>
      <w:tr w:rsidR="00A1550E" w:rsidRPr="00556915" w14:paraId="1176A3C1" w14:textId="77777777" w:rsidTr="000171A9">
        <w:trPr>
          <w:cantSplit/>
          <w:trHeight w:val="252"/>
        </w:trPr>
        <w:tc>
          <w:tcPr>
            <w:tcW w:w="4111" w:type="dxa"/>
            <w:shd w:val="clear" w:color="auto" w:fill="7F7F7F" w:themeFill="text1" w:themeFillTint="80"/>
            <w:vAlign w:val="center"/>
            <w:hideMark/>
          </w:tcPr>
          <w:p w14:paraId="381FFA63" w14:textId="77777777" w:rsidR="00A1550E" w:rsidRPr="00556915" w:rsidRDefault="00A1550E" w:rsidP="00620701">
            <w:pPr>
              <w:rPr>
                <w:b/>
                <w:bCs/>
                <w:color w:val="FFFFFF" w:themeColor="background1"/>
              </w:rPr>
            </w:pPr>
            <w:r w:rsidRPr="00556915">
              <w:rPr>
                <w:b/>
                <w:bCs/>
                <w:color w:val="FFFFFF" w:themeColor="background1"/>
              </w:rPr>
              <w:t>CHMPs - three or more authorities</w:t>
            </w:r>
          </w:p>
        </w:tc>
        <w:tc>
          <w:tcPr>
            <w:tcW w:w="4395" w:type="dxa"/>
            <w:gridSpan w:val="2"/>
            <w:shd w:val="clear" w:color="auto" w:fill="auto"/>
            <w:vAlign w:val="center"/>
            <w:hideMark/>
          </w:tcPr>
          <w:p w14:paraId="41A27BDD" w14:textId="77777777" w:rsidR="00A1550E" w:rsidRPr="00203451" w:rsidRDefault="00A1550E" w:rsidP="00620701">
            <w:pPr>
              <w:jc w:val="center"/>
            </w:pPr>
          </w:p>
        </w:tc>
      </w:tr>
      <w:tr w:rsidR="002B6B28" w:rsidRPr="00556915" w14:paraId="692AC437" w14:textId="77777777" w:rsidTr="00C35804">
        <w:trPr>
          <w:cantSplit/>
          <w:trHeight w:val="252"/>
        </w:trPr>
        <w:tc>
          <w:tcPr>
            <w:tcW w:w="4111" w:type="dxa"/>
            <w:shd w:val="clear" w:color="auto" w:fill="7F7F7F" w:themeFill="text1" w:themeFillTint="80"/>
            <w:vAlign w:val="center"/>
            <w:hideMark/>
          </w:tcPr>
          <w:p w14:paraId="0F74EE1F" w14:textId="77777777" w:rsidR="002B6B28" w:rsidRPr="00556915" w:rsidRDefault="002B6B28" w:rsidP="00620701">
            <w:pPr>
              <w:rPr>
                <w:color w:val="FFFFFF" w:themeColor="background1"/>
              </w:rPr>
            </w:pPr>
            <w:r w:rsidRPr="00556915">
              <w:rPr>
                <w:color w:val="FFFFFF" w:themeColor="background1"/>
              </w:rPr>
              <w:t>Desktop assessment - small activity</w:t>
            </w:r>
          </w:p>
        </w:tc>
        <w:tc>
          <w:tcPr>
            <w:tcW w:w="1985" w:type="dxa"/>
            <w:shd w:val="clear" w:color="auto" w:fill="auto"/>
            <w:vAlign w:val="center"/>
            <w:hideMark/>
          </w:tcPr>
          <w:p w14:paraId="13DFC7EC" w14:textId="77777777" w:rsidR="002B6B28" w:rsidRPr="00556915" w:rsidRDefault="002B6B28" w:rsidP="00620701">
            <w:pPr>
              <w:jc w:val="center"/>
            </w:pPr>
            <w:r w:rsidRPr="00236DA8">
              <w:t>7</w:t>
            </w:r>
          </w:p>
        </w:tc>
        <w:tc>
          <w:tcPr>
            <w:tcW w:w="2410" w:type="dxa"/>
            <w:shd w:val="clear" w:color="auto" w:fill="auto"/>
            <w:vAlign w:val="center"/>
            <w:hideMark/>
          </w:tcPr>
          <w:p w14:paraId="0B05661B" w14:textId="77777777" w:rsidR="002B6B28" w:rsidRPr="00203451" w:rsidRDefault="002B6B28" w:rsidP="00620701">
            <w:pPr>
              <w:jc w:val="center"/>
            </w:pPr>
            <w:r w:rsidRPr="00236DA8">
              <w:t>$99.54</w:t>
            </w:r>
          </w:p>
        </w:tc>
      </w:tr>
      <w:tr w:rsidR="002B6B28" w:rsidRPr="00556915" w14:paraId="38787AB9" w14:textId="77777777" w:rsidTr="00C35804">
        <w:trPr>
          <w:cantSplit/>
          <w:trHeight w:val="252"/>
        </w:trPr>
        <w:tc>
          <w:tcPr>
            <w:tcW w:w="4111" w:type="dxa"/>
            <w:shd w:val="clear" w:color="auto" w:fill="7F7F7F" w:themeFill="text1" w:themeFillTint="80"/>
            <w:vAlign w:val="center"/>
            <w:hideMark/>
          </w:tcPr>
          <w:p w14:paraId="28B66AD7" w14:textId="77777777" w:rsidR="002B6B28" w:rsidRPr="00556915" w:rsidRDefault="002B6B28" w:rsidP="00620701">
            <w:pPr>
              <w:rPr>
                <w:color w:val="FFFFFF" w:themeColor="background1"/>
              </w:rPr>
            </w:pPr>
            <w:r w:rsidRPr="00556915">
              <w:rPr>
                <w:color w:val="FFFFFF" w:themeColor="background1"/>
              </w:rPr>
              <w:t>Desktop assessment - medium activity</w:t>
            </w:r>
          </w:p>
        </w:tc>
        <w:tc>
          <w:tcPr>
            <w:tcW w:w="1985" w:type="dxa"/>
            <w:shd w:val="clear" w:color="auto" w:fill="auto"/>
            <w:vAlign w:val="center"/>
            <w:hideMark/>
          </w:tcPr>
          <w:p w14:paraId="792D936B" w14:textId="77777777" w:rsidR="002B6B28" w:rsidRPr="00556915" w:rsidRDefault="002B6B28" w:rsidP="00620701">
            <w:pPr>
              <w:jc w:val="center"/>
            </w:pPr>
            <w:r w:rsidRPr="00236DA8">
              <w:t>13</w:t>
            </w:r>
          </w:p>
        </w:tc>
        <w:tc>
          <w:tcPr>
            <w:tcW w:w="2410" w:type="dxa"/>
            <w:shd w:val="clear" w:color="auto" w:fill="auto"/>
            <w:vAlign w:val="center"/>
            <w:hideMark/>
          </w:tcPr>
          <w:p w14:paraId="647D5D7D" w14:textId="77777777" w:rsidR="002B6B28" w:rsidRPr="00203451" w:rsidRDefault="002B6B28" w:rsidP="00620701">
            <w:pPr>
              <w:jc w:val="center"/>
            </w:pPr>
            <w:r w:rsidRPr="00236DA8">
              <w:t>$184.86</w:t>
            </w:r>
          </w:p>
        </w:tc>
      </w:tr>
      <w:tr w:rsidR="002B6B28" w:rsidRPr="00556915" w14:paraId="6744BCA1" w14:textId="77777777" w:rsidTr="00C35804">
        <w:trPr>
          <w:cantSplit/>
          <w:trHeight w:val="252"/>
        </w:trPr>
        <w:tc>
          <w:tcPr>
            <w:tcW w:w="4111" w:type="dxa"/>
            <w:shd w:val="clear" w:color="auto" w:fill="7F7F7F" w:themeFill="text1" w:themeFillTint="80"/>
            <w:vAlign w:val="center"/>
            <w:hideMark/>
          </w:tcPr>
          <w:p w14:paraId="0108DDC8" w14:textId="77777777" w:rsidR="002B6B28" w:rsidRPr="00556915" w:rsidRDefault="002B6B28" w:rsidP="00620701">
            <w:pPr>
              <w:rPr>
                <w:color w:val="FFFFFF" w:themeColor="background1"/>
              </w:rPr>
            </w:pPr>
            <w:r w:rsidRPr="00556915">
              <w:rPr>
                <w:color w:val="FFFFFF" w:themeColor="background1"/>
              </w:rPr>
              <w:t>Desktop assessment - large activity</w:t>
            </w:r>
          </w:p>
        </w:tc>
        <w:tc>
          <w:tcPr>
            <w:tcW w:w="1985" w:type="dxa"/>
            <w:shd w:val="clear" w:color="auto" w:fill="auto"/>
            <w:vAlign w:val="center"/>
            <w:hideMark/>
          </w:tcPr>
          <w:p w14:paraId="4C30FB93" w14:textId="77777777" w:rsidR="002B6B28" w:rsidRPr="00556915" w:rsidRDefault="002B6B28" w:rsidP="00620701">
            <w:pPr>
              <w:jc w:val="center"/>
            </w:pPr>
            <w:r w:rsidRPr="00236DA8">
              <w:t>27</w:t>
            </w:r>
          </w:p>
        </w:tc>
        <w:tc>
          <w:tcPr>
            <w:tcW w:w="2410" w:type="dxa"/>
            <w:shd w:val="clear" w:color="auto" w:fill="auto"/>
            <w:vAlign w:val="center"/>
            <w:hideMark/>
          </w:tcPr>
          <w:p w14:paraId="0E301FE8" w14:textId="77777777" w:rsidR="002B6B28" w:rsidRPr="00203451" w:rsidRDefault="002B6B28" w:rsidP="00620701">
            <w:pPr>
              <w:jc w:val="center"/>
            </w:pPr>
            <w:r w:rsidRPr="00236DA8">
              <w:t>$383.94</w:t>
            </w:r>
          </w:p>
        </w:tc>
      </w:tr>
      <w:tr w:rsidR="002B6B28" w:rsidRPr="00556915" w14:paraId="2589DD4F" w14:textId="77777777" w:rsidTr="00C35804">
        <w:trPr>
          <w:cantSplit/>
          <w:trHeight w:val="252"/>
        </w:trPr>
        <w:tc>
          <w:tcPr>
            <w:tcW w:w="4111" w:type="dxa"/>
            <w:shd w:val="clear" w:color="auto" w:fill="7F7F7F" w:themeFill="text1" w:themeFillTint="80"/>
            <w:vAlign w:val="center"/>
            <w:hideMark/>
          </w:tcPr>
          <w:p w14:paraId="530552EA" w14:textId="77777777" w:rsidR="002B6B28" w:rsidRPr="00556915" w:rsidRDefault="002B6B28" w:rsidP="00620701">
            <w:pPr>
              <w:rPr>
                <w:color w:val="FFFFFF" w:themeColor="background1"/>
              </w:rPr>
            </w:pPr>
            <w:r w:rsidRPr="00556915">
              <w:rPr>
                <w:color w:val="FFFFFF" w:themeColor="background1"/>
              </w:rPr>
              <w:t>Standard assessment - small activity</w:t>
            </w:r>
          </w:p>
        </w:tc>
        <w:tc>
          <w:tcPr>
            <w:tcW w:w="1985" w:type="dxa"/>
            <w:shd w:val="clear" w:color="auto" w:fill="auto"/>
            <w:vAlign w:val="center"/>
            <w:hideMark/>
          </w:tcPr>
          <w:p w14:paraId="0E4AC077" w14:textId="77777777" w:rsidR="002B6B28" w:rsidRPr="00556915" w:rsidRDefault="002B6B28" w:rsidP="00620701">
            <w:pPr>
              <w:jc w:val="center"/>
            </w:pPr>
            <w:r w:rsidRPr="00236DA8">
              <w:t>27</w:t>
            </w:r>
          </w:p>
        </w:tc>
        <w:tc>
          <w:tcPr>
            <w:tcW w:w="2410" w:type="dxa"/>
            <w:shd w:val="clear" w:color="auto" w:fill="auto"/>
            <w:vAlign w:val="center"/>
            <w:hideMark/>
          </w:tcPr>
          <w:p w14:paraId="64C64675" w14:textId="77777777" w:rsidR="002B6B28" w:rsidRPr="00203451" w:rsidRDefault="002B6B28" w:rsidP="00620701">
            <w:pPr>
              <w:jc w:val="center"/>
            </w:pPr>
            <w:r w:rsidRPr="00236DA8">
              <w:t>$383.94</w:t>
            </w:r>
          </w:p>
        </w:tc>
      </w:tr>
      <w:tr w:rsidR="002B6B28" w:rsidRPr="00556915" w14:paraId="2A5C5961" w14:textId="77777777" w:rsidTr="00C35804">
        <w:trPr>
          <w:cantSplit/>
          <w:trHeight w:val="252"/>
        </w:trPr>
        <w:tc>
          <w:tcPr>
            <w:tcW w:w="4111" w:type="dxa"/>
            <w:shd w:val="clear" w:color="auto" w:fill="7F7F7F" w:themeFill="text1" w:themeFillTint="80"/>
            <w:vAlign w:val="center"/>
            <w:hideMark/>
          </w:tcPr>
          <w:p w14:paraId="34FBDB45" w14:textId="77777777" w:rsidR="002B6B28" w:rsidRPr="00556915" w:rsidRDefault="002B6B28" w:rsidP="00620701">
            <w:pPr>
              <w:rPr>
                <w:color w:val="FFFFFF" w:themeColor="background1"/>
              </w:rPr>
            </w:pPr>
            <w:r w:rsidRPr="00556915">
              <w:rPr>
                <w:color w:val="FFFFFF" w:themeColor="background1"/>
              </w:rPr>
              <w:t>Standard assessment - medium activity</w:t>
            </w:r>
          </w:p>
        </w:tc>
        <w:tc>
          <w:tcPr>
            <w:tcW w:w="1985" w:type="dxa"/>
            <w:shd w:val="clear" w:color="auto" w:fill="auto"/>
            <w:vAlign w:val="center"/>
            <w:hideMark/>
          </w:tcPr>
          <w:p w14:paraId="3D17A90E" w14:textId="77777777" w:rsidR="002B6B28" w:rsidRPr="00556915" w:rsidRDefault="002B6B28" w:rsidP="00620701">
            <w:pPr>
              <w:jc w:val="center"/>
            </w:pPr>
            <w:r w:rsidRPr="00236DA8">
              <w:t>53</w:t>
            </w:r>
          </w:p>
        </w:tc>
        <w:tc>
          <w:tcPr>
            <w:tcW w:w="2410" w:type="dxa"/>
            <w:shd w:val="clear" w:color="auto" w:fill="auto"/>
            <w:vAlign w:val="center"/>
            <w:hideMark/>
          </w:tcPr>
          <w:p w14:paraId="4FBD4066" w14:textId="77777777" w:rsidR="002B6B28" w:rsidRPr="00203451" w:rsidRDefault="002B6B28" w:rsidP="00620701">
            <w:pPr>
              <w:jc w:val="center"/>
            </w:pPr>
            <w:r w:rsidRPr="00236DA8">
              <w:t>$753.66</w:t>
            </w:r>
          </w:p>
        </w:tc>
      </w:tr>
      <w:tr w:rsidR="002B6B28" w:rsidRPr="00556915" w14:paraId="5EE056CA" w14:textId="77777777" w:rsidTr="00C35804">
        <w:trPr>
          <w:cantSplit/>
          <w:trHeight w:val="252"/>
        </w:trPr>
        <w:tc>
          <w:tcPr>
            <w:tcW w:w="4111" w:type="dxa"/>
            <w:shd w:val="clear" w:color="auto" w:fill="7F7F7F" w:themeFill="text1" w:themeFillTint="80"/>
            <w:vAlign w:val="center"/>
            <w:hideMark/>
          </w:tcPr>
          <w:p w14:paraId="33DDAD4A" w14:textId="77777777" w:rsidR="002B6B28" w:rsidRPr="00556915" w:rsidRDefault="002B6B28" w:rsidP="00620701">
            <w:pPr>
              <w:rPr>
                <w:color w:val="FFFFFF" w:themeColor="background1"/>
              </w:rPr>
            </w:pPr>
            <w:r w:rsidRPr="00556915">
              <w:rPr>
                <w:color w:val="FFFFFF" w:themeColor="background1"/>
              </w:rPr>
              <w:t>Standard assessment - large activity</w:t>
            </w:r>
          </w:p>
        </w:tc>
        <w:tc>
          <w:tcPr>
            <w:tcW w:w="1985" w:type="dxa"/>
            <w:shd w:val="clear" w:color="auto" w:fill="auto"/>
            <w:vAlign w:val="center"/>
            <w:hideMark/>
          </w:tcPr>
          <w:p w14:paraId="5A4DBB8F" w14:textId="77777777" w:rsidR="002B6B28" w:rsidRPr="00556915" w:rsidRDefault="002B6B28" w:rsidP="00620701">
            <w:pPr>
              <w:jc w:val="center"/>
            </w:pPr>
            <w:r w:rsidRPr="00236DA8">
              <w:t>107</w:t>
            </w:r>
          </w:p>
        </w:tc>
        <w:tc>
          <w:tcPr>
            <w:tcW w:w="2410" w:type="dxa"/>
            <w:shd w:val="clear" w:color="auto" w:fill="auto"/>
            <w:vAlign w:val="center"/>
            <w:hideMark/>
          </w:tcPr>
          <w:p w14:paraId="73214852" w14:textId="77777777" w:rsidR="002B6B28" w:rsidRPr="00203451" w:rsidRDefault="002B6B28" w:rsidP="00620701">
            <w:pPr>
              <w:jc w:val="center"/>
            </w:pPr>
            <w:r w:rsidRPr="00236DA8">
              <w:t>$1,521.54</w:t>
            </w:r>
          </w:p>
        </w:tc>
      </w:tr>
      <w:tr w:rsidR="002B6B28" w:rsidRPr="00556915" w14:paraId="0C1D2E20" w14:textId="77777777" w:rsidTr="00C35804">
        <w:trPr>
          <w:cantSplit/>
          <w:trHeight w:val="252"/>
        </w:trPr>
        <w:tc>
          <w:tcPr>
            <w:tcW w:w="4111" w:type="dxa"/>
            <w:shd w:val="clear" w:color="auto" w:fill="7F7F7F" w:themeFill="text1" w:themeFillTint="80"/>
            <w:vAlign w:val="center"/>
            <w:hideMark/>
          </w:tcPr>
          <w:p w14:paraId="5F6E7DE4" w14:textId="77777777" w:rsidR="002B6B28" w:rsidRPr="00556915" w:rsidRDefault="002B6B28" w:rsidP="00620701">
            <w:pPr>
              <w:rPr>
                <w:color w:val="FFFFFF" w:themeColor="background1"/>
              </w:rPr>
            </w:pPr>
            <w:r w:rsidRPr="00556915">
              <w:rPr>
                <w:color w:val="FFFFFF" w:themeColor="background1"/>
              </w:rPr>
              <w:t>Complex assessment - small activity</w:t>
            </w:r>
          </w:p>
        </w:tc>
        <w:tc>
          <w:tcPr>
            <w:tcW w:w="1985" w:type="dxa"/>
            <w:shd w:val="clear" w:color="auto" w:fill="auto"/>
            <w:vAlign w:val="center"/>
            <w:hideMark/>
          </w:tcPr>
          <w:p w14:paraId="2CE06CFF" w14:textId="77777777" w:rsidR="002B6B28" w:rsidRPr="00556915" w:rsidRDefault="002B6B28" w:rsidP="00620701">
            <w:pPr>
              <w:jc w:val="center"/>
            </w:pPr>
            <w:r w:rsidRPr="00236DA8">
              <w:t>53</w:t>
            </w:r>
          </w:p>
        </w:tc>
        <w:tc>
          <w:tcPr>
            <w:tcW w:w="2410" w:type="dxa"/>
            <w:shd w:val="clear" w:color="auto" w:fill="auto"/>
            <w:vAlign w:val="center"/>
            <w:hideMark/>
          </w:tcPr>
          <w:p w14:paraId="38C22BF5" w14:textId="77777777" w:rsidR="002B6B28" w:rsidRPr="00203451" w:rsidRDefault="002B6B28" w:rsidP="00620701">
            <w:pPr>
              <w:jc w:val="center"/>
            </w:pPr>
            <w:r w:rsidRPr="00236DA8">
              <w:t>$753.66</w:t>
            </w:r>
          </w:p>
        </w:tc>
      </w:tr>
      <w:tr w:rsidR="002B6B28" w:rsidRPr="00556915" w14:paraId="50F4EC8E" w14:textId="77777777" w:rsidTr="00C35804">
        <w:trPr>
          <w:cantSplit/>
          <w:trHeight w:val="252"/>
        </w:trPr>
        <w:tc>
          <w:tcPr>
            <w:tcW w:w="4111" w:type="dxa"/>
            <w:shd w:val="clear" w:color="auto" w:fill="7F7F7F" w:themeFill="text1" w:themeFillTint="80"/>
            <w:vAlign w:val="center"/>
            <w:hideMark/>
          </w:tcPr>
          <w:p w14:paraId="567F261D" w14:textId="77777777" w:rsidR="002B6B28" w:rsidRPr="00556915" w:rsidRDefault="002B6B28" w:rsidP="00620701">
            <w:pPr>
              <w:rPr>
                <w:color w:val="FFFFFF" w:themeColor="background1"/>
              </w:rPr>
            </w:pPr>
            <w:r w:rsidRPr="00556915">
              <w:rPr>
                <w:color w:val="FFFFFF" w:themeColor="background1"/>
              </w:rPr>
              <w:t>Complex assessment - medium activity</w:t>
            </w:r>
          </w:p>
        </w:tc>
        <w:tc>
          <w:tcPr>
            <w:tcW w:w="1985" w:type="dxa"/>
            <w:shd w:val="clear" w:color="auto" w:fill="auto"/>
            <w:vAlign w:val="center"/>
            <w:hideMark/>
          </w:tcPr>
          <w:p w14:paraId="66E611FB" w14:textId="77777777" w:rsidR="002B6B28" w:rsidRPr="00556915" w:rsidRDefault="002B6B28" w:rsidP="00620701">
            <w:pPr>
              <w:jc w:val="center"/>
            </w:pPr>
            <w:r w:rsidRPr="00236DA8">
              <w:t>107</w:t>
            </w:r>
          </w:p>
        </w:tc>
        <w:tc>
          <w:tcPr>
            <w:tcW w:w="2410" w:type="dxa"/>
            <w:shd w:val="clear" w:color="auto" w:fill="auto"/>
            <w:vAlign w:val="center"/>
            <w:hideMark/>
          </w:tcPr>
          <w:p w14:paraId="234CB628" w14:textId="77777777" w:rsidR="002B6B28" w:rsidRPr="00203451" w:rsidRDefault="002B6B28" w:rsidP="00620701">
            <w:pPr>
              <w:jc w:val="center"/>
            </w:pPr>
            <w:r w:rsidRPr="00236DA8">
              <w:t>$1,521.54</w:t>
            </w:r>
          </w:p>
        </w:tc>
      </w:tr>
      <w:tr w:rsidR="002B6B28" w:rsidRPr="00556915" w14:paraId="468375FE" w14:textId="77777777" w:rsidTr="00C35804">
        <w:trPr>
          <w:cantSplit/>
          <w:trHeight w:val="252"/>
        </w:trPr>
        <w:tc>
          <w:tcPr>
            <w:tcW w:w="4111" w:type="dxa"/>
            <w:shd w:val="clear" w:color="auto" w:fill="7F7F7F" w:themeFill="text1" w:themeFillTint="80"/>
            <w:vAlign w:val="center"/>
            <w:hideMark/>
          </w:tcPr>
          <w:p w14:paraId="5F23DD20" w14:textId="77777777" w:rsidR="002B6B28" w:rsidRPr="00556915" w:rsidRDefault="002B6B28" w:rsidP="00620701">
            <w:pPr>
              <w:rPr>
                <w:color w:val="FFFFFF" w:themeColor="background1"/>
              </w:rPr>
            </w:pPr>
            <w:r w:rsidRPr="00556915">
              <w:rPr>
                <w:color w:val="FFFFFF" w:themeColor="background1"/>
              </w:rPr>
              <w:t>Complex assessment - large activity</w:t>
            </w:r>
          </w:p>
        </w:tc>
        <w:tc>
          <w:tcPr>
            <w:tcW w:w="1985" w:type="dxa"/>
            <w:shd w:val="clear" w:color="auto" w:fill="auto"/>
            <w:vAlign w:val="center"/>
            <w:hideMark/>
          </w:tcPr>
          <w:p w14:paraId="7DE6F0C9" w14:textId="77777777" w:rsidR="002B6B28" w:rsidRPr="00556915" w:rsidRDefault="002B6B28" w:rsidP="00620701">
            <w:pPr>
              <w:jc w:val="center"/>
            </w:pPr>
            <w:r w:rsidRPr="00236DA8">
              <w:t>213</w:t>
            </w:r>
          </w:p>
        </w:tc>
        <w:tc>
          <w:tcPr>
            <w:tcW w:w="2410" w:type="dxa"/>
            <w:shd w:val="clear" w:color="auto" w:fill="auto"/>
            <w:vAlign w:val="center"/>
            <w:hideMark/>
          </w:tcPr>
          <w:p w14:paraId="1FB038E5" w14:textId="77777777" w:rsidR="002B6B28" w:rsidRPr="00203451" w:rsidRDefault="002B6B28" w:rsidP="00620701">
            <w:pPr>
              <w:jc w:val="center"/>
            </w:pPr>
            <w:r w:rsidRPr="00236DA8">
              <w:t>$3,028.86</w:t>
            </w:r>
          </w:p>
        </w:tc>
      </w:tr>
      <w:tr w:rsidR="002B6B28" w:rsidRPr="00556915" w14:paraId="3F181E06" w14:textId="77777777" w:rsidTr="00C35804">
        <w:trPr>
          <w:cantSplit/>
          <w:trHeight w:val="252"/>
        </w:trPr>
        <w:tc>
          <w:tcPr>
            <w:tcW w:w="4111" w:type="dxa"/>
            <w:shd w:val="clear" w:color="auto" w:fill="7F7F7F" w:themeFill="text1" w:themeFillTint="80"/>
            <w:vAlign w:val="center"/>
            <w:hideMark/>
          </w:tcPr>
          <w:p w14:paraId="3C527215" w14:textId="77777777" w:rsidR="002B6B28" w:rsidRPr="00556915" w:rsidRDefault="002B6B28" w:rsidP="00620701">
            <w:pPr>
              <w:rPr>
                <w:b/>
                <w:bCs/>
                <w:color w:val="FFFFFF" w:themeColor="background1"/>
              </w:rPr>
            </w:pPr>
            <w:r w:rsidRPr="00556915">
              <w:rPr>
                <w:b/>
                <w:bCs/>
                <w:color w:val="FFFFFF" w:themeColor="background1"/>
              </w:rPr>
              <w:t>Approval of an amendment to a CHMP</w:t>
            </w:r>
          </w:p>
        </w:tc>
        <w:tc>
          <w:tcPr>
            <w:tcW w:w="1985" w:type="dxa"/>
            <w:shd w:val="clear" w:color="auto" w:fill="auto"/>
            <w:vAlign w:val="center"/>
            <w:hideMark/>
          </w:tcPr>
          <w:p w14:paraId="41EF5D2E" w14:textId="77777777" w:rsidR="002B6B28" w:rsidRPr="00556915" w:rsidRDefault="002B6B28" w:rsidP="00620701">
            <w:pPr>
              <w:jc w:val="center"/>
            </w:pPr>
            <w:r w:rsidRPr="00236DA8">
              <w:t>32</w:t>
            </w:r>
          </w:p>
        </w:tc>
        <w:tc>
          <w:tcPr>
            <w:tcW w:w="2410" w:type="dxa"/>
            <w:shd w:val="clear" w:color="auto" w:fill="auto"/>
            <w:vAlign w:val="center"/>
            <w:hideMark/>
          </w:tcPr>
          <w:p w14:paraId="16D6877A" w14:textId="77777777" w:rsidR="002B6B28" w:rsidRPr="00203451" w:rsidRDefault="002B6B28" w:rsidP="00620701">
            <w:pPr>
              <w:jc w:val="center"/>
            </w:pPr>
            <w:r w:rsidRPr="00236DA8">
              <w:t>$455.04</w:t>
            </w:r>
          </w:p>
        </w:tc>
      </w:tr>
      <w:tr w:rsidR="002B6B28" w:rsidRPr="00556915" w14:paraId="33F2BBA2" w14:textId="77777777" w:rsidTr="00C35804">
        <w:trPr>
          <w:cantSplit/>
          <w:trHeight w:val="252"/>
        </w:trPr>
        <w:tc>
          <w:tcPr>
            <w:tcW w:w="4111" w:type="dxa"/>
            <w:shd w:val="clear" w:color="auto" w:fill="7F7F7F" w:themeFill="text1" w:themeFillTint="80"/>
            <w:vAlign w:val="center"/>
            <w:hideMark/>
          </w:tcPr>
          <w:p w14:paraId="1B44A9B1" w14:textId="77777777" w:rsidR="002B6B28" w:rsidRPr="00556915" w:rsidRDefault="002B6B28" w:rsidP="00620701">
            <w:pPr>
              <w:rPr>
                <w:b/>
                <w:bCs/>
                <w:color w:val="FFFFFF" w:themeColor="background1"/>
              </w:rPr>
            </w:pPr>
            <w:r w:rsidRPr="00556915">
              <w:rPr>
                <w:b/>
                <w:bCs/>
                <w:color w:val="FFFFFF" w:themeColor="background1"/>
              </w:rPr>
              <w:t>Application for access to the Register</w:t>
            </w:r>
          </w:p>
        </w:tc>
        <w:tc>
          <w:tcPr>
            <w:tcW w:w="1985" w:type="dxa"/>
            <w:shd w:val="clear" w:color="auto" w:fill="auto"/>
            <w:vAlign w:val="center"/>
            <w:hideMark/>
          </w:tcPr>
          <w:p w14:paraId="342EB927" w14:textId="77777777" w:rsidR="002B6B28" w:rsidRPr="00556915" w:rsidRDefault="002B6B28" w:rsidP="00620701">
            <w:pPr>
              <w:jc w:val="center"/>
            </w:pPr>
            <w:r w:rsidRPr="00236DA8">
              <w:t>16</w:t>
            </w:r>
          </w:p>
        </w:tc>
        <w:tc>
          <w:tcPr>
            <w:tcW w:w="2410" w:type="dxa"/>
            <w:shd w:val="clear" w:color="auto" w:fill="auto"/>
            <w:vAlign w:val="center"/>
            <w:hideMark/>
          </w:tcPr>
          <w:p w14:paraId="7F81DC70" w14:textId="77777777" w:rsidR="002B6B28" w:rsidRPr="00203451" w:rsidRDefault="002B6B28" w:rsidP="00620701">
            <w:pPr>
              <w:jc w:val="center"/>
            </w:pPr>
            <w:r w:rsidRPr="00236DA8">
              <w:t>$227.52</w:t>
            </w:r>
          </w:p>
        </w:tc>
      </w:tr>
      <w:tr w:rsidR="002B6B28" w:rsidRPr="00556915" w14:paraId="7699D740" w14:textId="77777777" w:rsidTr="00C35804">
        <w:trPr>
          <w:cantSplit/>
          <w:trHeight w:val="252"/>
        </w:trPr>
        <w:tc>
          <w:tcPr>
            <w:tcW w:w="4111" w:type="dxa"/>
            <w:shd w:val="clear" w:color="auto" w:fill="7F7F7F" w:themeFill="text1" w:themeFillTint="80"/>
            <w:vAlign w:val="center"/>
            <w:hideMark/>
          </w:tcPr>
          <w:p w14:paraId="021514F1" w14:textId="77777777" w:rsidR="002B6B28" w:rsidRPr="00556915" w:rsidRDefault="002B6B28" w:rsidP="00620701">
            <w:pPr>
              <w:rPr>
                <w:b/>
                <w:bCs/>
                <w:color w:val="FFFFFF" w:themeColor="background1"/>
              </w:rPr>
            </w:pPr>
            <w:r w:rsidRPr="00556915">
              <w:rPr>
                <w:b/>
                <w:bCs/>
                <w:color w:val="FFFFFF" w:themeColor="background1"/>
              </w:rPr>
              <w:t>Application for advice on the Register</w:t>
            </w:r>
          </w:p>
        </w:tc>
        <w:tc>
          <w:tcPr>
            <w:tcW w:w="1985" w:type="dxa"/>
            <w:shd w:val="clear" w:color="auto" w:fill="auto"/>
            <w:vAlign w:val="center"/>
            <w:hideMark/>
          </w:tcPr>
          <w:p w14:paraId="7DD101EB" w14:textId="77777777" w:rsidR="002B6B28" w:rsidRPr="00556915" w:rsidRDefault="002B6B28" w:rsidP="00620701">
            <w:pPr>
              <w:jc w:val="center"/>
            </w:pPr>
            <w:r w:rsidRPr="00236DA8">
              <w:t>6</w:t>
            </w:r>
          </w:p>
        </w:tc>
        <w:tc>
          <w:tcPr>
            <w:tcW w:w="2410" w:type="dxa"/>
            <w:shd w:val="clear" w:color="auto" w:fill="auto"/>
            <w:vAlign w:val="center"/>
            <w:hideMark/>
          </w:tcPr>
          <w:p w14:paraId="56438032" w14:textId="77777777" w:rsidR="002B6B28" w:rsidRPr="00203451" w:rsidRDefault="002B6B28" w:rsidP="00620701">
            <w:pPr>
              <w:jc w:val="center"/>
            </w:pPr>
            <w:r w:rsidRPr="00236DA8">
              <w:t>$85.32</w:t>
            </w:r>
          </w:p>
        </w:tc>
      </w:tr>
    </w:tbl>
    <w:p w14:paraId="617BF76C" w14:textId="2C03618C" w:rsidR="00C44DE2" w:rsidRPr="007C0109" w:rsidRDefault="000D7566" w:rsidP="00705BA8">
      <w:pPr>
        <w:pStyle w:val="PwCNormal"/>
        <w:rPr>
          <w:sz w:val="16"/>
          <w:szCs w:val="16"/>
        </w:rPr>
      </w:pPr>
      <w:r w:rsidRPr="00705BA8">
        <w:rPr>
          <w:color w:val="A32020" w:themeColor="text2"/>
          <w:sz w:val="18"/>
          <w:szCs w:val="16"/>
        </w:rPr>
        <w:t xml:space="preserve">Note: A CHMP may be </w:t>
      </w:r>
      <w:r w:rsidR="00A67B1F">
        <w:rPr>
          <w:color w:val="A32020" w:themeColor="text2"/>
          <w:sz w:val="18"/>
          <w:szCs w:val="16"/>
        </w:rPr>
        <w:t>evaluated</w:t>
      </w:r>
      <w:r w:rsidR="00A67B1F" w:rsidRPr="00705BA8">
        <w:rPr>
          <w:color w:val="A32020" w:themeColor="text2"/>
          <w:sz w:val="18"/>
          <w:szCs w:val="16"/>
        </w:rPr>
        <w:t xml:space="preserve"> </w:t>
      </w:r>
      <w:r w:rsidRPr="00705BA8">
        <w:rPr>
          <w:color w:val="A32020" w:themeColor="text2"/>
          <w:sz w:val="18"/>
          <w:szCs w:val="16"/>
        </w:rPr>
        <w:t xml:space="preserve">by multiple authorities </w:t>
      </w:r>
      <w:r>
        <w:rPr>
          <w:color w:val="A32020" w:themeColor="text2"/>
          <w:sz w:val="18"/>
          <w:szCs w:val="16"/>
        </w:rPr>
        <w:t xml:space="preserve">(eg two RAPs and the Secretary) </w:t>
      </w:r>
      <w:r w:rsidRPr="00705BA8">
        <w:rPr>
          <w:color w:val="A32020" w:themeColor="text2"/>
          <w:sz w:val="18"/>
          <w:szCs w:val="16"/>
        </w:rPr>
        <w:t xml:space="preserve">if the activity is across </w:t>
      </w:r>
      <w:r>
        <w:rPr>
          <w:color w:val="A32020" w:themeColor="text2"/>
          <w:sz w:val="18"/>
          <w:szCs w:val="16"/>
        </w:rPr>
        <w:t xml:space="preserve">different activity areas or if there are multiple RAPs </w:t>
      </w:r>
      <w:r w:rsidR="00A67B1F">
        <w:rPr>
          <w:color w:val="A32020" w:themeColor="text2"/>
          <w:sz w:val="18"/>
          <w:szCs w:val="16"/>
        </w:rPr>
        <w:t xml:space="preserve">appointed for </w:t>
      </w:r>
      <w:r>
        <w:rPr>
          <w:color w:val="A32020" w:themeColor="text2"/>
          <w:sz w:val="18"/>
          <w:szCs w:val="16"/>
        </w:rPr>
        <w:t xml:space="preserve">one activity area. </w:t>
      </w:r>
    </w:p>
    <w:p w14:paraId="5DE55830" w14:textId="70E22AF4" w:rsidR="00B60C05" w:rsidRPr="00705BA8" w:rsidRDefault="00B60C05" w:rsidP="00AC7EE5">
      <w:pPr>
        <w:pStyle w:val="PwCNormal"/>
      </w:pPr>
      <w:r>
        <w:t>The cost recovery for Option 1 (based on current activity levels rather than the original evaluation times) is estimated to be approximately 82 per cent. This is driven by under</w:t>
      </w:r>
      <w:r w:rsidR="00577E93">
        <w:t>-r</w:t>
      </w:r>
      <w:r>
        <w:t xml:space="preserve">ecovery for evaluations of CHPs, </w:t>
      </w:r>
      <w:r w:rsidR="00577E93">
        <w:t xml:space="preserve">NOIs, </w:t>
      </w:r>
      <w:r>
        <w:t xml:space="preserve">CHMPs </w:t>
      </w:r>
      <w:r w:rsidR="00577E93">
        <w:t xml:space="preserve">that involve desktop assessments only, </w:t>
      </w:r>
      <w:r>
        <w:t xml:space="preserve">and applications to access or obtain advice from the Register, and over-recovery </w:t>
      </w:r>
      <w:r w:rsidR="00577E93">
        <w:t>for PAHTs and CHMPs with standard and complex assessments.</w:t>
      </w:r>
    </w:p>
    <w:p w14:paraId="06E3B155" w14:textId="506D0213" w:rsidR="002B6B28" w:rsidRDefault="002B6B28" w:rsidP="002B6B28">
      <w:pPr>
        <w:pStyle w:val="Heading7"/>
        <w:spacing w:before="240"/>
        <w:rPr>
          <w:lang w:val="en-US"/>
        </w:rPr>
      </w:pPr>
      <w:r>
        <w:rPr>
          <w:lang w:val="en-US"/>
        </w:rPr>
        <w:t xml:space="preserve">Option 2: </w:t>
      </w:r>
      <w:r w:rsidR="00750CC4">
        <w:rPr>
          <w:lang w:val="en-US"/>
        </w:rPr>
        <w:t>Single set of fees based on w</w:t>
      </w:r>
      <w:r w:rsidRPr="00A340E7">
        <w:rPr>
          <w:lang w:val="en-US"/>
        </w:rPr>
        <w:t>eighted average cost recovery</w:t>
      </w:r>
    </w:p>
    <w:p w14:paraId="34C9AEF4" w14:textId="77777777" w:rsidR="00441599" w:rsidRDefault="002B6B28" w:rsidP="00441599">
      <w:pPr>
        <w:pStyle w:val="PwCNormal"/>
        <w:rPr>
          <w:lang w:val="en-US"/>
        </w:rPr>
      </w:pPr>
      <w:r>
        <w:rPr>
          <w:lang w:val="en-US"/>
        </w:rPr>
        <w:t xml:space="preserve">Under Option 2, fees are set by recovering the full costs of undertaking the activity, using the current cost categories. </w:t>
      </w:r>
      <w:r w:rsidR="00441599">
        <w:rPr>
          <w:lang w:val="en-US"/>
        </w:rPr>
        <w:t>These costs were estimated using the following steps:</w:t>
      </w:r>
    </w:p>
    <w:p w14:paraId="38498D00" w14:textId="77777777" w:rsidR="00441599" w:rsidRDefault="00441599" w:rsidP="00441599">
      <w:pPr>
        <w:pStyle w:val="ListBullet"/>
        <w:rPr>
          <w:lang w:val="en-US"/>
        </w:rPr>
      </w:pPr>
      <w:r>
        <w:rPr>
          <w:lang w:val="en-US"/>
        </w:rPr>
        <w:t>Identifying the types of costs involved in undertaking each activity.</w:t>
      </w:r>
    </w:p>
    <w:p w14:paraId="78B301FA" w14:textId="18C1FAB3" w:rsidR="00441599" w:rsidRDefault="00441599" w:rsidP="00441599">
      <w:pPr>
        <w:pStyle w:val="ListBullet"/>
        <w:rPr>
          <w:lang w:val="en-US"/>
        </w:rPr>
      </w:pPr>
      <w:r>
        <w:rPr>
          <w:lang w:val="en-US"/>
        </w:rPr>
        <w:t>Collecting data on the time involved in undertaking the activity, and any on</w:t>
      </w:r>
      <w:r w:rsidR="00A67B1F">
        <w:rPr>
          <w:lang w:val="en-US"/>
        </w:rPr>
        <w:t>-</w:t>
      </w:r>
      <w:r>
        <w:rPr>
          <w:lang w:val="en-US"/>
        </w:rPr>
        <w:t>costs.</w:t>
      </w:r>
    </w:p>
    <w:p w14:paraId="065FD0E1" w14:textId="77777777" w:rsidR="00441599" w:rsidRDefault="00441599" w:rsidP="00441599">
      <w:pPr>
        <w:pStyle w:val="ListBullet"/>
        <w:rPr>
          <w:lang w:val="en-US"/>
        </w:rPr>
      </w:pPr>
      <w:r>
        <w:rPr>
          <w:lang w:val="en-US"/>
        </w:rPr>
        <w:t>Determining whether there were any additional costs involved in undertaking the activity.</w:t>
      </w:r>
    </w:p>
    <w:p w14:paraId="4D89F40C" w14:textId="6D790CD0" w:rsidR="00441599" w:rsidRDefault="00441599" w:rsidP="006715B3">
      <w:pPr>
        <w:pStyle w:val="ListBullet"/>
        <w:rPr>
          <w:lang w:val="en-US"/>
        </w:rPr>
      </w:pPr>
      <w:r>
        <w:rPr>
          <w:lang w:val="en-US"/>
        </w:rPr>
        <w:t xml:space="preserve">Applying the central estimates to the medium activity fee for PAHT and CHMP assessments, and adjust the central estimate up and down </w:t>
      </w:r>
      <w:r w:rsidR="006715B3" w:rsidRPr="006715B3">
        <w:rPr>
          <w:lang w:val="en-US"/>
        </w:rPr>
        <w:t xml:space="preserve">for the number of authorities and </w:t>
      </w:r>
      <w:r>
        <w:rPr>
          <w:lang w:val="en-US"/>
        </w:rPr>
        <w:t>small and large activities based on the current relativities.</w:t>
      </w:r>
      <w:r w:rsidR="005A7C2F">
        <w:rPr>
          <w:rStyle w:val="FootnoteReference"/>
          <w:lang w:val="en-US"/>
        </w:rPr>
        <w:footnoteReference w:id="125"/>
      </w:r>
    </w:p>
    <w:p w14:paraId="4BC71997" w14:textId="3450C2B4" w:rsidR="002B6B28" w:rsidRDefault="002B6B28" w:rsidP="002B6B28">
      <w:pPr>
        <w:pStyle w:val="ListBullet"/>
        <w:rPr>
          <w:lang w:val="en-US"/>
        </w:rPr>
      </w:pPr>
      <w:r>
        <w:rPr>
          <w:lang w:val="en-US"/>
        </w:rPr>
        <w:t>Where there are discrepancies between the cost of an activity to different parties (ie AV and RAPs), a weighted average cost is calculated using the weightings calculated from the number of activities undertaken each year.</w:t>
      </w:r>
      <w:r w:rsidR="00322A46">
        <w:rPr>
          <w:lang w:val="en-US"/>
        </w:rPr>
        <w:t xml:space="preserve"> This weighting helps ensure that the fee level for each activity is reflective of the single typical cost of undertaking that evaluation activity.</w:t>
      </w:r>
      <w:r w:rsidR="00AC7EE5">
        <w:rPr>
          <w:lang w:val="en-US"/>
        </w:rPr>
        <w:t xml:space="preserve"> This is in contrast to fee option 3, where there are different fees for different parties.</w:t>
      </w:r>
    </w:p>
    <w:p w14:paraId="25D0AEC1" w14:textId="1DDA2DAC" w:rsidR="00BB35B4" w:rsidRDefault="00BB35B4" w:rsidP="00BB35B4">
      <w:pPr>
        <w:pStyle w:val="ListBullet"/>
        <w:rPr>
          <w:lang w:val="en-US"/>
        </w:rPr>
      </w:pPr>
      <w:r>
        <w:rPr>
          <w:lang w:val="en-US"/>
        </w:rPr>
        <w:t>The fee levels for CHPs have been kept at current levels</w:t>
      </w:r>
      <w:r w:rsidR="00C661E4">
        <w:rPr>
          <w:lang w:val="en-US"/>
        </w:rPr>
        <w:t>, which are 90 per cent below full cost</w:t>
      </w:r>
      <w:r>
        <w:rPr>
          <w:lang w:val="en-US"/>
        </w:rPr>
        <w:t xml:space="preserve">. </w:t>
      </w:r>
      <w:r w:rsidRPr="00BB35B4">
        <w:rPr>
          <w:lang w:val="en-US"/>
        </w:rPr>
        <w:t xml:space="preserve">Unlike CHMPs, CHPs often relate to activities which do not require a statutory authorisation, such as some low-cost land management activities. CHPs are an effective method of protecting Aboriginal </w:t>
      </w:r>
      <w:r>
        <w:rPr>
          <w:lang w:val="en-US"/>
        </w:rPr>
        <w:t>cultural heritage during ground-</w:t>
      </w:r>
      <w:r w:rsidRPr="00BB35B4">
        <w:rPr>
          <w:lang w:val="en-US"/>
        </w:rPr>
        <w:t>disturbing works, and should therefore be encouraged.</w:t>
      </w:r>
      <w:r>
        <w:rPr>
          <w:lang w:val="en-US"/>
        </w:rPr>
        <w:t xml:space="preserve"> AV is concerned that an increase in fees </w:t>
      </w:r>
      <w:r w:rsidR="008F2F6D">
        <w:rPr>
          <w:lang w:val="en-US"/>
        </w:rPr>
        <w:t xml:space="preserve">compared to the current levels </w:t>
      </w:r>
      <w:r>
        <w:rPr>
          <w:lang w:val="en-US"/>
        </w:rPr>
        <w:t>would lead to a significant increase in the incidence of non-compliance</w:t>
      </w:r>
      <w:r w:rsidRPr="00BB35B4">
        <w:rPr>
          <w:lang w:val="en-US"/>
        </w:rPr>
        <w:t>.</w:t>
      </w:r>
      <w:r>
        <w:rPr>
          <w:rStyle w:val="FootnoteReference"/>
          <w:lang w:val="en-US"/>
        </w:rPr>
        <w:footnoteReference w:id="126"/>
      </w:r>
      <w:r w:rsidRPr="00BB35B4">
        <w:rPr>
          <w:lang w:val="en-US"/>
        </w:rPr>
        <w:t xml:space="preserve"> </w:t>
      </w:r>
      <w:r w:rsidR="00C661E4">
        <w:t>The difference between the fee level and full cost will be recovered through consolidated revenue.</w:t>
      </w:r>
    </w:p>
    <w:p w14:paraId="1D02FEA6" w14:textId="64BB5966" w:rsidR="00C661E4" w:rsidRPr="00BB35B4" w:rsidRDefault="00C661E4" w:rsidP="00C661E4">
      <w:pPr>
        <w:pStyle w:val="ListBullet"/>
        <w:rPr>
          <w:lang w:val="en-US"/>
        </w:rPr>
      </w:pPr>
      <w:r>
        <w:rPr>
          <w:lang w:val="en-US"/>
        </w:rPr>
        <w:t>The fee level for applications to obtain advice from the Register is 37 per cent below full cost recovery. A</w:t>
      </w:r>
      <w:r w:rsidRPr="00C661E4">
        <w:rPr>
          <w:lang w:val="en-US"/>
        </w:rPr>
        <w:t>n application for advice</w:t>
      </w:r>
      <w:r>
        <w:rPr>
          <w:lang w:val="en-US"/>
        </w:rPr>
        <w:t xml:space="preserve"> is voluntary and</w:t>
      </w:r>
      <w:r w:rsidRPr="00C661E4">
        <w:rPr>
          <w:lang w:val="en-US"/>
        </w:rPr>
        <w:t xml:space="preserve"> provides the applicant with limited information as to the presence, or absence, of Aboriginal cultural heritage on the nominated property and generally includes a list of any registered Aboriginal places.</w:t>
      </w:r>
      <w:r>
        <w:rPr>
          <w:lang w:val="en-US"/>
        </w:rPr>
        <w:t xml:space="preserve"> </w:t>
      </w:r>
      <w:r w:rsidR="009514E8">
        <w:rPr>
          <w:lang w:val="en-US"/>
        </w:rPr>
        <w:t xml:space="preserve">AV is concerned a significant increase in current fee level would lead to a significant increase in the incidence of non-compliance. </w:t>
      </w:r>
      <w:r>
        <w:rPr>
          <w:lang w:val="en-US"/>
        </w:rPr>
        <w:t>Consolidated revenue will cover the difference between the fee level and the full cost to AV.</w:t>
      </w:r>
      <w:r w:rsidR="009514E8">
        <w:rPr>
          <w:lang w:val="en-US"/>
        </w:rPr>
        <w:t xml:space="preserve"> </w:t>
      </w:r>
    </w:p>
    <w:p w14:paraId="302DA4D3" w14:textId="512FB856" w:rsidR="002B6B28" w:rsidRDefault="002B6B28" w:rsidP="002B6B28">
      <w:pPr>
        <w:pStyle w:val="PwCNormal"/>
        <w:rPr>
          <w:lang w:val="en-US"/>
        </w:rPr>
      </w:pPr>
      <w:r>
        <w:rPr>
          <w:lang w:val="en-US"/>
        </w:rPr>
        <w:t>The estimated fee levels are shown in</w:t>
      </w:r>
      <w:r w:rsidR="001858DD">
        <w:rPr>
          <w:lang w:val="en-US"/>
        </w:rPr>
        <w:t xml:space="preserve"> </w:t>
      </w:r>
      <w:r w:rsidR="00AD06EF">
        <w:rPr>
          <w:lang w:val="en-US"/>
        </w:rPr>
        <w:fldChar w:fldCharType="begin"/>
      </w:r>
      <w:r w:rsidR="00AD06EF">
        <w:rPr>
          <w:lang w:val="en-US"/>
        </w:rPr>
        <w:instrText xml:space="preserve"> REF _Ref506806051 \h </w:instrText>
      </w:r>
      <w:r w:rsidR="00AD06EF">
        <w:rPr>
          <w:lang w:val="en-US"/>
        </w:rPr>
      </w:r>
      <w:r w:rsidR="00AD06EF">
        <w:rPr>
          <w:lang w:val="en-US"/>
        </w:rPr>
        <w:fldChar w:fldCharType="separate"/>
      </w:r>
      <w:r w:rsidR="000369A1">
        <w:t xml:space="preserve">Table </w:t>
      </w:r>
      <w:r w:rsidR="000369A1">
        <w:rPr>
          <w:noProof/>
        </w:rPr>
        <w:t>30</w:t>
      </w:r>
      <w:r w:rsidR="00AD06EF">
        <w:rPr>
          <w:lang w:val="en-US"/>
        </w:rPr>
        <w:fldChar w:fldCharType="end"/>
      </w:r>
      <w:r>
        <w:rPr>
          <w:lang w:val="en-US"/>
        </w:rPr>
        <w:t>.</w:t>
      </w:r>
    </w:p>
    <w:p w14:paraId="62190CDD" w14:textId="3F90946A" w:rsidR="002B6B28" w:rsidRDefault="002B6B28" w:rsidP="002B6B28">
      <w:pPr>
        <w:pStyle w:val="Caption"/>
      </w:pPr>
      <w:bookmarkStart w:id="86" w:name="_Ref506806051"/>
      <w:r>
        <w:t xml:space="preserve">Table </w:t>
      </w:r>
      <w:r w:rsidR="00B47FE6">
        <w:fldChar w:fldCharType="begin"/>
      </w:r>
      <w:r w:rsidR="00B47FE6">
        <w:instrText xml:space="preserve"> SEQ Table \* ARABIC </w:instrText>
      </w:r>
      <w:r w:rsidR="00B47FE6">
        <w:fldChar w:fldCharType="separate"/>
      </w:r>
      <w:r w:rsidR="000369A1">
        <w:rPr>
          <w:noProof/>
        </w:rPr>
        <w:t>30</w:t>
      </w:r>
      <w:r w:rsidR="00B47FE6">
        <w:rPr>
          <w:noProof/>
        </w:rPr>
        <w:fldChar w:fldCharType="end"/>
      </w:r>
      <w:bookmarkEnd w:id="86"/>
      <w:r>
        <w:t>: Estimated fee levels for Option 2 (2018 dollars)</w:t>
      </w:r>
    </w:p>
    <w:tbl>
      <w:tblPr>
        <w:tblW w:w="8931" w:type="dxa"/>
        <w:tblInd w:w="-34"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4111"/>
        <w:gridCol w:w="2410"/>
        <w:gridCol w:w="2410"/>
      </w:tblGrid>
      <w:tr w:rsidR="002B6B28" w:rsidRPr="00556915" w14:paraId="0AB82828" w14:textId="77777777" w:rsidTr="00C35804">
        <w:trPr>
          <w:cantSplit/>
          <w:trHeight w:val="379"/>
          <w:tblHeader/>
        </w:trPr>
        <w:tc>
          <w:tcPr>
            <w:tcW w:w="4111" w:type="dxa"/>
            <w:shd w:val="clear" w:color="auto" w:fill="A32020" w:themeFill="accent1"/>
            <w:noWrap/>
            <w:vAlign w:val="center"/>
            <w:hideMark/>
          </w:tcPr>
          <w:p w14:paraId="760F6ECC" w14:textId="77777777" w:rsidR="002B6B28" w:rsidRPr="00556915" w:rsidRDefault="002B6B28" w:rsidP="00620701">
            <w:pPr>
              <w:rPr>
                <w:b/>
                <w:bCs/>
                <w:color w:val="FFFFFF" w:themeColor="background1"/>
              </w:rPr>
            </w:pPr>
            <w:r w:rsidRPr="00556915">
              <w:rPr>
                <w:b/>
                <w:bCs/>
                <w:color w:val="FFFFFF" w:themeColor="background1"/>
              </w:rPr>
              <w:t>Fee</w:t>
            </w:r>
          </w:p>
        </w:tc>
        <w:tc>
          <w:tcPr>
            <w:tcW w:w="2410" w:type="dxa"/>
            <w:shd w:val="clear" w:color="auto" w:fill="A32020" w:themeFill="accent1"/>
            <w:vAlign w:val="center"/>
            <w:hideMark/>
          </w:tcPr>
          <w:p w14:paraId="491A7342" w14:textId="20586801" w:rsidR="002B6B28" w:rsidRPr="00556915" w:rsidRDefault="002B6B28">
            <w:pPr>
              <w:jc w:val="center"/>
              <w:rPr>
                <w:b/>
                <w:bCs/>
                <w:color w:val="FFFFFF" w:themeColor="background1"/>
              </w:rPr>
            </w:pPr>
            <w:r>
              <w:rPr>
                <w:b/>
                <w:bCs/>
                <w:color w:val="FFFFFF" w:themeColor="background1"/>
              </w:rPr>
              <w:t>Weighted average cost recovery</w:t>
            </w:r>
          </w:p>
        </w:tc>
        <w:tc>
          <w:tcPr>
            <w:tcW w:w="2410" w:type="dxa"/>
            <w:shd w:val="clear" w:color="auto" w:fill="A32020" w:themeFill="accent1"/>
            <w:vAlign w:val="center"/>
          </w:tcPr>
          <w:p w14:paraId="16C47B3A" w14:textId="77777777" w:rsidR="002B6B28" w:rsidRDefault="002B6B28" w:rsidP="00620701">
            <w:pPr>
              <w:jc w:val="center"/>
              <w:rPr>
                <w:b/>
                <w:bCs/>
                <w:color w:val="FFFFFF" w:themeColor="background1"/>
              </w:rPr>
            </w:pPr>
            <w:r>
              <w:rPr>
                <w:b/>
                <w:bCs/>
                <w:color w:val="FFFFFF" w:themeColor="background1"/>
              </w:rPr>
              <w:t>Implied fee units</w:t>
            </w:r>
          </w:p>
        </w:tc>
      </w:tr>
      <w:tr w:rsidR="005041BC" w:rsidRPr="00556915" w14:paraId="66C0F28B" w14:textId="77777777" w:rsidTr="00C35804">
        <w:trPr>
          <w:cantSplit/>
          <w:trHeight w:val="253"/>
        </w:trPr>
        <w:tc>
          <w:tcPr>
            <w:tcW w:w="4111" w:type="dxa"/>
            <w:shd w:val="clear" w:color="auto" w:fill="7F7F7F" w:themeFill="text1" w:themeFillTint="80"/>
            <w:vAlign w:val="center"/>
            <w:hideMark/>
          </w:tcPr>
          <w:p w14:paraId="55E92FF7" w14:textId="04ABDA41" w:rsidR="005041BC" w:rsidRPr="00556915" w:rsidRDefault="005041BC" w:rsidP="00AC7EE5">
            <w:pPr>
              <w:rPr>
                <w:b/>
                <w:bCs/>
                <w:color w:val="FFFFFF" w:themeColor="background1"/>
              </w:rPr>
            </w:pPr>
            <w:r w:rsidRPr="00556915">
              <w:rPr>
                <w:b/>
                <w:bCs/>
                <w:color w:val="FFFFFF" w:themeColor="background1"/>
              </w:rPr>
              <w:t>CHPs</w:t>
            </w:r>
            <w:r>
              <w:rPr>
                <w:rStyle w:val="FootnoteReference"/>
                <w:b/>
                <w:bCs/>
                <w:color w:val="FFFFFF" w:themeColor="background1"/>
              </w:rPr>
              <w:footnoteReference w:id="127"/>
            </w:r>
            <w:r>
              <w:rPr>
                <w:b/>
                <w:bCs/>
                <w:color w:val="FFFFFF" w:themeColor="background1"/>
              </w:rPr>
              <w:t xml:space="preserve"> </w:t>
            </w:r>
            <w:r>
              <w:rPr>
                <w:rStyle w:val="FootnoteReference"/>
                <w:b/>
                <w:bCs/>
                <w:color w:val="FFFFFF" w:themeColor="background1"/>
              </w:rPr>
              <w:footnoteReference w:id="128"/>
            </w:r>
          </w:p>
        </w:tc>
        <w:tc>
          <w:tcPr>
            <w:tcW w:w="4820" w:type="dxa"/>
            <w:gridSpan w:val="2"/>
            <w:shd w:val="clear" w:color="auto" w:fill="auto"/>
            <w:vAlign w:val="center"/>
            <w:hideMark/>
          </w:tcPr>
          <w:p w14:paraId="12692519" w14:textId="77777777" w:rsidR="005041BC" w:rsidRPr="003D4288" w:rsidRDefault="005041BC" w:rsidP="00AC7EE5">
            <w:pPr>
              <w:jc w:val="center"/>
            </w:pPr>
          </w:p>
        </w:tc>
      </w:tr>
      <w:tr w:rsidR="00AC7EE5" w:rsidRPr="00556915" w14:paraId="6E64E13E" w14:textId="77777777" w:rsidTr="00C35804">
        <w:trPr>
          <w:cantSplit/>
          <w:trHeight w:val="253"/>
        </w:trPr>
        <w:tc>
          <w:tcPr>
            <w:tcW w:w="4111" w:type="dxa"/>
            <w:shd w:val="clear" w:color="auto" w:fill="7F7F7F" w:themeFill="text1" w:themeFillTint="80"/>
            <w:vAlign w:val="center"/>
            <w:hideMark/>
          </w:tcPr>
          <w:p w14:paraId="13259CC2" w14:textId="77777777" w:rsidR="00AC7EE5" w:rsidRPr="00556915" w:rsidRDefault="00AC7EE5" w:rsidP="00AC7EE5">
            <w:pPr>
              <w:rPr>
                <w:color w:val="FFFFFF" w:themeColor="background1"/>
              </w:rPr>
            </w:pPr>
            <w:r w:rsidRPr="00556915">
              <w:rPr>
                <w:color w:val="FFFFFF" w:themeColor="background1"/>
              </w:rPr>
              <w:t>Discovery and research</w:t>
            </w:r>
          </w:p>
        </w:tc>
        <w:tc>
          <w:tcPr>
            <w:tcW w:w="2410" w:type="dxa"/>
            <w:shd w:val="clear" w:color="auto" w:fill="auto"/>
            <w:vAlign w:val="center"/>
          </w:tcPr>
          <w:p w14:paraId="24FB8549" w14:textId="1630113E" w:rsidR="00AC7EE5" w:rsidRPr="003D4288" w:rsidRDefault="00AC7EE5" w:rsidP="00AC7EE5">
            <w:pPr>
              <w:jc w:val="center"/>
            </w:pPr>
            <w:r w:rsidRPr="00282E65">
              <w:t xml:space="preserve">$113.76 </w:t>
            </w:r>
          </w:p>
        </w:tc>
        <w:tc>
          <w:tcPr>
            <w:tcW w:w="2410" w:type="dxa"/>
            <w:vAlign w:val="center"/>
          </w:tcPr>
          <w:p w14:paraId="60350DF2" w14:textId="4D12381C" w:rsidR="00AC7EE5" w:rsidRPr="00232080" w:rsidRDefault="00AC7EE5" w:rsidP="00AC7EE5">
            <w:pPr>
              <w:jc w:val="center"/>
            </w:pPr>
            <w:r w:rsidRPr="00282E65">
              <w:t xml:space="preserve">8 </w:t>
            </w:r>
          </w:p>
        </w:tc>
      </w:tr>
      <w:tr w:rsidR="00AC7EE5" w:rsidRPr="00556915" w14:paraId="2031E4B5" w14:textId="77777777" w:rsidTr="00C35804">
        <w:trPr>
          <w:cantSplit/>
          <w:trHeight w:val="253"/>
        </w:trPr>
        <w:tc>
          <w:tcPr>
            <w:tcW w:w="4111" w:type="dxa"/>
            <w:shd w:val="clear" w:color="auto" w:fill="7F7F7F" w:themeFill="text1" w:themeFillTint="80"/>
            <w:vAlign w:val="center"/>
            <w:hideMark/>
          </w:tcPr>
          <w:p w14:paraId="2F21E9AE" w14:textId="77777777" w:rsidR="00AC7EE5" w:rsidRPr="00556915" w:rsidRDefault="00AC7EE5" w:rsidP="00AC7EE5">
            <w:pPr>
              <w:rPr>
                <w:color w:val="FFFFFF" w:themeColor="background1"/>
              </w:rPr>
            </w:pPr>
            <w:r w:rsidRPr="00556915">
              <w:rPr>
                <w:color w:val="FFFFFF" w:themeColor="background1"/>
              </w:rPr>
              <w:t>Harm Aboriginal cultural heritage</w:t>
            </w:r>
          </w:p>
        </w:tc>
        <w:tc>
          <w:tcPr>
            <w:tcW w:w="2410" w:type="dxa"/>
            <w:shd w:val="clear" w:color="auto" w:fill="auto"/>
            <w:vAlign w:val="center"/>
          </w:tcPr>
          <w:p w14:paraId="430E9040" w14:textId="4EFF7A0A" w:rsidR="00AC7EE5" w:rsidRPr="003D4288" w:rsidRDefault="00AC7EE5" w:rsidP="00AC7EE5">
            <w:pPr>
              <w:jc w:val="center"/>
            </w:pPr>
            <w:r w:rsidRPr="00282E65">
              <w:t xml:space="preserve">$654.12 </w:t>
            </w:r>
          </w:p>
        </w:tc>
        <w:tc>
          <w:tcPr>
            <w:tcW w:w="2410" w:type="dxa"/>
            <w:vAlign w:val="center"/>
          </w:tcPr>
          <w:p w14:paraId="20C0D180" w14:textId="39F9B2BE" w:rsidR="00AC7EE5" w:rsidRPr="00232080" w:rsidRDefault="00AC7EE5" w:rsidP="00AC7EE5">
            <w:pPr>
              <w:jc w:val="center"/>
            </w:pPr>
            <w:r w:rsidRPr="00282E65">
              <w:t xml:space="preserve">46 </w:t>
            </w:r>
          </w:p>
        </w:tc>
      </w:tr>
      <w:tr w:rsidR="00AC7EE5" w:rsidRPr="00556915" w14:paraId="41B8D7CF" w14:textId="77777777" w:rsidTr="00C35804">
        <w:trPr>
          <w:cantSplit/>
          <w:trHeight w:val="253"/>
        </w:trPr>
        <w:tc>
          <w:tcPr>
            <w:tcW w:w="4111" w:type="dxa"/>
            <w:shd w:val="clear" w:color="auto" w:fill="7F7F7F" w:themeFill="text1" w:themeFillTint="80"/>
            <w:vAlign w:val="center"/>
            <w:hideMark/>
          </w:tcPr>
          <w:p w14:paraId="351FB8FD" w14:textId="77777777" w:rsidR="00AC7EE5" w:rsidRPr="00556915" w:rsidRDefault="00AC7EE5" w:rsidP="00AC7EE5">
            <w:pPr>
              <w:rPr>
                <w:color w:val="FFFFFF" w:themeColor="background1"/>
              </w:rPr>
            </w:pPr>
            <w:r w:rsidRPr="00556915">
              <w:rPr>
                <w:color w:val="FFFFFF" w:themeColor="background1"/>
              </w:rPr>
              <w:t>Sell or remove Aboriginal object</w:t>
            </w:r>
          </w:p>
        </w:tc>
        <w:tc>
          <w:tcPr>
            <w:tcW w:w="2410" w:type="dxa"/>
            <w:shd w:val="clear" w:color="auto" w:fill="auto"/>
            <w:vAlign w:val="center"/>
          </w:tcPr>
          <w:p w14:paraId="1D089575" w14:textId="3B4AE616" w:rsidR="00AC7EE5" w:rsidRPr="003D4288" w:rsidRDefault="00AC7EE5" w:rsidP="00AC7EE5">
            <w:pPr>
              <w:jc w:val="center"/>
            </w:pPr>
            <w:r w:rsidRPr="00282E65">
              <w:t xml:space="preserve">$184.86 </w:t>
            </w:r>
          </w:p>
        </w:tc>
        <w:tc>
          <w:tcPr>
            <w:tcW w:w="2410" w:type="dxa"/>
            <w:vAlign w:val="center"/>
          </w:tcPr>
          <w:p w14:paraId="6D5A7148" w14:textId="4369A346" w:rsidR="00AC7EE5" w:rsidRPr="00232080" w:rsidRDefault="00AC7EE5" w:rsidP="00AC7EE5">
            <w:pPr>
              <w:jc w:val="center"/>
            </w:pPr>
            <w:r w:rsidRPr="00282E65">
              <w:t xml:space="preserve">13 </w:t>
            </w:r>
          </w:p>
        </w:tc>
      </w:tr>
      <w:tr w:rsidR="005041BC" w:rsidRPr="00556915" w14:paraId="0B73814D" w14:textId="77777777" w:rsidTr="00C35804">
        <w:trPr>
          <w:cantSplit/>
          <w:trHeight w:val="253"/>
        </w:trPr>
        <w:tc>
          <w:tcPr>
            <w:tcW w:w="4111" w:type="dxa"/>
            <w:shd w:val="clear" w:color="auto" w:fill="7F7F7F" w:themeFill="text1" w:themeFillTint="80"/>
            <w:vAlign w:val="center"/>
            <w:hideMark/>
          </w:tcPr>
          <w:p w14:paraId="6B3BF564" w14:textId="77777777" w:rsidR="005041BC" w:rsidRPr="00556915" w:rsidRDefault="005041BC" w:rsidP="00AC7EE5">
            <w:pPr>
              <w:rPr>
                <w:b/>
                <w:bCs/>
                <w:color w:val="FFFFFF" w:themeColor="background1"/>
              </w:rPr>
            </w:pPr>
            <w:r w:rsidRPr="00556915">
              <w:rPr>
                <w:b/>
                <w:bCs/>
                <w:color w:val="FFFFFF" w:themeColor="background1"/>
              </w:rPr>
              <w:t>PAHTs</w:t>
            </w:r>
          </w:p>
        </w:tc>
        <w:tc>
          <w:tcPr>
            <w:tcW w:w="4820" w:type="dxa"/>
            <w:gridSpan w:val="2"/>
            <w:shd w:val="clear" w:color="auto" w:fill="auto"/>
            <w:vAlign w:val="center"/>
          </w:tcPr>
          <w:p w14:paraId="59ED9B81" w14:textId="77777777" w:rsidR="005041BC" w:rsidRPr="003D4288" w:rsidRDefault="005041BC" w:rsidP="00AC7EE5">
            <w:pPr>
              <w:jc w:val="center"/>
            </w:pPr>
          </w:p>
        </w:tc>
      </w:tr>
      <w:tr w:rsidR="00AC7EE5" w:rsidRPr="00556915" w14:paraId="1FD9BC5D" w14:textId="77777777" w:rsidTr="00C35804">
        <w:trPr>
          <w:cantSplit/>
          <w:trHeight w:val="252"/>
        </w:trPr>
        <w:tc>
          <w:tcPr>
            <w:tcW w:w="4111" w:type="dxa"/>
            <w:shd w:val="clear" w:color="auto" w:fill="7F7F7F" w:themeFill="text1" w:themeFillTint="80"/>
            <w:vAlign w:val="center"/>
            <w:hideMark/>
          </w:tcPr>
          <w:p w14:paraId="69342DDA" w14:textId="77777777" w:rsidR="00AC7EE5" w:rsidRPr="00556915" w:rsidRDefault="00AC7EE5" w:rsidP="00AC7EE5">
            <w:pPr>
              <w:rPr>
                <w:color w:val="FFFFFF" w:themeColor="background1"/>
              </w:rPr>
            </w:pPr>
            <w:r w:rsidRPr="00556915">
              <w:rPr>
                <w:color w:val="FFFFFF" w:themeColor="background1"/>
              </w:rPr>
              <w:t>Small activity</w:t>
            </w:r>
          </w:p>
        </w:tc>
        <w:tc>
          <w:tcPr>
            <w:tcW w:w="2410" w:type="dxa"/>
            <w:shd w:val="clear" w:color="auto" w:fill="auto"/>
            <w:vAlign w:val="center"/>
          </w:tcPr>
          <w:p w14:paraId="11CFFDF5" w14:textId="46A980A2" w:rsidR="00AC7EE5" w:rsidRPr="003D4288" w:rsidRDefault="00AC7EE5" w:rsidP="00AC7EE5">
            <w:pPr>
              <w:jc w:val="center"/>
            </w:pPr>
            <w:r w:rsidRPr="00282E65">
              <w:t xml:space="preserve">$335.88 </w:t>
            </w:r>
          </w:p>
        </w:tc>
        <w:tc>
          <w:tcPr>
            <w:tcW w:w="2410" w:type="dxa"/>
            <w:vAlign w:val="center"/>
          </w:tcPr>
          <w:p w14:paraId="734E59D9" w14:textId="6FB89646" w:rsidR="00AC7EE5" w:rsidRPr="00232080" w:rsidRDefault="00AC7EE5" w:rsidP="00AC7EE5">
            <w:pPr>
              <w:jc w:val="center"/>
            </w:pPr>
            <w:r w:rsidRPr="00282E65">
              <w:t xml:space="preserve">24 </w:t>
            </w:r>
          </w:p>
        </w:tc>
      </w:tr>
      <w:tr w:rsidR="00AC7EE5" w:rsidRPr="00556915" w14:paraId="280DD8F2" w14:textId="77777777" w:rsidTr="00C35804">
        <w:trPr>
          <w:cantSplit/>
          <w:trHeight w:val="253"/>
        </w:trPr>
        <w:tc>
          <w:tcPr>
            <w:tcW w:w="4111" w:type="dxa"/>
            <w:shd w:val="clear" w:color="auto" w:fill="7F7F7F" w:themeFill="text1" w:themeFillTint="80"/>
            <w:vAlign w:val="center"/>
            <w:hideMark/>
          </w:tcPr>
          <w:p w14:paraId="7F1C103A" w14:textId="77777777" w:rsidR="00AC7EE5" w:rsidRPr="00556915" w:rsidRDefault="00AC7EE5" w:rsidP="00AC7EE5">
            <w:pPr>
              <w:rPr>
                <w:color w:val="FFFFFF" w:themeColor="background1"/>
              </w:rPr>
            </w:pPr>
            <w:r w:rsidRPr="00556915">
              <w:rPr>
                <w:color w:val="FFFFFF" w:themeColor="background1"/>
              </w:rPr>
              <w:t>Medium activity</w:t>
            </w:r>
          </w:p>
        </w:tc>
        <w:tc>
          <w:tcPr>
            <w:tcW w:w="2410" w:type="dxa"/>
            <w:shd w:val="clear" w:color="auto" w:fill="auto"/>
            <w:vAlign w:val="center"/>
          </w:tcPr>
          <w:p w14:paraId="72A7761B" w14:textId="1769E9F4" w:rsidR="00AC7EE5" w:rsidRPr="003D4288" w:rsidRDefault="00AC7EE5" w:rsidP="00AC7EE5">
            <w:pPr>
              <w:jc w:val="center"/>
            </w:pPr>
            <w:r w:rsidRPr="00282E65">
              <w:t xml:space="preserve">$671.76 </w:t>
            </w:r>
          </w:p>
        </w:tc>
        <w:tc>
          <w:tcPr>
            <w:tcW w:w="2410" w:type="dxa"/>
            <w:vAlign w:val="center"/>
          </w:tcPr>
          <w:p w14:paraId="1D6ADF86" w14:textId="5540E61E" w:rsidR="00AC7EE5" w:rsidRPr="00232080" w:rsidRDefault="00AC7EE5" w:rsidP="00AC7EE5">
            <w:pPr>
              <w:jc w:val="center"/>
            </w:pPr>
            <w:r w:rsidRPr="00282E65">
              <w:t xml:space="preserve">47 </w:t>
            </w:r>
          </w:p>
        </w:tc>
      </w:tr>
      <w:tr w:rsidR="00AC7EE5" w:rsidRPr="00556915" w14:paraId="5CEF0E3F" w14:textId="77777777" w:rsidTr="00C35804">
        <w:trPr>
          <w:cantSplit/>
          <w:trHeight w:val="253"/>
        </w:trPr>
        <w:tc>
          <w:tcPr>
            <w:tcW w:w="4111" w:type="dxa"/>
            <w:shd w:val="clear" w:color="auto" w:fill="7F7F7F" w:themeFill="text1" w:themeFillTint="80"/>
            <w:vAlign w:val="center"/>
            <w:hideMark/>
          </w:tcPr>
          <w:p w14:paraId="36487768" w14:textId="77777777" w:rsidR="00AC7EE5" w:rsidRPr="00556915" w:rsidRDefault="00AC7EE5" w:rsidP="00AC7EE5">
            <w:pPr>
              <w:rPr>
                <w:color w:val="FFFFFF" w:themeColor="background1"/>
              </w:rPr>
            </w:pPr>
            <w:r w:rsidRPr="00556915">
              <w:rPr>
                <w:color w:val="FFFFFF" w:themeColor="background1"/>
              </w:rPr>
              <w:t>Large activity</w:t>
            </w:r>
          </w:p>
        </w:tc>
        <w:tc>
          <w:tcPr>
            <w:tcW w:w="2410" w:type="dxa"/>
            <w:shd w:val="clear" w:color="auto" w:fill="auto"/>
            <w:vAlign w:val="center"/>
          </w:tcPr>
          <w:p w14:paraId="1519B32A" w14:textId="35C8FABF" w:rsidR="00AC7EE5" w:rsidRPr="003D4288" w:rsidRDefault="00AC7EE5" w:rsidP="00AC7EE5">
            <w:pPr>
              <w:jc w:val="center"/>
            </w:pPr>
            <w:r w:rsidRPr="00282E65">
              <w:t xml:space="preserve">$1,007.64 </w:t>
            </w:r>
          </w:p>
        </w:tc>
        <w:tc>
          <w:tcPr>
            <w:tcW w:w="2410" w:type="dxa"/>
            <w:vAlign w:val="center"/>
          </w:tcPr>
          <w:p w14:paraId="15FB18B1" w14:textId="7A482FCC" w:rsidR="00AC7EE5" w:rsidRPr="00232080" w:rsidRDefault="00AC7EE5" w:rsidP="00AC7EE5">
            <w:pPr>
              <w:jc w:val="center"/>
            </w:pPr>
            <w:r w:rsidRPr="00282E65">
              <w:t xml:space="preserve">71 </w:t>
            </w:r>
          </w:p>
        </w:tc>
      </w:tr>
      <w:tr w:rsidR="00AC7EE5" w:rsidRPr="00556915" w14:paraId="3DCE7362" w14:textId="77777777" w:rsidTr="00C35804">
        <w:trPr>
          <w:cantSplit/>
          <w:trHeight w:val="253"/>
        </w:trPr>
        <w:tc>
          <w:tcPr>
            <w:tcW w:w="4111" w:type="dxa"/>
            <w:shd w:val="clear" w:color="auto" w:fill="7F7F7F" w:themeFill="text1" w:themeFillTint="80"/>
            <w:vAlign w:val="center"/>
            <w:hideMark/>
          </w:tcPr>
          <w:p w14:paraId="5A027FD2" w14:textId="77777777" w:rsidR="00AC7EE5" w:rsidRPr="00556915" w:rsidRDefault="00AC7EE5" w:rsidP="00AC7EE5">
            <w:pPr>
              <w:rPr>
                <w:b/>
                <w:bCs/>
                <w:color w:val="FFFFFF" w:themeColor="background1"/>
              </w:rPr>
            </w:pPr>
            <w:r w:rsidRPr="00556915">
              <w:rPr>
                <w:b/>
                <w:bCs/>
                <w:color w:val="FFFFFF" w:themeColor="background1"/>
              </w:rPr>
              <w:t>NOI to prepare a CHMP</w:t>
            </w:r>
          </w:p>
        </w:tc>
        <w:tc>
          <w:tcPr>
            <w:tcW w:w="2410" w:type="dxa"/>
            <w:shd w:val="clear" w:color="auto" w:fill="auto"/>
            <w:vAlign w:val="center"/>
          </w:tcPr>
          <w:p w14:paraId="2CEE7B93" w14:textId="3E5EB113" w:rsidR="00AC7EE5" w:rsidRPr="003D4288" w:rsidRDefault="00AC7EE5" w:rsidP="00AC7EE5">
            <w:pPr>
              <w:jc w:val="center"/>
            </w:pPr>
            <w:r w:rsidRPr="00282E65">
              <w:t xml:space="preserve">$143.08 </w:t>
            </w:r>
          </w:p>
        </w:tc>
        <w:tc>
          <w:tcPr>
            <w:tcW w:w="2410" w:type="dxa"/>
            <w:vAlign w:val="center"/>
          </w:tcPr>
          <w:p w14:paraId="5407798A" w14:textId="51BC0B6E" w:rsidR="00AC7EE5" w:rsidRPr="00232080" w:rsidRDefault="00AC7EE5" w:rsidP="00AC7EE5">
            <w:pPr>
              <w:jc w:val="center"/>
            </w:pPr>
            <w:r w:rsidRPr="00282E65">
              <w:t xml:space="preserve">10 </w:t>
            </w:r>
          </w:p>
        </w:tc>
      </w:tr>
      <w:tr w:rsidR="00A1550E" w:rsidRPr="00556915" w14:paraId="4D64D5C0" w14:textId="77777777" w:rsidTr="009A5AEC">
        <w:trPr>
          <w:cantSplit/>
          <w:trHeight w:val="253"/>
        </w:trPr>
        <w:tc>
          <w:tcPr>
            <w:tcW w:w="4111" w:type="dxa"/>
            <w:shd w:val="clear" w:color="auto" w:fill="7F7F7F" w:themeFill="text1" w:themeFillTint="80"/>
            <w:vAlign w:val="center"/>
            <w:hideMark/>
          </w:tcPr>
          <w:p w14:paraId="342D3EAF" w14:textId="77777777" w:rsidR="00A1550E" w:rsidRPr="00556915" w:rsidRDefault="00A1550E" w:rsidP="00AC7EE5">
            <w:pPr>
              <w:rPr>
                <w:b/>
                <w:bCs/>
                <w:color w:val="FFFFFF" w:themeColor="background1"/>
              </w:rPr>
            </w:pPr>
            <w:r w:rsidRPr="00556915">
              <w:rPr>
                <w:b/>
                <w:bCs/>
                <w:color w:val="FFFFFF" w:themeColor="background1"/>
              </w:rPr>
              <w:t>CHMPs - one authority only</w:t>
            </w:r>
          </w:p>
        </w:tc>
        <w:tc>
          <w:tcPr>
            <w:tcW w:w="4820" w:type="dxa"/>
            <w:gridSpan w:val="2"/>
            <w:shd w:val="clear" w:color="auto" w:fill="auto"/>
            <w:vAlign w:val="center"/>
          </w:tcPr>
          <w:p w14:paraId="63EB1A82" w14:textId="77777777" w:rsidR="00A1550E" w:rsidRPr="003D4288" w:rsidRDefault="00A1550E" w:rsidP="00AC7EE5">
            <w:pPr>
              <w:jc w:val="center"/>
            </w:pPr>
          </w:p>
        </w:tc>
      </w:tr>
      <w:tr w:rsidR="00AC7EE5" w:rsidRPr="00556915" w14:paraId="71778EE6" w14:textId="77777777" w:rsidTr="00C35804">
        <w:trPr>
          <w:cantSplit/>
          <w:trHeight w:val="253"/>
        </w:trPr>
        <w:tc>
          <w:tcPr>
            <w:tcW w:w="4111" w:type="dxa"/>
            <w:shd w:val="clear" w:color="auto" w:fill="7F7F7F" w:themeFill="text1" w:themeFillTint="80"/>
            <w:vAlign w:val="center"/>
            <w:hideMark/>
          </w:tcPr>
          <w:p w14:paraId="30690F80"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2410" w:type="dxa"/>
            <w:shd w:val="clear" w:color="auto" w:fill="auto"/>
            <w:vAlign w:val="center"/>
          </w:tcPr>
          <w:p w14:paraId="498478CB" w14:textId="360F5985" w:rsidR="00AC7EE5" w:rsidRPr="003D4288" w:rsidRDefault="00AC7EE5" w:rsidP="00AC7EE5">
            <w:pPr>
              <w:jc w:val="center"/>
            </w:pPr>
            <w:r w:rsidRPr="00282E65">
              <w:t xml:space="preserve">$389.51 </w:t>
            </w:r>
          </w:p>
        </w:tc>
        <w:tc>
          <w:tcPr>
            <w:tcW w:w="2410" w:type="dxa"/>
            <w:vAlign w:val="center"/>
          </w:tcPr>
          <w:p w14:paraId="7A1ACEAC" w14:textId="05EA2600" w:rsidR="00AC7EE5" w:rsidRPr="00232080" w:rsidRDefault="00AC7EE5" w:rsidP="00AC7EE5">
            <w:pPr>
              <w:jc w:val="center"/>
            </w:pPr>
            <w:r w:rsidRPr="00282E65">
              <w:t xml:space="preserve">27 </w:t>
            </w:r>
          </w:p>
        </w:tc>
      </w:tr>
      <w:tr w:rsidR="00AC7EE5" w:rsidRPr="00556915" w14:paraId="7EFDF894" w14:textId="77777777" w:rsidTr="00C35804">
        <w:trPr>
          <w:cantSplit/>
          <w:trHeight w:val="253"/>
        </w:trPr>
        <w:tc>
          <w:tcPr>
            <w:tcW w:w="4111" w:type="dxa"/>
            <w:shd w:val="clear" w:color="auto" w:fill="7F7F7F" w:themeFill="text1" w:themeFillTint="80"/>
            <w:vAlign w:val="center"/>
            <w:hideMark/>
          </w:tcPr>
          <w:p w14:paraId="12B1F57C"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2410" w:type="dxa"/>
            <w:shd w:val="clear" w:color="auto" w:fill="auto"/>
            <w:vAlign w:val="center"/>
          </w:tcPr>
          <w:p w14:paraId="50234720" w14:textId="02C089F2" w:rsidR="00AC7EE5" w:rsidRPr="003D4288" w:rsidRDefault="00AC7EE5" w:rsidP="00AC7EE5">
            <w:pPr>
              <w:jc w:val="center"/>
            </w:pPr>
            <w:r w:rsidRPr="00282E65">
              <w:t xml:space="preserve">$779.02 </w:t>
            </w:r>
          </w:p>
        </w:tc>
        <w:tc>
          <w:tcPr>
            <w:tcW w:w="2410" w:type="dxa"/>
            <w:vAlign w:val="center"/>
          </w:tcPr>
          <w:p w14:paraId="746C6F7D" w14:textId="2F78C861" w:rsidR="00AC7EE5" w:rsidRPr="00232080" w:rsidRDefault="00AC7EE5" w:rsidP="00AC7EE5">
            <w:pPr>
              <w:jc w:val="center"/>
            </w:pPr>
            <w:r w:rsidRPr="00282E65">
              <w:t xml:space="preserve">55 </w:t>
            </w:r>
          </w:p>
        </w:tc>
      </w:tr>
      <w:tr w:rsidR="00AC7EE5" w:rsidRPr="00556915" w14:paraId="349DAB6E" w14:textId="77777777" w:rsidTr="00C35804">
        <w:trPr>
          <w:cantSplit/>
          <w:trHeight w:val="253"/>
        </w:trPr>
        <w:tc>
          <w:tcPr>
            <w:tcW w:w="4111" w:type="dxa"/>
            <w:shd w:val="clear" w:color="auto" w:fill="7F7F7F" w:themeFill="text1" w:themeFillTint="80"/>
            <w:vAlign w:val="center"/>
            <w:hideMark/>
          </w:tcPr>
          <w:p w14:paraId="703654CD"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2410" w:type="dxa"/>
            <w:shd w:val="clear" w:color="auto" w:fill="auto"/>
            <w:vAlign w:val="center"/>
          </w:tcPr>
          <w:p w14:paraId="6F60333B" w14:textId="47AC054F" w:rsidR="00AC7EE5" w:rsidRPr="003D4288" w:rsidRDefault="00AC7EE5" w:rsidP="00AC7EE5">
            <w:pPr>
              <w:jc w:val="center"/>
            </w:pPr>
            <w:r w:rsidRPr="00282E65">
              <w:t xml:space="preserve">$1,558.04 </w:t>
            </w:r>
          </w:p>
        </w:tc>
        <w:tc>
          <w:tcPr>
            <w:tcW w:w="2410" w:type="dxa"/>
            <w:vAlign w:val="center"/>
          </w:tcPr>
          <w:p w14:paraId="589A5AE3" w14:textId="2D5490E6" w:rsidR="00AC7EE5" w:rsidRPr="00232080" w:rsidRDefault="00AC7EE5" w:rsidP="00AC7EE5">
            <w:pPr>
              <w:jc w:val="center"/>
            </w:pPr>
            <w:r w:rsidRPr="00282E65">
              <w:t xml:space="preserve">110 </w:t>
            </w:r>
          </w:p>
        </w:tc>
      </w:tr>
      <w:tr w:rsidR="00AC7EE5" w:rsidRPr="00556915" w14:paraId="5A370BF4" w14:textId="77777777" w:rsidTr="00C35804">
        <w:trPr>
          <w:cantSplit/>
          <w:trHeight w:val="253"/>
        </w:trPr>
        <w:tc>
          <w:tcPr>
            <w:tcW w:w="4111" w:type="dxa"/>
            <w:shd w:val="clear" w:color="auto" w:fill="7F7F7F" w:themeFill="text1" w:themeFillTint="80"/>
            <w:vAlign w:val="center"/>
            <w:hideMark/>
          </w:tcPr>
          <w:p w14:paraId="1FC66332"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2410" w:type="dxa"/>
            <w:shd w:val="clear" w:color="auto" w:fill="auto"/>
            <w:vAlign w:val="center"/>
          </w:tcPr>
          <w:p w14:paraId="18D82C8A" w14:textId="2047A24C" w:rsidR="00AC7EE5" w:rsidRPr="003D4288" w:rsidRDefault="00AC7EE5" w:rsidP="00AC7EE5">
            <w:pPr>
              <w:jc w:val="center"/>
            </w:pPr>
            <w:r w:rsidRPr="00282E65">
              <w:t xml:space="preserve">$559.60 </w:t>
            </w:r>
          </w:p>
        </w:tc>
        <w:tc>
          <w:tcPr>
            <w:tcW w:w="2410" w:type="dxa"/>
            <w:vAlign w:val="center"/>
          </w:tcPr>
          <w:p w14:paraId="38316687" w14:textId="7729EFCF" w:rsidR="00AC7EE5" w:rsidRPr="00232080" w:rsidRDefault="00AC7EE5" w:rsidP="00AC7EE5">
            <w:pPr>
              <w:jc w:val="center"/>
            </w:pPr>
            <w:r w:rsidRPr="00282E65">
              <w:t xml:space="preserve">39 </w:t>
            </w:r>
          </w:p>
        </w:tc>
      </w:tr>
      <w:tr w:rsidR="00AC7EE5" w:rsidRPr="00556915" w14:paraId="075F484C" w14:textId="77777777" w:rsidTr="00C35804">
        <w:trPr>
          <w:cantSplit/>
          <w:trHeight w:val="253"/>
        </w:trPr>
        <w:tc>
          <w:tcPr>
            <w:tcW w:w="4111" w:type="dxa"/>
            <w:shd w:val="clear" w:color="auto" w:fill="7F7F7F" w:themeFill="text1" w:themeFillTint="80"/>
            <w:vAlign w:val="center"/>
            <w:hideMark/>
          </w:tcPr>
          <w:p w14:paraId="0CD2715A"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2410" w:type="dxa"/>
            <w:shd w:val="clear" w:color="auto" w:fill="auto"/>
            <w:vAlign w:val="center"/>
          </w:tcPr>
          <w:p w14:paraId="005337C8" w14:textId="1EE1CCDD" w:rsidR="00AC7EE5" w:rsidRPr="003D4288" w:rsidRDefault="00AC7EE5" w:rsidP="00AC7EE5">
            <w:pPr>
              <w:jc w:val="center"/>
            </w:pPr>
            <w:r w:rsidRPr="00282E65">
              <w:t xml:space="preserve">$1,119.20 </w:t>
            </w:r>
          </w:p>
        </w:tc>
        <w:tc>
          <w:tcPr>
            <w:tcW w:w="2410" w:type="dxa"/>
            <w:vAlign w:val="center"/>
          </w:tcPr>
          <w:p w14:paraId="138F9BF9" w14:textId="577D0D14" w:rsidR="00AC7EE5" w:rsidRPr="00232080" w:rsidRDefault="00AC7EE5" w:rsidP="00AC7EE5">
            <w:pPr>
              <w:jc w:val="center"/>
            </w:pPr>
            <w:r w:rsidRPr="00282E65">
              <w:t xml:space="preserve">79 </w:t>
            </w:r>
          </w:p>
        </w:tc>
      </w:tr>
      <w:tr w:rsidR="00AC7EE5" w:rsidRPr="00556915" w14:paraId="681A6123" w14:textId="77777777" w:rsidTr="00C35804">
        <w:trPr>
          <w:cantSplit/>
          <w:trHeight w:val="253"/>
        </w:trPr>
        <w:tc>
          <w:tcPr>
            <w:tcW w:w="4111" w:type="dxa"/>
            <w:shd w:val="clear" w:color="auto" w:fill="7F7F7F" w:themeFill="text1" w:themeFillTint="80"/>
            <w:vAlign w:val="center"/>
            <w:hideMark/>
          </w:tcPr>
          <w:p w14:paraId="6D654D3A"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2410" w:type="dxa"/>
            <w:shd w:val="clear" w:color="auto" w:fill="auto"/>
            <w:vAlign w:val="center"/>
          </w:tcPr>
          <w:p w14:paraId="62509041" w14:textId="736BAD73" w:rsidR="00AC7EE5" w:rsidRPr="003D4288" w:rsidRDefault="00AC7EE5" w:rsidP="00AC7EE5">
            <w:pPr>
              <w:jc w:val="center"/>
            </w:pPr>
            <w:r w:rsidRPr="00282E65">
              <w:t xml:space="preserve">$2,238.41 </w:t>
            </w:r>
          </w:p>
        </w:tc>
        <w:tc>
          <w:tcPr>
            <w:tcW w:w="2410" w:type="dxa"/>
            <w:vAlign w:val="center"/>
          </w:tcPr>
          <w:p w14:paraId="47BAE61A" w14:textId="04EA1848" w:rsidR="00AC7EE5" w:rsidRPr="00232080" w:rsidRDefault="00AC7EE5" w:rsidP="00AC7EE5">
            <w:pPr>
              <w:jc w:val="center"/>
            </w:pPr>
            <w:r w:rsidRPr="00282E65">
              <w:t xml:space="preserve">157 </w:t>
            </w:r>
          </w:p>
        </w:tc>
      </w:tr>
      <w:tr w:rsidR="00AC7EE5" w:rsidRPr="00556915" w14:paraId="3504B715" w14:textId="77777777" w:rsidTr="00C35804">
        <w:trPr>
          <w:cantSplit/>
          <w:trHeight w:val="253"/>
        </w:trPr>
        <w:tc>
          <w:tcPr>
            <w:tcW w:w="4111" w:type="dxa"/>
            <w:shd w:val="clear" w:color="auto" w:fill="7F7F7F" w:themeFill="text1" w:themeFillTint="80"/>
            <w:vAlign w:val="center"/>
            <w:hideMark/>
          </w:tcPr>
          <w:p w14:paraId="570D78EB"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2410" w:type="dxa"/>
            <w:shd w:val="clear" w:color="auto" w:fill="auto"/>
            <w:vAlign w:val="center"/>
          </w:tcPr>
          <w:p w14:paraId="3AE4BD37" w14:textId="23B22D3E" w:rsidR="00AC7EE5" w:rsidRPr="003D4288" w:rsidRDefault="00AC7EE5" w:rsidP="00AC7EE5">
            <w:pPr>
              <w:jc w:val="center"/>
            </w:pPr>
            <w:r w:rsidRPr="00282E65">
              <w:t xml:space="preserve">$890.58 </w:t>
            </w:r>
          </w:p>
        </w:tc>
        <w:tc>
          <w:tcPr>
            <w:tcW w:w="2410" w:type="dxa"/>
            <w:vAlign w:val="center"/>
          </w:tcPr>
          <w:p w14:paraId="743BCBC2" w14:textId="057E6803" w:rsidR="00AC7EE5" w:rsidRPr="00232080" w:rsidRDefault="00AC7EE5" w:rsidP="00AC7EE5">
            <w:pPr>
              <w:jc w:val="center"/>
            </w:pPr>
            <w:r w:rsidRPr="00282E65">
              <w:t xml:space="preserve">63 </w:t>
            </w:r>
          </w:p>
        </w:tc>
      </w:tr>
      <w:tr w:rsidR="00AC7EE5" w:rsidRPr="00556915" w14:paraId="0555D7D6" w14:textId="77777777" w:rsidTr="00C35804">
        <w:trPr>
          <w:cantSplit/>
          <w:trHeight w:val="253"/>
        </w:trPr>
        <w:tc>
          <w:tcPr>
            <w:tcW w:w="4111" w:type="dxa"/>
            <w:shd w:val="clear" w:color="auto" w:fill="7F7F7F" w:themeFill="text1" w:themeFillTint="80"/>
            <w:vAlign w:val="center"/>
            <w:hideMark/>
          </w:tcPr>
          <w:p w14:paraId="10F05FCC"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2410" w:type="dxa"/>
            <w:shd w:val="clear" w:color="auto" w:fill="auto"/>
            <w:vAlign w:val="center"/>
          </w:tcPr>
          <w:p w14:paraId="7097CD4E" w14:textId="5D68EF50" w:rsidR="00AC7EE5" w:rsidRPr="003D4288" w:rsidRDefault="00AC7EE5" w:rsidP="00AC7EE5">
            <w:pPr>
              <w:jc w:val="center"/>
            </w:pPr>
            <w:r w:rsidRPr="00282E65">
              <w:t xml:space="preserve">$1,781.16 </w:t>
            </w:r>
          </w:p>
        </w:tc>
        <w:tc>
          <w:tcPr>
            <w:tcW w:w="2410" w:type="dxa"/>
            <w:vAlign w:val="center"/>
          </w:tcPr>
          <w:p w14:paraId="0AAC0C05" w14:textId="1DB1C10F" w:rsidR="00AC7EE5" w:rsidRPr="00232080" w:rsidRDefault="00AC7EE5" w:rsidP="00AC7EE5">
            <w:pPr>
              <w:jc w:val="center"/>
            </w:pPr>
            <w:r w:rsidRPr="00282E65">
              <w:t xml:space="preserve">125 </w:t>
            </w:r>
          </w:p>
        </w:tc>
      </w:tr>
      <w:tr w:rsidR="00AC7EE5" w:rsidRPr="00556915" w14:paraId="0C499FFF" w14:textId="77777777" w:rsidTr="00C35804">
        <w:trPr>
          <w:cantSplit/>
          <w:trHeight w:val="253"/>
        </w:trPr>
        <w:tc>
          <w:tcPr>
            <w:tcW w:w="4111" w:type="dxa"/>
            <w:shd w:val="clear" w:color="auto" w:fill="7F7F7F" w:themeFill="text1" w:themeFillTint="80"/>
            <w:vAlign w:val="center"/>
            <w:hideMark/>
          </w:tcPr>
          <w:p w14:paraId="4945F32D"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2410" w:type="dxa"/>
            <w:shd w:val="clear" w:color="auto" w:fill="auto"/>
            <w:vAlign w:val="center"/>
          </w:tcPr>
          <w:p w14:paraId="1B8ED54C" w14:textId="47480CA1" w:rsidR="00AC7EE5" w:rsidRPr="003D4288" w:rsidRDefault="00AC7EE5" w:rsidP="00AC7EE5">
            <w:pPr>
              <w:jc w:val="center"/>
            </w:pPr>
            <w:r w:rsidRPr="00282E65">
              <w:t xml:space="preserve">$3,562.31 </w:t>
            </w:r>
          </w:p>
        </w:tc>
        <w:tc>
          <w:tcPr>
            <w:tcW w:w="2410" w:type="dxa"/>
            <w:vAlign w:val="center"/>
          </w:tcPr>
          <w:p w14:paraId="5199972E" w14:textId="32194E76" w:rsidR="00AC7EE5" w:rsidRPr="00232080" w:rsidRDefault="00AC7EE5" w:rsidP="00AC7EE5">
            <w:pPr>
              <w:jc w:val="center"/>
            </w:pPr>
            <w:r w:rsidRPr="00282E65">
              <w:t xml:space="preserve">251 </w:t>
            </w:r>
          </w:p>
        </w:tc>
      </w:tr>
      <w:tr w:rsidR="005041BC" w:rsidRPr="00556915" w14:paraId="2F5D9F6B" w14:textId="77777777" w:rsidTr="00C35804">
        <w:trPr>
          <w:cantSplit/>
          <w:trHeight w:val="253"/>
        </w:trPr>
        <w:tc>
          <w:tcPr>
            <w:tcW w:w="4111" w:type="dxa"/>
            <w:shd w:val="clear" w:color="auto" w:fill="7F7F7F" w:themeFill="text1" w:themeFillTint="80"/>
            <w:vAlign w:val="center"/>
            <w:hideMark/>
          </w:tcPr>
          <w:p w14:paraId="7F8BBCC5" w14:textId="77777777" w:rsidR="005041BC" w:rsidRPr="00556915" w:rsidRDefault="005041BC" w:rsidP="00AC7EE5">
            <w:pPr>
              <w:rPr>
                <w:b/>
                <w:bCs/>
                <w:color w:val="FFFFFF" w:themeColor="background1"/>
              </w:rPr>
            </w:pPr>
            <w:r w:rsidRPr="00556915">
              <w:rPr>
                <w:b/>
                <w:bCs/>
                <w:color w:val="FFFFFF" w:themeColor="background1"/>
              </w:rPr>
              <w:t>CHMPs - two authorities</w:t>
            </w:r>
          </w:p>
        </w:tc>
        <w:tc>
          <w:tcPr>
            <w:tcW w:w="4820" w:type="dxa"/>
            <w:gridSpan w:val="2"/>
            <w:shd w:val="clear" w:color="auto" w:fill="auto"/>
            <w:vAlign w:val="center"/>
          </w:tcPr>
          <w:p w14:paraId="5A6D54DE" w14:textId="77777777" w:rsidR="005041BC" w:rsidRPr="003D4288" w:rsidRDefault="005041BC" w:rsidP="00AC7EE5">
            <w:pPr>
              <w:jc w:val="center"/>
            </w:pPr>
          </w:p>
        </w:tc>
      </w:tr>
      <w:tr w:rsidR="00AC7EE5" w:rsidRPr="00556915" w14:paraId="2E83C39F" w14:textId="77777777" w:rsidTr="00C35804">
        <w:trPr>
          <w:cantSplit/>
          <w:trHeight w:val="253"/>
        </w:trPr>
        <w:tc>
          <w:tcPr>
            <w:tcW w:w="4111" w:type="dxa"/>
            <w:shd w:val="clear" w:color="auto" w:fill="7F7F7F" w:themeFill="text1" w:themeFillTint="80"/>
            <w:vAlign w:val="center"/>
            <w:hideMark/>
          </w:tcPr>
          <w:p w14:paraId="35B98C63"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2410" w:type="dxa"/>
            <w:shd w:val="clear" w:color="auto" w:fill="auto"/>
            <w:vAlign w:val="center"/>
          </w:tcPr>
          <w:p w14:paraId="2A4B7481" w14:textId="0FE3D3C5" w:rsidR="00AC7EE5" w:rsidRPr="003D4288" w:rsidRDefault="00AC7EE5" w:rsidP="00AC7EE5">
            <w:pPr>
              <w:jc w:val="center"/>
            </w:pPr>
            <w:r w:rsidRPr="00282E65">
              <w:t xml:space="preserve">$311.61 </w:t>
            </w:r>
          </w:p>
        </w:tc>
        <w:tc>
          <w:tcPr>
            <w:tcW w:w="2410" w:type="dxa"/>
            <w:vAlign w:val="center"/>
          </w:tcPr>
          <w:p w14:paraId="2BC137BB" w14:textId="323FEA4F" w:rsidR="00AC7EE5" w:rsidRPr="00232080" w:rsidRDefault="00AC7EE5" w:rsidP="00AC7EE5">
            <w:pPr>
              <w:jc w:val="center"/>
            </w:pPr>
            <w:r w:rsidRPr="00282E65">
              <w:t xml:space="preserve">22 </w:t>
            </w:r>
          </w:p>
        </w:tc>
      </w:tr>
      <w:tr w:rsidR="00AC7EE5" w:rsidRPr="00556915" w14:paraId="729B9F53" w14:textId="77777777" w:rsidTr="00C35804">
        <w:trPr>
          <w:cantSplit/>
          <w:trHeight w:val="253"/>
        </w:trPr>
        <w:tc>
          <w:tcPr>
            <w:tcW w:w="4111" w:type="dxa"/>
            <w:shd w:val="clear" w:color="auto" w:fill="7F7F7F" w:themeFill="text1" w:themeFillTint="80"/>
            <w:vAlign w:val="center"/>
            <w:hideMark/>
          </w:tcPr>
          <w:p w14:paraId="0FF47791"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2410" w:type="dxa"/>
            <w:shd w:val="clear" w:color="auto" w:fill="auto"/>
            <w:vAlign w:val="center"/>
          </w:tcPr>
          <w:p w14:paraId="309BB01F" w14:textId="590CA5F3" w:rsidR="00AC7EE5" w:rsidRPr="003D4288" w:rsidRDefault="00AC7EE5" w:rsidP="00AC7EE5">
            <w:pPr>
              <w:jc w:val="center"/>
            </w:pPr>
            <w:r w:rsidRPr="00282E65">
              <w:t xml:space="preserve">$584.26 </w:t>
            </w:r>
          </w:p>
        </w:tc>
        <w:tc>
          <w:tcPr>
            <w:tcW w:w="2410" w:type="dxa"/>
            <w:vAlign w:val="center"/>
          </w:tcPr>
          <w:p w14:paraId="5FC062D0" w14:textId="55473F88" w:rsidR="00AC7EE5" w:rsidRPr="00232080" w:rsidRDefault="00AC7EE5" w:rsidP="00AC7EE5">
            <w:pPr>
              <w:jc w:val="center"/>
            </w:pPr>
            <w:r w:rsidRPr="00282E65">
              <w:t xml:space="preserve">41 </w:t>
            </w:r>
          </w:p>
        </w:tc>
      </w:tr>
      <w:tr w:rsidR="00AC7EE5" w:rsidRPr="00556915" w14:paraId="7E89754E" w14:textId="77777777" w:rsidTr="00C35804">
        <w:trPr>
          <w:cantSplit/>
          <w:trHeight w:val="253"/>
        </w:trPr>
        <w:tc>
          <w:tcPr>
            <w:tcW w:w="4111" w:type="dxa"/>
            <w:shd w:val="clear" w:color="auto" w:fill="7F7F7F" w:themeFill="text1" w:themeFillTint="80"/>
            <w:vAlign w:val="center"/>
            <w:hideMark/>
          </w:tcPr>
          <w:p w14:paraId="573C2438"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2410" w:type="dxa"/>
            <w:shd w:val="clear" w:color="auto" w:fill="auto"/>
            <w:vAlign w:val="center"/>
          </w:tcPr>
          <w:p w14:paraId="394655EE" w14:textId="295D1F98" w:rsidR="00AC7EE5" w:rsidRPr="003D4288" w:rsidRDefault="00AC7EE5" w:rsidP="00AC7EE5">
            <w:pPr>
              <w:jc w:val="center"/>
            </w:pPr>
            <w:r w:rsidRPr="00282E65">
              <w:t xml:space="preserve">$1,168.53 </w:t>
            </w:r>
          </w:p>
        </w:tc>
        <w:tc>
          <w:tcPr>
            <w:tcW w:w="2410" w:type="dxa"/>
            <w:vAlign w:val="center"/>
          </w:tcPr>
          <w:p w14:paraId="5A5B6047" w14:textId="7491E63A" w:rsidR="00AC7EE5" w:rsidRPr="00232080" w:rsidRDefault="00AC7EE5" w:rsidP="00AC7EE5">
            <w:pPr>
              <w:jc w:val="center"/>
            </w:pPr>
            <w:r w:rsidRPr="00282E65">
              <w:t xml:space="preserve">82 </w:t>
            </w:r>
          </w:p>
        </w:tc>
      </w:tr>
      <w:tr w:rsidR="00AC7EE5" w:rsidRPr="00556915" w14:paraId="737F7A35" w14:textId="77777777" w:rsidTr="00C35804">
        <w:trPr>
          <w:cantSplit/>
          <w:trHeight w:val="253"/>
        </w:trPr>
        <w:tc>
          <w:tcPr>
            <w:tcW w:w="4111" w:type="dxa"/>
            <w:shd w:val="clear" w:color="auto" w:fill="7F7F7F" w:themeFill="text1" w:themeFillTint="80"/>
            <w:vAlign w:val="center"/>
            <w:hideMark/>
          </w:tcPr>
          <w:p w14:paraId="7A6638A7"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2410" w:type="dxa"/>
            <w:shd w:val="clear" w:color="auto" w:fill="auto"/>
            <w:vAlign w:val="center"/>
          </w:tcPr>
          <w:p w14:paraId="3E9860AB" w14:textId="1C3A4160" w:rsidR="00AC7EE5" w:rsidRPr="003D4288" w:rsidRDefault="00AC7EE5" w:rsidP="00AC7EE5">
            <w:pPr>
              <w:jc w:val="center"/>
            </w:pPr>
            <w:r w:rsidRPr="00282E65">
              <w:t xml:space="preserve">$419.70 </w:t>
            </w:r>
          </w:p>
        </w:tc>
        <w:tc>
          <w:tcPr>
            <w:tcW w:w="2410" w:type="dxa"/>
            <w:vAlign w:val="center"/>
          </w:tcPr>
          <w:p w14:paraId="76C15FA7" w14:textId="01EAAE8F" w:rsidR="00AC7EE5" w:rsidRPr="00232080" w:rsidRDefault="00AC7EE5" w:rsidP="00AC7EE5">
            <w:pPr>
              <w:jc w:val="center"/>
            </w:pPr>
            <w:r w:rsidRPr="00282E65">
              <w:t xml:space="preserve">30 </w:t>
            </w:r>
          </w:p>
        </w:tc>
      </w:tr>
      <w:tr w:rsidR="00AC7EE5" w:rsidRPr="00556915" w14:paraId="5ADEACCD" w14:textId="77777777" w:rsidTr="00C35804">
        <w:trPr>
          <w:cantSplit/>
          <w:trHeight w:val="253"/>
        </w:trPr>
        <w:tc>
          <w:tcPr>
            <w:tcW w:w="4111" w:type="dxa"/>
            <w:shd w:val="clear" w:color="auto" w:fill="7F7F7F" w:themeFill="text1" w:themeFillTint="80"/>
            <w:vAlign w:val="center"/>
            <w:hideMark/>
          </w:tcPr>
          <w:p w14:paraId="7C803CDC"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2410" w:type="dxa"/>
            <w:shd w:val="clear" w:color="auto" w:fill="auto"/>
            <w:vAlign w:val="center"/>
          </w:tcPr>
          <w:p w14:paraId="5EABBCA1" w14:textId="23375DA5" w:rsidR="00AC7EE5" w:rsidRPr="003D4288" w:rsidRDefault="00AC7EE5" w:rsidP="00AC7EE5">
            <w:pPr>
              <w:jc w:val="center"/>
            </w:pPr>
            <w:r w:rsidRPr="00282E65">
              <w:t xml:space="preserve">$839.40 </w:t>
            </w:r>
          </w:p>
        </w:tc>
        <w:tc>
          <w:tcPr>
            <w:tcW w:w="2410" w:type="dxa"/>
            <w:vAlign w:val="center"/>
          </w:tcPr>
          <w:p w14:paraId="7D705E4D" w14:textId="1E10578A" w:rsidR="00AC7EE5" w:rsidRPr="00232080" w:rsidRDefault="00AC7EE5" w:rsidP="00AC7EE5">
            <w:pPr>
              <w:jc w:val="center"/>
            </w:pPr>
            <w:r w:rsidRPr="00282E65">
              <w:t xml:space="preserve">59 </w:t>
            </w:r>
          </w:p>
        </w:tc>
      </w:tr>
      <w:tr w:rsidR="00AC7EE5" w:rsidRPr="00556915" w14:paraId="1977033D" w14:textId="77777777" w:rsidTr="00C35804">
        <w:trPr>
          <w:cantSplit/>
          <w:trHeight w:val="253"/>
        </w:trPr>
        <w:tc>
          <w:tcPr>
            <w:tcW w:w="4111" w:type="dxa"/>
            <w:shd w:val="clear" w:color="auto" w:fill="7F7F7F" w:themeFill="text1" w:themeFillTint="80"/>
            <w:vAlign w:val="center"/>
            <w:hideMark/>
          </w:tcPr>
          <w:p w14:paraId="2B9825FE"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2410" w:type="dxa"/>
            <w:shd w:val="clear" w:color="auto" w:fill="auto"/>
            <w:vAlign w:val="center"/>
          </w:tcPr>
          <w:p w14:paraId="06F63BDF" w14:textId="73FB1662" w:rsidR="00AC7EE5" w:rsidRPr="003D4288" w:rsidRDefault="00AC7EE5" w:rsidP="00AC7EE5">
            <w:pPr>
              <w:jc w:val="center"/>
            </w:pPr>
            <w:r w:rsidRPr="00282E65">
              <w:t xml:space="preserve">$1,678.81 </w:t>
            </w:r>
          </w:p>
        </w:tc>
        <w:tc>
          <w:tcPr>
            <w:tcW w:w="2410" w:type="dxa"/>
            <w:vAlign w:val="center"/>
          </w:tcPr>
          <w:p w14:paraId="2F638F23" w14:textId="029691DC" w:rsidR="00AC7EE5" w:rsidRPr="00232080" w:rsidRDefault="00AC7EE5" w:rsidP="00AC7EE5">
            <w:pPr>
              <w:jc w:val="center"/>
            </w:pPr>
            <w:r w:rsidRPr="00282E65">
              <w:t xml:space="preserve">118 </w:t>
            </w:r>
          </w:p>
        </w:tc>
      </w:tr>
      <w:tr w:rsidR="00AC7EE5" w:rsidRPr="00556915" w14:paraId="792D7DAA" w14:textId="77777777" w:rsidTr="00C35804">
        <w:trPr>
          <w:cantSplit/>
          <w:trHeight w:val="253"/>
        </w:trPr>
        <w:tc>
          <w:tcPr>
            <w:tcW w:w="4111" w:type="dxa"/>
            <w:shd w:val="clear" w:color="auto" w:fill="7F7F7F" w:themeFill="text1" w:themeFillTint="80"/>
            <w:vAlign w:val="center"/>
            <w:hideMark/>
          </w:tcPr>
          <w:p w14:paraId="05C4069E"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2410" w:type="dxa"/>
            <w:shd w:val="clear" w:color="auto" w:fill="auto"/>
            <w:vAlign w:val="center"/>
          </w:tcPr>
          <w:p w14:paraId="4C3E8B81" w14:textId="656659BF" w:rsidR="00AC7EE5" w:rsidRPr="003D4288" w:rsidRDefault="00AC7EE5" w:rsidP="00AC7EE5">
            <w:pPr>
              <w:jc w:val="center"/>
            </w:pPr>
            <w:r w:rsidRPr="00282E65">
              <w:t xml:space="preserve">$667.93 </w:t>
            </w:r>
          </w:p>
        </w:tc>
        <w:tc>
          <w:tcPr>
            <w:tcW w:w="2410" w:type="dxa"/>
            <w:vAlign w:val="center"/>
          </w:tcPr>
          <w:p w14:paraId="167A9EDF" w14:textId="228DD067" w:rsidR="00AC7EE5" w:rsidRPr="00232080" w:rsidRDefault="00AC7EE5" w:rsidP="00AC7EE5">
            <w:pPr>
              <w:jc w:val="center"/>
            </w:pPr>
            <w:r w:rsidRPr="00282E65">
              <w:t xml:space="preserve">47 </w:t>
            </w:r>
          </w:p>
        </w:tc>
      </w:tr>
      <w:tr w:rsidR="00AC7EE5" w:rsidRPr="00556915" w14:paraId="78059F0F" w14:textId="77777777" w:rsidTr="00C35804">
        <w:trPr>
          <w:cantSplit/>
          <w:trHeight w:val="253"/>
        </w:trPr>
        <w:tc>
          <w:tcPr>
            <w:tcW w:w="4111" w:type="dxa"/>
            <w:shd w:val="clear" w:color="auto" w:fill="7F7F7F" w:themeFill="text1" w:themeFillTint="80"/>
            <w:vAlign w:val="center"/>
            <w:hideMark/>
          </w:tcPr>
          <w:p w14:paraId="613AECD9"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2410" w:type="dxa"/>
            <w:shd w:val="clear" w:color="auto" w:fill="auto"/>
            <w:vAlign w:val="center"/>
          </w:tcPr>
          <w:p w14:paraId="2C9D380B" w14:textId="3580CBFF" w:rsidR="00AC7EE5" w:rsidRPr="003D4288" w:rsidRDefault="00AC7EE5" w:rsidP="00AC7EE5">
            <w:pPr>
              <w:jc w:val="center"/>
            </w:pPr>
            <w:r w:rsidRPr="00282E65">
              <w:t xml:space="preserve">$1,335.87 </w:t>
            </w:r>
          </w:p>
        </w:tc>
        <w:tc>
          <w:tcPr>
            <w:tcW w:w="2410" w:type="dxa"/>
            <w:vAlign w:val="center"/>
          </w:tcPr>
          <w:p w14:paraId="267BD776" w14:textId="291EC18A" w:rsidR="00AC7EE5" w:rsidRPr="00232080" w:rsidRDefault="00AC7EE5" w:rsidP="00AC7EE5">
            <w:pPr>
              <w:jc w:val="center"/>
            </w:pPr>
            <w:r w:rsidRPr="00282E65">
              <w:t xml:space="preserve">94 </w:t>
            </w:r>
          </w:p>
        </w:tc>
      </w:tr>
      <w:tr w:rsidR="00AC7EE5" w:rsidRPr="00556915" w14:paraId="0FF89F98" w14:textId="77777777" w:rsidTr="00C35804">
        <w:trPr>
          <w:cantSplit/>
          <w:trHeight w:val="253"/>
        </w:trPr>
        <w:tc>
          <w:tcPr>
            <w:tcW w:w="4111" w:type="dxa"/>
            <w:shd w:val="clear" w:color="auto" w:fill="7F7F7F" w:themeFill="text1" w:themeFillTint="80"/>
            <w:vAlign w:val="center"/>
            <w:hideMark/>
          </w:tcPr>
          <w:p w14:paraId="0AB3F073"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2410" w:type="dxa"/>
            <w:shd w:val="clear" w:color="auto" w:fill="auto"/>
            <w:vAlign w:val="center"/>
          </w:tcPr>
          <w:p w14:paraId="341C11C4" w14:textId="1BF3A50D" w:rsidR="00AC7EE5" w:rsidRPr="003D4288" w:rsidRDefault="00AC7EE5" w:rsidP="00AC7EE5">
            <w:pPr>
              <w:jc w:val="center"/>
            </w:pPr>
            <w:r w:rsidRPr="00282E65">
              <w:t xml:space="preserve">$2,671.74 </w:t>
            </w:r>
          </w:p>
        </w:tc>
        <w:tc>
          <w:tcPr>
            <w:tcW w:w="2410" w:type="dxa"/>
            <w:vAlign w:val="center"/>
          </w:tcPr>
          <w:p w14:paraId="33E26991" w14:textId="6D0F95FF" w:rsidR="00AC7EE5" w:rsidRPr="00232080" w:rsidRDefault="00AC7EE5" w:rsidP="00AC7EE5">
            <w:pPr>
              <w:jc w:val="center"/>
            </w:pPr>
            <w:r w:rsidRPr="00282E65">
              <w:t xml:space="preserve">188 </w:t>
            </w:r>
          </w:p>
        </w:tc>
      </w:tr>
      <w:tr w:rsidR="005041BC" w:rsidRPr="00556915" w14:paraId="1A24C9F2" w14:textId="77777777" w:rsidTr="00C35804">
        <w:trPr>
          <w:cantSplit/>
          <w:trHeight w:val="253"/>
        </w:trPr>
        <w:tc>
          <w:tcPr>
            <w:tcW w:w="4111" w:type="dxa"/>
            <w:shd w:val="clear" w:color="auto" w:fill="7F7F7F" w:themeFill="text1" w:themeFillTint="80"/>
            <w:vAlign w:val="center"/>
            <w:hideMark/>
          </w:tcPr>
          <w:p w14:paraId="500F3B5F" w14:textId="77777777" w:rsidR="005041BC" w:rsidRPr="00556915" w:rsidRDefault="005041BC" w:rsidP="00AC7EE5">
            <w:pPr>
              <w:rPr>
                <w:b/>
                <w:bCs/>
                <w:color w:val="FFFFFF" w:themeColor="background1"/>
              </w:rPr>
            </w:pPr>
            <w:r w:rsidRPr="00556915">
              <w:rPr>
                <w:b/>
                <w:bCs/>
                <w:color w:val="FFFFFF" w:themeColor="background1"/>
              </w:rPr>
              <w:t>CHMPs - three or more authorities</w:t>
            </w:r>
          </w:p>
        </w:tc>
        <w:tc>
          <w:tcPr>
            <w:tcW w:w="4820" w:type="dxa"/>
            <w:gridSpan w:val="2"/>
            <w:shd w:val="clear" w:color="auto" w:fill="auto"/>
            <w:vAlign w:val="center"/>
          </w:tcPr>
          <w:p w14:paraId="199F9506" w14:textId="77777777" w:rsidR="005041BC" w:rsidRPr="003D4288" w:rsidRDefault="005041BC" w:rsidP="00AC7EE5">
            <w:pPr>
              <w:jc w:val="center"/>
            </w:pPr>
          </w:p>
        </w:tc>
      </w:tr>
      <w:tr w:rsidR="00AC7EE5" w:rsidRPr="00556915" w14:paraId="7095E920" w14:textId="77777777" w:rsidTr="00C35804">
        <w:trPr>
          <w:cantSplit/>
          <w:trHeight w:val="253"/>
        </w:trPr>
        <w:tc>
          <w:tcPr>
            <w:tcW w:w="4111" w:type="dxa"/>
            <w:shd w:val="clear" w:color="auto" w:fill="7F7F7F" w:themeFill="text1" w:themeFillTint="80"/>
            <w:vAlign w:val="center"/>
            <w:hideMark/>
          </w:tcPr>
          <w:p w14:paraId="1063F653"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2410" w:type="dxa"/>
            <w:shd w:val="clear" w:color="auto" w:fill="auto"/>
            <w:vAlign w:val="center"/>
          </w:tcPr>
          <w:p w14:paraId="65ED8479" w14:textId="09FA5346" w:rsidR="00AC7EE5" w:rsidRPr="003D4288" w:rsidRDefault="00AC7EE5" w:rsidP="00AC7EE5">
            <w:pPr>
              <w:jc w:val="center"/>
            </w:pPr>
            <w:r w:rsidRPr="00282E65">
              <w:t xml:space="preserve">$272.66 </w:t>
            </w:r>
          </w:p>
        </w:tc>
        <w:tc>
          <w:tcPr>
            <w:tcW w:w="2410" w:type="dxa"/>
            <w:vAlign w:val="center"/>
          </w:tcPr>
          <w:p w14:paraId="64000A3E" w14:textId="63594CAA" w:rsidR="00AC7EE5" w:rsidRPr="00232080" w:rsidRDefault="00AC7EE5" w:rsidP="00AC7EE5">
            <w:pPr>
              <w:jc w:val="center"/>
            </w:pPr>
            <w:r w:rsidRPr="00282E65">
              <w:t xml:space="preserve">19 </w:t>
            </w:r>
          </w:p>
        </w:tc>
      </w:tr>
      <w:tr w:rsidR="00AC7EE5" w:rsidRPr="00556915" w14:paraId="5F9DDAC4" w14:textId="77777777" w:rsidTr="00C35804">
        <w:trPr>
          <w:cantSplit/>
          <w:trHeight w:val="253"/>
        </w:trPr>
        <w:tc>
          <w:tcPr>
            <w:tcW w:w="4111" w:type="dxa"/>
            <w:shd w:val="clear" w:color="auto" w:fill="7F7F7F" w:themeFill="text1" w:themeFillTint="80"/>
            <w:vAlign w:val="center"/>
            <w:hideMark/>
          </w:tcPr>
          <w:p w14:paraId="421D7373"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2410" w:type="dxa"/>
            <w:shd w:val="clear" w:color="auto" w:fill="auto"/>
            <w:vAlign w:val="center"/>
          </w:tcPr>
          <w:p w14:paraId="7EE2E24F" w14:textId="73DF0459" w:rsidR="00AC7EE5" w:rsidRPr="003D4288" w:rsidRDefault="00AC7EE5" w:rsidP="00AC7EE5">
            <w:pPr>
              <w:jc w:val="center"/>
            </w:pPr>
            <w:r w:rsidRPr="00282E65">
              <w:t xml:space="preserve">$506.36 </w:t>
            </w:r>
          </w:p>
        </w:tc>
        <w:tc>
          <w:tcPr>
            <w:tcW w:w="2410" w:type="dxa"/>
            <w:vAlign w:val="center"/>
          </w:tcPr>
          <w:p w14:paraId="6110E13D" w14:textId="4DB6CE6E" w:rsidR="00AC7EE5" w:rsidRPr="00232080" w:rsidRDefault="00AC7EE5" w:rsidP="00AC7EE5">
            <w:pPr>
              <w:jc w:val="center"/>
            </w:pPr>
            <w:r w:rsidRPr="00282E65">
              <w:t xml:space="preserve">36 </w:t>
            </w:r>
          </w:p>
        </w:tc>
      </w:tr>
      <w:tr w:rsidR="00AC7EE5" w:rsidRPr="00556915" w14:paraId="00BBAE28" w14:textId="77777777" w:rsidTr="00C35804">
        <w:trPr>
          <w:cantSplit/>
          <w:trHeight w:val="253"/>
        </w:trPr>
        <w:tc>
          <w:tcPr>
            <w:tcW w:w="4111" w:type="dxa"/>
            <w:shd w:val="clear" w:color="auto" w:fill="7F7F7F" w:themeFill="text1" w:themeFillTint="80"/>
            <w:vAlign w:val="center"/>
            <w:hideMark/>
          </w:tcPr>
          <w:p w14:paraId="45DE89D6"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2410" w:type="dxa"/>
            <w:shd w:val="clear" w:color="auto" w:fill="auto"/>
            <w:vAlign w:val="center"/>
          </w:tcPr>
          <w:p w14:paraId="055AC185" w14:textId="791A34CA" w:rsidR="00AC7EE5" w:rsidRPr="003D4288" w:rsidRDefault="00AC7EE5" w:rsidP="00AC7EE5">
            <w:pPr>
              <w:jc w:val="center"/>
            </w:pPr>
            <w:r w:rsidRPr="00282E65">
              <w:t xml:space="preserve">$1,051.67 </w:t>
            </w:r>
          </w:p>
        </w:tc>
        <w:tc>
          <w:tcPr>
            <w:tcW w:w="2410" w:type="dxa"/>
            <w:vAlign w:val="center"/>
          </w:tcPr>
          <w:p w14:paraId="05BEB894" w14:textId="7D68199F" w:rsidR="00AC7EE5" w:rsidRPr="00232080" w:rsidRDefault="00AC7EE5" w:rsidP="00AC7EE5">
            <w:pPr>
              <w:jc w:val="center"/>
            </w:pPr>
            <w:r w:rsidRPr="00282E65">
              <w:t xml:space="preserve">74 </w:t>
            </w:r>
          </w:p>
        </w:tc>
      </w:tr>
      <w:tr w:rsidR="00AC7EE5" w:rsidRPr="00556915" w14:paraId="0499C5EC" w14:textId="77777777" w:rsidTr="00C35804">
        <w:trPr>
          <w:cantSplit/>
          <w:trHeight w:val="253"/>
        </w:trPr>
        <w:tc>
          <w:tcPr>
            <w:tcW w:w="4111" w:type="dxa"/>
            <w:shd w:val="clear" w:color="auto" w:fill="7F7F7F" w:themeFill="text1" w:themeFillTint="80"/>
            <w:vAlign w:val="center"/>
            <w:hideMark/>
          </w:tcPr>
          <w:p w14:paraId="3B14E456"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2410" w:type="dxa"/>
            <w:shd w:val="clear" w:color="auto" w:fill="auto"/>
            <w:vAlign w:val="center"/>
          </w:tcPr>
          <w:p w14:paraId="2B888CBD" w14:textId="1DABECB6" w:rsidR="00AC7EE5" w:rsidRPr="003D4288" w:rsidRDefault="00AC7EE5" w:rsidP="00AC7EE5">
            <w:pPr>
              <w:jc w:val="center"/>
            </w:pPr>
            <w:r w:rsidRPr="00282E65">
              <w:t xml:space="preserve">$377.73 </w:t>
            </w:r>
          </w:p>
        </w:tc>
        <w:tc>
          <w:tcPr>
            <w:tcW w:w="2410" w:type="dxa"/>
            <w:vAlign w:val="center"/>
          </w:tcPr>
          <w:p w14:paraId="308BF744" w14:textId="67A4D702" w:rsidR="00AC7EE5" w:rsidRPr="00232080" w:rsidRDefault="00AC7EE5" w:rsidP="00AC7EE5">
            <w:pPr>
              <w:jc w:val="center"/>
            </w:pPr>
            <w:r w:rsidRPr="00282E65">
              <w:t xml:space="preserve">27 </w:t>
            </w:r>
          </w:p>
        </w:tc>
      </w:tr>
      <w:tr w:rsidR="00AC7EE5" w:rsidRPr="00556915" w14:paraId="605DB706" w14:textId="77777777" w:rsidTr="00C35804">
        <w:trPr>
          <w:cantSplit/>
          <w:trHeight w:val="253"/>
        </w:trPr>
        <w:tc>
          <w:tcPr>
            <w:tcW w:w="4111" w:type="dxa"/>
            <w:shd w:val="clear" w:color="auto" w:fill="7F7F7F" w:themeFill="text1" w:themeFillTint="80"/>
            <w:vAlign w:val="center"/>
            <w:hideMark/>
          </w:tcPr>
          <w:p w14:paraId="1A4A9686"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2410" w:type="dxa"/>
            <w:shd w:val="clear" w:color="auto" w:fill="auto"/>
            <w:vAlign w:val="center"/>
          </w:tcPr>
          <w:p w14:paraId="3A7D5777" w14:textId="39D96036" w:rsidR="00AC7EE5" w:rsidRPr="003D4288" w:rsidRDefault="00AC7EE5" w:rsidP="00AC7EE5">
            <w:pPr>
              <w:jc w:val="center"/>
            </w:pPr>
            <w:r w:rsidRPr="00282E65">
              <w:t xml:space="preserve">$741.47 </w:t>
            </w:r>
          </w:p>
        </w:tc>
        <w:tc>
          <w:tcPr>
            <w:tcW w:w="2410" w:type="dxa"/>
            <w:vAlign w:val="center"/>
          </w:tcPr>
          <w:p w14:paraId="75914053" w14:textId="634CD474" w:rsidR="00AC7EE5" w:rsidRPr="00232080" w:rsidRDefault="00AC7EE5" w:rsidP="00AC7EE5">
            <w:pPr>
              <w:jc w:val="center"/>
            </w:pPr>
            <w:r w:rsidRPr="00282E65">
              <w:t xml:space="preserve">52 </w:t>
            </w:r>
          </w:p>
        </w:tc>
      </w:tr>
      <w:tr w:rsidR="00AC7EE5" w:rsidRPr="00556915" w14:paraId="0D90C5D6" w14:textId="77777777" w:rsidTr="00C35804">
        <w:trPr>
          <w:cantSplit/>
          <w:trHeight w:val="253"/>
        </w:trPr>
        <w:tc>
          <w:tcPr>
            <w:tcW w:w="4111" w:type="dxa"/>
            <w:shd w:val="clear" w:color="auto" w:fill="7F7F7F" w:themeFill="text1" w:themeFillTint="80"/>
            <w:vAlign w:val="center"/>
            <w:hideMark/>
          </w:tcPr>
          <w:p w14:paraId="06433939"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2410" w:type="dxa"/>
            <w:shd w:val="clear" w:color="auto" w:fill="auto"/>
            <w:vAlign w:val="center"/>
          </w:tcPr>
          <w:p w14:paraId="5BF70397" w14:textId="157F4201" w:rsidR="00AC7EE5" w:rsidRPr="003D4288" w:rsidRDefault="00AC7EE5" w:rsidP="00AC7EE5">
            <w:pPr>
              <w:jc w:val="center"/>
            </w:pPr>
            <w:r w:rsidRPr="00282E65">
              <w:t xml:space="preserve">$1,496.94 </w:t>
            </w:r>
          </w:p>
        </w:tc>
        <w:tc>
          <w:tcPr>
            <w:tcW w:w="2410" w:type="dxa"/>
            <w:vAlign w:val="center"/>
          </w:tcPr>
          <w:p w14:paraId="2E51A76D" w14:textId="4E13EE5D" w:rsidR="00AC7EE5" w:rsidRPr="00232080" w:rsidRDefault="00AC7EE5" w:rsidP="00AC7EE5">
            <w:pPr>
              <w:jc w:val="center"/>
            </w:pPr>
            <w:r w:rsidRPr="00282E65">
              <w:t xml:space="preserve">105 </w:t>
            </w:r>
          </w:p>
        </w:tc>
      </w:tr>
      <w:tr w:rsidR="00AC7EE5" w:rsidRPr="00556915" w14:paraId="62B259A9" w14:textId="77777777" w:rsidTr="00C35804">
        <w:trPr>
          <w:cantSplit/>
          <w:trHeight w:val="253"/>
        </w:trPr>
        <w:tc>
          <w:tcPr>
            <w:tcW w:w="4111" w:type="dxa"/>
            <w:shd w:val="clear" w:color="auto" w:fill="7F7F7F" w:themeFill="text1" w:themeFillTint="80"/>
            <w:vAlign w:val="center"/>
            <w:hideMark/>
          </w:tcPr>
          <w:p w14:paraId="06024FEE"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2410" w:type="dxa"/>
            <w:shd w:val="clear" w:color="auto" w:fill="auto"/>
            <w:vAlign w:val="center"/>
          </w:tcPr>
          <w:p w14:paraId="21C0FEE2" w14:textId="6DAC42FE" w:rsidR="00AC7EE5" w:rsidRPr="003D4288" w:rsidRDefault="00AC7EE5" w:rsidP="00AC7EE5">
            <w:pPr>
              <w:jc w:val="center"/>
            </w:pPr>
            <w:r w:rsidRPr="00282E65">
              <w:t xml:space="preserve">$590.01 </w:t>
            </w:r>
          </w:p>
        </w:tc>
        <w:tc>
          <w:tcPr>
            <w:tcW w:w="2410" w:type="dxa"/>
            <w:vAlign w:val="center"/>
          </w:tcPr>
          <w:p w14:paraId="03FED808" w14:textId="049308FB" w:rsidR="00AC7EE5" w:rsidRPr="00232080" w:rsidRDefault="00AC7EE5" w:rsidP="00AC7EE5">
            <w:pPr>
              <w:jc w:val="center"/>
            </w:pPr>
            <w:r w:rsidRPr="00282E65">
              <w:t xml:space="preserve">41 </w:t>
            </w:r>
          </w:p>
        </w:tc>
      </w:tr>
      <w:tr w:rsidR="00AC7EE5" w:rsidRPr="00556915" w14:paraId="039D8A34" w14:textId="77777777" w:rsidTr="00C35804">
        <w:trPr>
          <w:cantSplit/>
          <w:trHeight w:val="253"/>
        </w:trPr>
        <w:tc>
          <w:tcPr>
            <w:tcW w:w="4111" w:type="dxa"/>
            <w:shd w:val="clear" w:color="auto" w:fill="7F7F7F" w:themeFill="text1" w:themeFillTint="80"/>
            <w:vAlign w:val="center"/>
            <w:hideMark/>
          </w:tcPr>
          <w:p w14:paraId="6F268F6B"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2410" w:type="dxa"/>
            <w:shd w:val="clear" w:color="auto" w:fill="auto"/>
            <w:vAlign w:val="center"/>
          </w:tcPr>
          <w:p w14:paraId="3558F2B5" w14:textId="17CC3EA8" w:rsidR="00AC7EE5" w:rsidRPr="003D4288" w:rsidRDefault="00AC7EE5" w:rsidP="00AC7EE5">
            <w:pPr>
              <w:jc w:val="center"/>
            </w:pPr>
            <w:r w:rsidRPr="00282E65">
              <w:t xml:space="preserve">$1,191.15 </w:t>
            </w:r>
          </w:p>
        </w:tc>
        <w:tc>
          <w:tcPr>
            <w:tcW w:w="2410" w:type="dxa"/>
            <w:vAlign w:val="center"/>
          </w:tcPr>
          <w:p w14:paraId="3063E6E4" w14:textId="118C72B9" w:rsidR="00AC7EE5" w:rsidRPr="00232080" w:rsidRDefault="00AC7EE5" w:rsidP="00AC7EE5">
            <w:pPr>
              <w:jc w:val="center"/>
            </w:pPr>
            <w:r w:rsidRPr="00282E65">
              <w:t xml:space="preserve">84 </w:t>
            </w:r>
          </w:p>
        </w:tc>
      </w:tr>
      <w:tr w:rsidR="00AC7EE5" w:rsidRPr="00556915" w14:paraId="3FDCC89B" w14:textId="77777777" w:rsidTr="00C35804">
        <w:trPr>
          <w:cantSplit/>
          <w:trHeight w:val="253"/>
        </w:trPr>
        <w:tc>
          <w:tcPr>
            <w:tcW w:w="4111" w:type="dxa"/>
            <w:shd w:val="clear" w:color="auto" w:fill="7F7F7F" w:themeFill="text1" w:themeFillTint="80"/>
            <w:vAlign w:val="center"/>
            <w:hideMark/>
          </w:tcPr>
          <w:p w14:paraId="4DCBAA68"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2410" w:type="dxa"/>
            <w:shd w:val="clear" w:color="auto" w:fill="auto"/>
            <w:vAlign w:val="center"/>
          </w:tcPr>
          <w:p w14:paraId="1955367E" w14:textId="5419E5D1" w:rsidR="00AC7EE5" w:rsidRPr="003D4288" w:rsidRDefault="00AC7EE5" w:rsidP="00AC7EE5">
            <w:pPr>
              <w:jc w:val="center"/>
            </w:pPr>
            <w:r w:rsidRPr="00282E65">
              <w:t xml:space="preserve">$2,371.17 </w:t>
            </w:r>
          </w:p>
        </w:tc>
        <w:tc>
          <w:tcPr>
            <w:tcW w:w="2410" w:type="dxa"/>
            <w:vAlign w:val="center"/>
          </w:tcPr>
          <w:p w14:paraId="75184A06" w14:textId="00926F20" w:rsidR="00AC7EE5" w:rsidRPr="00232080" w:rsidRDefault="00AC7EE5" w:rsidP="00AC7EE5">
            <w:pPr>
              <w:jc w:val="center"/>
            </w:pPr>
            <w:r w:rsidRPr="00282E65">
              <w:t xml:space="preserve">167 </w:t>
            </w:r>
          </w:p>
        </w:tc>
      </w:tr>
      <w:tr w:rsidR="00AC7EE5" w:rsidRPr="00556915" w14:paraId="1FEE7B38" w14:textId="77777777" w:rsidTr="00C35804">
        <w:trPr>
          <w:cantSplit/>
          <w:trHeight w:val="253"/>
        </w:trPr>
        <w:tc>
          <w:tcPr>
            <w:tcW w:w="4111" w:type="dxa"/>
            <w:shd w:val="clear" w:color="auto" w:fill="7F7F7F" w:themeFill="text1" w:themeFillTint="80"/>
            <w:vAlign w:val="center"/>
            <w:hideMark/>
          </w:tcPr>
          <w:p w14:paraId="1408C90A" w14:textId="77777777" w:rsidR="00AC7EE5" w:rsidRPr="00556915" w:rsidRDefault="00AC7EE5" w:rsidP="00AC7EE5">
            <w:pPr>
              <w:rPr>
                <w:b/>
                <w:bCs/>
                <w:color w:val="FFFFFF" w:themeColor="background1"/>
              </w:rPr>
            </w:pPr>
            <w:r w:rsidRPr="00556915">
              <w:rPr>
                <w:b/>
                <w:bCs/>
                <w:color w:val="FFFFFF" w:themeColor="background1"/>
              </w:rPr>
              <w:t>Approval of an amendment to a CHMP</w:t>
            </w:r>
          </w:p>
        </w:tc>
        <w:tc>
          <w:tcPr>
            <w:tcW w:w="2410" w:type="dxa"/>
            <w:shd w:val="clear" w:color="auto" w:fill="auto"/>
            <w:vAlign w:val="center"/>
          </w:tcPr>
          <w:p w14:paraId="3015393C" w14:textId="0CBDDD32" w:rsidR="00AC7EE5" w:rsidRPr="003D4288" w:rsidRDefault="00AC7EE5" w:rsidP="00AC7EE5">
            <w:pPr>
              <w:jc w:val="center"/>
            </w:pPr>
            <w:r w:rsidRPr="00282E65">
              <w:t xml:space="preserve">$749.15 </w:t>
            </w:r>
          </w:p>
        </w:tc>
        <w:tc>
          <w:tcPr>
            <w:tcW w:w="2410" w:type="dxa"/>
            <w:vAlign w:val="center"/>
          </w:tcPr>
          <w:p w14:paraId="394179E8" w14:textId="6ADB6DFA" w:rsidR="00AC7EE5" w:rsidRPr="00232080" w:rsidRDefault="00AC7EE5" w:rsidP="00AC7EE5">
            <w:pPr>
              <w:jc w:val="center"/>
            </w:pPr>
            <w:r w:rsidRPr="00282E65">
              <w:t xml:space="preserve">53 </w:t>
            </w:r>
          </w:p>
        </w:tc>
      </w:tr>
      <w:tr w:rsidR="00AC7EE5" w:rsidRPr="00556915" w14:paraId="483F854C" w14:textId="77777777" w:rsidTr="00C35804">
        <w:trPr>
          <w:cantSplit/>
          <w:trHeight w:val="253"/>
        </w:trPr>
        <w:tc>
          <w:tcPr>
            <w:tcW w:w="4111" w:type="dxa"/>
            <w:shd w:val="clear" w:color="auto" w:fill="7F7F7F" w:themeFill="text1" w:themeFillTint="80"/>
            <w:vAlign w:val="center"/>
            <w:hideMark/>
          </w:tcPr>
          <w:p w14:paraId="1AF9E731" w14:textId="77777777" w:rsidR="00AC7EE5" w:rsidRPr="00556915" w:rsidRDefault="00AC7EE5" w:rsidP="00AC7EE5">
            <w:pPr>
              <w:rPr>
                <w:b/>
                <w:bCs/>
                <w:color w:val="FFFFFF" w:themeColor="background1"/>
              </w:rPr>
            </w:pPr>
            <w:r w:rsidRPr="00556915">
              <w:rPr>
                <w:b/>
                <w:bCs/>
                <w:color w:val="FFFFFF" w:themeColor="background1"/>
              </w:rPr>
              <w:t>Application for access to the Register</w:t>
            </w:r>
          </w:p>
        </w:tc>
        <w:tc>
          <w:tcPr>
            <w:tcW w:w="2410" w:type="dxa"/>
            <w:shd w:val="clear" w:color="auto" w:fill="auto"/>
            <w:vAlign w:val="center"/>
          </w:tcPr>
          <w:p w14:paraId="00270019" w14:textId="7F16F89B" w:rsidR="00AC7EE5" w:rsidRPr="003D4288" w:rsidRDefault="00AC7EE5" w:rsidP="00AC7EE5">
            <w:pPr>
              <w:jc w:val="center"/>
            </w:pPr>
            <w:r w:rsidRPr="00282E65">
              <w:t xml:space="preserve">$255.96 </w:t>
            </w:r>
          </w:p>
        </w:tc>
        <w:tc>
          <w:tcPr>
            <w:tcW w:w="2410" w:type="dxa"/>
            <w:vAlign w:val="center"/>
          </w:tcPr>
          <w:p w14:paraId="733B6285" w14:textId="2F4C403B" w:rsidR="00AC7EE5" w:rsidRPr="00232080" w:rsidRDefault="00AC7EE5" w:rsidP="00AC7EE5">
            <w:pPr>
              <w:jc w:val="center"/>
            </w:pPr>
            <w:r w:rsidRPr="00282E65">
              <w:t xml:space="preserve">18 </w:t>
            </w:r>
          </w:p>
        </w:tc>
      </w:tr>
      <w:tr w:rsidR="00AC7EE5" w:rsidRPr="00556915" w14:paraId="53784058" w14:textId="77777777" w:rsidTr="00C35804">
        <w:trPr>
          <w:cantSplit/>
          <w:trHeight w:val="253"/>
        </w:trPr>
        <w:tc>
          <w:tcPr>
            <w:tcW w:w="4111" w:type="dxa"/>
            <w:shd w:val="clear" w:color="auto" w:fill="7F7F7F" w:themeFill="text1" w:themeFillTint="80"/>
            <w:vAlign w:val="center"/>
            <w:hideMark/>
          </w:tcPr>
          <w:p w14:paraId="47E99BEF" w14:textId="77777777" w:rsidR="00AC7EE5" w:rsidRPr="00556915" w:rsidRDefault="00AC7EE5" w:rsidP="00AC7EE5">
            <w:pPr>
              <w:rPr>
                <w:b/>
                <w:bCs/>
                <w:color w:val="FFFFFF" w:themeColor="background1"/>
              </w:rPr>
            </w:pPr>
            <w:r w:rsidRPr="00556915">
              <w:rPr>
                <w:b/>
                <w:bCs/>
                <w:color w:val="FFFFFF" w:themeColor="background1"/>
              </w:rPr>
              <w:t>Application for advice on the Register</w:t>
            </w:r>
          </w:p>
        </w:tc>
        <w:tc>
          <w:tcPr>
            <w:tcW w:w="2410" w:type="dxa"/>
            <w:shd w:val="clear" w:color="auto" w:fill="auto"/>
            <w:vAlign w:val="center"/>
          </w:tcPr>
          <w:p w14:paraId="68100C2B" w14:textId="1B48DCE5" w:rsidR="00AC7EE5" w:rsidRDefault="00AC7EE5" w:rsidP="00AC7EE5">
            <w:pPr>
              <w:jc w:val="center"/>
            </w:pPr>
            <w:r w:rsidRPr="00282E65">
              <w:t xml:space="preserve">$170.64 </w:t>
            </w:r>
          </w:p>
        </w:tc>
        <w:tc>
          <w:tcPr>
            <w:tcW w:w="2410" w:type="dxa"/>
            <w:vAlign w:val="center"/>
          </w:tcPr>
          <w:p w14:paraId="4AAFC07C" w14:textId="554EFF47" w:rsidR="00AC7EE5" w:rsidRPr="00232080" w:rsidRDefault="00AC7EE5" w:rsidP="00AC7EE5">
            <w:pPr>
              <w:jc w:val="center"/>
            </w:pPr>
            <w:r w:rsidRPr="00282E65">
              <w:t xml:space="preserve">12 </w:t>
            </w:r>
          </w:p>
        </w:tc>
      </w:tr>
    </w:tbl>
    <w:p w14:paraId="28E872C1" w14:textId="1D5F2242" w:rsidR="00577E93" w:rsidRDefault="00577E93" w:rsidP="007C0109">
      <w:pPr>
        <w:pStyle w:val="PwCNormal"/>
        <w:spacing w:before="240"/>
        <w:rPr>
          <w:lang w:val="en-US"/>
        </w:rPr>
      </w:pPr>
      <w:r>
        <w:rPr>
          <w:lang w:val="en-US"/>
        </w:rPr>
        <w:t xml:space="preserve">Cost recovery for fee option 2 is approximately 81 per cent. This is due to cost recovery for CHPs and applications to obtain advice from the register being less than 100 per cent (10 per cent and 57 per cent respectively, due the reasons stated above </w:t>
      </w:r>
      <w:r>
        <w:rPr>
          <w:lang w:val="en-US"/>
        </w:rPr>
        <w:fldChar w:fldCharType="begin"/>
      </w:r>
      <w:r>
        <w:rPr>
          <w:lang w:val="en-US"/>
        </w:rPr>
        <w:instrText xml:space="preserve"> REF _Ref506806051 \h </w:instrText>
      </w:r>
      <w:r>
        <w:rPr>
          <w:lang w:val="en-US"/>
        </w:rPr>
      </w:r>
      <w:r>
        <w:rPr>
          <w:lang w:val="en-US"/>
        </w:rPr>
        <w:fldChar w:fldCharType="separate"/>
      </w:r>
      <w:r w:rsidR="000369A1">
        <w:t xml:space="preserve">Table </w:t>
      </w:r>
      <w:r w:rsidR="000369A1">
        <w:rPr>
          <w:noProof/>
        </w:rPr>
        <w:t>30</w:t>
      </w:r>
      <w:r>
        <w:rPr>
          <w:lang w:val="en-US"/>
        </w:rPr>
        <w:fldChar w:fldCharType="end"/>
      </w:r>
      <w:r>
        <w:rPr>
          <w:lang w:val="en-US"/>
        </w:rPr>
        <w:t>). All other fees recover at full cost recovery.</w:t>
      </w:r>
    </w:p>
    <w:p w14:paraId="47494E01" w14:textId="375C0670" w:rsidR="002B6B28" w:rsidRDefault="002B6B28" w:rsidP="002B6B28">
      <w:pPr>
        <w:pStyle w:val="Heading7"/>
        <w:spacing w:before="240"/>
        <w:rPr>
          <w:lang w:val="en-US"/>
        </w:rPr>
      </w:pPr>
      <w:r>
        <w:rPr>
          <w:lang w:val="en-US"/>
        </w:rPr>
        <w:t>O</w:t>
      </w:r>
      <w:r w:rsidR="00620701">
        <w:rPr>
          <w:lang w:val="en-US"/>
        </w:rPr>
        <w:t>ption 3: Variable fees by assessor</w:t>
      </w:r>
    </w:p>
    <w:p w14:paraId="624254A1" w14:textId="77777777" w:rsidR="002B6B28" w:rsidRDefault="002B6B28" w:rsidP="002B6B28">
      <w:pPr>
        <w:pStyle w:val="PwCNormal"/>
        <w:rPr>
          <w:lang w:val="en-US"/>
        </w:rPr>
      </w:pPr>
      <w:r>
        <w:rPr>
          <w:lang w:val="en-US"/>
        </w:rPr>
        <w:t>Under Option 3, fees are updated to reflect better data on costs. They are set by recovering the avoidable costs of undertaking the activity, using the current cost categories. These costs were estimated using the following steps:</w:t>
      </w:r>
    </w:p>
    <w:p w14:paraId="25B57D48" w14:textId="77777777" w:rsidR="002B6B28" w:rsidRDefault="002B6B28" w:rsidP="002B6B28">
      <w:pPr>
        <w:pStyle w:val="ListBullet"/>
        <w:rPr>
          <w:lang w:val="en-US"/>
        </w:rPr>
      </w:pPr>
      <w:r>
        <w:rPr>
          <w:lang w:val="en-US"/>
        </w:rPr>
        <w:t>Identifying the types of costs involved in undertaking each activity.</w:t>
      </w:r>
    </w:p>
    <w:p w14:paraId="3E93F000" w14:textId="77777777" w:rsidR="002B6B28" w:rsidRDefault="002B6B28" w:rsidP="002B6B28">
      <w:pPr>
        <w:pStyle w:val="ListBullet"/>
        <w:rPr>
          <w:lang w:val="en-US"/>
        </w:rPr>
      </w:pPr>
      <w:r>
        <w:rPr>
          <w:lang w:val="en-US"/>
        </w:rPr>
        <w:t>Collecting data on the time involved in undertaking the activity, and any oncosts.</w:t>
      </w:r>
    </w:p>
    <w:p w14:paraId="4C6AF65B" w14:textId="77777777" w:rsidR="002B6B28" w:rsidRDefault="002B6B28" w:rsidP="002B6B28">
      <w:pPr>
        <w:pStyle w:val="ListBullet"/>
        <w:rPr>
          <w:lang w:val="en-US"/>
        </w:rPr>
      </w:pPr>
      <w:r>
        <w:rPr>
          <w:lang w:val="en-US"/>
        </w:rPr>
        <w:t>Determining whether there were any additional costs involved in undertaking the activity.</w:t>
      </w:r>
    </w:p>
    <w:p w14:paraId="44B1D37E" w14:textId="482A35D8" w:rsidR="00620701" w:rsidRPr="00620701" w:rsidRDefault="002B6B28">
      <w:pPr>
        <w:pStyle w:val="ListBullet"/>
        <w:rPr>
          <w:lang w:val="en-US"/>
        </w:rPr>
      </w:pPr>
      <w:r w:rsidRPr="00620701">
        <w:rPr>
          <w:lang w:val="en-US"/>
        </w:rPr>
        <w:t xml:space="preserve">Making a variable fee by the party that </w:t>
      </w:r>
      <w:r w:rsidR="00620701" w:rsidRPr="00620701">
        <w:rPr>
          <w:lang w:val="en-US"/>
        </w:rPr>
        <w:t>is assigned to undertake</w:t>
      </w:r>
      <w:r w:rsidRPr="00620701">
        <w:rPr>
          <w:lang w:val="en-US"/>
        </w:rPr>
        <w:t xml:space="preserve"> the activity.</w:t>
      </w:r>
      <w:r w:rsidR="00620701">
        <w:rPr>
          <w:lang w:val="en-US"/>
        </w:rPr>
        <w:t xml:space="preserve"> </w:t>
      </w:r>
      <w:r w:rsidR="00620701" w:rsidRPr="00620701">
        <w:rPr>
          <w:lang w:val="en-US"/>
        </w:rPr>
        <w:t xml:space="preserve">A CHMP is assigned to be assessed by either </w:t>
      </w:r>
      <w:r w:rsidR="00620701">
        <w:rPr>
          <w:lang w:val="en-US"/>
        </w:rPr>
        <w:t>the Secretary</w:t>
      </w:r>
      <w:r w:rsidR="00620701" w:rsidRPr="00620701">
        <w:rPr>
          <w:lang w:val="en-US"/>
        </w:rPr>
        <w:t xml:space="preserve"> or RAPs based on</w:t>
      </w:r>
      <w:r w:rsidR="00620701">
        <w:rPr>
          <w:lang w:val="en-US"/>
        </w:rPr>
        <w:t xml:space="preserve"> the following criteria</w:t>
      </w:r>
      <w:r w:rsidR="00620701" w:rsidRPr="00620701">
        <w:rPr>
          <w:lang w:val="en-US"/>
        </w:rPr>
        <w:t>:</w:t>
      </w:r>
    </w:p>
    <w:p w14:paraId="57D0B630" w14:textId="382B4F14" w:rsidR="00620701" w:rsidRDefault="00444ACA" w:rsidP="00705BA8">
      <w:pPr>
        <w:pStyle w:val="ListBullet2"/>
        <w:numPr>
          <w:ilvl w:val="1"/>
          <w:numId w:val="52"/>
        </w:numPr>
        <w:rPr>
          <w:lang w:val="en-US"/>
        </w:rPr>
      </w:pPr>
      <w:r>
        <w:rPr>
          <w:lang w:val="en-US"/>
        </w:rPr>
        <w:t>If</w:t>
      </w:r>
      <w:r w:rsidR="00620701">
        <w:rPr>
          <w:lang w:val="en-US"/>
        </w:rPr>
        <w:t xml:space="preserve"> the activity falls within a RAP’s designated area</w:t>
      </w:r>
      <w:r>
        <w:rPr>
          <w:lang w:val="en-US"/>
        </w:rPr>
        <w:t>, the RAP assesses it in the first instance</w:t>
      </w:r>
      <w:r w:rsidR="00620701">
        <w:rPr>
          <w:lang w:val="en-US"/>
        </w:rPr>
        <w:t>.</w:t>
      </w:r>
    </w:p>
    <w:p w14:paraId="1F6BFB78" w14:textId="6D2F9BBC" w:rsidR="00620701" w:rsidRDefault="00620701" w:rsidP="00705BA8">
      <w:pPr>
        <w:pStyle w:val="ListBullet2"/>
        <w:numPr>
          <w:ilvl w:val="1"/>
          <w:numId w:val="52"/>
        </w:numPr>
        <w:rPr>
          <w:lang w:val="en-US"/>
        </w:rPr>
      </w:pPr>
      <w:r>
        <w:rPr>
          <w:lang w:val="en-US"/>
        </w:rPr>
        <w:t>If the RAP does not choose to assess a CHMP, it is instead assessed by the Secretary.</w:t>
      </w:r>
    </w:p>
    <w:p w14:paraId="138143C6" w14:textId="607BDB9E" w:rsidR="00620701" w:rsidRDefault="00620701" w:rsidP="00705BA8">
      <w:pPr>
        <w:pStyle w:val="ListBullet2"/>
        <w:numPr>
          <w:ilvl w:val="1"/>
          <w:numId w:val="52"/>
        </w:numPr>
        <w:rPr>
          <w:lang w:val="en-US"/>
        </w:rPr>
      </w:pPr>
      <w:r>
        <w:rPr>
          <w:lang w:val="en-US"/>
        </w:rPr>
        <w:t>If the CHMP has been prepared by either the Secretary or a RAP, it is assessed by the VAHC.</w:t>
      </w:r>
    </w:p>
    <w:p w14:paraId="6708761C" w14:textId="7EB56AD0" w:rsidR="002B6B28" w:rsidRDefault="002B6B28" w:rsidP="006715B3">
      <w:pPr>
        <w:pStyle w:val="ListBullet"/>
        <w:rPr>
          <w:lang w:val="en-US"/>
        </w:rPr>
      </w:pPr>
      <w:r>
        <w:rPr>
          <w:lang w:val="en-US"/>
        </w:rPr>
        <w:t xml:space="preserve">Applying the central estimates to the medium activity fee for PAHT and CHMP </w:t>
      </w:r>
      <w:r w:rsidR="00A67B1F">
        <w:rPr>
          <w:lang w:val="en-US"/>
        </w:rPr>
        <w:t>evaluations</w:t>
      </w:r>
      <w:r>
        <w:rPr>
          <w:lang w:val="en-US"/>
        </w:rPr>
        <w:t xml:space="preserve">, and adjust the central estimate up and down </w:t>
      </w:r>
      <w:r w:rsidR="006715B3" w:rsidRPr="006715B3">
        <w:rPr>
          <w:lang w:val="en-US"/>
        </w:rPr>
        <w:t xml:space="preserve">for the number of authorities and </w:t>
      </w:r>
      <w:r>
        <w:rPr>
          <w:lang w:val="en-US"/>
        </w:rPr>
        <w:t>small and large activities based on the current relativities.</w:t>
      </w:r>
    </w:p>
    <w:p w14:paraId="6BE06F9B" w14:textId="21B85724" w:rsidR="00BB35B4" w:rsidRDefault="00BB35B4" w:rsidP="002B6B28">
      <w:pPr>
        <w:pStyle w:val="ListBullet"/>
        <w:rPr>
          <w:lang w:val="en-US"/>
        </w:rPr>
      </w:pPr>
      <w:r>
        <w:rPr>
          <w:lang w:val="en-US"/>
        </w:rPr>
        <w:t>As with fee option 2, the fee levels for CHPs have been maintained at current levels to reduce the incidence of non-compliance and encourage CHPs to be conducted.</w:t>
      </w:r>
      <w:r w:rsidR="008F2F6D">
        <w:rPr>
          <w:rStyle w:val="FootnoteReference"/>
          <w:lang w:val="en-US"/>
        </w:rPr>
        <w:footnoteReference w:id="129"/>
      </w:r>
    </w:p>
    <w:p w14:paraId="4AA7F014" w14:textId="1CAF3B0A" w:rsidR="002B6B28" w:rsidRPr="00B05931" w:rsidRDefault="002B6B28" w:rsidP="002442ED">
      <w:pPr>
        <w:pStyle w:val="PwCNormal"/>
        <w:rPr>
          <w:lang w:val="en-US"/>
        </w:rPr>
      </w:pPr>
      <w:r w:rsidRPr="00B05931">
        <w:rPr>
          <w:lang w:val="en-US"/>
        </w:rPr>
        <w:t xml:space="preserve">The advantage of this approach is that it provides for a more precise and therefore equitable cost recovery than Option 2. </w:t>
      </w:r>
      <w:r w:rsidR="00B05931" w:rsidRPr="00B05931">
        <w:rPr>
          <w:lang w:val="en-US"/>
        </w:rPr>
        <w:t>Given that CHMP sponsors</w:t>
      </w:r>
      <w:r w:rsidR="008F2F6D">
        <w:rPr>
          <w:lang w:val="en-US"/>
        </w:rPr>
        <w:t xml:space="preserve"> generally are not able to</w:t>
      </w:r>
      <w:r w:rsidR="00B05931" w:rsidRPr="00B05931">
        <w:rPr>
          <w:lang w:val="en-US"/>
        </w:rPr>
        <w:t xml:space="preserve"> choose which party assesses their CHMP, the scope for substitution between the Government and RAPs is minimal.</w:t>
      </w:r>
      <w:r w:rsidR="00B05931">
        <w:rPr>
          <w:lang w:val="en-US"/>
        </w:rPr>
        <w:t xml:space="preserve"> </w:t>
      </w:r>
      <w:r w:rsidRPr="00B05931">
        <w:rPr>
          <w:lang w:val="en-US"/>
        </w:rPr>
        <w:t xml:space="preserve">The estimated fee levels for Option 3 are shown in </w:t>
      </w:r>
      <w:r w:rsidR="008F2F6D">
        <w:rPr>
          <w:lang w:val="en-US"/>
        </w:rPr>
        <w:fldChar w:fldCharType="begin"/>
      </w:r>
      <w:r w:rsidR="008F2F6D">
        <w:rPr>
          <w:lang w:val="en-US"/>
        </w:rPr>
        <w:instrText xml:space="preserve"> REF _Ref507605745 \h </w:instrText>
      </w:r>
      <w:r w:rsidR="008F2F6D">
        <w:rPr>
          <w:lang w:val="en-US"/>
        </w:rPr>
      </w:r>
      <w:r w:rsidR="008F2F6D">
        <w:rPr>
          <w:lang w:val="en-US"/>
        </w:rPr>
        <w:fldChar w:fldCharType="separate"/>
      </w:r>
      <w:r w:rsidR="000369A1">
        <w:t xml:space="preserve">Table </w:t>
      </w:r>
      <w:r w:rsidR="000369A1">
        <w:rPr>
          <w:noProof/>
        </w:rPr>
        <w:t>31</w:t>
      </w:r>
      <w:r w:rsidR="008F2F6D">
        <w:rPr>
          <w:lang w:val="en-US"/>
        </w:rPr>
        <w:fldChar w:fldCharType="end"/>
      </w:r>
      <w:r w:rsidRPr="00B05931">
        <w:rPr>
          <w:lang w:val="en-US"/>
        </w:rPr>
        <w:t>.</w:t>
      </w:r>
    </w:p>
    <w:p w14:paraId="27B21C4A" w14:textId="2CE39EDE" w:rsidR="002B6B28" w:rsidRDefault="002B6B28" w:rsidP="002B6B28">
      <w:pPr>
        <w:pStyle w:val="Caption"/>
      </w:pPr>
      <w:bookmarkStart w:id="87" w:name="_Ref507605745"/>
      <w:r>
        <w:t xml:space="preserve">Table </w:t>
      </w:r>
      <w:r w:rsidR="00B47FE6">
        <w:fldChar w:fldCharType="begin"/>
      </w:r>
      <w:r w:rsidR="00B47FE6">
        <w:instrText xml:space="preserve"> SEQ Table \* ARABIC </w:instrText>
      </w:r>
      <w:r w:rsidR="00B47FE6">
        <w:fldChar w:fldCharType="separate"/>
      </w:r>
      <w:r w:rsidR="000369A1">
        <w:rPr>
          <w:noProof/>
        </w:rPr>
        <w:t>31</w:t>
      </w:r>
      <w:r w:rsidR="00B47FE6">
        <w:rPr>
          <w:noProof/>
        </w:rPr>
        <w:fldChar w:fldCharType="end"/>
      </w:r>
      <w:bookmarkEnd w:id="87"/>
      <w:r>
        <w:t>: Estimated fee levels for Option 3 (2018 dollars)</w:t>
      </w:r>
    </w:p>
    <w:tbl>
      <w:tblPr>
        <w:tblW w:w="8931" w:type="dxa"/>
        <w:tblInd w:w="-34"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3107"/>
        <w:gridCol w:w="1159"/>
        <w:gridCol w:w="1403"/>
        <w:gridCol w:w="1405"/>
        <w:gridCol w:w="1857"/>
      </w:tblGrid>
      <w:tr w:rsidR="002B6B28" w:rsidRPr="00556915" w14:paraId="0AAF53A1" w14:textId="77777777" w:rsidTr="00C35804">
        <w:trPr>
          <w:cantSplit/>
          <w:trHeight w:val="378"/>
          <w:tblHeader/>
        </w:trPr>
        <w:tc>
          <w:tcPr>
            <w:tcW w:w="3107" w:type="dxa"/>
            <w:shd w:val="clear" w:color="auto" w:fill="A32020" w:themeFill="accent1"/>
            <w:noWrap/>
            <w:vAlign w:val="center"/>
            <w:hideMark/>
          </w:tcPr>
          <w:p w14:paraId="76F4015F" w14:textId="77777777" w:rsidR="002B6B28" w:rsidRPr="00556915" w:rsidRDefault="002B6B28" w:rsidP="00620701">
            <w:pPr>
              <w:rPr>
                <w:b/>
                <w:bCs/>
                <w:color w:val="FFFFFF" w:themeColor="background1"/>
              </w:rPr>
            </w:pPr>
            <w:r w:rsidRPr="00556915">
              <w:rPr>
                <w:b/>
                <w:bCs/>
                <w:color w:val="FFFFFF" w:themeColor="background1"/>
              </w:rPr>
              <w:t>Fee</w:t>
            </w:r>
          </w:p>
        </w:tc>
        <w:tc>
          <w:tcPr>
            <w:tcW w:w="1159" w:type="dxa"/>
            <w:shd w:val="clear" w:color="auto" w:fill="A32020" w:themeFill="accent1"/>
            <w:vAlign w:val="center"/>
            <w:hideMark/>
          </w:tcPr>
          <w:p w14:paraId="09E58616" w14:textId="77777777" w:rsidR="002B6B28" w:rsidRPr="00556915" w:rsidRDefault="002B6B28" w:rsidP="00620701">
            <w:pPr>
              <w:jc w:val="center"/>
              <w:rPr>
                <w:b/>
                <w:bCs/>
                <w:color w:val="FFFFFF" w:themeColor="background1"/>
              </w:rPr>
            </w:pPr>
            <w:r>
              <w:rPr>
                <w:b/>
                <w:bCs/>
                <w:color w:val="FFFFFF" w:themeColor="background1"/>
              </w:rPr>
              <w:t>AV cost recovery</w:t>
            </w:r>
          </w:p>
        </w:tc>
        <w:tc>
          <w:tcPr>
            <w:tcW w:w="1403" w:type="dxa"/>
            <w:shd w:val="clear" w:color="auto" w:fill="A32020" w:themeFill="accent1"/>
            <w:vAlign w:val="center"/>
          </w:tcPr>
          <w:p w14:paraId="4555B51C" w14:textId="77777777" w:rsidR="002B6B28" w:rsidRDefault="002B6B28" w:rsidP="00620701">
            <w:pPr>
              <w:jc w:val="center"/>
              <w:rPr>
                <w:b/>
                <w:bCs/>
                <w:color w:val="FFFFFF" w:themeColor="background1"/>
              </w:rPr>
            </w:pPr>
            <w:r>
              <w:rPr>
                <w:b/>
                <w:bCs/>
                <w:color w:val="FFFFFF" w:themeColor="background1"/>
              </w:rPr>
              <w:t>Implied AV fee units</w:t>
            </w:r>
          </w:p>
        </w:tc>
        <w:tc>
          <w:tcPr>
            <w:tcW w:w="1405" w:type="dxa"/>
            <w:shd w:val="clear" w:color="auto" w:fill="A32020" w:themeFill="accent1"/>
            <w:vAlign w:val="center"/>
          </w:tcPr>
          <w:p w14:paraId="0411D914" w14:textId="77777777" w:rsidR="002B6B28" w:rsidRDefault="002B6B28" w:rsidP="00620701">
            <w:pPr>
              <w:jc w:val="center"/>
              <w:rPr>
                <w:b/>
                <w:bCs/>
                <w:color w:val="FFFFFF" w:themeColor="background1"/>
              </w:rPr>
            </w:pPr>
            <w:r>
              <w:rPr>
                <w:b/>
                <w:bCs/>
                <w:color w:val="FFFFFF" w:themeColor="background1"/>
              </w:rPr>
              <w:t>RAP cost recovery</w:t>
            </w:r>
          </w:p>
        </w:tc>
        <w:tc>
          <w:tcPr>
            <w:tcW w:w="1857" w:type="dxa"/>
            <w:shd w:val="clear" w:color="auto" w:fill="A32020" w:themeFill="accent1"/>
            <w:vAlign w:val="center"/>
          </w:tcPr>
          <w:p w14:paraId="3BC188F1" w14:textId="77777777" w:rsidR="002B6B28" w:rsidRDefault="002B6B28" w:rsidP="00620701">
            <w:pPr>
              <w:jc w:val="center"/>
              <w:rPr>
                <w:b/>
                <w:bCs/>
                <w:color w:val="FFFFFF" w:themeColor="background1"/>
              </w:rPr>
            </w:pPr>
            <w:r>
              <w:rPr>
                <w:b/>
                <w:bCs/>
                <w:color w:val="FFFFFF" w:themeColor="background1"/>
              </w:rPr>
              <w:t>Implied RAP fee units</w:t>
            </w:r>
          </w:p>
        </w:tc>
      </w:tr>
      <w:tr w:rsidR="005041BC" w:rsidRPr="00556915" w14:paraId="361FBD32" w14:textId="77777777" w:rsidTr="00C35804">
        <w:trPr>
          <w:cantSplit/>
          <w:trHeight w:val="252"/>
        </w:trPr>
        <w:tc>
          <w:tcPr>
            <w:tcW w:w="3107" w:type="dxa"/>
            <w:shd w:val="clear" w:color="auto" w:fill="7F7F7F" w:themeFill="text1" w:themeFillTint="80"/>
            <w:vAlign w:val="center"/>
            <w:hideMark/>
          </w:tcPr>
          <w:p w14:paraId="0328054F" w14:textId="234B7C31" w:rsidR="005041BC" w:rsidRPr="00556915" w:rsidRDefault="005041BC">
            <w:pPr>
              <w:rPr>
                <w:b/>
                <w:bCs/>
                <w:color w:val="FFFFFF" w:themeColor="background1"/>
              </w:rPr>
            </w:pPr>
            <w:r w:rsidRPr="00556915">
              <w:rPr>
                <w:b/>
                <w:bCs/>
                <w:color w:val="FFFFFF" w:themeColor="background1"/>
              </w:rPr>
              <w:t>CHPs</w:t>
            </w:r>
            <w:r>
              <w:rPr>
                <w:rStyle w:val="FootnoteReference"/>
                <w:b/>
                <w:bCs/>
                <w:color w:val="FFFFFF" w:themeColor="background1"/>
              </w:rPr>
              <w:footnoteReference w:id="130"/>
            </w:r>
            <w:r>
              <w:rPr>
                <w:b/>
                <w:bCs/>
                <w:color w:val="FFFFFF" w:themeColor="background1"/>
              </w:rPr>
              <w:t xml:space="preserve"> </w:t>
            </w:r>
            <w:r>
              <w:rPr>
                <w:rStyle w:val="FootnoteReference"/>
                <w:b/>
                <w:bCs/>
                <w:color w:val="FFFFFF" w:themeColor="background1"/>
              </w:rPr>
              <w:footnoteReference w:id="131"/>
            </w:r>
          </w:p>
        </w:tc>
        <w:tc>
          <w:tcPr>
            <w:tcW w:w="5824" w:type="dxa"/>
            <w:gridSpan w:val="4"/>
            <w:shd w:val="clear" w:color="auto" w:fill="auto"/>
            <w:vAlign w:val="center"/>
            <w:hideMark/>
          </w:tcPr>
          <w:p w14:paraId="62782491" w14:textId="77777777" w:rsidR="005041BC" w:rsidRPr="0065026F" w:rsidRDefault="005041BC" w:rsidP="003D3EF7">
            <w:pPr>
              <w:jc w:val="center"/>
            </w:pPr>
          </w:p>
        </w:tc>
      </w:tr>
      <w:tr w:rsidR="00AC7EE5" w:rsidRPr="00556915" w14:paraId="201537F9" w14:textId="77777777" w:rsidTr="00C35804">
        <w:trPr>
          <w:cantSplit/>
          <w:trHeight w:val="252"/>
        </w:trPr>
        <w:tc>
          <w:tcPr>
            <w:tcW w:w="3107" w:type="dxa"/>
            <w:shd w:val="clear" w:color="auto" w:fill="7F7F7F" w:themeFill="text1" w:themeFillTint="80"/>
            <w:vAlign w:val="center"/>
            <w:hideMark/>
          </w:tcPr>
          <w:p w14:paraId="7AA9FDEE" w14:textId="77777777" w:rsidR="00AC7EE5" w:rsidRPr="00556915" w:rsidRDefault="00AC7EE5" w:rsidP="00AC7EE5">
            <w:pPr>
              <w:rPr>
                <w:color w:val="FFFFFF" w:themeColor="background1"/>
              </w:rPr>
            </w:pPr>
            <w:r w:rsidRPr="00556915">
              <w:rPr>
                <w:color w:val="FFFFFF" w:themeColor="background1"/>
              </w:rPr>
              <w:t>Discovery and research</w:t>
            </w:r>
          </w:p>
        </w:tc>
        <w:tc>
          <w:tcPr>
            <w:tcW w:w="1159" w:type="dxa"/>
            <w:shd w:val="clear" w:color="auto" w:fill="auto"/>
            <w:vAlign w:val="center"/>
          </w:tcPr>
          <w:p w14:paraId="667F7A56" w14:textId="259A29C9" w:rsidR="00AC7EE5" w:rsidRPr="0065026F" w:rsidRDefault="00AC7EE5" w:rsidP="00AC7EE5">
            <w:pPr>
              <w:jc w:val="center"/>
            </w:pPr>
            <w:r w:rsidRPr="00D539C0">
              <w:t xml:space="preserve">$113.76 </w:t>
            </w:r>
          </w:p>
        </w:tc>
        <w:tc>
          <w:tcPr>
            <w:tcW w:w="1403" w:type="dxa"/>
            <w:vAlign w:val="center"/>
          </w:tcPr>
          <w:p w14:paraId="43851E38" w14:textId="2641CDAD" w:rsidR="00AC7EE5" w:rsidRPr="00AF31FE" w:rsidRDefault="00AC7EE5" w:rsidP="00AC7EE5">
            <w:pPr>
              <w:jc w:val="center"/>
            </w:pPr>
            <w:r w:rsidRPr="00D539C0">
              <w:t xml:space="preserve">8 </w:t>
            </w:r>
          </w:p>
        </w:tc>
        <w:tc>
          <w:tcPr>
            <w:tcW w:w="1405" w:type="dxa"/>
            <w:vAlign w:val="center"/>
          </w:tcPr>
          <w:p w14:paraId="64E5102D" w14:textId="457C2E87" w:rsidR="00AC7EE5" w:rsidRPr="0065026F" w:rsidRDefault="00AC7EE5" w:rsidP="00A87D8C">
            <w:pPr>
              <w:jc w:val="center"/>
            </w:pPr>
            <w:r w:rsidRPr="008F5386">
              <w:t xml:space="preserve">$113.76 </w:t>
            </w:r>
          </w:p>
        </w:tc>
        <w:tc>
          <w:tcPr>
            <w:tcW w:w="1857" w:type="dxa"/>
            <w:vAlign w:val="center"/>
          </w:tcPr>
          <w:p w14:paraId="42AA7347" w14:textId="4811D23A" w:rsidR="00AC7EE5" w:rsidRPr="00AF31FE" w:rsidRDefault="00AC7EE5" w:rsidP="003D3EF7">
            <w:pPr>
              <w:jc w:val="center"/>
            </w:pPr>
            <w:r w:rsidRPr="008F5386">
              <w:t xml:space="preserve">8 </w:t>
            </w:r>
          </w:p>
        </w:tc>
      </w:tr>
      <w:tr w:rsidR="00AC7EE5" w:rsidRPr="00556915" w14:paraId="152181F7" w14:textId="77777777" w:rsidTr="00C35804">
        <w:trPr>
          <w:cantSplit/>
          <w:trHeight w:val="252"/>
        </w:trPr>
        <w:tc>
          <w:tcPr>
            <w:tcW w:w="3107" w:type="dxa"/>
            <w:shd w:val="clear" w:color="auto" w:fill="7F7F7F" w:themeFill="text1" w:themeFillTint="80"/>
            <w:vAlign w:val="center"/>
            <w:hideMark/>
          </w:tcPr>
          <w:p w14:paraId="69110261" w14:textId="77777777" w:rsidR="00AC7EE5" w:rsidRPr="00556915" w:rsidRDefault="00AC7EE5" w:rsidP="00AC7EE5">
            <w:pPr>
              <w:rPr>
                <w:color w:val="FFFFFF" w:themeColor="background1"/>
              </w:rPr>
            </w:pPr>
            <w:r w:rsidRPr="00556915">
              <w:rPr>
                <w:color w:val="FFFFFF" w:themeColor="background1"/>
              </w:rPr>
              <w:t>Harm Aboriginal cultural heritage</w:t>
            </w:r>
          </w:p>
        </w:tc>
        <w:tc>
          <w:tcPr>
            <w:tcW w:w="1159" w:type="dxa"/>
            <w:shd w:val="clear" w:color="auto" w:fill="auto"/>
            <w:vAlign w:val="center"/>
          </w:tcPr>
          <w:p w14:paraId="4C95228C" w14:textId="6EBAC519" w:rsidR="00AC7EE5" w:rsidRPr="0065026F" w:rsidRDefault="00AC7EE5" w:rsidP="00AC7EE5">
            <w:pPr>
              <w:jc w:val="center"/>
            </w:pPr>
            <w:r w:rsidRPr="00D539C0">
              <w:t xml:space="preserve">$654.12 </w:t>
            </w:r>
          </w:p>
        </w:tc>
        <w:tc>
          <w:tcPr>
            <w:tcW w:w="1403" w:type="dxa"/>
            <w:vAlign w:val="center"/>
          </w:tcPr>
          <w:p w14:paraId="105B3080" w14:textId="0E283B9C" w:rsidR="00AC7EE5" w:rsidRPr="00AF31FE" w:rsidRDefault="00AC7EE5" w:rsidP="00AC7EE5">
            <w:pPr>
              <w:jc w:val="center"/>
            </w:pPr>
            <w:r w:rsidRPr="00D539C0">
              <w:t xml:space="preserve">46 </w:t>
            </w:r>
          </w:p>
        </w:tc>
        <w:tc>
          <w:tcPr>
            <w:tcW w:w="1405" w:type="dxa"/>
            <w:vAlign w:val="center"/>
          </w:tcPr>
          <w:p w14:paraId="15605799" w14:textId="388375F6" w:rsidR="00AC7EE5" w:rsidRPr="0065026F" w:rsidRDefault="00AC7EE5" w:rsidP="00A87D8C">
            <w:pPr>
              <w:jc w:val="center"/>
            </w:pPr>
            <w:r w:rsidRPr="008F5386">
              <w:t xml:space="preserve">$654.12 </w:t>
            </w:r>
          </w:p>
        </w:tc>
        <w:tc>
          <w:tcPr>
            <w:tcW w:w="1857" w:type="dxa"/>
            <w:vAlign w:val="center"/>
          </w:tcPr>
          <w:p w14:paraId="2C0D4BCB" w14:textId="2651313D" w:rsidR="00AC7EE5" w:rsidRPr="00AF31FE" w:rsidRDefault="00AC7EE5" w:rsidP="003D3EF7">
            <w:pPr>
              <w:jc w:val="center"/>
            </w:pPr>
            <w:r w:rsidRPr="008F5386">
              <w:t xml:space="preserve">46 </w:t>
            </w:r>
          </w:p>
        </w:tc>
      </w:tr>
      <w:tr w:rsidR="00AC7EE5" w:rsidRPr="00556915" w14:paraId="7C30FF60" w14:textId="77777777" w:rsidTr="00C35804">
        <w:trPr>
          <w:cantSplit/>
          <w:trHeight w:val="252"/>
        </w:trPr>
        <w:tc>
          <w:tcPr>
            <w:tcW w:w="3107" w:type="dxa"/>
            <w:shd w:val="clear" w:color="auto" w:fill="7F7F7F" w:themeFill="text1" w:themeFillTint="80"/>
            <w:vAlign w:val="center"/>
            <w:hideMark/>
          </w:tcPr>
          <w:p w14:paraId="4183A4B1" w14:textId="77777777" w:rsidR="00AC7EE5" w:rsidRPr="00556915" w:rsidRDefault="00AC7EE5" w:rsidP="00AC7EE5">
            <w:pPr>
              <w:rPr>
                <w:color w:val="FFFFFF" w:themeColor="background1"/>
              </w:rPr>
            </w:pPr>
            <w:r w:rsidRPr="00556915">
              <w:rPr>
                <w:color w:val="FFFFFF" w:themeColor="background1"/>
              </w:rPr>
              <w:t>Sell or remove Aboriginal object</w:t>
            </w:r>
          </w:p>
        </w:tc>
        <w:tc>
          <w:tcPr>
            <w:tcW w:w="1159" w:type="dxa"/>
            <w:shd w:val="clear" w:color="auto" w:fill="auto"/>
            <w:vAlign w:val="center"/>
          </w:tcPr>
          <w:p w14:paraId="7251EA79" w14:textId="13DAC6F5" w:rsidR="00AC7EE5" w:rsidRPr="0065026F" w:rsidRDefault="00AC7EE5" w:rsidP="00AC7EE5">
            <w:pPr>
              <w:jc w:val="center"/>
            </w:pPr>
            <w:r w:rsidRPr="00D539C0">
              <w:t xml:space="preserve">$184.86 </w:t>
            </w:r>
          </w:p>
        </w:tc>
        <w:tc>
          <w:tcPr>
            <w:tcW w:w="1403" w:type="dxa"/>
            <w:vAlign w:val="center"/>
          </w:tcPr>
          <w:p w14:paraId="4B9D0B6F" w14:textId="4B0F57A8" w:rsidR="00AC7EE5" w:rsidRPr="00AF31FE" w:rsidRDefault="00AC7EE5" w:rsidP="00AC7EE5">
            <w:pPr>
              <w:jc w:val="center"/>
            </w:pPr>
            <w:r w:rsidRPr="00D539C0">
              <w:t xml:space="preserve">13 </w:t>
            </w:r>
          </w:p>
        </w:tc>
        <w:tc>
          <w:tcPr>
            <w:tcW w:w="1405" w:type="dxa"/>
            <w:vAlign w:val="center"/>
          </w:tcPr>
          <w:p w14:paraId="62CC7551" w14:textId="26A299C8" w:rsidR="00AC7EE5" w:rsidRPr="0065026F" w:rsidRDefault="00AC7EE5" w:rsidP="00A87D8C">
            <w:pPr>
              <w:jc w:val="center"/>
            </w:pPr>
            <w:r w:rsidRPr="008F5386">
              <w:t xml:space="preserve">$184.86 </w:t>
            </w:r>
          </w:p>
        </w:tc>
        <w:tc>
          <w:tcPr>
            <w:tcW w:w="1857" w:type="dxa"/>
            <w:vAlign w:val="center"/>
          </w:tcPr>
          <w:p w14:paraId="58BD9604" w14:textId="46F247A7" w:rsidR="00AC7EE5" w:rsidRPr="00AF31FE" w:rsidRDefault="00AC7EE5" w:rsidP="003D3EF7">
            <w:pPr>
              <w:jc w:val="center"/>
            </w:pPr>
            <w:r w:rsidRPr="008F5386">
              <w:t xml:space="preserve">13 </w:t>
            </w:r>
          </w:p>
        </w:tc>
      </w:tr>
      <w:tr w:rsidR="00AC7EE5" w:rsidRPr="00556915" w14:paraId="12B00E71" w14:textId="77777777" w:rsidTr="00C35804">
        <w:trPr>
          <w:cantSplit/>
          <w:trHeight w:val="252"/>
        </w:trPr>
        <w:tc>
          <w:tcPr>
            <w:tcW w:w="3107" w:type="dxa"/>
            <w:shd w:val="clear" w:color="auto" w:fill="7F7F7F" w:themeFill="text1" w:themeFillTint="80"/>
            <w:vAlign w:val="center"/>
            <w:hideMark/>
          </w:tcPr>
          <w:p w14:paraId="7EC2039A" w14:textId="77777777" w:rsidR="00AC7EE5" w:rsidRPr="00556915" w:rsidRDefault="00AC7EE5" w:rsidP="00AC7EE5">
            <w:pPr>
              <w:rPr>
                <w:b/>
                <w:bCs/>
                <w:color w:val="FFFFFF" w:themeColor="background1"/>
              </w:rPr>
            </w:pPr>
            <w:r w:rsidRPr="00556915">
              <w:rPr>
                <w:b/>
                <w:bCs/>
                <w:color w:val="FFFFFF" w:themeColor="background1"/>
              </w:rPr>
              <w:t>PAHTs</w:t>
            </w:r>
          </w:p>
        </w:tc>
        <w:tc>
          <w:tcPr>
            <w:tcW w:w="1159" w:type="dxa"/>
            <w:shd w:val="clear" w:color="auto" w:fill="auto"/>
            <w:vAlign w:val="center"/>
          </w:tcPr>
          <w:p w14:paraId="7411235A" w14:textId="77777777" w:rsidR="00AC7EE5" w:rsidRPr="0065026F" w:rsidRDefault="00AC7EE5" w:rsidP="00AC7EE5">
            <w:pPr>
              <w:jc w:val="center"/>
            </w:pPr>
          </w:p>
        </w:tc>
        <w:tc>
          <w:tcPr>
            <w:tcW w:w="1403" w:type="dxa"/>
            <w:vAlign w:val="center"/>
          </w:tcPr>
          <w:p w14:paraId="50863000" w14:textId="77777777" w:rsidR="00AC7EE5" w:rsidRPr="0065026F" w:rsidRDefault="00AC7EE5" w:rsidP="00AC7EE5">
            <w:pPr>
              <w:jc w:val="center"/>
            </w:pPr>
          </w:p>
        </w:tc>
        <w:tc>
          <w:tcPr>
            <w:tcW w:w="1405" w:type="dxa"/>
            <w:vAlign w:val="center"/>
          </w:tcPr>
          <w:p w14:paraId="46EC5707" w14:textId="77777777" w:rsidR="00AC7EE5" w:rsidRPr="0065026F" w:rsidRDefault="00AC7EE5" w:rsidP="00A87D8C">
            <w:pPr>
              <w:jc w:val="center"/>
            </w:pPr>
          </w:p>
        </w:tc>
        <w:tc>
          <w:tcPr>
            <w:tcW w:w="1857" w:type="dxa"/>
            <w:vAlign w:val="center"/>
          </w:tcPr>
          <w:p w14:paraId="73D37803" w14:textId="77777777" w:rsidR="00AC7EE5" w:rsidRPr="0065026F" w:rsidRDefault="00AC7EE5" w:rsidP="003D3EF7">
            <w:pPr>
              <w:jc w:val="center"/>
            </w:pPr>
          </w:p>
        </w:tc>
      </w:tr>
      <w:tr w:rsidR="00AC7EE5" w:rsidRPr="00556915" w14:paraId="123C45DB" w14:textId="77777777" w:rsidTr="00C35804">
        <w:trPr>
          <w:cantSplit/>
          <w:trHeight w:val="252"/>
        </w:trPr>
        <w:tc>
          <w:tcPr>
            <w:tcW w:w="3107" w:type="dxa"/>
            <w:shd w:val="clear" w:color="auto" w:fill="7F7F7F" w:themeFill="text1" w:themeFillTint="80"/>
            <w:vAlign w:val="center"/>
            <w:hideMark/>
          </w:tcPr>
          <w:p w14:paraId="0726C891" w14:textId="77777777" w:rsidR="00AC7EE5" w:rsidRPr="00556915" w:rsidRDefault="00AC7EE5" w:rsidP="00AC7EE5">
            <w:pPr>
              <w:rPr>
                <w:color w:val="FFFFFF" w:themeColor="background1"/>
              </w:rPr>
            </w:pPr>
            <w:r w:rsidRPr="00556915">
              <w:rPr>
                <w:color w:val="FFFFFF" w:themeColor="background1"/>
              </w:rPr>
              <w:t>Small activity</w:t>
            </w:r>
          </w:p>
        </w:tc>
        <w:tc>
          <w:tcPr>
            <w:tcW w:w="1159" w:type="dxa"/>
            <w:shd w:val="clear" w:color="auto" w:fill="auto"/>
            <w:vAlign w:val="center"/>
          </w:tcPr>
          <w:p w14:paraId="75E90909" w14:textId="57B39BC5" w:rsidR="00AC7EE5" w:rsidRPr="0065026F" w:rsidRDefault="00AC7EE5" w:rsidP="00AC7EE5">
            <w:pPr>
              <w:jc w:val="center"/>
            </w:pPr>
            <w:r w:rsidRPr="00D539C0">
              <w:t xml:space="preserve">$335.88 </w:t>
            </w:r>
          </w:p>
        </w:tc>
        <w:tc>
          <w:tcPr>
            <w:tcW w:w="1403" w:type="dxa"/>
            <w:vAlign w:val="center"/>
          </w:tcPr>
          <w:p w14:paraId="080C9E7A" w14:textId="206BC70F" w:rsidR="00AC7EE5" w:rsidRPr="00AF31FE" w:rsidRDefault="00AC7EE5" w:rsidP="00AC7EE5">
            <w:pPr>
              <w:jc w:val="center"/>
            </w:pPr>
            <w:r w:rsidRPr="00D539C0">
              <w:t xml:space="preserve">24 </w:t>
            </w:r>
          </w:p>
        </w:tc>
        <w:tc>
          <w:tcPr>
            <w:tcW w:w="1405" w:type="dxa"/>
            <w:vAlign w:val="center"/>
          </w:tcPr>
          <w:p w14:paraId="672859B4" w14:textId="61C052E7" w:rsidR="00AC7EE5" w:rsidRPr="0065026F" w:rsidRDefault="00AC7EE5" w:rsidP="00A87D8C">
            <w:pPr>
              <w:jc w:val="center"/>
            </w:pPr>
            <w:r w:rsidRPr="008F5386">
              <w:t xml:space="preserve">N/A </w:t>
            </w:r>
          </w:p>
        </w:tc>
        <w:tc>
          <w:tcPr>
            <w:tcW w:w="1857" w:type="dxa"/>
            <w:vAlign w:val="center"/>
          </w:tcPr>
          <w:p w14:paraId="12062EC0" w14:textId="2A395A8F" w:rsidR="00AC7EE5" w:rsidRPr="00AF31FE" w:rsidRDefault="00AC7EE5" w:rsidP="003D3EF7">
            <w:pPr>
              <w:jc w:val="center"/>
            </w:pPr>
            <w:r w:rsidRPr="008F5386">
              <w:t xml:space="preserve">N/A </w:t>
            </w:r>
          </w:p>
        </w:tc>
      </w:tr>
      <w:tr w:rsidR="00AC7EE5" w:rsidRPr="00556915" w14:paraId="4DAF738E" w14:textId="77777777" w:rsidTr="00C35804">
        <w:trPr>
          <w:cantSplit/>
          <w:trHeight w:val="252"/>
        </w:trPr>
        <w:tc>
          <w:tcPr>
            <w:tcW w:w="3107" w:type="dxa"/>
            <w:shd w:val="clear" w:color="auto" w:fill="7F7F7F" w:themeFill="text1" w:themeFillTint="80"/>
            <w:vAlign w:val="center"/>
            <w:hideMark/>
          </w:tcPr>
          <w:p w14:paraId="2D50AEB0" w14:textId="77777777" w:rsidR="00AC7EE5" w:rsidRPr="00556915" w:rsidRDefault="00AC7EE5" w:rsidP="00AC7EE5">
            <w:pPr>
              <w:rPr>
                <w:color w:val="FFFFFF" w:themeColor="background1"/>
              </w:rPr>
            </w:pPr>
            <w:r w:rsidRPr="00556915">
              <w:rPr>
                <w:color w:val="FFFFFF" w:themeColor="background1"/>
              </w:rPr>
              <w:t>Medium activity</w:t>
            </w:r>
          </w:p>
        </w:tc>
        <w:tc>
          <w:tcPr>
            <w:tcW w:w="1159" w:type="dxa"/>
            <w:shd w:val="clear" w:color="auto" w:fill="auto"/>
            <w:vAlign w:val="center"/>
          </w:tcPr>
          <w:p w14:paraId="0B4A5E66" w14:textId="7553F657" w:rsidR="00AC7EE5" w:rsidRPr="0065026F" w:rsidRDefault="00AC7EE5" w:rsidP="00AC7EE5">
            <w:pPr>
              <w:jc w:val="center"/>
            </w:pPr>
            <w:r w:rsidRPr="00D539C0">
              <w:t xml:space="preserve">$671.76 </w:t>
            </w:r>
          </w:p>
        </w:tc>
        <w:tc>
          <w:tcPr>
            <w:tcW w:w="1403" w:type="dxa"/>
            <w:vAlign w:val="center"/>
          </w:tcPr>
          <w:p w14:paraId="3F1414F8" w14:textId="311E5201" w:rsidR="00AC7EE5" w:rsidRPr="00AF31FE" w:rsidRDefault="00AC7EE5" w:rsidP="00AC7EE5">
            <w:pPr>
              <w:jc w:val="center"/>
            </w:pPr>
            <w:r w:rsidRPr="00D539C0">
              <w:t xml:space="preserve">47 </w:t>
            </w:r>
          </w:p>
        </w:tc>
        <w:tc>
          <w:tcPr>
            <w:tcW w:w="1405" w:type="dxa"/>
            <w:vAlign w:val="center"/>
          </w:tcPr>
          <w:p w14:paraId="0075447E" w14:textId="733CC781" w:rsidR="00AC7EE5" w:rsidRPr="0065026F" w:rsidRDefault="00AC7EE5" w:rsidP="00A87D8C">
            <w:pPr>
              <w:jc w:val="center"/>
            </w:pPr>
            <w:r w:rsidRPr="008F5386">
              <w:t xml:space="preserve">N/A </w:t>
            </w:r>
          </w:p>
        </w:tc>
        <w:tc>
          <w:tcPr>
            <w:tcW w:w="1857" w:type="dxa"/>
            <w:vAlign w:val="center"/>
          </w:tcPr>
          <w:p w14:paraId="2DD13372" w14:textId="7DBE8337" w:rsidR="00AC7EE5" w:rsidRPr="00AF31FE" w:rsidRDefault="00AC7EE5" w:rsidP="003D3EF7">
            <w:pPr>
              <w:jc w:val="center"/>
            </w:pPr>
            <w:r w:rsidRPr="008F5386">
              <w:t xml:space="preserve">N/A </w:t>
            </w:r>
          </w:p>
        </w:tc>
      </w:tr>
      <w:tr w:rsidR="00AC7EE5" w:rsidRPr="00556915" w14:paraId="24E5117D" w14:textId="77777777" w:rsidTr="00C35804">
        <w:trPr>
          <w:cantSplit/>
          <w:trHeight w:val="252"/>
        </w:trPr>
        <w:tc>
          <w:tcPr>
            <w:tcW w:w="3107" w:type="dxa"/>
            <w:shd w:val="clear" w:color="auto" w:fill="7F7F7F" w:themeFill="text1" w:themeFillTint="80"/>
            <w:vAlign w:val="center"/>
            <w:hideMark/>
          </w:tcPr>
          <w:p w14:paraId="5EF0FD71" w14:textId="77777777" w:rsidR="00AC7EE5" w:rsidRPr="00556915" w:rsidRDefault="00AC7EE5" w:rsidP="00AC7EE5">
            <w:pPr>
              <w:rPr>
                <w:color w:val="FFFFFF" w:themeColor="background1"/>
              </w:rPr>
            </w:pPr>
            <w:r w:rsidRPr="00556915">
              <w:rPr>
                <w:color w:val="FFFFFF" w:themeColor="background1"/>
              </w:rPr>
              <w:t>Large activity</w:t>
            </w:r>
          </w:p>
        </w:tc>
        <w:tc>
          <w:tcPr>
            <w:tcW w:w="1159" w:type="dxa"/>
            <w:shd w:val="clear" w:color="auto" w:fill="auto"/>
            <w:vAlign w:val="center"/>
          </w:tcPr>
          <w:p w14:paraId="5E37BAF4" w14:textId="10BCCFA4" w:rsidR="00AC7EE5" w:rsidRPr="0065026F" w:rsidRDefault="00AC7EE5" w:rsidP="00AC7EE5">
            <w:pPr>
              <w:jc w:val="center"/>
            </w:pPr>
            <w:r w:rsidRPr="00D539C0">
              <w:t xml:space="preserve">$1,007.64 </w:t>
            </w:r>
          </w:p>
        </w:tc>
        <w:tc>
          <w:tcPr>
            <w:tcW w:w="1403" w:type="dxa"/>
            <w:vAlign w:val="center"/>
          </w:tcPr>
          <w:p w14:paraId="1B0C19DB" w14:textId="36768764" w:rsidR="00AC7EE5" w:rsidRPr="00AF31FE" w:rsidRDefault="00AC7EE5" w:rsidP="00AC7EE5">
            <w:pPr>
              <w:jc w:val="center"/>
            </w:pPr>
            <w:r w:rsidRPr="00D539C0">
              <w:t xml:space="preserve">71 </w:t>
            </w:r>
          </w:p>
        </w:tc>
        <w:tc>
          <w:tcPr>
            <w:tcW w:w="1405" w:type="dxa"/>
            <w:vAlign w:val="center"/>
          </w:tcPr>
          <w:p w14:paraId="3A4899A9" w14:textId="7C34E5BC" w:rsidR="00AC7EE5" w:rsidRPr="0065026F" w:rsidRDefault="00AC7EE5" w:rsidP="00A87D8C">
            <w:pPr>
              <w:jc w:val="center"/>
            </w:pPr>
            <w:r w:rsidRPr="008F5386">
              <w:t xml:space="preserve">N/A </w:t>
            </w:r>
          </w:p>
        </w:tc>
        <w:tc>
          <w:tcPr>
            <w:tcW w:w="1857" w:type="dxa"/>
            <w:vAlign w:val="center"/>
          </w:tcPr>
          <w:p w14:paraId="0E3BBD97" w14:textId="145E5868" w:rsidR="00AC7EE5" w:rsidRPr="00AF31FE" w:rsidRDefault="00AC7EE5" w:rsidP="003D3EF7">
            <w:pPr>
              <w:jc w:val="center"/>
            </w:pPr>
            <w:r w:rsidRPr="008F5386">
              <w:t xml:space="preserve">N/A </w:t>
            </w:r>
          </w:p>
        </w:tc>
      </w:tr>
      <w:tr w:rsidR="00AC7EE5" w:rsidRPr="00556915" w14:paraId="406CBB87" w14:textId="77777777" w:rsidTr="00C35804">
        <w:trPr>
          <w:cantSplit/>
          <w:trHeight w:val="252"/>
        </w:trPr>
        <w:tc>
          <w:tcPr>
            <w:tcW w:w="3107" w:type="dxa"/>
            <w:shd w:val="clear" w:color="auto" w:fill="7F7F7F" w:themeFill="text1" w:themeFillTint="80"/>
            <w:vAlign w:val="center"/>
            <w:hideMark/>
          </w:tcPr>
          <w:p w14:paraId="02DCB4C4" w14:textId="77777777" w:rsidR="00AC7EE5" w:rsidRPr="00556915" w:rsidRDefault="00AC7EE5" w:rsidP="00AC7EE5">
            <w:pPr>
              <w:rPr>
                <w:b/>
                <w:bCs/>
                <w:color w:val="FFFFFF" w:themeColor="background1"/>
              </w:rPr>
            </w:pPr>
            <w:r w:rsidRPr="00556915">
              <w:rPr>
                <w:b/>
                <w:bCs/>
                <w:color w:val="FFFFFF" w:themeColor="background1"/>
              </w:rPr>
              <w:t>NOI to prepare a CHMP</w:t>
            </w:r>
          </w:p>
        </w:tc>
        <w:tc>
          <w:tcPr>
            <w:tcW w:w="1159" w:type="dxa"/>
            <w:shd w:val="clear" w:color="auto" w:fill="auto"/>
            <w:vAlign w:val="center"/>
          </w:tcPr>
          <w:p w14:paraId="680F7A33" w14:textId="0272520C" w:rsidR="00AC7EE5" w:rsidRPr="0065026F" w:rsidRDefault="00AC7EE5" w:rsidP="00AC7EE5">
            <w:pPr>
              <w:jc w:val="center"/>
            </w:pPr>
            <w:r w:rsidRPr="00D539C0">
              <w:t xml:space="preserve">$103.35 </w:t>
            </w:r>
          </w:p>
        </w:tc>
        <w:tc>
          <w:tcPr>
            <w:tcW w:w="1403" w:type="dxa"/>
            <w:vAlign w:val="center"/>
          </w:tcPr>
          <w:p w14:paraId="34CFDCCF" w14:textId="76C235AD" w:rsidR="00AC7EE5" w:rsidRPr="00AF31FE" w:rsidRDefault="00AC7EE5" w:rsidP="00AC7EE5">
            <w:pPr>
              <w:jc w:val="center"/>
            </w:pPr>
            <w:r w:rsidRPr="00D539C0">
              <w:t xml:space="preserve">7 </w:t>
            </w:r>
          </w:p>
        </w:tc>
        <w:tc>
          <w:tcPr>
            <w:tcW w:w="1405" w:type="dxa"/>
            <w:vAlign w:val="center"/>
          </w:tcPr>
          <w:p w14:paraId="2556B95B" w14:textId="13922B35" w:rsidR="00AC7EE5" w:rsidRPr="0065026F" w:rsidRDefault="00AC7EE5" w:rsidP="00A87D8C">
            <w:pPr>
              <w:jc w:val="center"/>
            </w:pPr>
            <w:r w:rsidRPr="008F5386">
              <w:t xml:space="preserve">$184.85 </w:t>
            </w:r>
          </w:p>
        </w:tc>
        <w:tc>
          <w:tcPr>
            <w:tcW w:w="1857" w:type="dxa"/>
            <w:vAlign w:val="center"/>
          </w:tcPr>
          <w:p w14:paraId="0B11AED4" w14:textId="6990564F" w:rsidR="00AC7EE5" w:rsidRPr="00AF31FE" w:rsidRDefault="00AC7EE5" w:rsidP="003D3EF7">
            <w:pPr>
              <w:jc w:val="center"/>
            </w:pPr>
            <w:r w:rsidRPr="008F5386">
              <w:t xml:space="preserve">13 </w:t>
            </w:r>
          </w:p>
        </w:tc>
      </w:tr>
      <w:tr w:rsidR="005041BC" w:rsidRPr="00556915" w14:paraId="7BC9ED4B" w14:textId="77777777" w:rsidTr="00C35804">
        <w:trPr>
          <w:cantSplit/>
          <w:trHeight w:val="252"/>
        </w:trPr>
        <w:tc>
          <w:tcPr>
            <w:tcW w:w="3107" w:type="dxa"/>
            <w:shd w:val="clear" w:color="auto" w:fill="7F7F7F" w:themeFill="text1" w:themeFillTint="80"/>
            <w:vAlign w:val="center"/>
            <w:hideMark/>
          </w:tcPr>
          <w:p w14:paraId="266312F2" w14:textId="77777777" w:rsidR="005041BC" w:rsidRPr="00556915" w:rsidRDefault="005041BC" w:rsidP="00AC7EE5">
            <w:pPr>
              <w:rPr>
                <w:b/>
                <w:bCs/>
                <w:color w:val="FFFFFF" w:themeColor="background1"/>
              </w:rPr>
            </w:pPr>
            <w:r w:rsidRPr="00556915">
              <w:rPr>
                <w:b/>
                <w:bCs/>
                <w:color w:val="FFFFFF" w:themeColor="background1"/>
              </w:rPr>
              <w:t>CHMPs - one authority only</w:t>
            </w:r>
          </w:p>
        </w:tc>
        <w:tc>
          <w:tcPr>
            <w:tcW w:w="5824" w:type="dxa"/>
            <w:gridSpan w:val="4"/>
            <w:shd w:val="clear" w:color="auto" w:fill="auto"/>
            <w:vAlign w:val="center"/>
          </w:tcPr>
          <w:p w14:paraId="1F438173" w14:textId="77777777" w:rsidR="005041BC" w:rsidRPr="0065026F" w:rsidRDefault="005041BC" w:rsidP="003D3EF7">
            <w:pPr>
              <w:jc w:val="center"/>
            </w:pPr>
          </w:p>
        </w:tc>
      </w:tr>
      <w:tr w:rsidR="00AC7EE5" w:rsidRPr="00556915" w14:paraId="2FA48606" w14:textId="77777777" w:rsidTr="00C35804">
        <w:trPr>
          <w:cantSplit/>
          <w:trHeight w:val="252"/>
        </w:trPr>
        <w:tc>
          <w:tcPr>
            <w:tcW w:w="3107" w:type="dxa"/>
            <w:shd w:val="clear" w:color="auto" w:fill="7F7F7F" w:themeFill="text1" w:themeFillTint="80"/>
            <w:vAlign w:val="center"/>
            <w:hideMark/>
          </w:tcPr>
          <w:p w14:paraId="0CA15242"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159" w:type="dxa"/>
            <w:shd w:val="clear" w:color="auto" w:fill="auto"/>
            <w:vAlign w:val="center"/>
          </w:tcPr>
          <w:p w14:paraId="23DD52C5" w14:textId="614C0E88" w:rsidR="00AC7EE5" w:rsidRPr="0065026F" w:rsidRDefault="00AC7EE5" w:rsidP="00AC7EE5">
            <w:pPr>
              <w:jc w:val="center"/>
            </w:pPr>
            <w:r w:rsidRPr="00D539C0">
              <w:t xml:space="preserve">$583.64 </w:t>
            </w:r>
          </w:p>
        </w:tc>
        <w:tc>
          <w:tcPr>
            <w:tcW w:w="1403" w:type="dxa"/>
            <w:vAlign w:val="center"/>
          </w:tcPr>
          <w:p w14:paraId="7CBD0A28" w14:textId="3DD65E95" w:rsidR="00AC7EE5" w:rsidRPr="00AF31FE" w:rsidRDefault="00AC7EE5" w:rsidP="00AC7EE5">
            <w:pPr>
              <w:jc w:val="center"/>
            </w:pPr>
            <w:r w:rsidRPr="00D539C0">
              <w:t xml:space="preserve">41 </w:t>
            </w:r>
          </w:p>
        </w:tc>
        <w:tc>
          <w:tcPr>
            <w:tcW w:w="1405" w:type="dxa"/>
            <w:vAlign w:val="center"/>
          </w:tcPr>
          <w:p w14:paraId="7B3BA261" w14:textId="63F75889" w:rsidR="00AC7EE5" w:rsidRPr="0065026F" w:rsidRDefault="00AC7EE5" w:rsidP="00A87D8C">
            <w:pPr>
              <w:jc w:val="center"/>
            </w:pPr>
            <w:r w:rsidRPr="008F5386">
              <w:t xml:space="preserve">$162.69 </w:t>
            </w:r>
          </w:p>
        </w:tc>
        <w:tc>
          <w:tcPr>
            <w:tcW w:w="1857" w:type="dxa"/>
            <w:vAlign w:val="center"/>
          </w:tcPr>
          <w:p w14:paraId="39D15B33" w14:textId="230C7AE1" w:rsidR="00AC7EE5" w:rsidRPr="00AF31FE" w:rsidRDefault="00AC7EE5" w:rsidP="003D3EF7">
            <w:pPr>
              <w:jc w:val="center"/>
            </w:pPr>
            <w:r w:rsidRPr="008F5386">
              <w:t xml:space="preserve">11 </w:t>
            </w:r>
          </w:p>
        </w:tc>
      </w:tr>
      <w:tr w:rsidR="00AC7EE5" w:rsidRPr="00556915" w14:paraId="41A88729" w14:textId="77777777" w:rsidTr="00C35804">
        <w:trPr>
          <w:cantSplit/>
          <w:trHeight w:val="252"/>
        </w:trPr>
        <w:tc>
          <w:tcPr>
            <w:tcW w:w="3107" w:type="dxa"/>
            <w:shd w:val="clear" w:color="auto" w:fill="7F7F7F" w:themeFill="text1" w:themeFillTint="80"/>
            <w:vAlign w:val="center"/>
            <w:hideMark/>
          </w:tcPr>
          <w:p w14:paraId="55B66D7E"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159" w:type="dxa"/>
            <w:shd w:val="clear" w:color="auto" w:fill="auto"/>
            <w:vAlign w:val="center"/>
          </w:tcPr>
          <w:p w14:paraId="52936865" w14:textId="30D2CDED" w:rsidR="00AC7EE5" w:rsidRPr="0065026F" w:rsidRDefault="00AC7EE5" w:rsidP="00AC7EE5">
            <w:pPr>
              <w:jc w:val="center"/>
            </w:pPr>
            <w:r w:rsidRPr="00D539C0">
              <w:t xml:space="preserve">$1,167.28 </w:t>
            </w:r>
          </w:p>
        </w:tc>
        <w:tc>
          <w:tcPr>
            <w:tcW w:w="1403" w:type="dxa"/>
            <w:vAlign w:val="center"/>
          </w:tcPr>
          <w:p w14:paraId="7C18BA90" w14:textId="2232BBD1" w:rsidR="00AC7EE5" w:rsidRPr="00AF31FE" w:rsidRDefault="00AC7EE5" w:rsidP="00AC7EE5">
            <w:pPr>
              <w:jc w:val="center"/>
            </w:pPr>
            <w:r w:rsidRPr="00D539C0">
              <w:t xml:space="preserve">82 </w:t>
            </w:r>
          </w:p>
        </w:tc>
        <w:tc>
          <w:tcPr>
            <w:tcW w:w="1405" w:type="dxa"/>
            <w:vAlign w:val="center"/>
          </w:tcPr>
          <w:p w14:paraId="5BBA1847" w14:textId="0F5BF5AE" w:rsidR="00AC7EE5" w:rsidRPr="0065026F" w:rsidRDefault="00AC7EE5" w:rsidP="00A87D8C">
            <w:pPr>
              <w:jc w:val="center"/>
            </w:pPr>
            <w:r w:rsidRPr="008F5386">
              <w:t xml:space="preserve">$325.38 </w:t>
            </w:r>
          </w:p>
        </w:tc>
        <w:tc>
          <w:tcPr>
            <w:tcW w:w="1857" w:type="dxa"/>
            <w:vAlign w:val="center"/>
          </w:tcPr>
          <w:p w14:paraId="0D424046" w14:textId="55ECC2E4" w:rsidR="00AC7EE5" w:rsidRPr="00AF31FE" w:rsidRDefault="00AC7EE5" w:rsidP="003D3EF7">
            <w:pPr>
              <w:jc w:val="center"/>
            </w:pPr>
            <w:r w:rsidRPr="008F5386">
              <w:t xml:space="preserve">23 </w:t>
            </w:r>
          </w:p>
        </w:tc>
      </w:tr>
      <w:tr w:rsidR="00AC7EE5" w:rsidRPr="00556915" w14:paraId="397F66F2" w14:textId="77777777" w:rsidTr="00C35804">
        <w:trPr>
          <w:cantSplit/>
          <w:trHeight w:val="252"/>
        </w:trPr>
        <w:tc>
          <w:tcPr>
            <w:tcW w:w="3107" w:type="dxa"/>
            <w:shd w:val="clear" w:color="auto" w:fill="7F7F7F" w:themeFill="text1" w:themeFillTint="80"/>
            <w:vAlign w:val="center"/>
            <w:hideMark/>
          </w:tcPr>
          <w:p w14:paraId="7955FF8A"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159" w:type="dxa"/>
            <w:shd w:val="clear" w:color="auto" w:fill="auto"/>
            <w:vAlign w:val="center"/>
          </w:tcPr>
          <w:p w14:paraId="7339548E" w14:textId="76FD84E2" w:rsidR="00AC7EE5" w:rsidRPr="0065026F" w:rsidRDefault="00AC7EE5" w:rsidP="00AC7EE5">
            <w:pPr>
              <w:jc w:val="center"/>
            </w:pPr>
            <w:r w:rsidRPr="00D539C0">
              <w:t xml:space="preserve">$2,334.55 </w:t>
            </w:r>
          </w:p>
        </w:tc>
        <w:tc>
          <w:tcPr>
            <w:tcW w:w="1403" w:type="dxa"/>
            <w:vAlign w:val="center"/>
          </w:tcPr>
          <w:p w14:paraId="796DBC80" w14:textId="76DFCD0E" w:rsidR="00AC7EE5" w:rsidRPr="00AF31FE" w:rsidRDefault="00AC7EE5" w:rsidP="00AC7EE5">
            <w:pPr>
              <w:jc w:val="center"/>
            </w:pPr>
            <w:r w:rsidRPr="00D539C0">
              <w:t xml:space="preserve">164 </w:t>
            </w:r>
          </w:p>
        </w:tc>
        <w:tc>
          <w:tcPr>
            <w:tcW w:w="1405" w:type="dxa"/>
            <w:vAlign w:val="center"/>
          </w:tcPr>
          <w:p w14:paraId="01E57084" w14:textId="02CA9524" w:rsidR="00AC7EE5" w:rsidRPr="0065026F" w:rsidRDefault="00AC7EE5" w:rsidP="00A87D8C">
            <w:pPr>
              <w:jc w:val="center"/>
            </w:pPr>
            <w:r w:rsidRPr="008F5386">
              <w:t xml:space="preserve">$650.77 </w:t>
            </w:r>
          </w:p>
        </w:tc>
        <w:tc>
          <w:tcPr>
            <w:tcW w:w="1857" w:type="dxa"/>
            <w:vAlign w:val="center"/>
          </w:tcPr>
          <w:p w14:paraId="5A1A2EB9" w14:textId="30C82DB7" w:rsidR="00AC7EE5" w:rsidRPr="00AF31FE" w:rsidRDefault="00AC7EE5" w:rsidP="003D3EF7">
            <w:pPr>
              <w:jc w:val="center"/>
            </w:pPr>
            <w:r w:rsidRPr="008F5386">
              <w:t xml:space="preserve">46 </w:t>
            </w:r>
          </w:p>
        </w:tc>
      </w:tr>
      <w:tr w:rsidR="00AC7EE5" w:rsidRPr="00556915" w14:paraId="5FD0A452" w14:textId="77777777" w:rsidTr="00C35804">
        <w:trPr>
          <w:cantSplit/>
          <w:trHeight w:val="252"/>
        </w:trPr>
        <w:tc>
          <w:tcPr>
            <w:tcW w:w="3107" w:type="dxa"/>
            <w:shd w:val="clear" w:color="auto" w:fill="7F7F7F" w:themeFill="text1" w:themeFillTint="80"/>
            <w:vAlign w:val="center"/>
            <w:hideMark/>
          </w:tcPr>
          <w:p w14:paraId="679D266E"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159" w:type="dxa"/>
            <w:shd w:val="clear" w:color="auto" w:fill="auto"/>
            <w:vAlign w:val="center"/>
          </w:tcPr>
          <w:p w14:paraId="12D845F8" w14:textId="0A8EA2B2" w:rsidR="00AC7EE5" w:rsidRPr="0065026F" w:rsidRDefault="00AC7EE5" w:rsidP="00AC7EE5">
            <w:pPr>
              <w:jc w:val="center"/>
            </w:pPr>
            <w:r w:rsidRPr="00D539C0">
              <w:t xml:space="preserve">$792.65 </w:t>
            </w:r>
          </w:p>
        </w:tc>
        <w:tc>
          <w:tcPr>
            <w:tcW w:w="1403" w:type="dxa"/>
            <w:vAlign w:val="center"/>
          </w:tcPr>
          <w:p w14:paraId="0E01062D" w14:textId="1D044FA6" w:rsidR="00AC7EE5" w:rsidRPr="00AF31FE" w:rsidRDefault="00AC7EE5" w:rsidP="00AC7EE5">
            <w:pPr>
              <w:jc w:val="center"/>
            </w:pPr>
            <w:r w:rsidRPr="00D539C0">
              <w:t xml:space="preserve">56 </w:t>
            </w:r>
          </w:p>
        </w:tc>
        <w:tc>
          <w:tcPr>
            <w:tcW w:w="1405" w:type="dxa"/>
            <w:vAlign w:val="center"/>
          </w:tcPr>
          <w:p w14:paraId="58569FF9" w14:textId="497043A2" w:rsidR="00AC7EE5" w:rsidRPr="0065026F" w:rsidRDefault="00AC7EE5" w:rsidP="00A87D8C">
            <w:pPr>
              <w:jc w:val="center"/>
            </w:pPr>
            <w:r w:rsidRPr="008F5386">
              <w:t xml:space="preserve">$287.31 </w:t>
            </w:r>
          </w:p>
        </w:tc>
        <w:tc>
          <w:tcPr>
            <w:tcW w:w="1857" w:type="dxa"/>
            <w:vAlign w:val="center"/>
          </w:tcPr>
          <w:p w14:paraId="0E43F312" w14:textId="72DF7DC2" w:rsidR="00AC7EE5" w:rsidRPr="00AF31FE" w:rsidRDefault="00AC7EE5" w:rsidP="003D3EF7">
            <w:pPr>
              <w:jc w:val="center"/>
            </w:pPr>
            <w:r w:rsidRPr="008F5386">
              <w:t xml:space="preserve">20 </w:t>
            </w:r>
          </w:p>
        </w:tc>
      </w:tr>
      <w:tr w:rsidR="00AC7EE5" w:rsidRPr="00556915" w14:paraId="61741BB8" w14:textId="77777777" w:rsidTr="00C35804">
        <w:trPr>
          <w:cantSplit/>
          <w:trHeight w:val="252"/>
        </w:trPr>
        <w:tc>
          <w:tcPr>
            <w:tcW w:w="3107" w:type="dxa"/>
            <w:shd w:val="clear" w:color="auto" w:fill="7F7F7F" w:themeFill="text1" w:themeFillTint="80"/>
            <w:vAlign w:val="center"/>
            <w:hideMark/>
          </w:tcPr>
          <w:p w14:paraId="623CD320"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159" w:type="dxa"/>
            <w:shd w:val="clear" w:color="auto" w:fill="auto"/>
            <w:vAlign w:val="center"/>
          </w:tcPr>
          <w:p w14:paraId="527C5DB2" w14:textId="02E86880" w:rsidR="00AC7EE5" w:rsidRPr="0065026F" w:rsidRDefault="00AC7EE5" w:rsidP="00AC7EE5">
            <w:pPr>
              <w:jc w:val="center"/>
            </w:pPr>
            <w:r w:rsidRPr="00D539C0">
              <w:t xml:space="preserve">$1,585.31 </w:t>
            </w:r>
          </w:p>
        </w:tc>
        <w:tc>
          <w:tcPr>
            <w:tcW w:w="1403" w:type="dxa"/>
            <w:vAlign w:val="center"/>
          </w:tcPr>
          <w:p w14:paraId="08236529" w14:textId="28FDB511" w:rsidR="00AC7EE5" w:rsidRPr="00AF31FE" w:rsidRDefault="00AC7EE5" w:rsidP="00AC7EE5">
            <w:pPr>
              <w:jc w:val="center"/>
            </w:pPr>
            <w:r w:rsidRPr="00D539C0">
              <w:t xml:space="preserve">111 </w:t>
            </w:r>
          </w:p>
        </w:tc>
        <w:tc>
          <w:tcPr>
            <w:tcW w:w="1405" w:type="dxa"/>
            <w:vAlign w:val="center"/>
          </w:tcPr>
          <w:p w14:paraId="50EC9429" w14:textId="28181A5B" w:rsidR="00AC7EE5" w:rsidRPr="0065026F" w:rsidRDefault="00AC7EE5" w:rsidP="00A87D8C">
            <w:pPr>
              <w:jc w:val="center"/>
            </w:pPr>
            <w:r w:rsidRPr="008F5386">
              <w:t xml:space="preserve">$574.61 </w:t>
            </w:r>
          </w:p>
        </w:tc>
        <w:tc>
          <w:tcPr>
            <w:tcW w:w="1857" w:type="dxa"/>
            <w:vAlign w:val="center"/>
          </w:tcPr>
          <w:p w14:paraId="1EFCC090" w14:textId="3FB7E2FC" w:rsidR="00AC7EE5" w:rsidRPr="00AF31FE" w:rsidRDefault="00AC7EE5" w:rsidP="003D3EF7">
            <w:pPr>
              <w:jc w:val="center"/>
            </w:pPr>
            <w:r w:rsidRPr="008F5386">
              <w:t xml:space="preserve">40 </w:t>
            </w:r>
          </w:p>
        </w:tc>
      </w:tr>
      <w:tr w:rsidR="00AC7EE5" w:rsidRPr="00556915" w14:paraId="5DFD940E" w14:textId="77777777" w:rsidTr="00C35804">
        <w:trPr>
          <w:cantSplit/>
          <w:trHeight w:val="252"/>
        </w:trPr>
        <w:tc>
          <w:tcPr>
            <w:tcW w:w="3107" w:type="dxa"/>
            <w:shd w:val="clear" w:color="auto" w:fill="7F7F7F" w:themeFill="text1" w:themeFillTint="80"/>
            <w:vAlign w:val="center"/>
            <w:hideMark/>
          </w:tcPr>
          <w:p w14:paraId="3E583FA8"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159" w:type="dxa"/>
            <w:shd w:val="clear" w:color="auto" w:fill="auto"/>
            <w:vAlign w:val="center"/>
          </w:tcPr>
          <w:p w14:paraId="5A8ED364" w14:textId="0C8BB3CB" w:rsidR="00AC7EE5" w:rsidRPr="0065026F" w:rsidRDefault="00AC7EE5" w:rsidP="00AC7EE5">
            <w:pPr>
              <w:jc w:val="center"/>
            </w:pPr>
            <w:r w:rsidRPr="00D539C0">
              <w:t xml:space="preserve">$3,170.62 </w:t>
            </w:r>
          </w:p>
        </w:tc>
        <w:tc>
          <w:tcPr>
            <w:tcW w:w="1403" w:type="dxa"/>
            <w:vAlign w:val="center"/>
          </w:tcPr>
          <w:p w14:paraId="3450887B" w14:textId="667D28D8" w:rsidR="00AC7EE5" w:rsidRPr="00AF31FE" w:rsidRDefault="00AC7EE5" w:rsidP="00AC7EE5">
            <w:pPr>
              <w:jc w:val="center"/>
            </w:pPr>
            <w:r w:rsidRPr="00D539C0">
              <w:t xml:space="preserve">223 </w:t>
            </w:r>
          </w:p>
        </w:tc>
        <w:tc>
          <w:tcPr>
            <w:tcW w:w="1405" w:type="dxa"/>
            <w:vAlign w:val="center"/>
          </w:tcPr>
          <w:p w14:paraId="1090B8C5" w14:textId="6A94C5DA" w:rsidR="00AC7EE5" w:rsidRPr="0065026F" w:rsidRDefault="00AC7EE5" w:rsidP="00A87D8C">
            <w:pPr>
              <w:jc w:val="center"/>
            </w:pPr>
            <w:r w:rsidRPr="008F5386">
              <w:t xml:space="preserve">$1,149.23 </w:t>
            </w:r>
          </w:p>
        </w:tc>
        <w:tc>
          <w:tcPr>
            <w:tcW w:w="1857" w:type="dxa"/>
            <w:vAlign w:val="center"/>
          </w:tcPr>
          <w:p w14:paraId="1B0D0821" w14:textId="68771ECC" w:rsidR="00AC7EE5" w:rsidRPr="00AF31FE" w:rsidRDefault="00AC7EE5" w:rsidP="003D3EF7">
            <w:pPr>
              <w:jc w:val="center"/>
            </w:pPr>
            <w:r w:rsidRPr="008F5386">
              <w:t xml:space="preserve">81 </w:t>
            </w:r>
          </w:p>
        </w:tc>
      </w:tr>
      <w:tr w:rsidR="00AC7EE5" w:rsidRPr="00556915" w14:paraId="7E7B9675" w14:textId="77777777" w:rsidTr="00C35804">
        <w:trPr>
          <w:cantSplit/>
          <w:trHeight w:val="252"/>
        </w:trPr>
        <w:tc>
          <w:tcPr>
            <w:tcW w:w="3107" w:type="dxa"/>
            <w:shd w:val="clear" w:color="auto" w:fill="7F7F7F" w:themeFill="text1" w:themeFillTint="80"/>
            <w:vAlign w:val="center"/>
            <w:hideMark/>
          </w:tcPr>
          <w:p w14:paraId="6425D485"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159" w:type="dxa"/>
            <w:shd w:val="clear" w:color="auto" w:fill="auto"/>
            <w:vAlign w:val="center"/>
          </w:tcPr>
          <w:p w14:paraId="1A56E0B0" w14:textId="3CE579D0" w:rsidR="00AC7EE5" w:rsidRPr="0065026F" w:rsidRDefault="00AC7EE5" w:rsidP="00AC7EE5">
            <w:pPr>
              <w:jc w:val="center"/>
            </w:pPr>
            <w:r w:rsidRPr="00D539C0">
              <w:t xml:space="preserve">$1,214.33 </w:t>
            </w:r>
          </w:p>
        </w:tc>
        <w:tc>
          <w:tcPr>
            <w:tcW w:w="1403" w:type="dxa"/>
            <w:vAlign w:val="center"/>
          </w:tcPr>
          <w:p w14:paraId="11F688C5" w14:textId="4A7EE426" w:rsidR="00AC7EE5" w:rsidRPr="00AF31FE" w:rsidRDefault="00AC7EE5" w:rsidP="00AC7EE5">
            <w:pPr>
              <w:jc w:val="center"/>
            </w:pPr>
            <w:r w:rsidRPr="00D539C0">
              <w:t xml:space="preserve">85 </w:t>
            </w:r>
          </w:p>
        </w:tc>
        <w:tc>
          <w:tcPr>
            <w:tcW w:w="1405" w:type="dxa"/>
            <w:vAlign w:val="center"/>
          </w:tcPr>
          <w:p w14:paraId="39E9B653" w14:textId="01035981" w:rsidR="00AC7EE5" w:rsidRPr="0065026F" w:rsidRDefault="00AC7EE5" w:rsidP="00A87D8C">
            <w:pPr>
              <w:jc w:val="center"/>
            </w:pPr>
            <w:r w:rsidRPr="008F5386">
              <w:t xml:space="preserve">$512.31 </w:t>
            </w:r>
          </w:p>
        </w:tc>
        <w:tc>
          <w:tcPr>
            <w:tcW w:w="1857" w:type="dxa"/>
            <w:vAlign w:val="center"/>
          </w:tcPr>
          <w:p w14:paraId="56044FF0" w14:textId="788D5937" w:rsidR="00AC7EE5" w:rsidRPr="00AF31FE" w:rsidRDefault="00AC7EE5" w:rsidP="003D3EF7">
            <w:pPr>
              <w:jc w:val="center"/>
            </w:pPr>
            <w:r w:rsidRPr="008F5386">
              <w:t xml:space="preserve">36 </w:t>
            </w:r>
          </w:p>
        </w:tc>
      </w:tr>
      <w:tr w:rsidR="00AC7EE5" w:rsidRPr="00556915" w14:paraId="2F4916B5" w14:textId="77777777" w:rsidTr="00C35804">
        <w:trPr>
          <w:cantSplit/>
          <w:trHeight w:val="252"/>
        </w:trPr>
        <w:tc>
          <w:tcPr>
            <w:tcW w:w="3107" w:type="dxa"/>
            <w:shd w:val="clear" w:color="auto" w:fill="7F7F7F" w:themeFill="text1" w:themeFillTint="80"/>
            <w:vAlign w:val="center"/>
            <w:hideMark/>
          </w:tcPr>
          <w:p w14:paraId="6647F266"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159" w:type="dxa"/>
            <w:shd w:val="clear" w:color="auto" w:fill="auto"/>
            <w:vAlign w:val="center"/>
          </w:tcPr>
          <w:p w14:paraId="712B2278" w14:textId="61A48B64" w:rsidR="00AC7EE5" w:rsidRPr="0065026F" w:rsidRDefault="00AC7EE5" w:rsidP="00AC7EE5">
            <w:pPr>
              <w:jc w:val="center"/>
            </w:pPr>
            <w:r w:rsidRPr="00D539C0">
              <w:t xml:space="preserve">$2,428.67 </w:t>
            </w:r>
          </w:p>
        </w:tc>
        <w:tc>
          <w:tcPr>
            <w:tcW w:w="1403" w:type="dxa"/>
            <w:vAlign w:val="center"/>
          </w:tcPr>
          <w:p w14:paraId="1ED6599F" w14:textId="00845CAA" w:rsidR="00AC7EE5" w:rsidRPr="00AF31FE" w:rsidRDefault="00AC7EE5" w:rsidP="00AC7EE5">
            <w:pPr>
              <w:jc w:val="center"/>
            </w:pPr>
            <w:r w:rsidRPr="00D539C0">
              <w:t xml:space="preserve">171 </w:t>
            </w:r>
          </w:p>
        </w:tc>
        <w:tc>
          <w:tcPr>
            <w:tcW w:w="1405" w:type="dxa"/>
            <w:vAlign w:val="center"/>
          </w:tcPr>
          <w:p w14:paraId="2038DE56" w14:textId="70E3975C" w:rsidR="00AC7EE5" w:rsidRPr="0065026F" w:rsidRDefault="00AC7EE5" w:rsidP="00A87D8C">
            <w:pPr>
              <w:jc w:val="center"/>
            </w:pPr>
            <w:r w:rsidRPr="008F5386">
              <w:t xml:space="preserve">$1,024.61 </w:t>
            </w:r>
          </w:p>
        </w:tc>
        <w:tc>
          <w:tcPr>
            <w:tcW w:w="1857" w:type="dxa"/>
            <w:vAlign w:val="center"/>
          </w:tcPr>
          <w:p w14:paraId="40B65E36" w14:textId="663287B3" w:rsidR="00AC7EE5" w:rsidRPr="00AF31FE" w:rsidRDefault="00AC7EE5" w:rsidP="003D3EF7">
            <w:pPr>
              <w:jc w:val="center"/>
            </w:pPr>
            <w:r w:rsidRPr="008F5386">
              <w:t xml:space="preserve">72 </w:t>
            </w:r>
          </w:p>
        </w:tc>
      </w:tr>
      <w:tr w:rsidR="00AC7EE5" w:rsidRPr="00556915" w14:paraId="49FEE121" w14:textId="77777777" w:rsidTr="00C35804">
        <w:trPr>
          <w:cantSplit/>
          <w:trHeight w:val="252"/>
        </w:trPr>
        <w:tc>
          <w:tcPr>
            <w:tcW w:w="3107" w:type="dxa"/>
            <w:shd w:val="clear" w:color="auto" w:fill="7F7F7F" w:themeFill="text1" w:themeFillTint="80"/>
            <w:vAlign w:val="center"/>
            <w:hideMark/>
          </w:tcPr>
          <w:p w14:paraId="21F8F679"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159" w:type="dxa"/>
            <w:shd w:val="clear" w:color="auto" w:fill="auto"/>
            <w:vAlign w:val="center"/>
          </w:tcPr>
          <w:p w14:paraId="671435D4" w14:textId="3B8CDD2E" w:rsidR="00AC7EE5" w:rsidRPr="0065026F" w:rsidRDefault="00AC7EE5" w:rsidP="00AC7EE5">
            <w:pPr>
              <w:jc w:val="center"/>
            </w:pPr>
            <w:r w:rsidRPr="00D539C0">
              <w:t xml:space="preserve">$4,857.34 </w:t>
            </w:r>
          </w:p>
        </w:tc>
        <w:tc>
          <w:tcPr>
            <w:tcW w:w="1403" w:type="dxa"/>
            <w:vAlign w:val="center"/>
          </w:tcPr>
          <w:p w14:paraId="0D61F6DC" w14:textId="260E10EB" w:rsidR="00AC7EE5" w:rsidRPr="00AF31FE" w:rsidRDefault="00AC7EE5" w:rsidP="00AC7EE5">
            <w:pPr>
              <w:jc w:val="center"/>
            </w:pPr>
            <w:r w:rsidRPr="00D539C0">
              <w:t xml:space="preserve">342 </w:t>
            </w:r>
          </w:p>
        </w:tc>
        <w:tc>
          <w:tcPr>
            <w:tcW w:w="1405" w:type="dxa"/>
            <w:vAlign w:val="center"/>
          </w:tcPr>
          <w:p w14:paraId="02481E88" w14:textId="04ABCDBC" w:rsidR="00AC7EE5" w:rsidRPr="0065026F" w:rsidRDefault="00AC7EE5" w:rsidP="00A87D8C">
            <w:pPr>
              <w:jc w:val="center"/>
            </w:pPr>
            <w:r w:rsidRPr="008F5386">
              <w:t xml:space="preserve">$2,049.23 </w:t>
            </w:r>
          </w:p>
        </w:tc>
        <w:tc>
          <w:tcPr>
            <w:tcW w:w="1857" w:type="dxa"/>
            <w:vAlign w:val="center"/>
          </w:tcPr>
          <w:p w14:paraId="23C7FB42" w14:textId="4E0047EA" w:rsidR="00AC7EE5" w:rsidRPr="00AF31FE" w:rsidRDefault="00AC7EE5" w:rsidP="003D3EF7">
            <w:pPr>
              <w:jc w:val="center"/>
            </w:pPr>
            <w:r w:rsidRPr="008F5386">
              <w:t xml:space="preserve">144 </w:t>
            </w:r>
          </w:p>
        </w:tc>
      </w:tr>
      <w:tr w:rsidR="005041BC" w:rsidRPr="00556915" w14:paraId="6CB41CD6" w14:textId="77777777" w:rsidTr="00C35804">
        <w:trPr>
          <w:cantSplit/>
          <w:trHeight w:val="252"/>
        </w:trPr>
        <w:tc>
          <w:tcPr>
            <w:tcW w:w="3107" w:type="dxa"/>
            <w:shd w:val="clear" w:color="auto" w:fill="7F7F7F" w:themeFill="text1" w:themeFillTint="80"/>
            <w:vAlign w:val="center"/>
            <w:hideMark/>
          </w:tcPr>
          <w:p w14:paraId="520F8AC6" w14:textId="77777777" w:rsidR="005041BC" w:rsidRPr="00556915" w:rsidRDefault="005041BC" w:rsidP="00AC7EE5">
            <w:pPr>
              <w:rPr>
                <w:b/>
                <w:bCs/>
                <w:color w:val="FFFFFF" w:themeColor="background1"/>
              </w:rPr>
            </w:pPr>
            <w:r w:rsidRPr="00556915">
              <w:rPr>
                <w:b/>
                <w:bCs/>
                <w:color w:val="FFFFFF" w:themeColor="background1"/>
              </w:rPr>
              <w:t>CHMPs - two authorities</w:t>
            </w:r>
          </w:p>
        </w:tc>
        <w:tc>
          <w:tcPr>
            <w:tcW w:w="5824" w:type="dxa"/>
            <w:gridSpan w:val="4"/>
            <w:shd w:val="clear" w:color="auto" w:fill="auto"/>
            <w:vAlign w:val="center"/>
          </w:tcPr>
          <w:p w14:paraId="6FE62F5E" w14:textId="77777777" w:rsidR="005041BC" w:rsidRPr="0065026F" w:rsidRDefault="005041BC" w:rsidP="003D3EF7">
            <w:pPr>
              <w:jc w:val="center"/>
            </w:pPr>
          </w:p>
        </w:tc>
      </w:tr>
      <w:tr w:rsidR="00AC7EE5" w:rsidRPr="00556915" w14:paraId="1ADDAF9D" w14:textId="77777777" w:rsidTr="00C35804">
        <w:trPr>
          <w:cantSplit/>
          <w:trHeight w:val="252"/>
        </w:trPr>
        <w:tc>
          <w:tcPr>
            <w:tcW w:w="3107" w:type="dxa"/>
            <w:shd w:val="clear" w:color="auto" w:fill="7F7F7F" w:themeFill="text1" w:themeFillTint="80"/>
            <w:vAlign w:val="center"/>
            <w:hideMark/>
          </w:tcPr>
          <w:p w14:paraId="54C328F7"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159" w:type="dxa"/>
            <w:shd w:val="clear" w:color="auto" w:fill="auto"/>
            <w:vAlign w:val="center"/>
          </w:tcPr>
          <w:p w14:paraId="5E0762DF" w14:textId="7BD3B2B2" w:rsidR="00AC7EE5" w:rsidRPr="0065026F" w:rsidRDefault="00AC7EE5" w:rsidP="00AC7EE5">
            <w:pPr>
              <w:jc w:val="center"/>
            </w:pPr>
            <w:r w:rsidRPr="00D539C0">
              <w:t xml:space="preserve">$466.91 </w:t>
            </w:r>
          </w:p>
        </w:tc>
        <w:tc>
          <w:tcPr>
            <w:tcW w:w="1403" w:type="dxa"/>
            <w:vAlign w:val="center"/>
          </w:tcPr>
          <w:p w14:paraId="5C68E85D" w14:textId="037B5CF1" w:rsidR="00AC7EE5" w:rsidRPr="00AF31FE" w:rsidRDefault="00AC7EE5" w:rsidP="00AC7EE5">
            <w:pPr>
              <w:jc w:val="center"/>
            </w:pPr>
            <w:r w:rsidRPr="00D539C0">
              <w:t xml:space="preserve">33 </w:t>
            </w:r>
          </w:p>
        </w:tc>
        <w:tc>
          <w:tcPr>
            <w:tcW w:w="1405" w:type="dxa"/>
            <w:vAlign w:val="center"/>
          </w:tcPr>
          <w:p w14:paraId="3FA73271" w14:textId="2EA929D9" w:rsidR="00AC7EE5" w:rsidRPr="0065026F" w:rsidRDefault="00AC7EE5" w:rsidP="00A87D8C">
            <w:pPr>
              <w:jc w:val="center"/>
            </w:pPr>
            <w:r w:rsidRPr="008F5386">
              <w:t xml:space="preserve">$130.15 </w:t>
            </w:r>
          </w:p>
        </w:tc>
        <w:tc>
          <w:tcPr>
            <w:tcW w:w="1857" w:type="dxa"/>
            <w:vAlign w:val="center"/>
          </w:tcPr>
          <w:p w14:paraId="0C470028" w14:textId="2AB72853" w:rsidR="00AC7EE5" w:rsidRPr="00AF31FE" w:rsidRDefault="00AC7EE5" w:rsidP="003D3EF7">
            <w:pPr>
              <w:jc w:val="center"/>
            </w:pPr>
            <w:r w:rsidRPr="008F5386">
              <w:t xml:space="preserve">9 </w:t>
            </w:r>
          </w:p>
        </w:tc>
      </w:tr>
      <w:tr w:rsidR="00AC7EE5" w:rsidRPr="00556915" w14:paraId="1C8FE55F" w14:textId="77777777" w:rsidTr="00C35804">
        <w:trPr>
          <w:cantSplit/>
          <w:trHeight w:val="252"/>
        </w:trPr>
        <w:tc>
          <w:tcPr>
            <w:tcW w:w="3107" w:type="dxa"/>
            <w:shd w:val="clear" w:color="auto" w:fill="7F7F7F" w:themeFill="text1" w:themeFillTint="80"/>
            <w:vAlign w:val="center"/>
            <w:hideMark/>
          </w:tcPr>
          <w:p w14:paraId="45A6CC89"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159" w:type="dxa"/>
            <w:shd w:val="clear" w:color="auto" w:fill="auto"/>
            <w:vAlign w:val="center"/>
          </w:tcPr>
          <w:p w14:paraId="2B018DF2" w14:textId="4F92BE5C" w:rsidR="00AC7EE5" w:rsidRPr="0065026F" w:rsidRDefault="00AC7EE5" w:rsidP="00AC7EE5">
            <w:pPr>
              <w:jc w:val="center"/>
            </w:pPr>
            <w:r w:rsidRPr="00D539C0">
              <w:t xml:space="preserve">$875.46 </w:t>
            </w:r>
          </w:p>
        </w:tc>
        <w:tc>
          <w:tcPr>
            <w:tcW w:w="1403" w:type="dxa"/>
            <w:vAlign w:val="center"/>
          </w:tcPr>
          <w:p w14:paraId="75AF3F26" w14:textId="4B9DB0D4" w:rsidR="00AC7EE5" w:rsidRPr="00AF31FE" w:rsidRDefault="00AC7EE5" w:rsidP="00AC7EE5">
            <w:pPr>
              <w:jc w:val="center"/>
            </w:pPr>
            <w:r w:rsidRPr="00D539C0">
              <w:t xml:space="preserve">62 </w:t>
            </w:r>
          </w:p>
        </w:tc>
        <w:tc>
          <w:tcPr>
            <w:tcW w:w="1405" w:type="dxa"/>
            <w:vAlign w:val="center"/>
          </w:tcPr>
          <w:p w14:paraId="5F168485" w14:textId="7B9593F2" w:rsidR="00AC7EE5" w:rsidRPr="0065026F" w:rsidRDefault="00AC7EE5" w:rsidP="00A87D8C">
            <w:pPr>
              <w:jc w:val="center"/>
            </w:pPr>
            <w:r w:rsidRPr="008F5386">
              <w:t xml:space="preserve">$244.04 </w:t>
            </w:r>
          </w:p>
        </w:tc>
        <w:tc>
          <w:tcPr>
            <w:tcW w:w="1857" w:type="dxa"/>
            <w:vAlign w:val="center"/>
          </w:tcPr>
          <w:p w14:paraId="7DE6DBEC" w14:textId="3459B070" w:rsidR="00AC7EE5" w:rsidRPr="00AF31FE" w:rsidRDefault="00AC7EE5" w:rsidP="003D3EF7">
            <w:pPr>
              <w:jc w:val="center"/>
            </w:pPr>
            <w:r w:rsidRPr="008F5386">
              <w:t xml:space="preserve">17 </w:t>
            </w:r>
          </w:p>
        </w:tc>
      </w:tr>
      <w:tr w:rsidR="00AC7EE5" w:rsidRPr="00556915" w14:paraId="2EFA2BA9" w14:textId="77777777" w:rsidTr="00C35804">
        <w:trPr>
          <w:cantSplit/>
          <w:trHeight w:val="252"/>
        </w:trPr>
        <w:tc>
          <w:tcPr>
            <w:tcW w:w="3107" w:type="dxa"/>
            <w:shd w:val="clear" w:color="auto" w:fill="7F7F7F" w:themeFill="text1" w:themeFillTint="80"/>
            <w:vAlign w:val="center"/>
            <w:hideMark/>
          </w:tcPr>
          <w:p w14:paraId="575F3212"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159" w:type="dxa"/>
            <w:shd w:val="clear" w:color="auto" w:fill="auto"/>
            <w:vAlign w:val="center"/>
          </w:tcPr>
          <w:p w14:paraId="7A10BE18" w14:textId="6FD28663" w:rsidR="00AC7EE5" w:rsidRPr="0065026F" w:rsidRDefault="00AC7EE5" w:rsidP="00AC7EE5">
            <w:pPr>
              <w:jc w:val="center"/>
            </w:pPr>
            <w:r w:rsidRPr="00D539C0">
              <w:t xml:space="preserve">$1,750.91 </w:t>
            </w:r>
          </w:p>
        </w:tc>
        <w:tc>
          <w:tcPr>
            <w:tcW w:w="1403" w:type="dxa"/>
            <w:vAlign w:val="center"/>
          </w:tcPr>
          <w:p w14:paraId="6F598B96" w14:textId="7A7A6BAA" w:rsidR="00AC7EE5" w:rsidRPr="00AF31FE" w:rsidRDefault="00AC7EE5" w:rsidP="00AC7EE5">
            <w:pPr>
              <w:jc w:val="center"/>
            </w:pPr>
            <w:r w:rsidRPr="00D539C0">
              <w:t xml:space="preserve">123 </w:t>
            </w:r>
          </w:p>
        </w:tc>
        <w:tc>
          <w:tcPr>
            <w:tcW w:w="1405" w:type="dxa"/>
            <w:vAlign w:val="center"/>
          </w:tcPr>
          <w:p w14:paraId="594CF6D9" w14:textId="45814195" w:rsidR="00AC7EE5" w:rsidRPr="0065026F" w:rsidRDefault="00AC7EE5" w:rsidP="00A87D8C">
            <w:pPr>
              <w:jc w:val="center"/>
            </w:pPr>
            <w:r w:rsidRPr="008F5386">
              <w:t xml:space="preserve">$488.08 </w:t>
            </w:r>
          </w:p>
        </w:tc>
        <w:tc>
          <w:tcPr>
            <w:tcW w:w="1857" w:type="dxa"/>
            <w:vAlign w:val="center"/>
          </w:tcPr>
          <w:p w14:paraId="78A6B852" w14:textId="0ABDCF78" w:rsidR="00AC7EE5" w:rsidRPr="00AF31FE" w:rsidRDefault="00AC7EE5" w:rsidP="003D3EF7">
            <w:pPr>
              <w:jc w:val="center"/>
            </w:pPr>
            <w:r w:rsidRPr="008F5386">
              <w:t xml:space="preserve">34 </w:t>
            </w:r>
          </w:p>
        </w:tc>
      </w:tr>
      <w:tr w:rsidR="00AC7EE5" w:rsidRPr="00556915" w14:paraId="14498DFA" w14:textId="77777777" w:rsidTr="00C35804">
        <w:trPr>
          <w:cantSplit/>
          <w:trHeight w:val="252"/>
        </w:trPr>
        <w:tc>
          <w:tcPr>
            <w:tcW w:w="3107" w:type="dxa"/>
            <w:shd w:val="clear" w:color="auto" w:fill="7F7F7F" w:themeFill="text1" w:themeFillTint="80"/>
            <w:vAlign w:val="center"/>
            <w:hideMark/>
          </w:tcPr>
          <w:p w14:paraId="4E69AE43"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159" w:type="dxa"/>
            <w:shd w:val="clear" w:color="auto" w:fill="auto"/>
            <w:vAlign w:val="center"/>
          </w:tcPr>
          <w:p w14:paraId="474F1F33" w14:textId="2ECCD602" w:rsidR="00AC7EE5" w:rsidRPr="0065026F" w:rsidRDefault="00AC7EE5" w:rsidP="00AC7EE5">
            <w:pPr>
              <w:jc w:val="center"/>
            </w:pPr>
            <w:r w:rsidRPr="00D539C0">
              <w:t xml:space="preserve">$594.49 </w:t>
            </w:r>
          </w:p>
        </w:tc>
        <w:tc>
          <w:tcPr>
            <w:tcW w:w="1403" w:type="dxa"/>
            <w:vAlign w:val="center"/>
          </w:tcPr>
          <w:p w14:paraId="416CBFB8" w14:textId="033AD309" w:rsidR="00AC7EE5" w:rsidRPr="00AF31FE" w:rsidRDefault="00AC7EE5" w:rsidP="00AC7EE5">
            <w:pPr>
              <w:jc w:val="center"/>
            </w:pPr>
            <w:r w:rsidRPr="00D539C0">
              <w:t xml:space="preserve">42 </w:t>
            </w:r>
          </w:p>
        </w:tc>
        <w:tc>
          <w:tcPr>
            <w:tcW w:w="1405" w:type="dxa"/>
            <w:vAlign w:val="center"/>
          </w:tcPr>
          <w:p w14:paraId="0403C7AB" w14:textId="02BEBE9D" w:rsidR="00AC7EE5" w:rsidRPr="0065026F" w:rsidRDefault="00AC7EE5" w:rsidP="00A87D8C">
            <w:pPr>
              <w:jc w:val="center"/>
            </w:pPr>
            <w:r w:rsidRPr="008F5386">
              <w:t xml:space="preserve">$215.48 </w:t>
            </w:r>
          </w:p>
        </w:tc>
        <w:tc>
          <w:tcPr>
            <w:tcW w:w="1857" w:type="dxa"/>
            <w:vAlign w:val="center"/>
          </w:tcPr>
          <w:p w14:paraId="200FAC16" w14:textId="6AA3454E" w:rsidR="00AC7EE5" w:rsidRPr="00AF31FE" w:rsidRDefault="00AC7EE5" w:rsidP="003D3EF7">
            <w:pPr>
              <w:jc w:val="center"/>
            </w:pPr>
            <w:r w:rsidRPr="008F5386">
              <w:t xml:space="preserve">15 </w:t>
            </w:r>
          </w:p>
        </w:tc>
      </w:tr>
      <w:tr w:rsidR="00AC7EE5" w:rsidRPr="00556915" w14:paraId="61AEFD1D" w14:textId="77777777" w:rsidTr="00C35804">
        <w:trPr>
          <w:cantSplit/>
          <w:trHeight w:val="252"/>
        </w:trPr>
        <w:tc>
          <w:tcPr>
            <w:tcW w:w="3107" w:type="dxa"/>
            <w:shd w:val="clear" w:color="auto" w:fill="7F7F7F" w:themeFill="text1" w:themeFillTint="80"/>
            <w:vAlign w:val="center"/>
            <w:hideMark/>
          </w:tcPr>
          <w:p w14:paraId="64D87C52"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159" w:type="dxa"/>
            <w:shd w:val="clear" w:color="auto" w:fill="auto"/>
            <w:vAlign w:val="center"/>
          </w:tcPr>
          <w:p w14:paraId="60264116" w14:textId="14A6C1FC" w:rsidR="00AC7EE5" w:rsidRPr="0065026F" w:rsidRDefault="00AC7EE5" w:rsidP="00AC7EE5">
            <w:pPr>
              <w:jc w:val="center"/>
            </w:pPr>
            <w:r w:rsidRPr="00D539C0">
              <w:t xml:space="preserve">$1,188.98 </w:t>
            </w:r>
          </w:p>
        </w:tc>
        <w:tc>
          <w:tcPr>
            <w:tcW w:w="1403" w:type="dxa"/>
            <w:vAlign w:val="center"/>
          </w:tcPr>
          <w:p w14:paraId="369BC707" w14:textId="5C6CAE05" w:rsidR="00AC7EE5" w:rsidRPr="00AF31FE" w:rsidRDefault="00AC7EE5" w:rsidP="00AC7EE5">
            <w:pPr>
              <w:jc w:val="center"/>
            </w:pPr>
            <w:r w:rsidRPr="00D539C0">
              <w:t xml:space="preserve">84 </w:t>
            </w:r>
          </w:p>
        </w:tc>
        <w:tc>
          <w:tcPr>
            <w:tcW w:w="1405" w:type="dxa"/>
            <w:vAlign w:val="center"/>
          </w:tcPr>
          <w:p w14:paraId="112F2FD0" w14:textId="505CEEFA" w:rsidR="00AC7EE5" w:rsidRPr="0065026F" w:rsidRDefault="00AC7EE5" w:rsidP="00A87D8C">
            <w:pPr>
              <w:jc w:val="center"/>
            </w:pPr>
            <w:r w:rsidRPr="008F5386">
              <w:t xml:space="preserve">$430.96 </w:t>
            </w:r>
          </w:p>
        </w:tc>
        <w:tc>
          <w:tcPr>
            <w:tcW w:w="1857" w:type="dxa"/>
            <w:vAlign w:val="center"/>
          </w:tcPr>
          <w:p w14:paraId="5A49F0FD" w14:textId="1848BBA6" w:rsidR="00AC7EE5" w:rsidRPr="00AF31FE" w:rsidRDefault="00AC7EE5" w:rsidP="003D3EF7">
            <w:pPr>
              <w:jc w:val="center"/>
            </w:pPr>
            <w:r w:rsidRPr="008F5386">
              <w:t xml:space="preserve">30 </w:t>
            </w:r>
          </w:p>
        </w:tc>
      </w:tr>
      <w:tr w:rsidR="00AC7EE5" w:rsidRPr="00556915" w14:paraId="17D6A94E" w14:textId="77777777" w:rsidTr="00C35804">
        <w:trPr>
          <w:cantSplit/>
          <w:trHeight w:val="252"/>
        </w:trPr>
        <w:tc>
          <w:tcPr>
            <w:tcW w:w="3107" w:type="dxa"/>
            <w:shd w:val="clear" w:color="auto" w:fill="7F7F7F" w:themeFill="text1" w:themeFillTint="80"/>
            <w:vAlign w:val="center"/>
            <w:hideMark/>
          </w:tcPr>
          <w:p w14:paraId="11312E42"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159" w:type="dxa"/>
            <w:shd w:val="clear" w:color="auto" w:fill="auto"/>
            <w:vAlign w:val="center"/>
          </w:tcPr>
          <w:p w14:paraId="26C862F5" w14:textId="39538614" w:rsidR="00AC7EE5" w:rsidRPr="0065026F" w:rsidRDefault="00AC7EE5" w:rsidP="00AC7EE5">
            <w:pPr>
              <w:jc w:val="center"/>
            </w:pPr>
            <w:r w:rsidRPr="00D539C0">
              <w:t xml:space="preserve">$2,377.96 </w:t>
            </w:r>
          </w:p>
        </w:tc>
        <w:tc>
          <w:tcPr>
            <w:tcW w:w="1403" w:type="dxa"/>
            <w:vAlign w:val="center"/>
          </w:tcPr>
          <w:p w14:paraId="708927B1" w14:textId="544B7EA3" w:rsidR="00AC7EE5" w:rsidRPr="00AF31FE" w:rsidRDefault="00AC7EE5" w:rsidP="00AC7EE5">
            <w:pPr>
              <w:jc w:val="center"/>
            </w:pPr>
            <w:r w:rsidRPr="00D539C0">
              <w:t xml:space="preserve">167 </w:t>
            </w:r>
          </w:p>
        </w:tc>
        <w:tc>
          <w:tcPr>
            <w:tcW w:w="1405" w:type="dxa"/>
            <w:vAlign w:val="center"/>
          </w:tcPr>
          <w:p w14:paraId="58C4B792" w14:textId="6F461717" w:rsidR="00AC7EE5" w:rsidRPr="0065026F" w:rsidRDefault="00AC7EE5" w:rsidP="00A87D8C">
            <w:pPr>
              <w:jc w:val="center"/>
            </w:pPr>
            <w:r w:rsidRPr="008F5386">
              <w:t xml:space="preserve">$861.92 </w:t>
            </w:r>
          </w:p>
        </w:tc>
        <w:tc>
          <w:tcPr>
            <w:tcW w:w="1857" w:type="dxa"/>
            <w:vAlign w:val="center"/>
          </w:tcPr>
          <w:p w14:paraId="0DC34910" w14:textId="6EF0D26D" w:rsidR="00AC7EE5" w:rsidRPr="00AF31FE" w:rsidRDefault="00AC7EE5" w:rsidP="003D3EF7">
            <w:pPr>
              <w:jc w:val="center"/>
            </w:pPr>
            <w:r w:rsidRPr="008F5386">
              <w:t xml:space="preserve">61 </w:t>
            </w:r>
          </w:p>
        </w:tc>
      </w:tr>
      <w:tr w:rsidR="00AC7EE5" w:rsidRPr="00556915" w14:paraId="41C0F42D" w14:textId="77777777" w:rsidTr="00C35804">
        <w:trPr>
          <w:cantSplit/>
          <w:trHeight w:val="252"/>
        </w:trPr>
        <w:tc>
          <w:tcPr>
            <w:tcW w:w="3107" w:type="dxa"/>
            <w:shd w:val="clear" w:color="auto" w:fill="7F7F7F" w:themeFill="text1" w:themeFillTint="80"/>
            <w:vAlign w:val="center"/>
            <w:hideMark/>
          </w:tcPr>
          <w:p w14:paraId="2129DB8C"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159" w:type="dxa"/>
            <w:shd w:val="clear" w:color="auto" w:fill="auto"/>
            <w:vAlign w:val="center"/>
          </w:tcPr>
          <w:p w14:paraId="5DD844E7" w14:textId="27C59037" w:rsidR="00AC7EE5" w:rsidRPr="0065026F" w:rsidRDefault="00AC7EE5" w:rsidP="00AC7EE5">
            <w:pPr>
              <w:jc w:val="center"/>
            </w:pPr>
            <w:r w:rsidRPr="00D539C0">
              <w:t xml:space="preserve">$910.75 </w:t>
            </w:r>
          </w:p>
        </w:tc>
        <w:tc>
          <w:tcPr>
            <w:tcW w:w="1403" w:type="dxa"/>
            <w:vAlign w:val="center"/>
          </w:tcPr>
          <w:p w14:paraId="4CD830DA" w14:textId="613A681E" w:rsidR="00AC7EE5" w:rsidRPr="00AF31FE" w:rsidRDefault="00AC7EE5" w:rsidP="00AC7EE5">
            <w:pPr>
              <w:jc w:val="center"/>
            </w:pPr>
            <w:r w:rsidRPr="00D539C0">
              <w:t xml:space="preserve">64 </w:t>
            </w:r>
          </w:p>
        </w:tc>
        <w:tc>
          <w:tcPr>
            <w:tcW w:w="1405" w:type="dxa"/>
            <w:vAlign w:val="center"/>
          </w:tcPr>
          <w:p w14:paraId="1CD6FA5B" w14:textId="18B93472" w:rsidR="00AC7EE5" w:rsidRPr="0065026F" w:rsidRDefault="00AC7EE5" w:rsidP="00A87D8C">
            <w:pPr>
              <w:jc w:val="center"/>
            </w:pPr>
            <w:r w:rsidRPr="008F5386">
              <w:t xml:space="preserve">$384.23 </w:t>
            </w:r>
          </w:p>
        </w:tc>
        <w:tc>
          <w:tcPr>
            <w:tcW w:w="1857" w:type="dxa"/>
            <w:vAlign w:val="center"/>
          </w:tcPr>
          <w:p w14:paraId="7E4F42C1" w14:textId="141DC253" w:rsidR="00AC7EE5" w:rsidRPr="00AF31FE" w:rsidRDefault="00AC7EE5" w:rsidP="003D3EF7">
            <w:pPr>
              <w:jc w:val="center"/>
            </w:pPr>
            <w:r w:rsidRPr="008F5386">
              <w:t xml:space="preserve">27 </w:t>
            </w:r>
          </w:p>
        </w:tc>
      </w:tr>
      <w:tr w:rsidR="00AC7EE5" w:rsidRPr="00556915" w14:paraId="67259C9E" w14:textId="77777777" w:rsidTr="00C35804">
        <w:trPr>
          <w:cantSplit/>
          <w:trHeight w:val="252"/>
        </w:trPr>
        <w:tc>
          <w:tcPr>
            <w:tcW w:w="3107" w:type="dxa"/>
            <w:shd w:val="clear" w:color="auto" w:fill="7F7F7F" w:themeFill="text1" w:themeFillTint="80"/>
            <w:vAlign w:val="center"/>
            <w:hideMark/>
          </w:tcPr>
          <w:p w14:paraId="22644B2D"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159" w:type="dxa"/>
            <w:shd w:val="clear" w:color="auto" w:fill="auto"/>
            <w:vAlign w:val="center"/>
          </w:tcPr>
          <w:p w14:paraId="7CA4B53E" w14:textId="54B49383" w:rsidR="00AC7EE5" w:rsidRPr="0065026F" w:rsidRDefault="00AC7EE5" w:rsidP="00AC7EE5">
            <w:pPr>
              <w:jc w:val="center"/>
            </w:pPr>
            <w:r w:rsidRPr="00D539C0">
              <w:t xml:space="preserve">$1,821.50 </w:t>
            </w:r>
          </w:p>
        </w:tc>
        <w:tc>
          <w:tcPr>
            <w:tcW w:w="1403" w:type="dxa"/>
            <w:vAlign w:val="center"/>
          </w:tcPr>
          <w:p w14:paraId="55C9F8B1" w14:textId="2E8BEC9F" w:rsidR="00AC7EE5" w:rsidRPr="00AF31FE" w:rsidRDefault="00AC7EE5" w:rsidP="00AC7EE5">
            <w:pPr>
              <w:jc w:val="center"/>
            </w:pPr>
            <w:r w:rsidRPr="00D539C0">
              <w:t xml:space="preserve">128 </w:t>
            </w:r>
          </w:p>
        </w:tc>
        <w:tc>
          <w:tcPr>
            <w:tcW w:w="1405" w:type="dxa"/>
            <w:vAlign w:val="center"/>
          </w:tcPr>
          <w:p w14:paraId="4056912B" w14:textId="4901560B" w:rsidR="00AC7EE5" w:rsidRPr="0065026F" w:rsidRDefault="00AC7EE5" w:rsidP="00A87D8C">
            <w:pPr>
              <w:jc w:val="center"/>
            </w:pPr>
            <w:r w:rsidRPr="008F5386">
              <w:t xml:space="preserve">$768.46 </w:t>
            </w:r>
          </w:p>
        </w:tc>
        <w:tc>
          <w:tcPr>
            <w:tcW w:w="1857" w:type="dxa"/>
            <w:vAlign w:val="center"/>
          </w:tcPr>
          <w:p w14:paraId="540BE38E" w14:textId="534ECC5F" w:rsidR="00AC7EE5" w:rsidRPr="00AF31FE" w:rsidRDefault="00AC7EE5" w:rsidP="003D3EF7">
            <w:pPr>
              <w:jc w:val="center"/>
            </w:pPr>
            <w:r w:rsidRPr="008F5386">
              <w:t xml:space="preserve">54 </w:t>
            </w:r>
          </w:p>
        </w:tc>
      </w:tr>
      <w:tr w:rsidR="00AC7EE5" w:rsidRPr="00556915" w14:paraId="4382838A" w14:textId="77777777" w:rsidTr="00C35804">
        <w:trPr>
          <w:cantSplit/>
          <w:trHeight w:val="252"/>
        </w:trPr>
        <w:tc>
          <w:tcPr>
            <w:tcW w:w="3107" w:type="dxa"/>
            <w:shd w:val="clear" w:color="auto" w:fill="7F7F7F" w:themeFill="text1" w:themeFillTint="80"/>
            <w:vAlign w:val="center"/>
            <w:hideMark/>
          </w:tcPr>
          <w:p w14:paraId="28F65807"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159" w:type="dxa"/>
            <w:shd w:val="clear" w:color="auto" w:fill="auto"/>
            <w:vAlign w:val="center"/>
          </w:tcPr>
          <w:p w14:paraId="0D9BDD56" w14:textId="11033354" w:rsidR="00AC7EE5" w:rsidRPr="0065026F" w:rsidRDefault="00AC7EE5" w:rsidP="00AC7EE5">
            <w:pPr>
              <w:jc w:val="center"/>
            </w:pPr>
            <w:r w:rsidRPr="00D539C0">
              <w:t xml:space="preserve">$3,643.00 </w:t>
            </w:r>
          </w:p>
        </w:tc>
        <w:tc>
          <w:tcPr>
            <w:tcW w:w="1403" w:type="dxa"/>
            <w:vAlign w:val="center"/>
          </w:tcPr>
          <w:p w14:paraId="2F86E916" w14:textId="42D4D6B0" w:rsidR="00AC7EE5" w:rsidRPr="00AF31FE" w:rsidRDefault="00AC7EE5" w:rsidP="00AC7EE5">
            <w:pPr>
              <w:jc w:val="center"/>
            </w:pPr>
            <w:r w:rsidRPr="00D539C0">
              <w:t xml:space="preserve">256 </w:t>
            </w:r>
          </w:p>
        </w:tc>
        <w:tc>
          <w:tcPr>
            <w:tcW w:w="1405" w:type="dxa"/>
            <w:vAlign w:val="center"/>
          </w:tcPr>
          <w:p w14:paraId="65A8B759" w14:textId="7A3CE81D" w:rsidR="00AC7EE5" w:rsidRPr="0065026F" w:rsidRDefault="00AC7EE5" w:rsidP="00A87D8C">
            <w:pPr>
              <w:jc w:val="center"/>
            </w:pPr>
            <w:r w:rsidRPr="008F5386">
              <w:t xml:space="preserve">$1,536.92 </w:t>
            </w:r>
          </w:p>
        </w:tc>
        <w:tc>
          <w:tcPr>
            <w:tcW w:w="1857" w:type="dxa"/>
            <w:vAlign w:val="center"/>
          </w:tcPr>
          <w:p w14:paraId="148EC0AE" w14:textId="0DA199FF" w:rsidR="00AC7EE5" w:rsidRPr="00AF31FE" w:rsidRDefault="00AC7EE5" w:rsidP="003D3EF7">
            <w:pPr>
              <w:jc w:val="center"/>
            </w:pPr>
            <w:r w:rsidRPr="008F5386">
              <w:t xml:space="preserve">108 </w:t>
            </w:r>
          </w:p>
        </w:tc>
      </w:tr>
      <w:tr w:rsidR="00452800" w:rsidRPr="00556915" w14:paraId="78439718" w14:textId="77777777" w:rsidTr="00C35804">
        <w:trPr>
          <w:cantSplit/>
          <w:trHeight w:val="252"/>
        </w:trPr>
        <w:tc>
          <w:tcPr>
            <w:tcW w:w="3107" w:type="dxa"/>
            <w:shd w:val="clear" w:color="auto" w:fill="7F7F7F" w:themeFill="text1" w:themeFillTint="80"/>
            <w:vAlign w:val="center"/>
            <w:hideMark/>
          </w:tcPr>
          <w:p w14:paraId="00FD250C" w14:textId="77777777" w:rsidR="00452800" w:rsidRPr="00556915" w:rsidRDefault="00452800" w:rsidP="00AC7EE5">
            <w:pPr>
              <w:rPr>
                <w:b/>
                <w:bCs/>
                <w:color w:val="FFFFFF" w:themeColor="background1"/>
              </w:rPr>
            </w:pPr>
            <w:r w:rsidRPr="00556915">
              <w:rPr>
                <w:b/>
                <w:bCs/>
                <w:color w:val="FFFFFF" w:themeColor="background1"/>
              </w:rPr>
              <w:t>CHMPs - three or more authorities</w:t>
            </w:r>
          </w:p>
        </w:tc>
        <w:tc>
          <w:tcPr>
            <w:tcW w:w="5824" w:type="dxa"/>
            <w:gridSpan w:val="4"/>
            <w:shd w:val="clear" w:color="auto" w:fill="auto"/>
            <w:vAlign w:val="center"/>
          </w:tcPr>
          <w:p w14:paraId="14AE280F" w14:textId="77777777" w:rsidR="00452800" w:rsidRPr="0065026F" w:rsidRDefault="00452800" w:rsidP="003D3EF7">
            <w:pPr>
              <w:jc w:val="center"/>
            </w:pPr>
          </w:p>
        </w:tc>
      </w:tr>
      <w:tr w:rsidR="00AC7EE5" w:rsidRPr="00556915" w14:paraId="4B278234" w14:textId="77777777" w:rsidTr="00C35804">
        <w:trPr>
          <w:cantSplit/>
          <w:trHeight w:val="252"/>
        </w:trPr>
        <w:tc>
          <w:tcPr>
            <w:tcW w:w="3107" w:type="dxa"/>
            <w:shd w:val="clear" w:color="auto" w:fill="7F7F7F" w:themeFill="text1" w:themeFillTint="80"/>
            <w:vAlign w:val="center"/>
            <w:hideMark/>
          </w:tcPr>
          <w:p w14:paraId="54087724"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159" w:type="dxa"/>
            <w:shd w:val="clear" w:color="auto" w:fill="auto"/>
            <w:vAlign w:val="center"/>
          </w:tcPr>
          <w:p w14:paraId="63CF90FE" w14:textId="0B9D900D" w:rsidR="00AC7EE5" w:rsidRPr="0065026F" w:rsidRDefault="00AC7EE5" w:rsidP="00AC7EE5">
            <w:pPr>
              <w:jc w:val="center"/>
            </w:pPr>
            <w:r w:rsidRPr="00D539C0">
              <w:t xml:space="preserve">$408.55 </w:t>
            </w:r>
          </w:p>
        </w:tc>
        <w:tc>
          <w:tcPr>
            <w:tcW w:w="1403" w:type="dxa"/>
            <w:vAlign w:val="center"/>
          </w:tcPr>
          <w:p w14:paraId="2CFA5636" w14:textId="36ABEFFB" w:rsidR="00AC7EE5" w:rsidRPr="00AF31FE" w:rsidRDefault="00AC7EE5" w:rsidP="00AC7EE5">
            <w:pPr>
              <w:jc w:val="center"/>
            </w:pPr>
            <w:r w:rsidRPr="00D539C0">
              <w:t xml:space="preserve">29 </w:t>
            </w:r>
          </w:p>
        </w:tc>
        <w:tc>
          <w:tcPr>
            <w:tcW w:w="1405" w:type="dxa"/>
            <w:vAlign w:val="center"/>
          </w:tcPr>
          <w:p w14:paraId="1ACA2BB6" w14:textId="7D223EEE" w:rsidR="00AC7EE5" w:rsidRPr="0065026F" w:rsidRDefault="00AC7EE5" w:rsidP="00A87D8C">
            <w:pPr>
              <w:jc w:val="center"/>
            </w:pPr>
            <w:r w:rsidRPr="008F5386">
              <w:t xml:space="preserve">$113.88 </w:t>
            </w:r>
          </w:p>
        </w:tc>
        <w:tc>
          <w:tcPr>
            <w:tcW w:w="1857" w:type="dxa"/>
            <w:vAlign w:val="center"/>
          </w:tcPr>
          <w:p w14:paraId="58FBB3A4" w14:textId="25D52CFE" w:rsidR="00AC7EE5" w:rsidRPr="00AF31FE" w:rsidRDefault="00AC7EE5" w:rsidP="003D3EF7">
            <w:pPr>
              <w:jc w:val="center"/>
            </w:pPr>
            <w:r w:rsidRPr="008F5386">
              <w:t xml:space="preserve">8 </w:t>
            </w:r>
          </w:p>
        </w:tc>
      </w:tr>
      <w:tr w:rsidR="00AC7EE5" w:rsidRPr="00556915" w14:paraId="47C852FC" w14:textId="77777777" w:rsidTr="00C35804">
        <w:trPr>
          <w:cantSplit/>
          <w:trHeight w:val="252"/>
        </w:trPr>
        <w:tc>
          <w:tcPr>
            <w:tcW w:w="3107" w:type="dxa"/>
            <w:shd w:val="clear" w:color="auto" w:fill="7F7F7F" w:themeFill="text1" w:themeFillTint="80"/>
            <w:vAlign w:val="center"/>
            <w:hideMark/>
          </w:tcPr>
          <w:p w14:paraId="45BAE6BF"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159" w:type="dxa"/>
            <w:shd w:val="clear" w:color="auto" w:fill="auto"/>
            <w:vAlign w:val="center"/>
          </w:tcPr>
          <w:p w14:paraId="2E330FC5" w14:textId="7E2BE1C3" w:rsidR="00AC7EE5" w:rsidRPr="0065026F" w:rsidRDefault="00AC7EE5" w:rsidP="00AC7EE5">
            <w:pPr>
              <w:jc w:val="center"/>
            </w:pPr>
            <w:r w:rsidRPr="00D539C0">
              <w:t xml:space="preserve">$758.73 </w:t>
            </w:r>
          </w:p>
        </w:tc>
        <w:tc>
          <w:tcPr>
            <w:tcW w:w="1403" w:type="dxa"/>
            <w:vAlign w:val="center"/>
          </w:tcPr>
          <w:p w14:paraId="77F0BEFF" w14:textId="7480FFB4" w:rsidR="00AC7EE5" w:rsidRPr="00AF31FE" w:rsidRDefault="00AC7EE5" w:rsidP="00AC7EE5">
            <w:pPr>
              <w:jc w:val="center"/>
            </w:pPr>
            <w:r w:rsidRPr="00D539C0">
              <w:t xml:space="preserve">53 </w:t>
            </w:r>
          </w:p>
        </w:tc>
        <w:tc>
          <w:tcPr>
            <w:tcW w:w="1405" w:type="dxa"/>
            <w:vAlign w:val="center"/>
          </w:tcPr>
          <w:p w14:paraId="69DC32F2" w14:textId="13DEA4FD" w:rsidR="00AC7EE5" w:rsidRPr="0065026F" w:rsidRDefault="00AC7EE5" w:rsidP="00A87D8C">
            <w:pPr>
              <w:jc w:val="center"/>
            </w:pPr>
            <w:r w:rsidRPr="008F5386">
              <w:t xml:space="preserve">$211.50 </w:t>
            </w:r>
          </w:p>
        </w:tc>
        <w:tc>
          <w:tcPr>
            <w:tcW w:w="1857" w:type="dxa"/>
            <w:vAlign w:val="center"/>
          </w:tcPr>
          <w:p w14:paraId="3F9B66EC" w14:textId="5F6C367B" w:rsidR="00AC7EE5" w:rsidRPr="00AF31FE" w:rsidRDefault="00AC7EE5" w:rsidP="003D3EF7">
            <w:pPr>
              <w:jc w:val="center"/>
            </w:pPr>
            <w:r w:rsidRPr="008F5386">
              <w:t xml:space="preserve">15 </w:t>
            </w:r>
          </w:p>
        </w:tc>
      </w:tr>
      <w:tr w:rsidR="00AC7EE5" w:rsidRPr="00556915" w14:paraId="2E110924" w14:textId="77777777" w:rsidTr="00C35804">
        <w:trPr>
          <w:cantSplit/>
          <w:trHeight w:val="252"/>
        </w:trPr>
        <w:tc>
          <w:tcPr>
            <w:tcW w:w="3107" w:type="dxa"/>
            <w:shd w:val="clear" w:color="auto" w:fill="7F7F7F" w:themeFill="text1" w:themeFillTint="80"/>
            <w:vAlign w:val="center"/>
            <w:hideMark/>
          </w:tcPr>
          <w:p w14:paraId="6B2472EC"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159" w:type="dxa"/>
            <w:shd w:val="clear" w:color="auto" w:fill="auto"/>
            <w:vAlign w:val="center"/>
          </w:tcPr>
          <w:p w14:paraId="7059BEB8" w14:textId="5572EBD7" w:rsidR="00AC7EE5" w:rsidRPr="0065026F" w:rsidRDefault="00AC7EE5" w:rsidP="00AC7EE5">
            <w:pPr>
              <w:jc w:val="center"/>
            </w:pPr>
            <w:r w:rsidRPr="00D539C0">
              <w:t xml:space="preserve">$1,575.82 </w:t>
            </w:r>
          </w:p>
        </w:tc>
        <w:tc>
          <w:tcPr>
            <w:tcW w:w="1403" w:type="dxa"/>
            <w:vAlign w:val="center"/>
          </w:tcPr>
          <w:p w14:paraId="3DF683C4" w14:textId="34CE8B2C" w:rsidR="00AC7EE5" w:rsidRPr="00AF31FE" w:rsidRDefault="00AC7EE5" w:rsidP="00AC7EE5">
            <w:pPr>
              <w:jc w:val="center"/>
            </w:pPr>
            <w:r w:rsidRPr="00D539C0">
              <w:t xml:space="preserve">111 </w:t>
            </w:r>
          </w:p>
        </w:tc>
        <w:tc>
          <w:tcPr>
            <w:tcW w:w="1405" w:type="dxa"/>
            <w:vAlign w:val="center"/>
          </w:tcPr>
          <w:p w14:paraId="3529D7D6" w14:textId="72BDD852" w:rsidR="00AC7EE5" w:rsidRPr="0065026F" w:rsidRDefault="00AC7EE5" w:rsidP="00A87D8C">
            <w:pPr>
              <w:jc w:val="center"/>
            </w:pPr>
            <w:r w:rsidRPr="008F5386">
              <w:t xml:space="preserve">$439.27 </w:t>
            </w:r>
          </w:p>
        </w:tc>
        <w:tc>
          <w:tcPr>
            <w:tcW w:w="1857" w:type="dxa"/>
            <w:vAlign w:val="center"/>
          </w:tcPr>
          <w:p w14:paraId="2149FA38" w14:textId="7820AA9C" w:rsidR="00AC7EE5" w:rsidRPr="00AF31FE" w:rsidRDefault="00AC7EE5" w:rsidP="003D3EF7">
            <w:pPr>
              <w:jc w:val="center"/>
            </w:pPr>
            <w:r w:rsidRPr="008F5386">
              <w:t xml:space="preserve">31 </w:t>
            </w:r>
          </w:p>
        </w:tc>
      </w:tr>
      <w:tr w:rsidR="00AC7EE5" w:rsidRPr="00556915" w14:paraId="33703E51" w14:textId="77777777" w:rsidTr="00C35804">
        <w:trPr>
          <w:cantSplit/>
          <w:trHeight w:val="252"/>
        </w:trPr>
        <w:tc>
          <w:tcPr>
            <w:tcW w:w="3107" w:type="dxa"/>
            <w:shd w:val="clear" w:color="auto" w:fill="7F7F7F" w:themeFill="text1" w:themeFillTint="80"/>
            <w:vAlign w:val="center"/>
            <w:hideMark/>
          </w:tcPr>
          <w:p w14:paraId="5E9878E7"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159" w:type="dxa"/>
            <w:shd w:val="clear" w:color="auto" w:fill="auto"/>
            <w:vAlign w:val="center"/>
          </w:tcPr>
          <w:p w14:paraId="1A63130E" w14:textId="183E275F" w:rsidR="00AC7EE5" w:rsidRPr="0065026F" w:rsidRDefault="00AC7EE5" w:rsidP="00AC7EE5">
            <w:pPr>
              <w:jc w:val="center"/>
            </w:pPr>
            <w:r w:rsidRPr="00D539C0">
              <w:t xml:space="preserve">$535.04 </w:t>
            </w:r>
          </w:p>
        </w:tc>
        <w:tc>
          <w:tcPr>
            <w:tcW w:w="1403" w:type="dxa"/>
            <w:vAlign w:val="center"/>
          </w:tcPr>
          <w:p w14:paraId="65DED175" w14:textId="2379355D" w:rsidR="00AC7EE5" w:rsidRPr="00AF31FE" w:rsidRDefault="00AC7EE5" w:rsidP="00AC7EE5">
            <w:pPr>
              <w:jc w:val="center"/>
            </w:pPr>
            <w:r w:rsidRPr="00D539C0">
              <w:t xml:space="preserve">38 </w:t>
            </w:r>
          </w:p>
        </w:tc>
        <w:tc>
          <w:tcPr>
            <w:tcW w:w="1405" w:type="dxa"/>
            <w:vAlign w:val="center"/>
          </w:tcPr>
          <w:p w14:paraId="30165962" w14:textId="7C01000E" w:rsidR="00AC7EE5" w:rsidRPr="0065026F" w:rsidRDefault="00AC7EE5" w:rsidP="00A87D8C">
            <w:pPr>
              <w:jc w:val="center"/>
            </w:pPr>
            <w:r w:rsidRPr="008F5386">
              <w:t xml:space="preserve">$193.93 </w:t>
            </w:r>
          </w:p>
        </w:tc>
        <w:tc>
          <w:tcPr>
            <w:tcW w:w="1857" w:type="dxa"/>
            <w:vAlign w:val="center"/>
          </w:tcPr>
          <w:p w14:paraId="646FE34F" w14:textId="4D6C2008" w:rsidR="00AC7EE5" w:rsidRPr="00AF31FE" w:rsidRDefault="00AC7EE5" w:rsidP="003D3EF7">
            <w:pPr>
              <w:jc w:val="center"/>
            </w:pPr>
            <w:r w:rsidRPr="008F5386">
              <w:t xml:space="preserve">14 </w:t>
            </w:r>
          </w:p>
        </w:tc>
      </w:tr>
      <w:tr w:rsidR="00AC7EE5" w:rsidRPr="00556915" w14:paraId="008983E2" w14:textId="77777777" w:rsidTr="00C35804">
        <w:trPr>
          <w:cantSplit/>
          <w:trHeight w:val="252"/>
        </w:trPr>
        <w:tc>
          <w:tcPr>
            <w:tcW w:w="3107" w:type="dxa"/>
            <w:shd w:val="clear" w:color="auto" w:fill="7F7F7F" w:themeFill="text1" w:themeFillTint="80"/>
            <w:vAlign w:val="center"/>
            <w:hideMark/>
          </w:tcPr>
          <w:p w14:paraId="7413837D"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159" w:type="dxa"/>
            <w:shd w:val="clear" w:color="auto" w:fill="auto"/>
            <w:vAlign w:val="center"/>
          </w:tcPr>
          <w:p w14:paraId="2BA838FD" w14:textId="4815B1FD" w:rsidR="00AC7EE5" w:rsidRPr="0065026F" w:rsidRDefault="00AC7EE5" w:rsidP="00AC7EE5">
            <w:pPr>
              <w:jc w:val="center"/>
            </w:pPr>
            <w:r w:rsidRPr="00D539C0">
              <w:t xml:space="preserve">$1,050.27 </w:t>
            </w:r>
          </w:p>
        </w:tc>
        <w:tc>
          <w:tcPr>
            <w:tcW w:w="1403" w:type="dxa"/>
            <w:vAlign w:val="center"/>
          </w:tcPr>
          <w:p w14:paraId="6F9F0F02" w14:textId="035A2403" w:rsidR="00AC7EE5" w:rsidRPr="00AF31FE" w:rsidRDefault="00AC7EE5" w:rsidP="00AC7EE5">
            <w:pPr>
              <w:jc w:val="center"/>
            </w:pPr>
            <w:r w:rsidRPr="00D539C0">
              <w:t xml:space="preserve">74 </w:t>
            </w:r>
          </w:p>
        </w:tc>
        <w:tc>
          <w:tcPr>
            <w:tcW w:w="1405" w:type="dxa"/>
            <w:vAlign w:val="center"/>
          </w:tcPr>
          <w:p w14:paraId="440FBC68" w14:textId="34242630" w:rsidR="00AC7EE5" w:rsidRPr="0065026F" w:rsidRDefault="00AC7EE5" w:rsidP="00A87D8C">
            <w:pPr>
              <w:jc w:val="center"/>
            </w:pPr>
            <w:r w:rsidRPr="008F5386">
              <w:t xml:space="preserve">$380.68 </w:t>
            </w:r>
          </w:p>
        </w:tc>
        <w:tc>
          <w:tcPr>
            <w:tcW w:w="1857" w:type="dxa"/>
            <w:vAlign w:val="center"/>
          </w:tcPr>
          <w:p w14:paraId="2ABBC536" w14:textId="69D9C186" w:rsidR="00AC7EE5" w:rsidRPr="00AF31FE" w:rsidRDefault="00AC7EE5" w:rsidP="003D3EF7">
            <w:pPr>
              <w:jc w:val="center"/>
            </w:pPr>
            <w:r w:rsidRPr="008F5386">
              <w:t xml:space="preserve">27 </w:t>
            </w:r>
          </w:p>
        </w:tc>
      </w:tr>
      <w:tr w:rsidR="00AC7EE5" w:rsidRPr="00556915" w14:paraId="112F07A2" w14:textId="77777777" w:rsidTr="00C35804">
        <w:trPr>
          <w:cantSplit/>
          <w:trHeight w:val="252"/>
        </w:trPr>
        <w:tc>
          <w:tcPr>
            <w:tcW w:w="3107" w:type="dxa"/>
            <w:shd w:val="clear" w:color="auto" w:fill="7F7F7F" w:themeFill="text1" w:themeFillTint="80"/>
            <w:vAlign w:val="center"/>
            <w:hideMark/>
          </w:tcPr>
          <w:p w14:paraId="369531B8"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159" w:type="dxa"/>
            <w:shd w:val="clear" w:color="auto" w:fill="auto"/>
            <w:vAlign w:val="center"/>
          </w:tcPr>
          <w:p w14:paraId="14A137AA" w14:textId="61E21376" w:rsidR="00AC7EE5" w:rsidRPr="0065026F" w:rsidRDefault="00AC7EE5" w:rsidP="00AC7EE5">
            <w:pPr>
              <w:jc w:val="center"/>
            </w:pPr>
            <w:r w:rsidRPr="00D539C0">
              <w:t xml:space="preserve">$2,120.35 </w:t>
            </w:r>
          </w:p>
        </w:tc>
        <w:tc>
          <w:tcPr>
            <w:tcW w:w="1403" w:type="dxa"/>
            <w:vAlign w:val="center"/>
          </w:tcPr>
          <w:p w14:paraId="07E12F35" w14:textId="39117148" w:rsidR="00AC7EE5" w:rsidRPr="00AF31FE" w:rsidRDefault="00AC7EE5" w:rsidP="00AC7EE5">
            <w:pPr>
              <w:jc w:val="center"/>
            </w:pPr>
            <w:r w:rsidRPr="00D539C0">
              <w:t xml:space="preserve">149 </w:t>
            </w:r>
          </w:p>
        </w:tc>
        <w:tc>
          <w:tcPr>
            <w:tcW w:w="1405" w:type="dxa"/>
            <w:vAlign w:val="center"/>
          </w:tcPr>
          <w:p w14:paraId="64DCAB71" w14:textId="6D33A1B5" w:rsidR="00AC7EE5" w:rsidRPr="0065026F" w:rsidRDefault="00AC7EE5" w:rsidP="00A87D8C">
            <w:pPr>
              <w:jc w:val="center"/>
            </w:pPr>
            <w:r w:rsidRPr="008F5386">
              <w:t xml:space="preserve">$768.55 </w:t>
            </w:r>
          </w:p>
        </w:tc>
        <w:tc>
          <w:tcPr>
            <w:tcW w:w="1857" w:type="dxa"/>
            <w:vAlign w:val="center"/>
          </w:tcPr>
          <w:p w14:paraId="00A9E7D2" w14:textId="70CF92B0" w:rsidR="00AC7EE5" w:rsidRPr="00AF31FE" w:rsidRDefault="00AC7EE5" w:rsidP="003D3EF7">
            <w:pPr>
              <w:jc w:val="center"/>
            </w:pPr>
            <w:r w:rsidRPr="008F5386">
              <w:t xml:space="preserve">54 </w:t>
            </w:r>
          </w:p>
        </w:tc>
      </w:tr>
      <w:tr w:rsidR="00AC7EE5" w:rsidRPr="00556915" w14:paraId="3C772D6E" w14:textId="77777777" w:rsidTr="00C35804">
        <w:trPr>
          <w:cantSplit/>
          <w:trHeight w:val="252"/>
        </w:trPr>
        <w:tc>
          <w:tcPr>
            <w:tcW w:w="3107" w:type="dxa"/>
            <w:shd w:val="clear" w:color="auto" w:fill="7F7F7F" w:themeFill="text1" w:themeFillTint="80"/>
            <w:vAlign w:val="center"/>
            <w:hideMark/>
          </w:tcPr>
          <w:p w14:paraId="54448900"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159" w:type="dxa"/>
            <w:shd w:val="clear" w:color="auto" w:fill="auto"/>
            <w:vAlign w:val="center"/>
          </w:tcPr>
          <w:p w14:paraId="64489E5A" w14:textId="663B6664" w:rsidR="00AC7EE5" w:rsidRPr="0065026F" w:rsidRDefault="00AC7EE5" w:rsidP="00AC7EE5">
            <w:pPr>
              <w:jc w:val="center"/>
            </w:pPr>
            <w:r w:rsidRPr="00D539C0">
              <w:t xml:space="preserve">$804.50 </w:t>
            </w:r>
          </w:p>
        </w:tc>
        <w:tc>
          <w:tcPr>
            <w:tcW w:w="1403" w:type="dxa"/>
            <w:vAlign w:val="center"/>
          </w:tcPr>
          <w:p w14:paraId="50EFC0A8" w14:textId="0FD3FF4B" w:rsidR="00AC7EE5" w:rsidRPr="00AF31FE" w:rsidRDefault="00AC7EE5" w:rsidP="00AC7EE5">
            <w:pPr>
              <w:jc w:val="center"/>
            </w:pPr>
            <w:r w:rsidRPr="00D539C0">
              <w:t xml:space="preserve">57 </w:t>
            </w:r>
          </w:p>
        </w:tc>
        <w:tc>
          <w:tcPr>
            <w:tcW w:w="1405" w:type="dxa"/>
            <w:vAlign w:val="center"/>
          </w:tcPr>
          <w:p w14:paraId="18BEBE55" w14:textId="52F5A87A" w:rsidR="00AC7EE5" w:rsidRPr="0065026F" w:rsidRDefault="00AC7EE5" w:rsidP="00A87D8C">
            <w:pPr>
              <w:jc w:val="center"/>
            </w:pPr>
            <w:r w:rsidRPr="008F5386">
              <w:t xml:space="preserve">$339.40 </w:t>
            </w:r>
          </w:p>
        </w:tc>
        <w:tc>
          <w:tcPr>
            <w:tcW w:w="1857" w:type="dxa"/>
            <w:vAlign w:val="center"/>
          </w:tcPr>
          <w:p w14:paraId="6898796D" w14:textId="354D2E0E" w:rsidR="00AC7EE5" w:rsidRPr="00AF31FE" w:rsidRDefault="00AC7EE5" w:rsidP="003D3EF7">
            <w:pPr>
              <w:jc w:val="center"/>
            </w:pPr>
            <w:r w:rsidRPr="008F5386">
              <w:t xml:space="preserve">24 </w:t>
            </w:r>
          </w:p>
        </w:tc>
      </w:tr>
      <w:tr w:rsidR="00AC7EE5" w:rsidRPr="00556915" w14:paraId="40FD8997" w14:textId="77777777" w:rsidTr="00C35804">
        <w:trPr>
          <w:cantSplit/>
          <w:trHeight w:val="252"/>
        </w:trPr>
        <w:tc>
          <w:tcPr>
            <w:tcW w:w="3107" w:type="dxa"/>
            <w:shd w:val="clear" w:color="auto" w:fill="7F7F7F" w:themeFill="text1" w:themeFillTint="80"/>
            <w:vAlign w:val="center"/>
            <w:hideMark/>
          </w:tcPr>
          <w:p w14:paraId="43169ED7"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159" w:type="dxa"/>
            <w:shd w:val="clear" w:color="auto" w:fill="auto"/>
            <w:vAlign w:val="center"/>
          </w:tcPr>
          <w:p w14:paraId="55D87BB1" w14:textId="6CECB1D7" w:rsidR="00AC7EE5" w:rsidRPr="0065026F" w:rsidRDefault="00AC7EE5" w:rsidP="00AC7EE5">
            <w:pPr>
              <w:jc w:val="center"/>
            </w:pPr>
            <w:r w:rsidRPr="00D539C0">
              <w:t xml:space="preserve">$1,624.17 </w:t>
            </w:r>
          </w:p>
        </w:tc>
        <w:tc>
          <w:tcPr>
            <w:tcW w:w="1403" w:type="dxa"/>
            <w:vAlign w:val="center"/>
          </w:tcPr>
          <w:p w14:paraId="6D0E0A1E" w14:textId="4F6F6E61" w:rsidR="00AC7EE5" w:rsidRPr="00AF31FE" w:rsidRDefault="00AC7EE5" w:rsidP="00AC7EE5">
            <w:pPr>
              <w:jc w:val="center"/>
            </w:pPr>
            <w:r w:rsidRPr="00D539C0">
              <w:t xml:space="preserve">114 </w:t>
            </w:r>
          </w:p>
        </w:tc>
        <w:tc>
          <w:tcPr>
            <w:tcW w:w="1405" w:type="dxa"/>
            <w:vAlign w:val="center"/>
          </w:tcPr>
          <w:p w14:paraId="4EA7126A" w14:textId="00EA6106" w:rsidR="00AC7EE5" w:rsidRPr="0065026F" w:rsidRDefault="00AC7EE5" w:rsidP="00A87D8C">
            <w:pPr>
              <w:jc w:val="center"/>
            </w:pPr>
            <w:r w:rsidRPr="008F5386">
              <w:t xml:space="preserve">$685.21 </w:t>
            </w:r>
          </w:p>
        </w:tc>
        <w:tc>
          <w:tcPr>
            <w:tcW w:w="1857" w:type="dxa"/>
            <w:vAlign w:val="center"/>
          </w:tcPr>
          <w:p w14:paraId="7A7A4D89" w14:textId="3A98D83B" w:rsidR="00AC7EE5" w:rsidRPr="00AF31FE" w:rsidRDefault="00AC7EE5" w:rsidP="003D3EF7">
            <w:pPr>
              <w:jc w:val="center"/>
            </w:pPr>
            <w:r w:rsidRPr="008F5386">
              <w:t xml:space="preserve">48 </w:t>
            </w:r>
          </w:p>
        </w:tc>
      </w:tr>
      <w:tr w:rsidR="00AC7EE5" w:rsidRPr="00556915" w14:paraId="45DAC823" w14:textId="77777777" w:rsidTr="00C35804">
        <w:trPr>
          <w:cantSplit/>
          <w:trHeight w:val="252"/>
        </w:trPr>
        <w:tc>
          <w:tcPr>
            <w:tcW w:w="3107" w:type="dxa"/>
            <w:shd w:val="clear" w:color="auto" w:fill="7F7F7F" w:themeFill="text1" w:themeFillTint="80"/>
            <w:vAlign w:val="center"/>
            <w:hideMark/>
          </w:tcPr>
          <w:p w14:paraId="59943368"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159" w:type="dxa"/>
            <w:shd w:val="clear" w:color="auto" w:fill="auto"/>
            <w:vAlign w:val="center"/>
          </w:tcPr>
          <w:p w14:paraId="2584F68C" w14:textId="14AC19FE" w:rsidR="00AC7EE5" w:rsidRPr="0065026F" w:rsidRDefault="00AC7EE5" w:rsidP="00AC7EE5">
            <w:pPr>
              <w:jc w:val="center"/>
            </w:pPr>
            <w:r w:rsidRPr="00D539C0">
              <w:t xml:space="preserve">$3,233.17 </w:t>
            </w:r>
          </w:p>
        </w:tc>
        <w:tc>
          <w:tcPr>
            <w:tcW w:w="1403" w:type="dxa"/>
            <w:vAlign w:val="center"/>
          </w:tcPr>
          <w:p w14:paraId="78F3238F" w14:textId="296DD9F3" w:rsidR="00AC7EE5" w:rsidRPr="00AF31FE" w:rsidRDefault="00AC7EE5" w:rsidP="00AC7EE5">
            <w:pPr>
              <w:jc w:val="center"/>
            </w:pPr>
            <w:r w:rsidRPr="00D539C0">
              <w:t xml:space="preserve">227 </w:t>
            </w:r>
          </w:p>
        </w:tc>
        <w:tc>
          <w:tcPr>
            <w:tcW w:w="1405" w:type="dxa"/>
            <w:vAlign w:val="center"/>
          </w:tcPr>
          <w:p w14:paraId="22A828D3" w14:textId="764F0D5A" w:rsidR="00AC7EE5" w:rsidRPr="0065026F" w:rsidRDefault="00AC7EE5" w:rsidP="00A87D8C">
            <w:pPr>
              <w:jc w:val="center"/>
            </w:pPr>
            <w:r w:rsidRPr="008F5386">
              <w:t xml:space="preserve">$1,364.02 </w:t>
            </w:r>
          </w:p>
        </w:tc>
        <w:tc>
          <w:tcPr>
            <w:tcW w:w="1857" w:type="dxa"/>
            <w:vAlign w:val="center"/>
          </w:tcPr>
          <w:p w14:paraId="2832F481" w14:textId="51C019E0" w:rsidR="00AC7EE5" w:rsidRPr="00AF31FE" w:rsidRDefault="00AC7EE5" w:rsidP="003D3EF7">
            <w:pPr>
              <w:jc w:val="center"/>
            </w:pPr>
            <w:r w:rsidRPr="008F5386">
              <w:t xml:space="preserve">96 </w:t>
            </w:r>
          </w:p>
        </w:tc>
      </w:tr>
      <w:tr w:rsidR="00AC7EE5" w:rsidRPr="00556915" w14:paraId="667FC5C9" w14:textId="77777777" w:rsidTr="00C35804">
        <w:trPr>
          <w:cantSplit/>
          <w:trHeight w:val="252"/>
        </w:trPr>
        <w:tc>
          <w:tcPr>
            <w:tcW w:w="3107" w:type="dxa"/>
            <w:shd w:val="clear" w:color="auto" w:fill="7F7F7F" w:themeFill="text1" w:themeFillTint="80"/>
            <w:vAlign w:val="center"/>
            <w:hideMark/>
          </w:tcPr>
          <w:p w14:paraId="753CC74B" w14:textId="77777777" w:rsidR="00AC7EE5" w:rsidRPr="00556915" w:rsidRDefault="00AC7EE5" w:rsidP="00AC7EE5">
            <w:pPr>
              <w:rPr>
                <w:b/>
                <w:bCs/>
                <w:color w:val="FFFFFF" w:themeColor="background1"/>
              </w:rPr>
            </w:pPr>
            <w:r w:rsidRPr="00556915">
              <w:rPr>
                <w:b/>
                <w:bCs/>
                <w:color w:val="FFFFFF" w:themeColor="background1"/>
              </w:rPr>
              <w:t>Approval of an amendment to a CHMP</w:t>
            </w:r>
          </w:p>
        </w:tc>
        <w:tc>
          <w:tcPr>
            <w:tcW w:w="1159" w:type="dxa"/>
            <w:shd w:val="clear" w:color="auto" w:fill="auto"/>
            <w:vAlign w:val="center"/>
          </w:tcPr>
          <w:p w14:paraId="37B68D9F" w14:textId="51AD7AAB" w:rsidR="00AC7EE5" w:rsidRPr="0065026F" w:rsidRDefault="00AC7EE5" w:rsidP="00AC7EE5">
            <w:pPr>
              <w:jc w:val="center"/>
            </w:pPr>
            <w:r w:rsidRPr="00D539C0">
              <w:t xml:space="preserve">$1,137.08 </w:t>
            </w:r>
          </w:p>
        </w:tc>
        <w:tc>
          <w:tcPr>
            <w:tcW w:w="1403" w:type="dxa"/>
            <w:vAlign w:val="center"/>
          </w:tcPr>
          <w:p w14:paraId="7163CC86" w14:textId="0747D93A" w:rsidR="00AC7EE5" w:rsidRPr="00AF31FE" w:rsidRDefault="00AC7EE5" w:rsidP="00AC7EE5">
            <w:pPr>
              <w:jc w:val="center"/>
            </w:pPr>
            <w:r w:rsidRPr="00D539C0">
              <w:t xml:space="preserve">80 </w:t>
            </w:r>
          </w:p>
        </w:tc>
        <w:tc>
          <w:tcPr>
            <w:tcW w:w="1405" w:type="dxa"/>
            <w:vAlign w:val="center"/>
          </w:tcPr>
          <w:p w14:paraId="1CAA20A0" w14:textId="6A653725" w:rsidR="00AC7EE5" w:rsidRPr="0065026F" w:rsidRDefault="00AC7EE5" w:rsidP="00A87D8C">
            <w:pPr>
              <w:jc w:val="center"/>
            </w:pPr>
            <w:r w:rsidRPr="008F5386">
              <w:t xml:space="preserve">$402.05 </w:t>
            </w:r>
          </w:p>
        </w:tc>
        <w:tc>
          <w:tcPr>
            <w:tcW w:w="1857" w:type="dxa"/>
            <w:vAlign w:val="center"/>
          </w:tcPr>
          <w:p w14:paraId="45B25BFD" w14:textId="480185AB" w:rsidR="00AC7EE5" w:rsidRPr="00AF31FE" w:rsidRDefault="00AC7EE5" w:rsidP="003D3EF7">
            <w:pPr>
              <w:jc w:val="center"/>
            </w:pPr>
            <w:r w:rsidRPr="008F5386">
              <w:t xml:space="preserve">28 </w:t>
            </w:r>
          </w:p>
        </w:tc>
      </w:tr>
      <w:tr w:rsidR="00AC7EE5" w:rsidRPr="00556915" w14:paraId="5A44C259" w14:textId="77777777" w:rsidTr="00C35804">
        <w:trPr>
          <w:cantSplit/>
          <w:trHeight w:val="252"/>
        </w:trPr>
        <w:tc>
          <w:tcPr>
            <w:tcW w:w="3107" w:type="dxa"/>
            <w:shd w:val="clear" w:color="auto" w:fill="7F7F7F" w:themeFill="text1" w:themeFillTint="80"/>
            <w:vAlign w:val="center"/>
            <w:hideMark/>
          </w:tcPr>
          <w:p w14:paraId="4ED397CB" w14:textId="77777777" w:rsidR="00AC7EE5" w:rsidRPr="00556915" w:rsidRDefault="00AC7EE5" w:rsidP="00AC7EE5">
            <w:pPr>
              <w:rPr>
                <w:b/>
                <w:bCs/>
                <w:color w:val="FFFFFF" w:themeColor="background1"/>
              </w:rPr>
            </w:pPr>
            <w:r w:rsidRPr="00556915">
              <w:rPr>
                <w:b/>
                <w:bCs/>
                <w:color w:val="FFFFFF" w:themeColor="background1"/>
              </w:rPr>
              <w:t>Application for access to the Register</w:t>
            </w:r>
          </w:p>
        </w:tc>
        <w:tc>
          <w:tcPr>
            <w:tcW w:w="1159" w:type="dxa"/>
            <w:shd w:val="clear" w:color="auto" w:fill="auto"/>
            <w:vAlign w:val="center"/>
          </w:tcPr>
          <w:p w14:paraId="2673368A" w14:textId="7D71DB4B" w:rsidR="00AC7EE5" w:rsidRPr="0065026F" w:rsidRDefault="00AC7EE5" w:rsidP="00AC7EE5">
            <w:pPr>
              <w:jc w:val="center"/>
            </w:pPr>
            <w:r w:rsidRPr="00D539C0">
              <w:t xml:space="preserve">$255.96 </w:t>
            </w:r>
          </w:p>
        </w:tc>
        <w:tc>
          <w:tcPr>
            <w:tcW w:w="1403" w:type="dxa"/>
            <w:vAlign w:val="center"/>
          </w:tcPr>
          <w:p w14:paraId="2D002646" w14:textId="13F6B4D9" w:rsidR="00AC7EE5" w:rsidRPr="00AF31FE" w:rsidRDefault="00AC7EE5" w:rsidP="00AC7EE5">
            <w:pPr>
              <w:jc w:val="center"/>
            </w:pPr>
            <w:r w:rsidRPr="00D539C0">
              <w:t xml:space="preserve">18 </w:t>
            </w:r>
          </w:p>
        </w:tc>
        <w:tc>
          <w:tcPr>
            <w:tcW w:w="1405" w:type="dxa"/>
            <w:vAlign w:val="center"/>
          </w:tcPr>
          <w:p w14:paraId="79C9129C" w14:textId="7A84B22F" w:rsidR="00AC7EE5" w:rsidRPr="0065026F" w:rsidRDefault="00AC7EE5" w:rsidP="00A87D8C">
            <w:pPr>
              <w:jc w:val="center"/>
            </w:pPr>
            <w:r w:rsidRPr="008F5386">
              <w:t xml:space="preserve">N/A </w:t>
            </w:r>
          </w:p>
        </w:tc>
        <w:tc>
          <w:tcPr>
            <w:tcW w:w="1857" w:type="dxa"/>
            <w:vAlign w:val="center"/>
          </w:tcPr>
          <w:p w14:paraId="31DBD9F1" w14:textId="4FB4AE9B" w:rsidR="00AC7EE5" w:rsidRPr="00AF31FE" w:rsidRDefault="00AC7EE5" w:rsidP="003D3EF7">
            <w:pPr>
              <w:jc w:val="center"/>
            </w:pPr>
            <w:r w:rsidRPr="008F5386">
              <w:t xml:space="preserve">N/A </w:t>
            </w:r>
          </w:p>
        </w:tc>
      </w:tr>
      <w:tr w:rsidR="00AC7EE5" w:rsidRPr="00556915" w14:paraId="55B3A950" w14:textId="77777777" w:rsidTr="00C35804">
        <w:trPr>
          <w:cantSplit/>
          <w:trHeight w:val="252"/>
        </w:trPr>
        <w:tc>
          <w:tcPr>
            <w:tcW w:w="3107" w:type="dxa"/>
            <w:shd w:val="clear" w:color="auto" w:fill="7F7F7F" w:themeFill="text1" w:themeFillTint="80"/>
            <w:vAlign w:val="center"/>
            <w:hideMark/>
          </w:tcPr>
          <w:p w14:paraId="1AE0BB55" w14:textId="77777777" w:rsidR="00AC7EE5" w:rsidRPr="00556915" w:rsidRDefault="00AC7EE5" w:rsidP="00AC7EE5">
            <w:pPr>
              <w:rPr>
                <w:b/>
                <w:bCs/>
                <w:color w:val="FFFFFF" w:themeColor="background1"/>
              </w:rPr>
            </w:pPr>
            <w:r w:rsidRPr="00556915">
              <w:rPr>
                <w:b/>
                <w:bCs/>
                <w:color w:val="FFFFFF" w:themeColor="background1"/>
              </w:rPr>
              <w:t>Application for advice on the Register</w:t>
            </w:r>
          </w:p>
        </w:tc>
        <w:tc>
          <w:tcPr>
            <w:tcW w:w="1159" w:type="dxa"/>
            <w:shd w:val="clear" w:color="auto" w:fill="auto"/>
            <w:vAlign w:val="center"/>
          </w:tcPr>
          <w:p w14:paraId="3A7F6E0B" w14:textId="619B61F9" w:rsidR="00AC7EE5" w:rsidRPr="0065026F" w:rsidRDefault="00AC7EE5" w:rsidP="00AC7EE5">
            <w:pPr>
              <w:jc w:val="center"/>
            </w:pPr>
            <w:r w:rsidRPr="00D539C0">
              <w:t xml:space="preserve">$170.64 </w:t>
            </w:r>
          </w:p>
        </w:tc>
        <w:tc>
          <w:tcPr>
            <w:tcW w:w="1403" w:type="dxa"/>
            <w:vAlign w:val="center"/>
          </w:tcPr>
          <w:p w14:paraId="45AD5E62" w14:textId="210A7C5A" w:rsidR="00AC7EE5" w:rsidRPr="00AF31FE" w:rsidRDefault="00AC7EE5" w:rsidP="00AC7EE5">
            <w:pPr>
              <w:jc w:val="center"/>
            </w:pPr>
            <w:r w:rsidRPr="00D539C0">
              <w:t xml:space="preserve">12 </w:t>
            </w:r>
          </w:p>
        </w:tc>
        <w:tc>
          <w:tcPr>
            <w:tcW w:w="1405" w:type="dxa"/>
            <w:vAlign w:val="center"/>
          </w:tcPr>
          <w:p w14:paraId="270AACE5" w14:textId="2A515BF1" w:rsidR="00AC7EE5" w:rsidRDefault="00AC7EE5" w:rsidP="00A87D8C">
            <w:pPr>
              <w:jc w:val="center"/>
            </w:pPr>
            <w:r w:rsidRPr="008F5386">
              <w:t xml:space="preserve">N/A </w:t>
            </w:r>
          </w:p>
        </w:tc>
        <w:tc>
          <w:tcPr>
            <w:tcW w:w="1857" w:type="dxa"/>
            <w:vAlign w:val="center"/>
          </w:tcPr>
          <w:p w14:paraId="5F97981E" w14:textId="0E40FED3" w:rsidR="00AC7EE5" w:rsidRPr="00AF31FE" w:rsidRDefault="00AC7EE5" w:rsidP="003D3EF7">
            <w:pPr>
              <w:jc w:val="center"/>
            </w:pPr>
            <w:r w:rsidRPr="008F5386">
              <w:t xml:space="preserve">N/A </w:t>
            </w:r>
          </w:p>
        </w:tc>
      </w:tr>
    </w:tbl>
    <w:p w14:paraId="3531FD9C" w14:textId="371D5F47" w:rsidR="00577E93" w:rsidRDefault="00577E93" w:rsidP="00577E93">
      <w:pPr>
        <w:pStyle w:val="PwCNormal"/>
        <w:spacing w:before="240"/>
        <w:rPr>
          <w:lang w:val="en-US"/>
        </w:rPr>
      </w:pPr>
      <w:r>
        <w:rPr>
          <w:lang w:val="en-US"/>
        </w:rPr>
        <w:t>Cost recovery for fee option 3 is approximately 81 per cent (the same as fee option 2, as both fee options are based on the same data).</w:t>
      </w:r>
    </w:p>
    <w:p w14:paraId="4CA45E8E" w14:textId="01E3F507" w:rsidR="002B6B28" w:rsidRDefault="007C358F" w:rsidP="00705BA8">
      <w:pPr>
        <w:pStyle w:val="Heading6"/>
        <w:rPr>
          <w:lang w:val="en-US"/>
        </w:rPr>
      </w:pPr>
      <w:r>
        <w:rPr>
          <w:lang w:val="en-US"/>
        </w:rPr>
        <w:t>Evaluation of fee options</w:t>
      </w:r>
    </w:p>
    <w:p w14:paraId="213BBE19" w14:textId="78370C91" w:rsidR="007C358F" w:rsidRPr="007C358F" w:rsidRDefault="007C358F" w:rsidP="00705BA8">
      <w:pPr>
        <w:pStyle w:val="PwCNormal"/>
        <w:rPr>
          <w:lang w:val="en-US"/>
        </w:rPr>
      </w:pPr>
      <w:r>
        <w:rPr>
          <w:lang w:val="en-US"/>
        </w:rPr>
        <w:fldChar w:fldCharType="begin"/>
      </w:r>
      <w:r>
        <w:rPr>
          <w:lang w:val="en-US"/>
        </w:rPr>
        <w:instrText xml:space="preserve"> REF _Ref504055422 \h </w:instrText>
      </w:r>
      <w:r>
        <w:rPr>
          <w:lang w:val="en-US"/>
        </w:rPr>
      </w:r>
      <w:r>
        <w:rPr>
          <w:lang w:val="en-US"/>
        </w:rPr>
        <w:fldChar w:fldCharType="separate"/>
      </w:r>
      <w:r w:rsidR="000369A1">
        <w:t xml:space="preserve">Table </w:t>
      </w:r>
      <w:r w:rsidR="000369A1">
        <w:rPr>
          <w:noProof/>
        </w:rPr>
        <w:t>32</w:t>
      </w:r>
      <w:r>
        <w:rPr>
          <w:lang w:val="en-US"/>
        </w:rPr>
        <w:fldChar w:fldCharType="end"/>
      </w:r>
      <w:r>
        <w:rPr>
          <w:lang w:val="en-US"/>
        </w:rPr>
        <w:t xml:space="preserve"> shows a comparison of the fee units for each fee option. </w:t>
      </w:r>
    </w:p>
    <w:p w14:paraId="3F005D0B" w14:textId="410601B8" w:rsidR="005A7C2F" w:rsidRDefault="005A7C2F" w:rsidP="005A7C2F">
      <w:pPr>
        <w:pStyle w:val="Caption"/>
      </w:pPr>
      <w:bookmarkStart w:id="88" w:name="_Ref504055422"/>
      <w:r>
        <w:t xml:space="preserve">Table </w:t>
      </w:r>
      <w:r w:rsidR="00B47FE6">
        <w:fldChar w:fldCharType="begin"/>
      </w:r>
      <w:r w:rsidR="00B47FE6">
        <w:instrText xml:space="preserve"> SEQ Table \* ARABIC </w:instrText>
      </w:r>
      <w:r w:rsidR="00B47FE6">
        <w:fldChar w:fldCharType="separate"/>
      </w:r>
      <w:r w:rsidR="000369A1">
        <w:rPr>
          <w:noProof/>
        </w:rPr>
        <w:t>32</w:t>
      </w:r>
      <w:r w:rsidR="00B47FE6">
        <w:rPr>
          <w:noProof/>
        </w:rPr>
        <w:fldChar w:fldCharType="end"/>
      </w:r>
      <w:bookmarkEnd w:id="88"/>
      <w:r>
        <w:t xml:space="preserve">: </w:t>
      </w:r>
      <w:r w:rsidR="007C358F">
        <w:t>Comparison of fee units for each fee option</w:t>
      </w:r>
    </w:p>
    <w:tbl>
      <w:tblPr>
        <w:tblW w:w="8789" w:type="dxa"/>
        <w:tblInd w:w="-34" w:type="dxa"/>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2552"/>
        <w:gridCol w:w="1559"/>
        <w:gridCol w:w="1418"/>
        <w:gridCol w:w="1559"/>
        <w:gridCol w:w="1701"/>
      </w:tblGrid>
      <w:tr w:rsidR="007C358F" w:rsidRPr="00556915" w14:paraId="1C010521" w14:textId="77777777" w:rsidTr="00C35804">
        <w:trPr>
          <w:cantSplit/>
          <w:trHeight w:val="379"/>
          <w:tblHeader/>
        </w:trPr>
        <w:tc>
          <w:tcPr>
            <w:tcW w:w="2552" w:type="dxa"/>
            <w:shd w:val="clear" w:color="auto" w:fill="A32020" w:themeFill="accent1"/>
            <w:noWrap/>
            <w:vAlign w:val="center"/>
            <w:hideMark/>
          </w:tcPr>
          <w:p w14:paraId="0BFE41F2" w14:textId="77777777" w:rsidR="007C358F" w:rsidRPr="00556915" w:rsidRDefault="007C358F" w:rsidP="00620701">
            <w:pPr>
              <w:rPr>
                <w:b/>
                <w:bCs/>
                <w:color w:val="FFFFFF" w:themeColor="background1"/>
              </w:rPr>
            </w:pPr>
            <w:r w:rsidRPr="00556915">
              <w:rPr>
                <w:b/>
                <w:bCs/>
                <w:color w:val="FFFFFF" w:themeColor="background1"/>
              </w:rPr>
              <w:t>Fee</w:t>
            </w:r>
          </w:p>
        </w:tc>
        <w:tc>
          <w:tcPr>
            <w:tcW w:w="1559" w:type="dxa"/>
            <w:shd w:val="clear" w:color="auto" w:fill="A32020" w:themeFill="accent1"/>
            <w:vAlign w:val="center"/>
            <w:hideMark/>
          </w:tcPr>
          <w:p w14:paraId="34349750" w14:textId="0A5B4F9F" w:rsidR="007C358F" w:rsidRPr="00556915" w:rsidRDefault="007C358F">
            <w:pPr>
              <w:jc w:val="center"/>
              <w:rPr>
                <w:b/>
                <w:bCs/>
                <w:color w:val="FFFFFF" w:themeColor="background1"/>
              </w:rPr>
            </w:pPr>
            <w:r>
              <w:rPr>
                <w:b/>
                <w:bCs/>
                <w:color w:val="FFFFFF" w:themeColor="background1"/>
              </w:rPr>
              <w:t xml:space="preserve">Option 1 </w:t>
            </w:r>
            <w:r w:rsidR="000330DB">
              <w:rPr>
                <w:b/>
                <w:bCs/>
                <w:color w:val="FFFFFF" w:themeColor="background1"/>
              </w:rPr>
              <w:t xml:space="preserve">actual </w:t>
            </w:r>
            <w:r>
              <w:rPr>
                <w:b/>
                <w:bCs/>
                <w:color w:val="FFFFFF" w:themeColor="background1"/>
              </w:rPr>
              <w:t>fee units</w:t>
            </w:r>
          </w:p>
        </w:tc>
        <w:tc>
          <w:tcPr>
            <w:tcW w:w="1418" w:type="dxa"/>
            <w:shd w:val="clear" w:color="auto" w:fill="A32020" w:themeFill="accent1"/>
            <w:vAlign w:val="center"/>
          </w:tcPr>
          <w:p w14:paraId="21A6BB07" w14:textId="782709B7" w:rsidR="007C358F" w:rsidRDefault="007C358F">
            <w:pPr>
              <w:jc w:val="center"/>
              <w:rPr>
                <w:b/>
                <w:bCs/>
                <w:color w:val="FFFFFF" w:themeColor="background1"/>
              </w:rPr>
            </w:pPr>
            <w:r>
              <w:rPr>
                <w:b/>
                <w:bCs/>
                <w:color w:val="FFFFFF" w:themeColor="background1"/>
              </w:rPr>
              <w:t xml:space="preserve">Option 2 </w:t>
            </w:r>
            <w:r w:rsidR="000330DB">
              <w:rPr>
                <w:b/>
                <w:bCs/>
                <w:color w:val="FFFFFF" w:themeColor="background1"/>
              </w:rPr>
              <w:t xml:space="preserve">implied </w:t>
            </w:r>
            <w:r>
              <w:rPr>
                <w:b/>
                <w:bCs/>
                <w:color w:val="FFFFFF" w:themeColor="background1"/>
              </w:rPr>
              <w:t>fee units</w:t>
            </w:r>
          </w:p>
        </w:tc>
        <w:tc>
          <w:tcPr>
            <w:tcW w:w="1559" w:type="dxa"/>
            <w:shd w:val="clear" w:color="auto" w:fill="A32020" w:themeFill="accent1"/>
            <w:vAlign w:val="center"/>
          </w:tcPr>
          <w:p w14:paraId="1E438F4F" w14:textId="1AB06E77" w:rsidR="007C358F" w:rsidRDefault="007C358F">
            <w:pPr>
              <w:jc w:val="center"/>
              <w:rPr>
                <w:b/>
                <w:bCs/>
                <w:color w:val="FFFFFF" w:themeColor="background1"/>
              </w:rPr>
            </w:pPr>
            <w:r>
              <w:rPr>
                <w:b/>
                <w:bCs/>
                <w:color w:val="FFFFFF" w:themeColor="background1"/>
              </w:rPr>
              <w:t xml:space="preserve">Option 3 – </w:t>
            </w:r>
            <w:r w:rsidR="000330DB">
              <w:rPr>
                <w:b/>
                <w:bCs/>
                <w:color w:val="FFFFFF" w:themeColor="background1"/>
              </w:rPr>
              <w:t xml:space="preserve">implied </w:t>
            </w:r>
            <w:r>
              <w:rPr>
                <w:b/>
                <w:bCs/>
                <w:color w:val="FFFFFF" w:themeColor="background1"/>
              </w:rPr>
              <w:t>Government fee units</w:t>
            </w:r>
          </w:p>
        </w:tc>
        <w:tc>
          <w:tcPr>
            <w:tcW w:w="1701" w:type="dxa"/>
            <w:shd w:val="clear" w:color="auto" w:fill="A32020" w:themeFill="accent1"/>
            <w:vAlign w:val="center"/>
          </w:tcPr>
          <w:p w14:paraId="609DACF4" w14:textId="2D135418" w:rsidR="007C358F" w:rsidRDefault="007C358F">
            <w:pPr>
              <w:jc w:val="center"/>
              <w:rPr>
                <w:b/>
                <w:bCs/>
                <w:color w:val="FFFFFF" w:themeColor="background1"/>
              </w:rPr>
            </w:pPr>
            <w:r>
              <w:rPr>
                <w:b/>
                <w:bCs/>
                <w:color w:val="FFFFFF" w:themeColor="background1"/>
              </w:rPr>
              <w:t xml:space="preserve">Option 3 – </w:t>
            </w:r>
            <w:r w:rsidR="000330DB">
              <w:rPr>
                <w:b/>
                <w:bCs/>
                <w:color w:val="FFFFFF" w:themeColor="background1"/>
              </w:rPr>
              <w:t xml:space="preserve">implied </w:t>
            </w:r>
            <w:r>
              <w:rPr>
                <w:b/>
                <w:bCs/>
                <w:color w:val="FFFFFF" w:themeColor="background1"/>
              </w:rPr>
              <w:t>RAP fee units</w:t>
            </w:r>
          </w:p>
        </w:tc>
      </w:tr>
      <w:tr w:rsidR="00452800" w:rsidRPr="00556915" w14:paraId="05A9CBC8" w14:textId="77777777" w:rsidTr="00C35804">
        <w:trPr>
          <w:cantSplit/>
          <w:trHeight w:val="253"/>
        </w:trPr>
        <w:tc>
          <w:tcPr>
            <w:tcW w:w="2552" w:type="dxa"/>
            <w:shd w:val="clear" w:color="auto" w:fill="7F7F7F" w:themeFill="text1" w:themeFillTint="80"/>
            <w:vAlign w:val="center"/>
            <w:hideMark/>
          </w:tcPr>
          <w:p w14:paraId="6E2E7975" w14:textId="77777777" w:rsidR="00452800" w:rsidRPr="00556915" w:rsidRDefault="00452800" w:rsidP="008B35D3">
            <w:pPr>
              <w:rPr>
                <w:b/>
                <w:bCs/>
                <w:color w:val="FFFFFF" w:themeColor="background1"/>
              </w:rPr>
            </w:pPr>
            <w:r w:rsidRPr="00556915">
              <w:rPr>
                <w:b/>
                <w:bCs/>
                <w:color w:val="FFFFFF" w:themeColor="background1"/>
              </w:rPr>
              <w:t>CHPs</w:t>
            </w:r>
          </w:p>
        </w:tc>
        <w:tc>
          <w:tcPr>
            <w:tcW w:w="6237" w:type="dxa"/>
            <w:gridSpan w:val="4"/>
            <w:shd w:val="clear" w:color="auto" w:fill="auto"/>
            <w:vAlign w:val="center"/>
            <w:hideMark/>
          </w:tcPr>
          <w:p w14:paraId="168EF716" w14:textId="20DD7DED" w:rsidR="00452800" w:rsidRPr="003D4288" w:rsidRDefault="00452800" w:rsidP="003D3EF7">
            <w:pPr>
              <w:jc w:val="center"/>
            </w:pPr>
          </w:p>
        </w:tc>
      </w:tr>
      <w:tr w:rsidR="00AC7EE5" w:rsidRPr="00556915" w14:paraId="500E28E7" w14:textId="77777777" w:rsidTr="00C35804">
        <w:trPr>
          <w:cantSplit/>
          <w:trHeight w:val="253"/>
        </w:trPr>
        <w:tc>
          <w:tcPr>
            <w:tcW w:w="2552" w:type="dxa"/>
            <w:shd w:val="clear" w:color="auto" w:fill="7F7F7F" w:themeFill="text1" w:themeFillTint="80"/>
            <w:vAlign w:val="center"/>
            <w:hideMark/>
          </w:tcPr>
          <w:p w14:paraId="5DFB6164" w14:textId="77777777" w:rsidR="00AC7EE5" w:rsidRPr="00556915" w:rsidRDefault="00AC7EE5" w:rsidP="00AC7EE5">
            <w:pPr>
              <w:rPr>
                <w:color w:val="FFFFFF" w:themeColor="background1"/>
              </w:rPr>
            </w:pPr>
            <w:r w:rsidRPr="00556915">
              <w:rPr>
                <w:color w:val="FFFFFF" w:themeColor="background1"/>
              </w:rPr>
              <w:t>Discovery and research</w:t>
            </w:r>
          </w:p>
        </w:tc>
        <w:tc>
          <w:tcPr>
            <w:tcW w:w="1559" w:type="dxa"/>
            <w:shd w:val="clear" w:color="auto" w:fill="auto"/>
            <w:vAlign w:val="center"/>
          </w:tcPr>
          <w:p w14:paraId="0FD419D7" w14:textId="1E0C8C93" w:rsidR="00AC7EE5" w:rsidRPr="003D4288" w:rsidRDefault="00AC7EE5" w:rsidP="00AC7EE5">
            <w:pPr>
              <w:jc w:val="center"/>
            </w:pPr>
            <w:r w:rsidRPr="00236DA8">
              <w:t>8</w:t>
            </w:r>
          </w:p>
        </w:tc>
        <w:tc>
          <w:tcPr>
            <w:tcW w:w="1418" w:type="dxa"/>
            <w:vAlign w:val="center"/>
          </w:tcPr>
          <w:p w14:paraId="162B2647" w14:textId="2E07CA12" w:rsidR="00AC7EE5" w:rsidRPr="00FF1339" w:rsidRDefault="00AC7EE5" w:rsidP="00AC7EE5">
            <w:pPr>
              <w:jc w:val="center"/>
            </w:pPr>
            <w:r w:rsidRPr="00056780">
              <w:t xml:space="preserve">8 </w:t>
            </w:r>
          </w:p>
        </w:tc>
        <w:tc>
          <w:tcPr>
            <w:tcW w:w="1559" w:type="dxa"/>
            <w:vAlign w:val="center"/>
          </w:tcPr>
          <w:p w14:paraId="6D5DF794" w14:textId="7BDFEA07" w:rsidR="00AC7EE5" w:rsidRPr="00FF1339" w:rsidRDefault="00AC7EE5" w:rsidP="00A87D8C">
            <w:pPr>
              <w:jc w:val="center"/>
            </w:pPr>
            <w:r w:rsidRPr="0027578A">
              <w:t xml:space="preserve">8 </w:t>
            </w:r>
          </w:p>
        </w:tc>
        <w:tc>
          <w:tcPr>
            <w:tcW w:w="1701" w:type="dxa"/>
            <w:vAlign w:val="center"/>
          </w:tcPr>
          <w:p w14:paraId="56EFFEC8" w14:textId="58221869" w:rsidR="00AC7EE5" w:rsidRPr="00232080" w:rsidRDefault="00AC7EE5" w:rsidP="003D3EF7">
            <w:pPr>
              <w:jc w:val="center"/>
            </w:pPr>
            <w:r w:rsidRPr="00D85C4E">
              <w:t xml:space="preserve">8 </w:t>
            </w:r>
          </w:p>
        </w:tc>
      </w:tr>
      <w:tr w:rsidR="00AC7EE5" w:rsidRPr="00556915" w14:paraId="0AA9A532" w14:textId="77777777" w:rsidTr="00C35804">
        <w:trPr>
          <w:cantSplit/>
          <w:trHeight w:val="253"/>
        </w:trPr>
        <w:tc>
          <w:tcPr>
            <w:tcW w:w="2552" w:type="dxa"/>
            <w:shd w:val="clear" w:color="auto" w:fill="7F7F7F" w:themeFill="text1" w:themeFillTint="80"/>
            <w:vAlign w:val="center"/>
            <w:hideMark/>
          </w:tcPr>
          <w:p w14:paraId="4A44157C" w14:textId="77777777" w:rsidR="00AC7EE5" w:rsidRPr="00556915" w:rsidRDefault="00AC7EE5" w:rsidP="00AC7EE5">
            <w:pPr>
              <w:rPr>
                <w:color w:val="FFFFFF" w:themeColor="background1"/>
              </w:rPr>
            </w:pPr>
            <w:r w:rsidRPr="00556915">
              <w:rPr>
                <w:color w:val="FFFFFF" w:themeColor="background1"/>
              </w:rPr>
              <w:t>Harm Aboriginal cultural heritage</w:t>
            </w:r>
          </w:p>
        </w:tc>
        <w:tc>
          <w:tcPr>
            <w:tcW w:w="1559" w:type="dxa"/>
            <w:shd w:val="clear" w:color="auto" w:fill="auto"/>
            <w:vAlign w:val="center"/>
          </w:tcPr>
          <w:p w14:paraId="30F921A5" w14:textId="6279A470" w:rsidR="00AC7EE5" w:rsidRPr="003D4288" w:rsidRDefault="00AC7EE5" w:rsidP="00AC7EE5">
            <w:pPr>
              <w:jc w:val="center"/>
            </w:pPr>
            <w:r w:rsidRPr="00236DA8">
              <w:t>46</w:t>
            </w:r>
          </w:p>
        </w:tc>
        <w:tc>
          <w:tcPr>
            <w:tcW w:w="1418" w:type="dxa"/>
            <w:vAlign w:val="center"/>
          </w:tcPr>
          <w:p w14:paraId="07BAEA9C" w14:textId="2F0F5660" w:rsidR="00AC7EE5" w:rsidRPr="00FF1339" w:rsidRDefault="00AC7EE5" w:rsidP="00AC7EE5">
            <w:pPr>
              <w:jc w:val="center"/>
            </w:pPr>
            <w:r w:rsidRPr="00056780">
              <w:t xml:space="preserve">46 </w:t>
            </w:r>
          </w:p>
        </w:tc>
        <w:tc>
          <w:tcPr>
            <w:tcW w:w="1559" w:type="dxa"/>
            <w:vAlign w:val="center"/>
          </w:tcPr>
          <w:p w14:paraId="3630EAC5" w14:textId="7A717FBB" w:rsidR="00AC7EE5" w:rsidRPr="00FF1339" w:rsidRDefault="00AC7EE5" w:rsidP="00A87D8C">
            <w:pPr>
              <w:jc w:val="center"/>
            </w:pPr>
            <w:r w:rsidRPr="0027578A">
              <w:t xml:space="preserve">46 </w:t>
            </w:r>
          </w:p>
        </w:tc>
        <w:tc>
          <w:tcPr>
            <w:tcW w:w="1701" w:type="dxa"/>
            <w:vAlign w:val="center"/>
          </w:tcPr>
          <w:p w14:paraId="608C8A7C" w14:textId="6F3E277C" w:rsidR="00AC7EE5" w:rsidRPr="00232080" w:rsidRDefault="00AC7EE5" w:rsidP="003D3EF7">
            <w:pPr>
              <w:jc w:val="center"/>
            </w:pPr>
            <w:r w:rsidRPr="00D85C4E">
              <w:t xml:space="preserve">46 </w:t>
            </w:r>
          </w:p>
        </w:tc>
      </w:tr>
      <w:tr w:rsidR="00AC7EE5" w:rsidRPr="00556915" w14:paraId="6832EA05" w14:textId="77777777" w:rsidTr="00C35804">
        <w:trPr>
          <w:cantSplit/>
          <w:trHeight w:val="253"/>
        </w:trPr>
        <w:tc>
          <w:tcPr>
            <w:tcW w:w="2552" w:type="dxa"/>
            <w:shd w:val="clear" w:color="auto" w:fill="7F7F7F" w:themeFill="text1" w:themeFillTint="80"/>
            <w:vAlign w:val="center"/>
            <w:hideMark/>
          </w:tcPr>
          <w:p w14:paraId="29332317" w14:textId="77777777" w:rsidR="00AC7EE5" w:rsidRPr="00556915" w:rsidRDefault="00AC7EE5" w:rsidP="00AC7EE5">
            <w:pPr>
              <w:rPr>
                <w:color w:val="FFFFFF" w:themeColor="background1"/>
              </w:rPr>
            </w:pPr>
            <w:r w:rsidRPr="00556915">
              <w:rPr>
                <w:color w:val="FFFFFF" w:themeColor="background1"/>
              </w:rPr>
              <w:t>Sell or remove Aboriginal object</w:t>
            </w:r>
          </w:p>
        </w:tc>
        <w:tc>
          <w:tcPr>
            <w:tcW w:w="1559" w:type="dxa"/>
            <w:shd w:val="clear" w:color="auto" w:fill="auto"/>
            <w:vAlign w:val="center"/>
          </w:tcPr>
          <w:p w14:paraId="29D5FE7A" w14:textId="6FA65000" w:rsidR="00AC7EE5" w:rsidRPr="003D4288" w:rsidRDefault="00AC7EE5" w:rsidP="00AC7EE5">
            <w:pPr>
              <w:jc w:val="center"/>
            </w:pPr>
            <w:r w:rsidRPr="00236DA8">
              <w:t>13</w:t>
            </w:r>
          </w:p>
        </w:tc>
        <w:tc>
          <w:tcPr>
            <w:tcW w:w="1418" w:type="dxa"/>
            <w:vAlign w:val="center"/>
          </w:tcPr>
          <w:p w14:paraId="7B1385AB" w14:textId="3E7DB84F" w:rsidR="00AC7EE5" w:rsidRPr="00FF1339" w:rsidRDefault="00AC7EE5" w:rsidP="00AC7EE5">
            <w:pPr>
              <w:jc w:val="center"/>
            </w:pPr>
            <w:r w:rsidRPr="00056780">
              <w:t xml:space="preserve">13 </w:t>
            </w:r>
          </w:p>
        </w:tc>
        <w:tc>
          <w:tcPr>
            <w:tcW w:w="1559" w:type="dxa"/>
            <w:vAlign w:val="center"/>
          </w:tcPr>
          <w:p w14:paraId="0306C17C" w14:textId="781476B4" w:rsidR="00AC7EE5" w:rsidRPr="00FF1339" w:rsidRDefault="00AC7EE5" w:rsidP="00A87D8C">
            <w:pPr>
              <w:jc w:val="center"/>
            </w:pPr>
            <w:r w:rsidRPr="0027578A">
              <w:t xml:space="preserve">13 </w:t>
            </w:r>
          </w:p>
        </w:tc>
        <w:tc>
          <w:tcPr>
            <w:tcW w:w="1701" w:type="dxa"/>
            <w:vAlign w:val="center"/>
          </w:tcPr>
          <w:p w14:paraId="11904EFD" w14:textId="441AC696" w:rsidR="00AC7EE5" w:rsidRPr="00232080" w:rsidRDefault="00AC7EE5" w:rsidP="003D3EF7">
            <w:pPr>
              <w:jc w:val="center"/>
            </w:pPr>
            <w:r w:rsidRPr="00D85C4E">
              <w:t xml:space="preserve">13 </w:t>
            </w:r>
          </w:p>
        </w:tc>
      </w:tr>
      <w:tr w:rsidR="00452800" w:rsidRPr="00556915" w14:paraId="5B30AE79" w14:textId="77777777" w:rsidTr="00C35804">
        <w:trPr>
          <w:cantSplit/>
          <w:trHeight w:val="253"/>
        </w:trPr>
        <w:tc>
          <w:tcPr>
            <w:tcW w:w="2552" w:type="dxa"/>
            <w:shd w:val="clear" w:color="auto" w:fill="7F7F7F" w:themeFill="text1" w:themeFillTint="80"/>
            <w:vAlign w:val="center"/>
            <w:hideMark/>
          </w:tcPr>
          <w:p w14:paraId="04489ECE" w14:textId="77777777" w:rsidR="00452800" w:rsidRPr="00556915" w:rsidRDefault="00452800" w:rsidP="00AC7EE5">
            <w:pPr>
              <w:rPr>
                <w:b/>
                <w:bCs/>
                <w:color w:val="FFFFFF" w:themeColor="background1"/>
              </w:rPr>
            </w:pPr>
            <w:r w:rsidRPr="00556915">
              <w:rPr>
                <w:b/>
                <w:bCs/>
                <w:color w:val="FFFFFF" w:themeColor="background1"/>
              </w:rPr>
              <w:t>PAHTs</w:t>
            </w:r>
          </w:p>
        </w:tc>
        <w:tc>
          <w:tcPr>
            <w:tcW w:w="6237" w:type="dxa"/>
            <w:gridSpan w:val="4"/>
            <w:shd w:val="clear" w:color="auto" w:fill="auto"/>
            <w:vAlign w:val="center"/>
          </w:tcPr>
          <w:p w14:paraId="4FA72B30" w14:textId="35395304" w:rsidR="00452800" w:rsidRPr="003D4288" w:rsidRDefault="00452800" w:rsidP="003D3EF7">
            <w:pPr>
              <w:jc w:val="center"/>
            </w:pPr>
          </w:p>
        </w:tc>
      </w:tr>
      <w:tr w:rsidR="00AC7EE5" w:rsidRPr="00556915" w14:paraId="2F23E033" w14:textId="77777777" w:rsidTr="00C35804">
        <w:trPr>
          <w:cantSplit/>
          <w:trHeight w:val="253"/>
        </w:trPr>
        <w:tc>
          <w:tcPr>
            <w:tcW w:w="2552" w:type="dxa"/>
            <w:shd w:val="clear" w:color="auto" w:fill="7F7F7F" w:themeFill="text1" w:themeFillTint="80"/>
            <w:vAlign w:val="center"/>
            <w:hideMark/>
          </w:tcPr>
          <w:p w14:paraId="75A23038" w14:textId="77777777" w:rsidR="00AC7EE5" w:rsidRPr="00556915" w:rsidRDefault="00AC7EE5" w:rsidP="00AC7EE5">
            <w:pPr>
              <w:rPr>
                <w:color w:val="FFFFFF" w:themeColor="background1"/>
              </w:rPr>
            </w:pPr>
            <w:r w:rsidRPr="00556915">
              <w:rPr>
                <w:color w:val="FFFFFF" w:themeColor="background1"/>
              </w:rPr>
              <w:t>Small activity</w:t>
            </w:r>
          </w:p>
        </w:tc>
        <w:tc>
          <w:tcPr>
            <w:tcW w:w="1559" w:type="dxa"/>
            <w:shd w:val="clear" w:color="auto" w:fill="auto"/>
            <w:vAlign w:val="center"/>
          </w:tcPr>
          <w:p w14:paraId="6A20D37F" w14:textId="5A57FEBE" w:rsidR="00AC7EE5" w:rsidRPr="003D4288" w:rsidRDefault="00AC7EE5" w:rsidP="00AC7EE5">
            <w:pPr>
              <w:jc w:val="center"/>
            </w:pPr>
            <w:r w:rsidRPr="00236DA8">
              <w:t>40</w:t>
            </w:r>
          </w:p>
        </w:tc>
        <w:tc>
          <w:tcPr>
            <w:tcW w:w="1418" w:type="dxa"/>
            <w:vAlign w:val="center"/>
          </w:tcPr>
          <w:p w14:paraId="53A58F38" w14:textId="5241313F" w:rsidR="00AC7EE5" w:rsidRPr="00FF1339" w:rsidRDefault="00AC7EE5" w:rsidP="00AC7EE5">
            <w:pPr>
              <w:jc w:val="center"/>
            </w:pPr>
            <w:r w:rsidRPr="00056780">
              <w:t xml:space="preserve">24 </w:t>
            </w:r>
          </w:p>
        </w:tc>
        <w:tc>
          <w:tcPr>
            <w:tcW w:w="1559" w:type="dxa"/>
            <w:vAlign w:val="center"/>
          </w:tcPr>
          <w:p w14:paraId="01DFFD83" w14:textId="2A0B260A" w:rsidR="00AC7EE5" w:rsidRPr="00FF1339" w:rsidRDefault="00AC7EE5" w:rsidP="00A87D8C">
            <w:pPr>
              <w:jc w:val="center"/>
            </w:pPr>
            <w:r w:rsidRPr="0027578A">
              <w:t xml:space="preserve">24 </w:t>
            </w:r>
          </w:p>
        </w:tc>
        <w:tc>
          <w:tcPr>
            <w:tcW w:w="1701" w:type="dxa"/>
            <w:vAlign w:val="center"/>
          </w:tcPr>
          <w:p w14:paraId="085E926C" w14:textId="08BF138B" w:rsidR="00AC7EE5" w:rsidRPr="00232080" w:rsidRDefault="00AC7EE5" w:rsidP="003D3EF7">
            <w:pPr>
              <w:jc w:val="center"/>
            </w:pPr>
            <w:r w:rsidRPr="00D85C4E">
              <w:t xml:space="preserve">N/A </w:t>
            </w:r>
          </w:p>
        </w:tc>
      </w:tr>
      <w:tr w:rsidR="00AC7EE5" w:rsidRPr="00556915" w14:paraId="3FB94AA9" w14:textId="77777777" w:rsidTr="00C35804">
        <w:trPr>
          <w:cantSplit/>
          <w:trHeight w:val="253"/>
        </w:trPr>
        <w:tc>
          <w:tcPr>
            <w:tcW w:w="2552" w:type="dxa"/>
            <w:shd w:val="clear" w:color="auto" w:fill="7F7F7F" w:themeFill="text1" w:themeFillTint="80"/>
            <w:vAlign w:val="center"/>
            <w:hideMark/>
          </w:tcPr>
          <w:p w14:paraId="0E5CC964" w14:textId="77777777" w:rsidR="00AC7EE5" w:rsidRPr="00556915" w:rsidRDefault="00AC7EE5" w:rsidP="00AC7EE5">
            <w:pPr>
              <w:rPr>
                <w:color w:val="FFFFFF" w:themeColor="background1"/>
              </w:rPr>
            </w:pPr>
            <w:r w:rsidRPr="00556915">
              <w:rPr>
                <w:color w:val="FFFFFF" w:themeColor="background1"/>
              </w:rPr>
              <w:t>Medium activity</w:t>
            </w:r>
          </w:p>
        </w:tc>
        <w:tc>
          <w:tcPr>
            <w:tcW w:w="1559" w:type="dxa"/>
            <w:shd w:val="clear" w:color="auto" w:fill="auto"/>
            <w:vAlign w:val="center"/>
          </w:tcPr>
          <w:p w14:paraId="18A6B209" w14:textId="7CD4AAD8" w:rsidR="00AC7EE5" w:rsidRPr="003D4288" w:rsidRDefault="00AC7EE5" w:rsidP="00AC7EE5">
            <w:pPr>
              <w:jc w:val="center"/>
            </w:pPr>
            <w:r w:rsidRPr="00236DA8">
              <w:t>80</w:t>
            </w:r>
          </w:p>
        </w:tc>
        <w:tc>
          <w:tcPr>
            <w:tcW w:w="1418" w:type="dxa"/>
            <w:vAlign w:val="center"/>
          </w:tcPr>
          <w:p w14:paraId="31D4A6A5" w14:textId="255D8108" w:rsidR="00AC7EE5" w:rsidRPr="00FF1339" w:rsidRDefault="00AC7EE5" w:rsidP="00AC7EE5">
            <w:pPr>
              <w:jc w:val="center"/>
            </w:pPr>
            <w:r w:rsidRPr="00056780">
              <w:t xml:space="preserve">47 </w:t>
            </w:r>
          </w:p>
        </w:tc>
        <w:tc>
          <w:tcPr>
            <w:tcW w:w="1559" w:type="dxa"/>
            <w:vAlign w:val="center"/>
          </w:tcPr>
          <w:p w14:paraId="5944442E" w14:textId="0F2BD8F7" w:rsidR="00AC7EE5" w:rsidRPr="00FF1339" w:rsidRDefault="00AC7EE5" w:rsidP="00A87D8C">
            <w:pPr>
              <w:jc w:val="center"/>
            </w:pPr>
            <w:r w:rsidRPr="0027578A">
              <w:t xml:space="preserve">47 </w:t>
            </w:r>
          </w:p>
        </w:tc>
        <w:tc>
          <w:tcPr>
            <w:tcW w:w="1701" w:type="dxa"/>
            <w:vAlign w:val="center"/>
          </w:tcPr>
          <w:p w14:paraId="4E08B94B" w14:textId="202F3308" w:rsidR="00AC7EE5" w:rsidRPr="00232080" w:rsidRDefault="00AC7EE5" w:rsidP="003D3EF7">
            <w:pPr>
              <w:jc w:val="center"/>
            </w:pPr>
            <w:r w:rsidRPr="00D85C4E">
              <w:t xml:space="preserve">N/A </w:t>
            </w:r>
          </w:p>
        </w:tc>
      </w:tr>
      <w:tr w:rsidR="00AC7EE5" w:rsidRPr="00556915" w14:paraId="54084AA6" w14:textId="77777777" w:rsidTr="00C35804">
        <w:trPr>
          <w:cantSplit/>
          <w:trHeight w:val="253"/>
        </w:trPr>
        <w:tc>
          <w:tcPr>
            <w:tcW w:w="2552" w:type="dxa"/>
            <w:shd w:val="clear" w:color="auto" w:fill="7F7F7F" w:themeFill="text1" w:themeFillTint="80"/>
            <w:vAlign w:val="center"/>
            <w:hideMark/>
          </w:tcPr>
          <w:p w14:paraId="42721C1F" w14:textId="77777777" w:rsidR="00AC7EE5" w:rsidRPr="00556915" w:rsidRDefault="00AC7EE5" w:rsidP="00AC7EE5">
            <w:pPr>
              <w:rPr>
                <w:color w:val="FFFFFF" w:themeColor="background1"/>
              </w:rPr>
            </w:pPr>
            <w:r w:rsidRPr="00556915">
              <w:rPr>
                <w:color w:val="FFFFFF" w:themeColor="background1"/>
              </w:rPr>
              <w:t>Large activity</w:t>
            </w:r>
          </w:p>
        </w:tc>
        <w:tc>
          <w:tcPr>
            <w:tcW w:w="1559" w:type="dxa"/>
            <w:shd w:val="clear" w:color="auto" w:fill="auto"/>
            <w:vAlign w:val="center"/>
          </w:tcPr>
          <w:p w14:paraId="2EADAC3A" w14:textId="05AB08EC" w:rsidR="00AC7EE5" w:rsidRPr="003D4288" w:rsidRDefault="00AC7EE5" w:rsidP="00AC7EE5">
            <w:pPr>
              <w:jc w:val="center"/>
            </w:pPr>
            <w:r w:rsidRPr="00236DA8">
              <w:t>120</w:t>
            </w:r>
          </w:p>
        </w:tc>
        <w:tc>
          <w:tcPr>
            <w:tcW w:w="1418" w:type="dxa"/>
            <w:vAlign w:val="center"/>
          </w:tcPr>
          <w:p w14:paraId="00C36E64" w14:textId="4DC56F54" w:rsidR="00AC7EE5" w:rsidRPr="00FF1339" w:rsidRDefault="00AC7EE5" w:rsidP="00AC7EE5">
            <w:pPr>
              <w:jc w:val="center"/>
            </w:pPr>
            <w:r w:rsidRPr="00056780">
              <w:t xml:space="preserve">71 </w:t>
            </w:r>
          </w:p>
        </w:tc>
        <w:tc>
          <w:tcPr>
            <w:tcW w:w="1559" w:type="dxa"/>
            <w:vAlign w:val="center"/>
          </w:tcPr>
          <w:p w14:paraId="1ADB8387" w14:textId="2A4CD6EA" w:rsidR="00AC7EE5" w:rsidRPr="00FF1339" w:rsidRDefault="00AC7EE5" w:rsidP="00A87D8C">
            <w:pPr>
              <w:jc w:val="center"/>
            </w:pPr>
            <w:r w:rsidRPr="0027578A">
              <w:t xml:space="preserve">71 </w:t>
            </w:r>
          </w:p>
        </w:tc>
        <w:tc>
          <w:tcPr>
            <w:tcW w:w="1701" w:type="dxa"/>
            <w:vAlign w:val="center"/>
          </w:tcPr>
          <w:p w14:paraId="57B4F42D" w14:textId="60DD89FA" w:rsidR="00AC7EE5" w:rsidRPr="00232080" w:rsidRDefault="00AC7EE5" w:rsidP="003D3EF7">
            <w:pPr>
              <w:jc w:val="center"/>
            </w:pPr>
            <w:r w:rsidRPr="00D85C4E">
              <w:t xml:space="preserve">N/A </w:t>
            </w:r>
          </w:p>
        </w:tc>
      </w:tr>
      <w:tr w:rsidR="00AC7EE5" w:rsidRPr="00556915" w14:paraId="2887201A" w14:textId="77777777" w:rsidTr="00C35804">
        <w:trPr>
          <w:cantSplit/>
          <w:trHeight w:val="253"/>
        </w:trPr>
        <w:tc>
          <w:tcPr>
            <w:tcW w:w="2552" w:type="dxa"/>
            <w:shd w:val="clear" w:color="auto" w:fill="7F7F7F" w:themeFill="text1" w:themeFillTint="80"/>
            <w:vAlign w:val="center"/>
            <w:hideMark/>
          </w:tcPr>
          <w:p w14:paraId="5D249626" w14:textId="77777777" w:rsidR="00AC7EE5" w:rsidRPr="00556915" w:rsidRDefault="00AC7EE5" w:rsidP="00AC7EE5">
            <w:pPr>
              <w:rPr>
                <w:b/>
                <w:bCs/>
                <w:color w:val="FFFFFF" w:themeColor="background1"/>
              </w:rPr>
            </w:pPr>
            <w:r w:rsidRPr="00556915">
              <w:rPr>
                <w:b/>
                <w:bCs/>
                <w:color w:val="FFFFFF" w:themeColor="background1"/>
              </w:rPr>
              <w:t>NOI to prepare a CHMP</w:t>
            </w:r>
          </w:p>
        </w:tc>
        <w:tc>
          <w:tcPr>
            <w:tcW w:w="1559" w:type="dxa"/>
            <w:shd w:val="clear" w:color="auto" w:fill="auto"/>
            <w:vAlign w:val="center"/>
          </w:tcPr>
          <w:p w14:paraId="5FA11375" w14:textId="0D82014E" w:rsidR="00AC7EE5" w:rsidRPr="003D4288" w:rsidRDefault="00AC7EE5" w:rsidP="00AC7EE5">
            <w:pPr>
              <w:jc w:val="center"/>
            </w:pPr>
            <w:r w:rsidRPr="00236DA8">
              <w:t>8</w:t>
            </w:r>
          </w:p>
        </w:tc>
        <w:tc>
          <w:tcPr>
            <w:tcW w:w="1418" w:type="dxa"/>
            <w:vAlign w:val="center"/>
          </w:tcPr>
          <w:p w14:paraId="00944747" w14:textId="2E0313CA" w:rsidR="00AC7EE5" w:rsidRPr="00FF1339" w:rsidRDefault="00AC7EE5" w:rsidP="00AC7EE5">
            <w:pPr>
              <w:jc w:val="center"/>
            </w:pPr>
            <w:r w:rsidRPr="00056780">
              <w:t xml:space="preserve">10 </w:t>
            </w:r>
          </w:p>
        </w:tc>
        <w:tc>
          <w:tcPr>
            <w:tcW w:w="1559" w:type="dxa"/>
            <w:vAlign w:val="center"/>
          </w:tcPr>
          <w:p w14:paraId="3FA3CCA6" w14:textId="471AE94D" w:rsidR="00AC7EE5" w:rsidRPr="00FF1339" w:rsidRDefault="00AC7EE5" w:rsidP="00A87D8C">
            <w:pPr>
              <w:jc w:val="center"/>
            </w:pPr>
            <w:r w:rsidRPr="0027578A">
              <w:t xml:space="preserve">7 </w:t>
            </w:r>
          </w:p>
        </w:tc>
        <w:tc>
          <w:tcPr>
            <w:tcW w:w="1701" w:type="dxa"/>
            <w:vAlign w:val="center"/>
          </w:tcPr>
          <w:p w14:paraId="41745FAC" w14:textId="6E74FC4C" w:rsidR="00AC7EE5" w:rsidRPr="00232080" w:rsidRDefault="00AC7EE5" w:rsidP="003D3EF7">
            <w:pPr>
              <w:jc w:val="center"/>
            </w:pPr>
            <w:r w:rsidRPr="00D85C4E">
              <w:t xml:space="preserve">13 </w:t>
            </w:r>
          </w:p>
        </w:tc>
      </w:tr>
      <w:tr w:rsidR="00452800" w:rsidRPr="00556915" w14:paraId="54BA5D97" w14:textId="77777777" w:rsidTr="00C35804">
        <w:trPr>
          <w:cantSplit/>
          <w:trHeight w:val="253"/>
        </w:trPr>
        <w:tc>
          <w:tcPr>
            <w:tcW w:w="2552" w:type="dxa"/>
            <w:shd w:val="clear" w:color="auto" w:fill="7F7F7F" w:themeFill="text1" w:themeFillTint="80"/>
            <w:vAlign w:val="center"/>
            <w:hideMark/>
          </w:tcPr>
          <w:p w14:paraId="62E75E62" w14:textId="77777777" w:rsidR="00452800" w:rsidRPr="00556915" w:rsidRDefault="00452800" w:rsidP="00AC7EE5">
            <w:pPr>
              <w:rPr>
                <w:b/>
                <w:bCs/>
                <w:color w:val="FFFFFF" w:themeColor="background1"/>
              </w:rPr>
            </w:pPr>
            <w:r w:rsidRPr="00556915">
              <w:rPr>
                <w:b/>
                <w:bCs/>
                <w:color w:val="FFFFFF" w:themeColor="background1"/>
              </w:rPr>
              <w:t>CHMPs - one authority only</w:t>
            </w:r>
          </w:p>
        </w:tc>
        <w:tc>
          <w:tcPr>
            <w:tcW w:w="6237" w:type="dxa"/>
            <w:gridSpan w:val="4"/>
            <w:shd w:val="clear" w:color="auto" w:fill="auto"/>
            <w:vAlign w:val="center"/>
          </w:tcPr>
          <w:p w14:paraId="28014B81" w14:textId="09EECEA8" w:rsidR="00452800" w:rsidRPr="003D4288" w:rsidRDefault="00452800" w:rsidP="003D3EF7">
            <w:pPr>
              <w:jc w:val="center"/>
            </w:pPr>
          </w:p>
        </w:tc>
      </w:tr>
      <w:tr w:rsidR="00AC7EE5" w:rsidRPr="00556915" w14:paraId="2E166A51" w14:textId="77777777" w:rsidTr="00C35804">
        <w:trPr>
          <w:cantSplit/>
          <w:trHeight w:val="253"/>
        </w:trPr>
        <w:tc>
          <w:tcPr>
            <w:tcW w:w="2552" w:type="dxa"/>
            <w:shd w:val="clear" w:color="auto" w:fill="7F7F7F" w:themeFill="text1" w:themeFillTint="80"/>
            <w:vAlign w:val="center"/>
            <w:hideMark/>
          </w:tcPr>
          <w:p w14:paraId="0CA55FDF"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559" w:type="dxa"/>
            <w:shd w:val="clear" w:color="auto" w:fill="auto"/>
            <w:vAlign w:val="center"/>
          </w:tcPr>
          <w:p w14:paraId="3F5BA4B6" w14:textId="4F78D052" w:rsidR="00AC7EE5" w:rsidRPr="003D4288" w:rsidRDefault="00AC7EE5" w:rsidP="00AC7EE5">
            <w:pPr>
              <w:jc w:val="center"/>
            </w:pPr>
            <w:r w:rsidRPr="00236DA8">
              <w:t>10</w:t>
            </w:r>
          </w:p>
        </w:tc>
        <w:tc>
          <w:tcPr>
            <w:tcW w:w="1418" w:type="dxa"/>
            <w:vAlign w:val="center"/>
          </w:tcPr>
          <w:p w14:paraId="7F422745" w14:textId="18FFDAD6" w:rsidR="00AC7EE5" w:rsidRPr="00FF1339" w:rsidRDefault="00AC7EE5" w:rsidP="00AC7EE5">
            <w:pPr>
              <w:jc w:val="center"/>
            </w:pPr>
            <w:r w:rsidRPr="00056780">
              <w:t xml:space="preserve">27 </w:t>
            </w:r>
          </w:p>
        </w:tc>
        <w:tc>
          <w:tcPr>
            <w:tcW w:w="1559" w:type="dxa"/>
            <w:vAlign w:val="center"/>
          </w:tcPr>
          <w:p w14:paraId="11D3FE0D" w14:textId="2A7AF486" w:rsidR="00AC7EE5" w:rsidRPr="00FF1339" w:rsidRDefault="00AC7EE5" w:rsidP="00A87D8C">
            <w:pPr>
              <w:jc w:val="center"/>
            </w:pPr>
            <w:r w:rsidRPr="0027578A">
              <w:t xml:space="preserve">41 </w:t>
            </w:r>
          </w:p>
        </w:tc>
        <w:tc>
          <w:tcPr>
            <w:tcW w:w="1701" w:type="dxa"/>
            <w:vAlign w:val="center"/>
          </w:tcPr>
          <w:p w14:paraId="39CAA486" w14:textId="4A0375AC" w:rsidR="00AC7EE5" w:rsidRPr="00232080" w:rsidRDefault="00AC7EE5" w:rsidP="003D3EF7">
            <w:pPr>
              <w:jc w:val="center"/>
            </w:pPr>
            <w:r w:rsidRPr="00D85C4E">
              <w:t xml:space="preserve">11 </w:t>
            </w:r>
          </w:p>
        </w:tc>
      </w:tr>
      <w:tr w:rsidR="00AC7EE5" w:rsidRPr="00556915" w14:paraId="7D68A42A" w14:textId="77777777" w:rsidTr="00C35804">
        <w:trPr>
          <w:cantSplit/>
          <w:trHeight w:val="253"/>
        </w:trPr>
        <w:tc>
          <w:tcPr>
            <w:tcW w:w="2552" w:type="dxa"/>
            <w:shd w:val="clear" w:color="auto" w:fill="7F7F7F" w:themeFill="text1" w:themeFillTint="80"/>
            <w:vAlign w:val="center"/>
            <w:hideMark/>
          </w:tcPr>
          <w:p w14:paraId="2CF983C3"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559" w:type="dxa"/>
            <w:shd w:val="clear" w:color="auto" w:fill="auto"/>
            <w:vAlign w:val="center"/>
          </w:tcPr>
          <w:p w14:paraId="7B409D9D" w14:textId="68DCC276" w:rsidR="00AC7EE5" w:rsidRPr="003D4288" w:rsidRDefault="00AC7EE5" w:rsidP="00AC7EE5">
            <w:pPr>
              <w:jc w:val="center"/>
            </w:pPr>
            <w:r w:rsidRPr="00236DA8">
              <w:t>20</w:t>
            </w:r>
          </w:p>
        </w:tc>
        <w:tc>
          <w:tcPr>
            <w:tcW w:w="1418" w:type="dxa"/>
            <w:vAlign w:val="center"/>
          </w:tcPr>
          <w:p w14:paraId="4107078B" w14:textId="01C61BC8" w:rsidR="00AC7EE5" w:rsidRPr="00FF1339" w:rsidRDefault="00AC7EE5" w:rsidP="00AC7EE5">
            <w:pPr>
              <w:jc w:val="center"/>
            </w:pPr>
            <w:r w:rsidRPr="00056780">
              <w:t xml:space="preserve">55 </w:t>
            </w:r>
          </w:p>
        </w:tc>
        <w:tc>
          <w:tcPr>
            <w:tcW w:w="1559" w:type="dxa"/>
            <w:vAlign w:val="center"/>
          </w:tcPr>
          <w:p w14:paraId="1EEF3E9E" w14:textId="28248865" w:rsidR="00AC7EE5" w:rsidRPr="00FF1339" w:rsidRDefault="00AC7EE5" w:rsidP="00A87D8C">
            <w:pPr>
              <w:jc w:val="center"/>
            </w:pPr>
            <w:r w:rsidRPr="0027578A">
              <w:t xml:space="preserve">82 </w:t>
            </w:r>
          </w:p>
        </w:tc>
        <w:tc>
          <w:tcPr>
            <w:tcW w:w="1701" w:type="dxa"/>
            <w:vAlign w:val="center"/>
          </w:tcPr>
          <w:p w14:paraId="78EB7EB3" w14:textId="1C916223" w:rsidR="00AC7EE5" w:rsidRPr="00232080" w:rsidRDefault="00AC7EE5" w:rsidP="003D3EF7">
            <w:pPr>
              <w:jc w:val="center"/>
            </w:pPr>
            <w:r w:rsidRPr="00D85C4E">
              <w:t xml:space="preserve">23 </w:t>
            </w:r>
          </w:p>
        </w:tc>
      </w:tr>
      <w:tr w:rsidR="00AC7EE5" w:rsidRPr="00556915" w14:paraId="1E8DB2D6" w14:textId="77777777" w:rsidTr="00C35804">
        <w:trPr>
          <w:cantSplit/>
          <w:trHeight w:val="253"/>
        </w:trPr>
        <w:tc>
          <w:tcPr>
            <w:tcW w:w="2552" w:type="dxa"/>
            <w:shd w:val="clear" w:color="auto" w:fill="7F7F7F" w:themeFill="text1" w:themeFillTint="80"/>
            <w:vAlign w:val="center"/>
            <w:hideMark/>
          </w:tcPr>
          <w:p w14:paraId="326EEB4D"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559" w:type="dxa"/>
            <w:shd w:val="clear" w:color="auto" w:fill="auto"/>
            <w:vAlign w:val="center"/>
          </w:tcPr>
          <w:p w14:paraId="6445AF2E" w14:textId="781D1F8D" w:rsidR="00AC7EE5" w:rsidRPr="003D4288" w:rsidRDefault="00AC7EE5" w:rsidP="00AC7EE5">
            <w:pPr>
              <w:jc w:val="center"/>
            </w:pPr>
            <w:r w:rsidRPr="00236DA8">
              <w:t>40</w:t>
            </w:r>
          </w:p>
        </w:tc>
        <w:tc>
          <w:tcPr>
            <w:tcW w:w="1418" w:type="dxa"/>
            <w:vAlign w:val="center"/>
          </w:tcPr>
          <w:p w14:paraId="6BFF1F40" w14:textId="106EA239" w:rsidR="00AC7EE5" w:rsidRPr="00FF1339" w:rsidRDefault="00AC7EE5" w:rsidP="00AC7EE5">
            <w:pPr>
              <w:jc w:val="center"/>
            </w:pPr>
            <w:r w:rsidRPr="00056780">
              <w:t xml:space="preserve">110 </w:t>
            </w:r>
          </w:p>
        </w:tc>
        <w:tc>
          <w:tcPr>
            <w:tcW w:w="1559" w:type="dxa"/>
            <w:vAlign w:val="center"/>
          </w:tcPr>
          <w:p w14:paraId="0BFD9D22" w14:textId="7F521F73" w:rsidR="00AC7EE5" w:rsidRPr="00FF1339" w:rsidRDefault="00AC7EE5" w:rsidP="00A87D8C">
            <w:pPr>
              <w:jc w:val="center"/>
            </w:pPr>
            <w:r w:rsidRPr="0027578A">
              <w:t xml:space="preserve">164 </w:t>
            </w:r>
          </w:p>
        </w:tc>
        <w:tc>
          <w:tcPr>
            <w:tcW w:w="1701" w:type="dxa"/>
            <w:vAlign w:val="center"/>
          </w:tcPr>
          <w:p w14:paraId="605E591E" w14:textId="0C8D6834" w:rsidR="00AC7EE5" w:rsidRPr="00232080" w:rsidRDefault="00AC7EE5" w:rsidP="003D3EF7">
            <w:pPr>
              <w:jc w:val="center"/>
            </w:pPr>
            <w:r w:rsidRPr="00D85C4E">
              <w:t xml:space="preserve">46 </w:t>
            </w:r>
          </w:p>
        </w:tc>
      </w:tr>
      <w:tr w:rsidR="00AC7EE5" w:rsidRPr="00556915" w14:paraId="23BF6618" w14:textId="77777777" w:rsidTr="00C35804">
        <w:trPr>
          <w:cantSplit/>
          <w:trHeight w:val="253"/>
        </w:trPr>
        <w:tc>
          <w:tcPr>
            <w:tcW w:w="2552" w:type="dxa"/>
            <w:shd w:val="clear" w:color="auto" w:fill="7F7F7F" w:themeFill="text1" w:themeFillTint="80"/>
            <w:vAlign w:val="center"/>
            <w:hideMark/>
          </w:tcPr>
          <w:p w14:paraId="3D12748A"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559" w:type="dxa"/>
            <w:shd w:val="clear" w:color="auto" w:fill="auto"/>
            <w:vAlign w:val="center"/>
          </w:tcPr>
          <w:p w14:paraId="080D9FD6" w14:textId="105059A3" w:rsidR="00AC7EE5" w:rsidRPr="003D4288" w:rsidRDefault="00AC7EE5" w:rsidP="00AC7EE5">
            <w:pPr>
              <w:jc w:val="center"/>
            </w:pPr>
            <w:r w:rsidRPr="00236DA8">
              <w:t>40</w:t>
            </w:r>
          </w:p>
        </w:tc>
        <w:tc>
          <w:tcPr>
            <w:tcW w:w="1418" w:type="dxa"/>
            <w:vAlign w:val="center"/>
          </w:tcPr>
          <w:p w14:paraId="1148D8D4" w14:textId="27E35C3F" w:rsidR="00AC7EE5" w:rsidRPr="00FF1339" w:rsidRDefault="00AC7EE5" w:rsidP="00AC7EE5">
            <w:pPr>
              <w:jc w:val="center"/>
            </w:pPr>
            <w:r w:rsidRPr="00056780">
              <w:t xml:space="preserve">39 </w:t>
            </w:r>
          </w:p>
        </w:tc>
        <w:tc>
          <w:tcPr>
            <w:tcW w:w="1559" w:type="dxa"/>
            <w:vAlign w:val="center"/>
          </w:tcPr>
          <w:p w14:paraId="615DFD33" w14:textId="5856B00E" w:rsidR="00AC7EE5" w:rsidRPr="00FF1339" w:rsidRDefault="00AC7EE5" w:rsidP="00A87D8C">
            <w:pPr>
              <w:jc w:val="center"/>
            </w:pPr>
            <w:r w:rsidRPr="0027578A">
              <w:t xml:space="preserve">56 </w:t>
            </w:r>
          </w:p>
        </w:tc>
        <w:tc>
          <w:tcPr>
            <w:tcW w:w="1701" w:type="dxa"/>
            <w:vAlign w:val="center"/>
          </w:tcPr>
          <w:p w14:paraId="0DB99615" w14:textId="10ACFAC1" w:rsidR="00AC7EE5" w:rsidRPr="00232080" w:rsidRDefault="00AC7EE5" w:rsidP="003D3EF7">
            <w:pPr>
              <w:jc w:val="center"/>
            </w:pPr>
            <w:r w:rsidRPr="00D85C4E">
              <w:t xml:space="preserve">20 </w:t>
            </w:r>
          </w:p>
        </w:tc>
      </w:tr>
      <w:tr w:rsidR="00AC7EE5" w:rsidRPr="00556915" w14:paraId="721E9600" w14:textId="77777777" w:rsidTr="00C35804">
        <w:trPr>
          <w:cantSplit/>
          <w:trHeight w:val="253"/>
        </w:trPr>
        <w:tc>
          <w:tcPr>
            <w:tcW w:w="2552" w:type="dxa"/>
            <w:shd w:val="clear" w:color="auto" w:fill="7F7F7F" w:themeFill="text1" w:themeFillTint="80"/>
            <w:vAlign w:val="center"/>
            <w:hideMark/>
          </w:tcPr>
          <w:p w14:paraId="00BC5E9F"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559" w:type="dxa"/>
            <w:shd w:val="clear" w:color="auto" w:fill="auto"/>
            <w:vAlign w:val="center"/>
          </w:tcPr>
          <w:p w14:paraId="55869A34" w14:textId="758B8DF7" w:rsidR="00AC7EE5" w:rsidRPr="003D4288" w:rsidRDefault="00AC7EE5" w:rsidP="00AC7EE5">
            <w:pPr>
              <w:jc w:val="center"/>
            </w:pPr>
            <w:r w:rsidRPr="00236DA8">
              <w:t>80</w:t>
            </w:r>
          </w:p>
        </w:tc>
        <w:tc>
          <w:tcPr>
            <w:tcW w:w="1418" w:type="dxa"/>
            <w:vAlign w:val="center"/>
          </w:tcPr>
          <w:p w14:paraId="147C1210" w14:textId="571C86A5" w:rsidR="00AC7EE5" w:rsidRPr="00FF1339" w:rsidRDefault="00AC7EE5" w:rsidP="00AC7EE5">
            <w:pPr>
              <w:jc w:val="center"/>
            </w:pPr>
            <w:r w:rsidRPr="00056780">
              <w:t xml:space="preserve">79 </w:t>
            </w:r>
          </w:p>
        </w:tc>
        <w:tc>
          <w:tcPr>
            <w:tcW w:w="1559" w:type="dxa"/>
            <w:vAlign w:val="center"/>
          </w:tcPr>
          <w:p w14:paraId="18AF71F9" w14:textId="7C663B2F" w:rsidR="00AC7EE5" w:rsidRPr="00FF1339" w:rsidRDefault="00AC7EE5" w:rsidP="00A87D8C">
            <w:pPr>
              <w:jc w:val="center"/>
            </w:pPr>
            <w:r w:rsidRPr="0027578A">
              <w:t xml:space="preserve">111 </w:t>
            </w:r>
          </w:p>
        </w:tc>
        <w:tc>
          <w:tcPr>
            <w:tcW w:w="1701" w:type="dxa"/>
            <w:vAlign w:val="center"/>
          </w:tcPr>
          <w:p w14:paraId="27D6AFAF" w14:textId="78F972B5" w:rsidR="00AC7EE5" w:rsidRPr="00232080" w:rsidRDefault="00AC7EE5" w:rsidP="003D3EF7">
            <w:pPr>
              <w:jc w:val="center"/>
            </w:pPr>
            <w:r w:rsidRPr="00D85C4E">
              <w:t xml:space="preserve">40 </w:t>
            </w:r>
          </w:p>
        </w:tc>
      </w:tr>
      <w:tr w:rsidR="00AC7EE5" w:rsidRPr="00556915" w14:paraId="553CFD77" w14:textId="77777777" w:rsidTr="00C35804">
        <w:trPr>
          <w:cantSplit/>
          <w:trHeight w:val="253"/>
        </w:trPr>
        <w:tc>
          <w:tcPr>
            <w:tcW w:w="2552" w:type="dxa"/>
            <w:shd w:val="clear" w:color="auto" w:fill="7F7F7F" w:themeFill="text1" w:themeFillTint="80"/>
            <w:vAlign w:val="center"/>
            <w:hideMark/>
          </w:tcPr>
          <w:p w14:paraId="1A6D7E81"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559" w:type="dxa"/>
            <w:shd w:val="clear" w:color="auto" w:fill="auto"/>
            <w:vAlign w:val="center"/>
          </w:tcPr>
          <w:p w14:paraId="759AE21E" w14:textId="05D22F13" w:rsidR="00AC7EE5" w:rsidRPr="003D4288" w:rsidRDefault="00AC7EE5" w:rsidP="00AC7EE5">
            <w:pPr>
              <w:jc w:val="center"/>
            </w:pPr>
            <w:r w:rsidRPr="00236DA8">
              <w:t>120</w:t>
            </w:r>
          </w:p>
        </w:tc>
        <w:tc>
          <w:tcPr>
            <w:tcW w:w="1418" w:type="dxa"/>
            <w:vAlign w:val="center"/>
          </w:tcPr>
          <w:p w14:paraId="4AB8F726" w14:textId="14B27488" w:rsidR="00AC7EE5" w:rsidRPr="00FF1339" w:rsidRDefault="00AC7EE5" w:rsidP="00AC7EE5">
            <w:pPr>
              <w:jc w:val="center"/>
            </w:pPr>
            <w:r w:rsidRPr="00056780">
              <w:t xml:space="preserve">157 </w:t>
            </w:r>
          </w:p>
        </w:tc>
        <w:tc>
          <w:tcPr>
            <w:tcW w:w="1559" w:type="dxa"/>
            <w:vAlign w:val="center"/>
          </w:tcPr>
          <w:p w14:paraId="240543F1" w14:textId="1D2D32BE" w:rsidR="00AC7EE5" w:rsidRPr="00FF1339" w:rsidRDefault="00AC7EE5" w:rsidP="00A87D8C">
            <w:pPr>
              <w:jc w:val="center"/>
            </w:pPr>
            <w:r w:rsidRPr="0027578A">
              <w:t xml:space="preserve">223 </w:t>
            </w:r>
          </w:p>
        </w:tc>
        <w:tc>
          <w:tcPr>
            <w:tcW w:w="1701" w:type="dxa"/>
            <w:vAlign w:val="center"/>
          </w:tcPr>
          <w:p w14:paraId="51E18F22" w14:textId="6A005260" w:rsidR="00AC7EE5" w:rsidRPr="00232080" w:rsidRDefault="00AC7EE5" w:rsidP="003D3EF7">
            <w:pPr>
              <w:jc w:val="center"/>
            </w:pPr>
            <w:r w:rsidRPr="00D85C4E">
              <w:t xml:space="preserve">81 </w:t>
            </w:r>
          </w:p>
        </w:tc>
      </w:tr>
      <w:tr w:rsidR="00AC7EE5" w:rsidRPr="00556915" w14:paraId="7172B641" w14:textId="77777777" w:rsidTr="00C35804">
        <w:trPr>
          <w:cantSplit/>
          <w:trHeight w:val="253"/>
        </w:trPr>
        <w:tc>
          <w:tcPr>
            <w:tcW w:w="2552" w:type="dxa"/>
            <w:shd w:val="clear" w:color="auto" w:fill="7F7F7F" w:themeFill="text1" w:themeFillTint="80"/>
            <w:vAlign w:val="center"/>
            <w:hideMark/>
          </w:tcPr>
          <w:p w14:paraId="1FD4B093"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559" w:type="dxa"/>
            <w:shd w:val="clear" w:color="auto" w:fill="auto"/>
            <w:vAlign w:val="center"/>
          </w:tcPr>
          <w:p w14:paraId="3D86B1EC" w14:textId="6B64A692" w:rsidR="00AC7EE5" w:rsidRPr="003D4288" w:rsidRDefault="00AC7EE5" w:rsidP="00AC7EE5">
            <w:pPr>
              <w:jc w:val="center"/>
            </w:pPr>
            <w:r w:rsidRPr="00236DA8">
              <w:t>60</w:t>
            </w:r>
          </w:p>
        </w:tc>
        <w:tc>
          <w:tcPr>
            <w:tcW w:w="1418" w:type="dxa"/>
            <w:vAlign w:val="center"/>
          </w:tcPr>
          <w:p w14:paraId="34247919" w14:textId="29652549" w:rsidR="00AC7EE5" w:rsidRPr="00FF1339" w:rsidRDefault="00AC7EE5" w:rsidP="00AC7EE5">
            <w:pPr>
              <w:jc w:val="center"/>
            </w:pPr>
            <w:r w:rsidRPr="00056780">
              <w:t xml:space="preserve">63 </w:t>
            </w:r>
          </w:p>
        </w:tc>
        <w:tc>
          <w:tcPr>
            <w:tcW w:w="1559" w:type="dxa"/>
            <w:vAlign w:val="center"/>
          </w:tcPr>
          <w:p w14:paraId="643A1143" w14:textId="28543764" w:rsidR="00AC7EE5" w:rsidRPr="00FF1339" w:rsidRDefault="00AC7EE5" w:rsidP="00A87D8C">
            <w:pPr>
              <w:jc w:val="center"/>
            </w:pPr>
            <w:r w:rsidRPr="0027578A">
              <w:t xml:space="preserve">85 </w:t>
            </w:r>
          </w:p>
        </w:tc>
        <w:tc>
          <w:tcPr>
            <w:tcW w:w="1701" w:type="dxa"/>
            <w:vAlign w:val="center"/>
          </w:tcPr>
          <w:p w14:paraId="73647F40" w14:textId="41DDB0F3" w:rsidR="00AC7EE5" w:rsidRPr="00232080" w:rsidRDefault="00AC7EE5" w:rsidP="003D3EF7">
            <w:pPr>
              <w:jc w:val="center"/>
            </w:pPr>
            <w:r w:rsidRPr="00D85C4E">
              <w:t xml:space="preserve">36 </w:t>
            </w:r>
          </w:p>
        </w:tc>
      </w:tr>
      <w:tr w:rsidR="00AC7EE5" w:rsidRPr="00556915" w14:paraId="4EE6D0D4" w14:textId="77777777" w:rsidTr="00C35804">
        <w:trPr>
          <w:cantSplit/>
          <w:trHeight w:val="253"/>
        </w:trPr>
        <w:tc>
          <w:tcPr>
            <w:tcW w:w="2552" w:type="dxa"/>
            <w:shd w:val="clear" w:color="auto" w:fill="7F7F7F" w:themeFill="text1" w:themeFillTint="80"/>
            <w:vAlign w:val="center"/>
            <w:hideMark/>
          </w:tcPr>
          <w:p w14:paraId="58C6CD21"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559" w:type="dxa"/>
            <w:shd w:val="clear" w:color="auto" w:fill="auto"/>
            <w:vAlign w:val="center"/>
          </w:tcPr>
          <w:p w14:paraId="5DB84C05" w14:textId="0F571180" w:rsidR="00AC7EE5" w:rsidRPr="003D4288" w:rsidRDefault="00AC7EE5" w:rsidP="00AC7EE5">
            <w:pPr>
              <w:jc w:val="center"/>
            </w:pPr>
            <w:r w:rsidRPr="00236DA8">
              <w:t>120</w:t>
            </w:r>
          </w:p>
        </w:tc>
        <w:tc>
          <w:tcPr>
            <w:tcW w:w="1418" w:type="dxa"/>
            <w:vAlign w:val="center"/>
          </w:tcPr>
          <w:p w14:paraId="0935C5A3" w14:textId="70DA27E7" w:rsidR="00AC7EE5" w:rsidRPr="00FF1339" w:rsidRDefault="00AC7EE5" w:rsidP="00AC7EE5">
            <w:pPr>
              <w:jc w:val="center"/>
            </w:pPr>
            <w:r w:rsidRPr="00056780">
              <w:t xml:space="preserve">125 </w:t>
            </w:r>
          </w:p>
        </w:tc>
        <w:tc>
          <w:tcPr>
            <w:tcW w:w="1559" w:type="dxa"/>
            <w:vAlign w:val="center"/>
          </w:tcPr>
          <w:p w14:paraId="1ABF3C96" w14:textId="7C39A9A6" w:rsidR="00AC7EE5" w:rsidRPr="00FF1339" w:rsidRDefault="00AC7EE5" w:rsidP="00A87D8C">
            <w:pPr>
              <w:jc w:val="center"/>
            </w:pPr>
            <w:r w:rsidRPr="0027578A">
              <w:t xml:space="preserve">171 </w:t>
            </w:r>
          </w:p>
        </w:tc>
        <w:tc>
          <w:tcPr>
            <w:tcW w:w="1701" w:type="dxa"/>
            <w:vAlign w:val="center"/>
          </w:tcPr>
          <w:p w14:paraId="02493E47" w14:textId="4B2E3253" w:rsidR="00AC7EE5" w:rsidRPr="00232080" w:rsidRDefault="00AC7EE5" w:rsidP="003D3EF7">
            <w:pPr>
              <w:jc w:val="center"/>
            </w:pPr>
            <w:r w:rsidRPr="00D85C4E">
              <w:t xml:space="preserve">72 </w:t>
            </w:r>
          </w:p>
        </w:tc>
      </w:tr>
      <w:tr w:rsidR="00AC7EE5" w:rsidRPr="00556915" w14:paraId="231B0C36" w14:textId="77777777" w:rsidTr="00C35804">
        <w:trPr>
          <w:cantSplit/>
          <w:trHeight w:val="253"/>
        </w:trPr>
        <w:tc>
          <w:tcPr>
            <w:tcW w:w="2552" w:type="dxa"/>
            <w:shd w:val="clear" w:color="auto" w:fill="7F7F7F" w:themeFill="text1" w:themeFillTint="80"/>
            <w:vAlign w:val="center"/>
            <w:hideMark/>
          </w:tcPr>
          <w:p w14:paraId="07E64736"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559" w:type="dxa"/>
            <w:shd w:val="clear" w:color="auto" w:fill="auto"/>
            <w:vAlign w:val="center"/>
          </w:tcPr>
          <w:p w14:paraId="2846A634" w14:textId="1A4702B1" w:rsidR="00AC7EE5" w:rsidRPr="003D4288" w:rsidRDefault="00AC7EE5" w:rsidP="00AC7EE5">
            <w:pPr>
              <w:jc w:val="center"/>
            </w:pPr>
            <w:r w:rsidRPr="00236DA8">
              <w:t>240</w:t>
            </w:r>
          </w:p>
        </w:tc>
        <w:tc>
          <w:tcPr>
            <w:tcW w:w="1418" w:type="dxa"/>
            <w:vAlign w:val="center"/>
          </w:tcPr>
          <w:p w14:paraId="64939362" w14:textId="464D7F15" w:rsidR="00AC7EE5" w:rsidRPr="00FF1339" w:rsidRDefault="00AC7EE5" w:rsidP="00AC7EE5">
            <w:pPr>
              <w:jc w:val="center"/>
            </w:pPr>
            <w:r w:rsidRPr="00056780">
              <w:t xml:space="preserve">251 </w:t>
            </w:r>
          </w:p>
        </w:tc>
        <w:tc>
          <w:tcPr>
            <w:tcW w:w="1559" w:type="dxa"/>
            <w:vAlign w:val="center"/>
          </w:tcPr>
          <w:p w14:paraId="277A7E55" w14:textId="261115CF" w:rsidR="00AC7EE5" w:rsidRPr="00FF1339" w:rsidRDefault="00AC7EE5" w:rsidP="00A87D8C">
            <w:pPr>
              <w:jc w:val="center"/>
            </w:pPr>
            <w:r w:rsidRPr="0027578A">
              <w:t xml:space="preserve">342 </w:t>
            </w:r>
          </w:p>
        </w:tc>
        <w:tc>
          <w:tcPr>
            <w:tcW w:w="1701" w:type="dxa"/>
            <w:vAlign w:val="center"/>
          </w:tcPr>
          <w:p w14:paraId="3962EC96" w14:textId="787E5D1E" w:rsidR="00AC7EE5" w:rsidRPr="00232080" w:rsidRDefault="00AC7EE5" w:rsidP="003D3EF7">
            <w:pPr>
              <w:jc w:val="center"/>
            </w:pPr>
            <w:r w:rsidRPr="00D85C4E">
              <w:t xml:space="preserve">144 </w:t>
            </w:r>
          </w:p>
        </w:tc>
      </w:tr>
      <w:tr w:rsidR="00452800" w:rsidRPr="00556915" w14:paraId="6D9091CC" w14:textId="77777777" w:rsidTr="00C35804">
        <w:trPr>
          <w:cantSplit/>
          <w:trHeight w:val="253"/>
        </w:trPr>
        <w:tc>
          <w:tcPr>
            <w:tcW w:w="2552" w:type="dxa"/>
            <w:shd w:val="clear" w:color="auto" w:fill="7F7F7F" w:themeFill="text1" w:themeFillTint="80"/>
            <w:vAlign w:val="center"/>
            <w:hideMark/>
          </w:tcPr>
          <w:p w14:paraId="5FB045A9" w14:textId="77777777" w:rsidR="00452800" w:rsidRPr="00556915" w:rsidRDefault="00452800" w:rsidP="00AC7EE5">
            <w:pPr>
              <w:rPr>
                <w:b/>
                <w:bCs/>
                <w:color w:val="FFFFFF" w:themeColor="background1"/>
              </w:rPr>
            </w:pPr>
            <w:r w:rsidRPr="00556915">
              <w:rPr>
                <w:b/>
                <w:bCs/>
                <w:color w:val="FFFFFF" w:themeColor="background1"/>
              </w:rPr>
              <w:t>CHMPs - two authorities</w:t>
            </w:r>
          </w:p>
        </w:tc>
        <w:tc>
          <w:tcPr>
            <w:tcW w:w="6237" w:type="dxa"/>
            <w:gridSpan w:val="4"/>
            <w:shd w:val="clear" w:color="auto" w:fill="auto"/>
            <w:vAlign w:val="center"/>
          </w:tcPr>
          <w:p w14:paraId="6720BA1B" w14:textId="214D39F4" w:rsidR="00452800" w:rsidRPr="003D4288" w:rsidRDefault="00452800" w:rsidP="003D3EF7">
            <w:pPr>
              <w:jc w:val="center"/>
            </w:pPr>
          </w:p>
        </w:tc>
      </w:tr>
      <w:tr w:rsidR="00AC7EE5" w:rsidRPr="00556915" w14:paraId="02B5CCE5" w14:textId="77777777" w:rsidTr="00C35804">
        <w:trPr>
          <w:cantSplit/>
          <w:trHeight w:val="253"/>
        </w:trPr>
        <w:tc>
          <w:tcPr>
            <w:tcW w:w="2552" w:type="dxa"/>
            <w:shd w:val="clear" w:color="auto" w:fill="7F7F7F" w:themeFill="text1" w:themeFillTint="80"/>
            <w:vAlign w:val="center"/>
            <w:hideMark/>
          </w:tcPr>
          <w:p w14:paraId="5E361FD7"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559" w:type="dxa"/>
            <w:shd w:val="clear" w:color="auto" w:fill="auto"/>
            <w:vAlign w:val="center"/>
          </w:tcPr>
          <w:p w14:paraId="5D706820" w14:textId="313EF3B4" w:rsidR="00AC7EE5" w:rsidRPr="003D4288" w:rsidRDefault="00AC7EE5" w:rsidP="00AC7EE5">
            <w:pPr>
              <w:jc w:val="center"/>
            </w:pPr>
            <w:r w:rsidRPr="00236DA8">
              <w:t>8</w:t>
            </w:r>
          </w:p>
        </w:tc>
        <w:tc>
          <w:tcPr>
            <w:tcW w:w="1418" w:type="dxa"/>
            <w:vAlign w:val="center"/>
          </w:tcPr>
          <w:p w14:paraId="58479D8C" w14:textId="22C74D93" w:rsidR="00AC7EE5" w:rsidRPr="00FF1339" w:rsidRDefault="00AC7EE5" w:rsidP="00AC7EE5">
            <w:pPr>
              <w:jc w:val="center"/>
            </w:pPr>
            <w:r w:rsidRPr="00056780">
              <w:t xml:space="preserve">22 </w:t>
            </w:r>
          </w:p>
        </w:tc>
        <w:tc>
          <w:tcPr>
            <w:tcW w:w="1559" w:type="dxa"/>
            <w:vAlign w:val="center"/>
          </w:tcPr>
          <w:p w14:paraId="7E766D1B" w14:textId="52F7B5AD" w:rsidR="00AC7EE5" w:rsidRPr="00FF1339" w:rsidRDefault="00AC7EE5" w:rsidP="00A87D8C">
            <w:pPr>
              <w:jc w:val="center"/>
            </w:pPr>
            <w:r w:rsidRPr="0027578A">
              <w:t xml:space="preserve">33 </w:t>
            </w:r>
          </w:p>
        </w:tc>
        <w:tc>
          <w:tcPr>
            <w:tcW w:w="1701" w:type="dxa"/>
            <w:vAlign w:val="center"/>
          </w:tcPr>
          <w:p w14:paraId="3C57787B" w14:textId="04018D4F" w:rsidR="00AC7EE5" w:rsidRPr="00232080" w:rsidRDefault="00AC7EE5" w:rsidP="003D3EF7">
            <w:pPr>
              <w:jc w:val="center"/>
            </w:pPr>
            <w:r w:rsidRPr="00D85C4E">
              <w:t xml:space="preserve">9 </w:t>
            </w:r>
          </w:p>
        </w:tc>
      </w:tr>
      <w:tr w:rsidR="00AC7EE5" w:rsidRPr="00556915" w14:paraId="22BC93B9" w14:textId="77777777" w:rsidTr="00C35804">
        <w:trPr>
          <w:cantSplit/>
          <w:trHeight w:val="253"/>
        </w:trPr>
        <w:tc>
          <w:tcPr>
            <w:tcW w:w="2552" w:type="dxa"/>
            <w:shd w:val="clear" w:color="auto" w:fill="7F7F7F" w:themeFill="text1" w:themeFillTint="80"/>
            <w:vAlign w:val="center"/>
            <w:hideMark/>
          </w:tcPr>
          <w:p w14:paraId="1382283D"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559" w:type="dxa"/>
            <w:shd w:val="clear" w:color="auto" w:fill="auto"/>
            <w:vAlign w:val="center"/>
          </w:tcPr>
          <w:p w14:paraId="034E64BD" w14:textId="57180B18" w:rsidR="00AC7EE5" w:rsidRPr="003D4288" w:rsidRDefault="00AC7EE5" w:rsidP="00AC7EE5">
            <w:pPr>
              <w:jc w:val="center"/>
            </w:pPr>
            <w:r w:rsidRPr="00236DA8">
              <w:t>15</w:t>
            </w:r>
          </w:p>
        </w:tc>
        <w:tc>
          <w:tcPr>
            <w:tcW w:w="1418" w:type="dxa"/>
            <w:vAlign w:val="center"/>
          </w:tcPr>
          <w:p w14:paraId="51BBC348" w14:textId="4A96D2E9" w:rsidR="00AC7EE5" w:rsidRPr="00FF1339" w:rsidRDefault="00AC7EE5" w:rsidP="00AC7EE5">
            <w:pPr>
              <w:jc w:val="center"/>
            </w:pPr>
            <w:r w:rsidRPr="00056780">
              <w:t xml:space="preserve">41 </w:t>
            </w:r>
          </w:p>
        </w:tc>
        <w:tc>
          <w:tcPr>
            <w:tcW w:w="1559" w:type="dxa"/>
            <w:vAlign w:val="center"/>
          </w:tcPr>
          <w:p w14:paraId="05C8A6D7" w14:textId="17260BDD" w:rsidR="00AC7EE5" w:rsidRPr="00FF1339" w:rsidRDefault="00AC7EE5" w:rsidP="00A87D8C">
            <w:pPr>
              <w:jc w:val="center"/>
            </w:pPr>
            <w:r w:rsidRPr="0027578A">
              <w:t xml:space="preserve">62 </w:t>
            </w:r>
          </w:p>
        </w:tc>
        <w:tc>
          <w:tcPr>
            <w:tcW w:w="1701" w:type="dxa"/>
            <w:vAlign w:val="center"/>
          </w:tcPr>
          <w:p w14:paraId="717B5018" w14:textId="29A1E13F" w:rsidR="00AC7EE5" w:rsidRPr="00232080" w:rsidRDefault="00AC7EE5" w:rsidP="003D3EF7">
            <w:pPr>
              <w:jc w:val="center"/>
            </w:pPr>
            <w:r w:rsidRPr="00D85C4E">
              <w:t xml:space="preserve">17 </w:t>
            </w:r>
          </w:p>
        </w:tc>
      </w:tr>
      <w:tr w:rsidR="00AC7EE5" w:rsidRPr="00556915" w14:paraId="3BD39466" w14:textId="77777777" w:rsidTr="00C35804">
        <w:trPr>
          <w:cantSplit/>
          <w:trHeight w:val="253"/>
        </w:trPr>
        <w:tc>
          <w:tcPr>
            <w:tcW w:w="2552" w:type="dxa"/>
            <w:shd w:val="clear" w:color="auto" w:fill="7F7F7F" w:themeFill="text1" w:themeFillTint="80"/>
            <w:vAlign w:val="center"/>
            <w:hideMark/>
          </w:tcPr>
          <w:p w14:paraId="377BD316"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559" w:type="dxa"/>
            <w:shd w:val="clear" w:color="auto" w:fill="auto"/>
            <w:vAlign w:val="center"/>
          </w:tcPr>
          <w:p w14:paraId="245DB348" w14:textId="506E753B" w:rsidR="00AC7EE5" w:rsidRPr="003D4288" w:rsidRDefault="00AC7EE5" w:rsidP="00AC7EE5">
            <w:pPr>
              <w:jc w:val="center"/>
            </w:pPr>
            <w:r w:rsidRPr="00236DA8">
              <w:t>30</w:t>
            </w:r>
          </w:p>
        </w:tc>
        <w:tc>
          <w:tcPr>
            <w:tcW w:w="1418" w:type="dxa"/>
            <w:vAlign w:val="center"/>
          </w:tcPr>
          <w:p w14:paraId="3BF42A9B" w14:textId="424AFE0F" w:rsidR="00AC7EE5" w:rsidRPr="00FF1339" w:rsidRDefault="00AC7EE5" w:rsidP="00AC7EE5">
            <w:pPr>
              <w:jc w:val="center"/>
            </w:pPr>
            <w:r w:rsidRPr="00056780">
              <w:t xml:space="preserve">82 </w:t>
            </w:r>
          </w:p>
        </w:tc>
        <w:tc>
          <w:tcPr>
            <w:tcW w:w="1559" w:type="dxa"/>
            <w:vAlign w:val="center"/>
          </w:tcPr>
          <w:p w14:paraId="2AC28E12" w14:textId="52016CED" w:rsidR="00AC7EE5" w:rsidRPr="00FF1339" w:rsidRDefault="00AC7EE5" w:rsidP="00A87D8C">
            <w:pPr>
              <w:jc w:val="center"/>
            </w:pPr>
            <w:r w:rsidRPr="0027578A">
              <w:t xml:space="preserve">123 </w:t>
            </w:r>
          </w:p>
        </w:tc>
        <w:tc>
          <w:tcPr>
            <w:tcW w:w="1701" w:type="dxa"/>
            <w:vAlign w:val="center"/>
          </w:tcPr>
          <w:p w14:paraId="39B3A527" w14:textId="1BBC9405" w:rsidR="00AC7EE5" w:rsidRPr="00232080" w:rsidRDefault="00AC7EE5" w:rsidP="003D3EF7">
            <w:pPr>
              <w:jc w:val="center"/>
            </w:pPr>
            <w:r w:rsidRPr="00D85C4E">
              <w:t xml:space="preserve">34 </w:t>
            </w:r>
          </w:p>
        </w:tc>
      </w:tr>
      <w:tr w:rsidR="00AC7EE5" w:rsidRPr="00556915" w14:paraId="236E2461" w14:textId="77777777" w:rsidTr="00C35804">
        <w:trPr>
          <w:cantSplit/>
          <w:trHeight w:val="253"/>
        </w:trPr>
        <w:tc>
          <w:tcPr>
            <w:tcW w:w="2552" w:type="dxa"/>
            <w:shd w:val="clear" w:color="auto" w:fill="7F7F7F" w:themeFill="text1" w:themeFillTint="80"/>
            <w:vAlign w:val="center"/>
            <w:hideMark/>
          </w:tcPr>
          <w:p w14:paraId="3EF0CE9E"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559" w:type="dxa"/>
            <w:shd w:val="clear" w:color="auto" w:fill="auto"/>
            <w:vAlign w:val="center"/>
          </w:tcPr>
          <w:p w14:paraId="37335AC4" w14:textId="38942649" w:rsidR="00AC7EE5" w:rsidRPr="003D4288" w:rsidRDefault="00AC7EE5" w:rsidP="00AC7EE5">
            <w:pPr>
              <w:jc w:val="center"/>
            </w:pPr>
            <w:r w:rsidRPr="00236DA8">
              <w:t>30</w:t>
            </w:r>
          </w:p>
        </w:tc>
        <w:tc>
          <w:tcPr>
            <w:tcW w:w="1418" w:type="dxa"/>
            <w:vAlign w:val="center"/>
          </w:tcPr>
          <w:p w14:paraId="7B1F6107" w14:textId="2C874814" w:rsidR="00AC7EE5" w:rsidRPr="00FF1339" w:rsidRDefault="00AC7EE5" w:rsidP="00AC7EE5">
            <w:pPr>
              <w:jc w:val="center"/>
            </w:pPr>
            <w:r w:rsidRPr="00056780">
              <w:t xml:space="preserve">30 </w:t>
            </w:r>
          </w:p>
        </w:tc>
        <w:tc>
          <w:tcPr>
            <w:tcW w:w="1559" w:type="dxa"/>
            <w:vAlign w:val="center"/>
          </w:tcPr>
          <w:p w14:paraId="661AF52B" w14:textId="5CE4ECF3" w:rsidR="00AC7EE5" w:rsidRPr="00FF1339" w:rsidRDefault="00AC7EE5" w:rsidP="00A87D8C">
            <w:pPr>
              <w:jc w:val="center"/>
            </w:pPr>
            <w:r w:rsidRPr="0027578A">
              <w:t xml:space="preserve">42 </w:t>
            </w:r>
          </w:p>
        </w:tc>
        <w:tc>
          <w:tcPr>
            <w:tcW w:w="1701" w:type="dxa"/>
            <w:vAlign w:val="center"/>
          </w:tcPr>
          <w:p w14:paraId="482DE319" w14:textId="5562FD45" w:rsidR="00AC7EE5" w:rsidRPr="00232080" w:rsidRDefault="00AC7EE5" w:rsidP="003D3EF7">
            <w:pPr>
              <w:jc w:val="center"/>
            </w:pPr>
            <w:r w:rsidRPr="00D85C4E">
              <w:t xml:space="preserve">15 </w:t>
            </w:r>
          </w:p>
        </w:tc>
      </w:tr>
      <w:tr w:rsidR="00AC7EE5" w:rsidRPr="00556915" w14:paraId="7A9CEE2D" w14:textId="77777777" w:rsidTr="00C35804">
        <w:trPr>
          <w:cantSplit/>
          <w:trHeight w:val="253"/>
        </w:trPr>
        <w:tc>
          <w:tcPr>
            <w:tcW w:w="2552" w:type="dxa"/>
            <w:shd w:val="clear" w:color="auto" w:fill="7F7F7F" w:themeFill="text1" w:themeFillTint="80"/>
            <w:vAlign w:val="center"/>
            <w:hideMark/>
          </w:tcPr>
          <w:p w14:paraId="53765F19"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559" w:type="dxa"/>
            <w:shd w:val="clear" w:color="auto" w:fill="auto"/>
            <w:vAlign w:val="center"/>
          </w:tcPr>
          <w:p w14:paraId="7F2B3551" w14:textId="268D8DCC" w:rsidR="00AC7EE5" w:rsidRPr="003D4288" w:rsidRDefault="00AC7EE5" w:rsidP="00AC7EE5">
            <w:pPr>
              <w:jc w:val="center"/>
            </w:pPr>
            <w:r w:rsidRPr="00236DA8">
              <w:t>60</w:t>
            </w:r>
          </w:p>
        </w:tc>
        <w:tc>
          <w:tcPr>
            <w:tcW w:w="1418" w:type="dxa"/>
            <w:vAlign w:val="center"/>
          </w:tcPr>
          <w:p w14:paraId="3B7128F1" w14:textId="519B157C" w:rsidR="00AC7EE5" w:rsidRPr="00FF1339" w:rsidRDefault="00AC7EE5" w:rsidP="00AC7EE5">
            <w:pPr>
              <w:jc w:val="center"/>
            </w:pPr>
            <w:r w:rsidRPr="00056780">
              <w:t xml:space="preserve">59 </w:t>
            </w:r>
          </w:p>
        </w:tc>
        <w:tc>
          <w:tcPr>
            <w:tcW w:w="1559" w:type="dxa"/>
            <w:vAlign w:val="center"/>
          </w:tcPr>
          <w:p w14:paraId="2C790F17" w14:textId="45941295" w:rsidR="00AC7EE5" w:rsidRPr="00FF1339" w:rsidRDefault="00AC7EE5" w:rsidP="00A87D8C">
            <w:pPr>
              <w:jc w:val="center"/>
            </w:pPr>
            <w:r w:rsidRPr="0027578A">
              <w:t xml:space="preserve">84 </w:t>
            </w:r>
          </w:p>
        </w:tc>
        <w:tc>
          <w:tcPr>
            <w:tcW w:w="1701" w:type="dxa"/>
            <w:vAlign w:val="center"/>
          </w:tcPr>
          <w:p w14:paraId="37A97291" w14:textId="5C99C47B" w:rsidR="00AC7EE5" w:rsidRPr="00232080" w:rsidRDefault="00AC7EE5" w:rsidP="003D3EF7">
            <w:pPr>
              <w:jc w:val="center"/>
            </w:pPr>
            <w:r w:rsidRPr="00D85C4E">
              <w:t xml:space="preserve">30 </w:t>
            </w:r>
          </w:p>
        </w:tc>
      </w:tr>
      <w:tr w:rsidR="00AC7EE5" w:rsidRPr="00556915" w14:paraId="3272ADE5" w14:textId="77777777" w:rsidTr="00C35804">
        <w:trPr>
          <w:cantSplit/>
          <w:trHeight w:val="253"/>
        </w:trPr>
        <w:tc>
          <w:tcPr>
            <w:tcW w:w="2552" w:type="dxa"/>
            <w:shd w:val="clear" w:color="auto" w:fill="7F7F7F" w:themeFill="text1" w:themeFillTint="80"/>
            <w:vAlign w:val="center"/>
            <w:hideMark/>
          </w:tcPr>
          <w:p w14:paraId="716A3BD1"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559" w:type="dxa"/>
            <w:shd w:val="clear" w:color="auto" w:fill="auto"/>
            <w:vAlign w:val="center"/>
          </w:tcPr>
          <w:p w14:paraId="1385AA5A" w14:textId="1F858555" w:rsidR="00AC7EE5" w:rsidRPr="003D4288" w:rsidRDefault="00AC7EE5" w:rsidP="00AC7EE5">
            <w:pPr>
              <w:jc w:val="center"/>
            </w:pPr>
            <w:r w:rsidRPr="00236DA8">
              <w:t>160</w:t>
            </w:r>
          </w:p>
        </w:tc>
        <w:tc>
          <w:tcPr>
            <w:tcW w:w="1418" w:type="dxa"/>
            <w:vAlign w:val="center"/>
          </w:tcPr>
          <w:p w14:paraId="502C22C6" w14:textId="1213812C" w:rsidR="00AC7EE5" w:rsidRPr="00FF1339" w:rsidRDefault="00AC7EE5" w:rsidP="00AC7EE5">
            <w:pPr>
              <w:jc w:val="center"/>
            </w:pPr>
            <w:r w:rsidRPr="00056780">
              <w:t xml:space="preserve">118 </w:t>
            </w:r>
          </w:p>
        </w:tc>
        <w:tc>
          <w:tcPr>
            <w:tcW w:w="1559" w:type="dxa"/>
            <w:vAlign w:val="center"/>
          </w:tcPr>
          <w:p w14:paraId="56597EFE" w14:textId="114F2A56" w:rsidR="00AC7EE5" w:rsidRPr="00FF1339" w:rsidRDefault="00AC7EE5" w:rsidP="00A87D8C">
            <w:pPr>
              <w:jc w:val="center"/>
            </w:pPr>
            <w:r w:rsidRPr="0027578A">
              <w:t xml:space="preserve">167 </w:t>
            </w:r>
          </w:p>
        </w:tc>
        <w:tc>
          <w:tcPr>
            <w:tcW w:w="1701" w:type="dxa"/>
            <w:vAlign w:val="center"/>
          </w:tcPr>
          <w:p w14:paraId="09E5080E" w14:textId="2517E54F" w:rsidR="00AC7EE5" w:rsidRPr="00232080" w:rsidRDefault="00AC7EE5" w:rsidP="003D3EF7">
            <w:pPr>
              <w:jc w:val="center"/>
            </w:pPr>
            <w:r w:rsidRPr="00D85C4E">
              <w:t xml:space="preserve">61 </w:t>
            </w:r>
          </w:p>
        </w:tc>
      </w:tr>
      <w:tr w:rsidR="00AC7EE5" w:rsidRPr="00556915" w14:paraId="02B4C86C" w14:textId="77777777" w:rsidTr="00C35804">
        <w:trPr>
          <w:cantSplit/>
          <w:trHeight w:val="253"/>
        </w:trPr>
        <w:tc>
          <w:tcPr>
            <w:tcW w:w="2552" w:type="dxa"/>
            <w:shd w:val="clear" w:color="auto" w:fill="7F7F7F" w:themeFill="text1" w:themeFillTint="80"/>
            <w:vAlign w:val="center"/>
            <w:hideMark/>
          </w:tcPr>
          <w:p w14:paraId="7485F57E"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559" w:type="dxa"/>
            <w:shd w:val="clear" w:color="auto" w:fill="auto"/>
            <w:vAlign w:val="center"/>
          </w:tcPr>
          <w:p w14:paraId="5227D1AB" w14:textId="6058C686" w:rsidR="00AC7EE5" w:rsidRPr="003D4288" w:rsidRDefault="00AC7EE5" w:rsidP="00AC7EE5">
            <w:pPr>
              <w:jc w:val="center"/>
            </w:pPr>
            <w:r w:rsidRPr="00236DA8">
              <w:t>80</w:t>
            </w:r>
          </w:p>
        </w:tc>
        <w:tc>
          <w:tcPr>
            <w:tcW w:w="1418" w:type="dxa"/>
            <w:vAlign w:val="center"/>
          </w:tcPr>
          <w:p w14:paraId="30184EDC" w14:textId="20C4C6CB" w:rsidR="00AC7EE5" w:rsidRPr="00FF1339" w:rsidRDefault="00AC7EE5" w:rsidP="00AC7EE5">
            <w:pPr>
              <w:jc w:val="center"/>
            </w:pPr>
            <w:r w:rsidRPr="00056780">
              <w:t xml:space="preserve">47 </w:t>
            </w:r>
          </w:p>
        </w:tc>
        <w:tc>
          <w:tcPr>
            <w:tcW w:w="1559" w:type="dxa"/>
            <w:vAlign w:val="center"/>
          </w:tcPr>
          <w:p w14:paraId="6C149484" w14:textId="380B0AFA" w:rsidR="00AC7EE5" w:rsidRPr="00FF1339" w:rsidRDefault="00AC7EE5" w:rsidP="00A87D8C">
            <w:pPr>
              <w:jc w:val="center"/>
            </w:pPr>
            <w:r w:rsidRPr="0027578A">
              <w:t xml:space="preserve">64 </w:t>
            </w:r>
          </w:p>
        </w:tc>
        <w:tc>
          <w:tcPr>
            <w:tcW w:w="1701" w:type="dxa"/>
            <w:vAlign w:val="center"/>
          </w:tcPr>
          <w:p w14:paraId="5CA3605D" w14:textId="1AB0D943" w:rsidR="00AC7EE5" w:rsidRPr="00232080" w:rsidRDefault="00AC7EE5" w:rsidP="003D3EF7">
            <w:pPr>
              <w:jc w:val="center"/>
            </w:pPr>
            <w:r w:rsidRPr="00D85C4E">
              <w:t xml:space="preserve">27 </w:t>
            </w:r>
          </w:p>
        </w:tc>
      </w:tr>
      <w:tr w:rsidR="00AC7EE5" w:rsidRPr="00556915" w14:paraId="31C14726" w14:textId="77777777" w:rsidTr="00C35804">
        <w:trPr>
          <w:cantSplit/>
          <w:trHeight w:val="253"/>
        </w:trPr>
        <w:tc>
          <w:tcPr>
            <w:tcW w:w="2552" w:type="dxa"/>
            <w:shd w:val="clear" w:color="auto" w:fill="7F7F7F" w:themeFill="text1" w:themeFillTint="80"/>
            <w:vAlign w:val="center"/>
            <w:hideMark/>
          </w:tcPr>
          <w:p w14:paraId="6C799BA4"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559" w:type="dxa"/>
            <w:shd w:val="clear" w:color="auto" w:fill="auto"/>
            <w:vAlign w:val="center"/>
          </w:tcPr>
          <w:p w14:paraId="1054DC91" w14:textId="48C4E8CF" w:rsidR="00AC7EE5" w:rsidRPr="003D4288" w:rsidRDefault="00AC7EE5" w:rsidP="00AC7EE5">
            <w:pPr>
              <w:jc w:val="center"/>
            </w:pPr>
            <w:r w:rsidRPr="00236DA8">
              <w:t>160</w:t>
            </w:r>
          </w:p>
        </w:tc>
        <w:tc>
          <w:tcPr>
            <w:tcW w:w="1418" w:type="dxa"/>
            <w:vAlign w:val="center"/>
          </w:tcPr>
          <w:p w14:paraId="2BD4144B" w14:textId="0D8B9AE9" w:rsidR="00AC7EE5" w:rsidRPr="00FF1339" w:rsidRDefault="00AC7EE5" w:rsidP="00AC7EE5">
            <w:pPr>
              <w:jc w:val="center"/>
            </w:pPr>
            <w:r w:rsidRPr="00056780">
              <w:t xml:space="preserve">94 </w:t>
            </w:r>
          </w:p>
        </w:tc>
        <w:tc>
          <w:tcPr>
            <w:tcW w:w="1559" w:type="dxa"/>
            <w:vAlign w:val="center"/>
          </w:tcPr>
          <w:p w14:paraId="48D91D2A" w14:textId="3FC29FA1" w:rsidR="00AC7EE5" w:rsidRPr="00FF1339" w:rsidRDefault="00AC7EE5" w:rsidP="00A87D8C">
            <w:pPr>
              <w:jc w:val="center"/>
            </w:pPr>
            <w:r w:rsidRPr="0027578A">
              <w:t xml:space="preserve">128 </w:t>
            </w:r>
          </w:p>
        </w:tc>
        <w:tc>
          <w:tcPr>
            <w:tcW w:w="1701" w:type="dxa"/>
            <w:vAlign w:val="center"/>
          </w:tcPr>
          <w:p w14:paraId="229E6624" w14:textId="2872CC2A" w:rsidR="00AC7EE5" w:rsidRPr="00232080" w:rsidRDefault="00AC7EE5" w:rsidP="003D3EF7">
            <w:pPr>
              <w:jc w:val="center"/>
            </w:pPr>
            <w:r w:rsidRPr="00D85C4E">
              <w:t xml:space="preserve">54 </w:t>
            </w:r>
          </w:p>
        </w:tc>
      </w:tr>
      <w:tr w:rsidR="00AC7EE5" w:rsidRPr="00556915" w14:paraId="2195E038" w14:textId="77777777" w:rsidTr="00C35804">
        <w:trPr>
          <w:cantSplit/>
          <w:trHeight w:val="253"/>
        </w:trPr>
        <w:tc>
          <w:tcPr>
            <w:tcW w:w="2552" w:type="dxa"/>
            <w:shd w:val="clear" w:color="auto" w:fill="7F7F7F" w:themeFill="text1" w:themeFillTint="80"/>
            <w:vAlign w:val="center"/>
            <w:hideMark/>
          </w:tcPr>
          <w:p w14:paraId="5ED34F00"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559" w:type="dxa"/>
            <w:shd w:val="clear" w:color="auto" w:fill="auto"/>
            <w:vAlign w:val="center"/>
          </w:tcPr>
          <w:p w14:paraId="6B8A96CD" w14:textId="452416C7" w:rsidR="00AC7EE5" w:rsidRPr="003D4288" w:rsidRDefault="00AC7EE5" w:rsidP="00AC7EE5">
            <w:pPr>
              <w:jc w:val="center"/>
            </w:pPr>
            <w:r w:rsidRPr="00236DA8">
              <w:t>320</w:t>
            </w:r>
          </w:p>
        </w:tc>
        <w:tc>
          <w:tcPr>
            <w:tcW w:w="1418" w:type="dxa"/>
            <w:vAlign w:val="center"/>
          </w:tcPr>
          <w:p w14:paraId="6BF2CA26" w14:textId="570F3794" w:rsidR="00AC7EE5" w:rsidRPr="00FF1339" w:rsidRDefault="00AC7EE5" w:rsidP="00AC7EE5">
            <w:pPr>
              <w:jc w:val="center"/>
            </w:pPr>
            <w:r w:rsidRPr="00056780">
              <w:t xml:space="preserve">188 </w:t>
            </w:r>
          </w:p>
        </w:tc>
        <w:tc>
          <w:tcPr>
            <w:tcW w:w="1559" w:type="dxa"/>
            <w:vAlign w:val="center"/>
          </w:tcPr>
          <w:p w14:paraId="671C157F" w14:textId="7DD41E2D" w:rsidR="00AC7EE5" w:rsidRPr="00FF1339" w:rsidRDefault="00AC7EE5" w:rsidP="00A87D8C">
            <w:pPr>
              <w:jc w:val="center"/>
            </w:pPr>
            <w:r w:rsidRPr="0027578A">
              <w:t xml:space="preserve">256 </w:t>
            </w:r>
          </w:p>
        </w:tc>
        <w:tc>
          <w:tcPr>
            <w:tcW w:w="1701" w:type="dxa"/>
            <w:vAlign w:val="center"/>
          </w:tcPr>
          <w:p w14:paraId="3EC83494" w14:textId="4D969663" w:rsidR="00AC7EE5" w:rsidRPr="00232080" w:rsidRDefault="00AC7EE5" w:rsidP="003D3EF7">
            <w:pPr>
              <w:jc w:val="center"/>
            </w:pPr>
            <w:r w:rsidRPr="00D85C4E">
              <w:t xml:space="preserve">108 </w:t>
            </w:r>
          </w:p>
        </w:tc>
      </w:tr>
      <w:tr w:rsidR="00452800" w:rsidRPr="00556915" w14:paraId="36E52528" w14:textId="77777777" w:rsidTr="00C35804">
        <w:trPr>
          <w:cantSplit/>
          <w:trHeight w:val="253"/>
        </w:trPr>
        <w:tc>
          <w:tcPr>
            <w:tcW w:w="2552" w:type="dxa"/>
            <w:shd w:val="clear" w:color="auto" w:fill="7F7F7F" w:themeFill="text1" w:themeFillTint="80"/>
            <w:vAlign w:val="center"/>
            <w:hideMark/>
          </w:tcPr>
          <w:p w14:paraId="0DC77EA4" w14:textId="77777777" w:rsidR="00452800" w:rsidRPr="00556915" w:rsidRDefault="00452800" w:rsidP="00AC7EE5">
            <w:pPr>
              <w:rPr>
                <w:b/>
                <w:bCs/>
                <w:color w:val="FFFFFF" w:themeColor="background1"/>
              </w:rPr>
            </w:pPr>
            <w:r w:rsidRPr="00556915">
              <w:rPr>
                <w:b/>
                <w:bCs/>
                <w:color w:val="FFFFFF" w:themeColor="background1"/>
              </w:rPr>
              <w:t>CHMPs - three or more authorities</w:t>
            </w:r>
          </w:p>
        </w:tc>
        <w:tc>
          <w:tcPr>
            <w:tcW w:w="6237" w:type="dxa"/>
            <w:gridSpan w:val="4"/>
            <w:shd w:val="clear" w:color="auto" w:fill="auto"/>
            <w:vAlign w:val="center"/>
          </w:tcPr>
          <w:p w14:paraId="1D9D4ECF" w14:textId="3B718BF8" w:rsidR="00452800" w:rsidRPr="003D4288" w:rsidRDefault="00452800" w:rsidP="003D3EF7">
            <w:pPr>
              <w:jc w:val="center"/>
            </w:pPr>
          </w:p>
        </w:tc>
      </w:tr>
      <w:tr w:rsidR="00AC7EE5" w:rsidRPr="00556915" w14:paraId="42D947A3" w14:textId="77777777" w:rsidTr="00C35804">
        <w:trPr>
          <w:cantSplit/>
          <w:trHeight w:val="253"/>
        </w:trPr>
        <w:tc>
          <w:tcPr>
            <w:tcW w:w="2552" w:type="dxa"/>
            <w:shd w:val="clear" w:color="auto" w:fill="7F7F7F" w:themeFill="text1" w:themeFillTint="80"/>
            <w:vAlign w:val="center"/>
            <w:hideMark/>
          </w:tcPr>
          <w:p w14:paraId="0FCF2DBA" w14:textId="77777777" w:rsidR="00AC7EE5" w:rsidRPr="00556915" w:rsidRDefault="00AC7EE5" w:rsidP="00AC7EE5">
            <w:pPr>
              <w:rPr>
                <w:color w:val="FFFFFF" w:themeColor="background1"/>
              </w:rPr>
            </w:pPr>
            <w:r w:rsidRPr="00556915">
              <w:rPr>
                <w:color w:val="FFFFFF" w:themeColor="background1"/>
              </w:rPr>
              <w:t>Desktop assessment - small activity</w:t>
            </w:r>
          </w:p>
        </w:tc>
        <w:tc>
          <w:tcPr>
            <w:tcW w:w="1559" w:type="dxa"/>
            <w:shd w:val="clear" w:color="auto" w:fill="auto"/>
            <w:vAlign w:val="center"/>
          </w:tcPr>
          <w:p w14:paraId="1A19E2E8" w14:textId="148AB85F" w:rsidR="00AC7EE5" w:rsidRPr="003D4288" w:rsidRDefault="00AC7EE5" w:rsidP="00AC7EE5">
            <w:pPr>
              <w:jc w:val="center"/>
            </w:pPr>
            <w:r w:rsidRPr="00236DA8">
              <w:t>7</w:t>
            </w:r>
          </w:p>
        </w:tc>
        <w:tc>
          <w:tcPr>
            <w:tcW w:w="1418" w:type="dxa"/>
            <w:vAlign w:val="center"/>
          </w:tcPr>
          <w:p w14:paraId="29E4D64A" w14:textId="25143F57" w:rsidR="00AC7EE5" w:rsidRPr="00FF1339" w:rsidRDefault="00AC7EE5" w:rsidP="00AC7EE5">
            <w:pPr>
              <w:jc w:val="center"/>
            </w:pPr>
            <w:r w:rsidRPr="00056780">
              <w:t xml:space="preserve">19 </w:t>
            </w:r>
          </w:p>
        </w:tc>
        <w:tc>
          <w:tcPr>
            <w:tcW w:w="1559" w:type="dxa"/>
            <w:vAlign w:val="center"/>
          </w:tcPr>
          <w:p w14:paraId="658BB2D0" w14:textId="14CEAB40" w:rsidR="00AC7EE5" w:rsidRPr="00FF1339" w:rsidRDefault="00AC7EE5" w:rsidP="00A87D8C">
            <w:pPr>
              <w:jc w:val="center"/>
            </w:pPr>
            <w:r w:rsidRPr="0027578A">
              <w:t xml:space="preserve">29 </w:t>
            </w:r>
          </w:p>
        </w:tc>
        <w:tc>
          <w:tcPr>
            <w:tcW w:w="1701" w:type="dxa"/>
            <w:vAlign w:val="center"/>
          </w:tcPr>
          <w:p w14:paraId="6E22A9CE" w14:textId="578C6408" w:rsidR="00AC7EE5" w:rsidRPr="00232080" w:rsidRDefault="00AC7EE5" w:rsidP="003D3EF7">
            <w:pPr>
              <w:jc w:val="center"/>
            </w:pPr>
            <w:r w:rsidRPr="00D85C4E">
              <w:t xml:space="preserve">8 </w:t>
            </w:r>
          </w:p>
        </w:tc>
      </w:tr>
      <w:tr w:rsidR="00AC7EE5" w:rsidRPr="00556915" w14:paraId="55C992C7" w14:textId="77777777" w:rsidTr="00C35804">
        <w:trPr>
          <w:cantSplit/>
          <w:trHeight w:val="253"/>
        </w:trPr>
        <w:tc>
          <w:tcPr>
            <w:tcW w:w="2552" w:type="dxa"/>
            <w:shd w:val="clear" w:color="auto" w:fill="7F7F7F" w:themeFill="text1" w:themeFillTint="80"/>
            <w:vAlign w:val="center"/>
            <w:hideMark/>
          </w:tcPr>
          <w:p w14:paraId="249DFF2D" w14:textId="77777777" w:rsidR="00AC7EE5" w:rsidRPr="00556915" w:rsidRDefault="00AC7EE5" w:rsidP="00AC7EE5">
            <w:pPr>
              <w:rPr>
                <w:color w:val="FFFFFF" w:themeColor="background1"/>
              </w:rPr>
            </w:pPr>
            <w:r w:rsidRPr="00556915">
              <w:rPr>
                <w:color w:val="FFFFFF" w:themeColor="background1"/>
              </w:rPr>
              <w:t>Desktop assessment - medium activity</w:t>
            </w:r>
          </w:p>
        </w:tc>
        <w:tc>
          <w:tcPr>
            <w:tcW w:w="1559" w:type="dxa"/>
            <w:shd w:val="clear" w:color="auto" w:fill="auto"/>
            <w:vAlign w:val="center"/>
          </w:tcPr>
          <w:p w14:paraId="5C531559" w14:textId="28CFD374" w:rsidR="00AC7EE5" w:rsidRPr="003D4288" w:rsidRDefault="00AC7EE5" w:rsidP="00AC7EE5">
            <w:pPr>
              <w:jc w:val="center"/>
            </w:pPr>
            <w:r w:rsidRPr="00236DA8">
              <w:t>13</w:t>
            </w:r>
          </w:p>
        </w:tc>
        <w:tc>
          <w:tcPr>
            <w:tcW w:w="1418" w:type="dxa"/>
          </w:tcPr>
          <w:p w14:paraId="7DC667AC" w14:textId="3FE66012" w:rsidR="00AC7EE5" w:rsidRPr="00FF1339" w:rsidRDefault="00AC7EE5" w:rsidP="00AC7EE5">
            <w:pPr>
              <w:jc w:val="center"/>
            </w:pPr>
            <w:r w:rsidRPr="00056780">
              <w:t xml:space="preserve"> 36 </w:t>
            </w:r>
          </w:p>
        </w:tc>
        <w:tc>
          <w:tcPr>
            <w:tcW w:w="1559" w:type="dxa"/>
          </w:tcPr>
          <w:p w14:paraId="317D2B39" w14:textId="0400723A" w:rsidR="00AC7EE5" w:rsidRPr="00FF1339" w:rsidRDefault="00AC7EE5" w:rsidP="00AC7EE5">
            <w:pPr>
              <w:jc w:val="center"/>
            </w:pPr>
            <w:r w:rsidRPr="0027578A">
              <w:t xml:space="preserve"> 53 </w:t>
            </w:r>
          </w:p>
        </w:tc>
        <w:tc>
          <w:tcPr>
            <w:tcW w:w="1701" w:type="dxa"/>
          </w:tcPr>
          <w:p w14:paraId="7A66D36A" w14:textId="202ACCD3" w:rsidR="00AC7EE5" w:rsidRPr="00232080" w:rsidRDefault="00AC7EE5" w:rsidP="00AC7EE5">
            <w:pPr>
              <w:jc w:val="center"/>
            </w:pPr>
            <w:r w:rsidRPr="00D85C4E">
              <w:t xml:space="preserve"> 15 </w:t>
            </w:r>
          </w:p>
        </w:tc>
      </w:tr>
      <w:tr w:rsidR="00AC7EE5" w:rsidRPr="00556915" w14:paraId="040BC1F0" w14:textId="77777777" w:rsidTr="00C35804">
        <w:trPr>
          <w:cantSplit/>
          <w:trHeight w:val="253"/>
        </w:trPr>
        <w:tc>
          <w:tcPr>
            <w:tcW w:w="2552" w:type="dxa"/>
            <w:shd w:val="clear" w:color="auto" w:fill="7F7F7F" w:themeFill="text1" w:themeFillTint="80"/>
            <w:vAlign w:val="center"/>
            <w:hideMark/>
          </w:tcPr>
          <w:p w14:paraId="3110AD24" w14:textId="77777777" w:rsidR="00AC7EE5" w:rsidRPr="00556915" w:rsidRDefault="00AC7EE5" w:rsidP="00AC7EE5">
            <w:pPr>
              <w:rPr>
                <w:color w:val="FFFFFF" w:themeColor="background1"/>
              </w:rPr>
            </w:pPr>
            <w:r w:rsidRPr="00556915">
              <w:rPr>
                <w:color w:val="FFFFFF" w:themeColor="background1"/>
              </w:rPr>
              <w:t>Desktop assessment - large activity</w:t>
            </w:r>
          </w:p>
        </w:tc>
        <w:tc>
          <w:tcPr>
            <w:tcW w:w="1559" w:type="dxa"/>
            <w:shd w:val="clear" w:color="auto" w:fill="auto"/>
            <w:vAlign w:val="center"/>
          </w:tcPr>
          <w:p w14:paraId="67CF178A" w14:textId="47EFD2CC" w:rsidR="00AC7EE5" w:rsidRPr="003D4288" w:rsidRDefault="00AC7EE5" w:rsidP="00AC7EE5">
            <w:pPr>
              <w:jc w:val="center"/>
            </w:pPr>
            <w:r w:rsidRPr="00236DA8">
              <w:t>27</w:t>
            </w:r>
          </w:p>
        </w:tc>
        <w:tc>
          <w:tcPr>
            <w:tcW w:w="1418" w:type="dxa"/>
          </w:tcPr>
          <w:p w14:paraId="4EAF3075" w14:textId="25008582" w:rsidR="00AC7EE5" w:rsidRPr="00FF1339" w:rsidRDefault="00AC7EE5" w:rsidP="00AC7EE5">
            <w:pPr>
              <w:jc w:val="center"/>
            </w:pPr>
            <w:r w:rsidRPr="00056780">
              <w:t xml:space="preserve"> 74 </w:t>
            </w:r>
          </w:p>
        </w:tc>
        <w:tc>
          <w:tcPr>
            <w:tcW w:w="1559" w:type="dxa"/>
          </w:tcPr>
          <w:p w14:paraId="780420AF" w14:textId="200E9150" w:rsidR="00AC7EE5" w:rsidRPr="00FF1339" w:rsidRDefault="00AC7EE5" w:rsidP="00AC7EE5">
            <w:pPr>
              <w:jc w:val="center"/>
            </w:pPr>
            <w:r w:rsidRPr="0027578A">
              <w:t xml:space="preserve"> 111 </w:t>
            </w:r>
          </w:p>
        </w:tc>
        <w:tc>
          <w:tcPr>
            <w:tcW w:w="1701" w:type="dxa"/>
          </w:tcPr>
          <w:p w14:paraId="0EC704B1" w14:textId="69E96FAB" w:rsidR="00AC7EE5" w:rsidRPr="00232080" w:rsidRDefault="00AC7EE5" w:rsidP="00AC7EE5">
            <w:pPr>
              <w:jc w:val="center"/>
            </w:pPr>
            <w:r w:rsidRPr="00D85C4E">
              <w:t xml:space="preserve"> 31 </w:t>
            </w:r>
          </w:p>
        </w:tc>
      </w:tr>
      <w:tr w:rsidR="00AC7EE5" w:rsidRPr="00556915" w14:paraId="5C2A8D6C" w14:textId="77777777" w:rsidTr="00C35804">
        <w:trPr>
          <w:cantSplit/>
          <w:trHeight w:val="253"/>
        </w:trPr>
        <w:tc>
          <w:tcPr>
            <w:tcW w:w="2552" w:type="dxa"/>
            <w:shd w:val="clear" w:color="auto" w:fill="7F7F7F" w:themeFill="text1" w:themeFillTint="80"/>
            <w:vAlign w:val="center"/>
            <w:hideMark/>
          </w:tcPr>
          <w:p w14:paraId="521BBA2D" w14:textId="77777777" w:rsidR="00AC7EE5" w:rsidRPr="00556915" w:rsidRDefault="00AC7EE5" w:rsidP="00AC7EE5">
            <w:pPr>
              <w:rPr>
                <w:color w:val="FFFFFF" w:themeColor="background1"/>
              </w:rPr>
            </w:pPr>
            <w:r w:rsidRPr="00556915">
              <w:rPr>
                <w:color w:val="FFFFFF" w:themeColor="background1"/>
              </w:rPr>
              <w:t>Standard assessment - small activity</w:t>
            </w:r>
          </w:p>
        </w:tc>
        <w:tc>
          <w:tcPr>
            <w:tcW w:w="1559" w:type="dxa"/>
            <w:shd w:val="clear" w:color="auto" w:fill="auto"/>
            <w:vAlign w:val="center"/>
          </w:tcPr>
          <w:p w14:paraId="0CC22DB6" w14:textId="5676A4CA" w:rsidR="00AC7EE5" w:rsidRPr="003D4288" w:rsidRDefault="00AC7EE5" w:rsidP="00AC7EE5">
            <w:pPr>
              <w:jc w:val="center"/>
            </w:pPr>
            <w:r w:rsidRPr="00236DA8">
              <w:t>27</w:t>
            </w:r>
          </w:p>
        </w:tc>
        <w:tc>
          <w:tcPr>
            <w:tcW w:w="1418" w:type="dxa"/>
          </w:tcPr>
          <w:p w14:paraId="67B4943B" w14:textId="3B6DE982" w:rsidR="00AC7EE5" w:rsidRPr="00FF1339" w:rsidRDefault="00AC7EE5" w:rsidP="00AC7EE5">
            <w:pPr>
              <w:jc w:val="center"/>
            </w:pPr>
            <w:r w:rsidRPr="00056780">
              <w:t xml:space="preserve"> 27 </w:t>
            </w:r>
          </w:p>
        </w:tc>
        <w:tc>
          <w:tcPr>
            <w:tcW w:w="1559" w:type="dxa"/>
          </w:tcPr>
          <w:p w14:paraId="6F9591DE" w14:textId="02A3F9C5" w:rsidR="00AC7EE5" w:rsidRPr="00FF1339" w:rsidRDefault="00AC7EE5" w:rsidP="00AC7EE5">
            <w:pPr>
              <w:jc w:val="center"/>
            </w:pPr>
            <w:r w:rsidRPr="0027578A">
              <w:t xml:space="preserve"> 38 </w:t>
            </w:r>
          </w:p>
        </w:tc>
        <w:tc>
          <w:tcPr>
            <w:tcW w:w="1701" w:type="dxa"/>
          </w:tcPr>
          <w:p w14:paraId="10605F09" w14:textId="67B1B05D" w:rsidR="00AC7EE5" w:rsidRPr="00232080" w:rsidRDefault="00AC7EE5" w:rsidP="00AC7EE5">
            <w:pPr>
              <w:jc w:val="center"/>
            </w:pPr>
            <w:r w:rsidRPr="00D85C4E">
              <w:t xml:space="preserve"> 14 </w:t>
            </w:r>
          </w:p>
        </w:tc>
      </w:tr>
      <w:tr w:rsidR="00AC7EE5" w:rsidRPr="00556915" w14:paraId="70CF6E31" w14:textId="77777777" w:rsidTr="00C35804">
        <w:trPr>
          <w:cantSplit/>
          <w:trHeight w:val="253"/>
        </w:trPr>
        <w:tc>
          <w:tcPr>
            <w:tcW w:w="2552" w:type="dxa"/>
            <w:shd w:val="clear" w:color="auto" w:fill="7F7F7F" w:themeFill="text1" w:themeFillTint="80"/>
            <w:vAlign w:val="center"/>
            <w:hideMark/>
          </w:tcPr>
          <w:p w14:paraId="67804811" w14:textId="77777777" w:rsidR="00AC7EE5" w:rsidRPr="00556915" w:rsidRDefault="00AC7EE5" w:rsidP="00AC7EE5">
            <w:pPr>
              <w:rPr>
                <w:color w:val="FFFFFF" w:themeColor="background1"/>
              </w:rPr>
            </w:pPr>
            <w:r w:rsidRPr="00556915">
              <w:rPr>
                <w:color w:val="FFFFFF" w:themeColor="background1"/>
              </w:rPr>
              <w:t>Standard assessment - medium activity</w:t>
            </w:r>
          </w:p>
        </w:tc>
        <w:tc>
          <w:tcPr>
            <w:tcW w:w="1559" w:type="dxa"/>
            <w:shd w:val="clear" w:color="auto" w:fill="auto"/>
            <w:vAlign w:val="center"/>
          </w:tcPr>
          <w:p w14:paraId="3F599A3A" w14:textId="209CBA91" w:rsidR="00AC7EE5" w:rsidRPr="003D4288" w:rsidRDefault="00AC7EE5" w:rsidP="00AC7EE5">
            <w:pPr>
              <w:jc w:val="center"/>
            </w:pPr>
            <w:r w:rsidRPr="00236DA8">
              <w:t>53</w:t>
            </w:r>
          </w:p>
        </w:tc>
        <w:tc>
          <w:tcPr>
            <w:tcW w:w="1418" w:type="dxa"/>
          </w:tcPr>
          <w:p w14:paraId="576CCC05" w14:textId="26C7C9AA" w:rsidR="00AC7EE5" w:rsidRPr="00FF1339" w:rsidRDefault="00AC7EE5" w:rsidP="00AC7EE5">
            <w:pPr>
              <w:jc w:val="center"/>
            </w:pPr>
            <w:r w:rsidRPr="00056780">
              <w:t xml:space="preserve"> 52 </w:t>
            </w:r>
          </w:p>
        </w:tc>
        <w:tc>
          <w:tcPr>
            <w:tcW w:w="1559" w:type="dxa"/>
          </w:tcPr>
          <w:p w14:paraId="0F623799" w14:textId="59903C1F" w:rsidR="00AC7EE5" w:rsidRPr="00FF1339" w:rsidRDefault="00AC7EE5" w:rsidP="00AC7EE5">
            <w:pPr>
              <w:jc w:val="center"/>
            </w:pPr>
            <w:r w:rsidRPr="0027578A">
              <w:t xml:space="preserve"> 74 </w:t>
            </w:r>
          </w:p>
        </w:tc>
        <w:tc>
          <w:tcPr>
            <w:tcW w:w="1701" w:type="dxa"/>
          </w:tcPr>
          <w:p w14:paraId="6B7E8C0B" w14:textId="0D5F6867" w:rsidR="00AC7EE5" w:rsidRPr="00232080" w:rsidRDefault="00AC7EE5" w:rsidP="00AC7EE5">
            <w:pPr>
              <w:jc w:val="center"/>
            </w:pPr>
            <w:r w:rsidRPr="00D85C4E">
              <w:t xml:space="preserve"> 27 </w:t>
            </w:r>
          </w:p>
        </w:tc>
      </w:tr>
      <w:tr w:rsidR="00AC7EE5" w:rsidRPr="00556915" w14:paraId="6385E9B4" w14:textId="77777777" w:rsidTr="00C35804">
        <w:trPr>
          <w:cantSplit/>
          <w:trHeight w:val="253"/>
        </w:trPr>
        <w:tc>
          <w:tcPr>
            <w:tcW w:w="2552" w:type="dxa"/>
            <w:shd w:val="clear" w:color="auto" w:fill="7F7F7F" w:themeFill="text1" w:themeFillTint="80"/>
            <w:vAlign w:val="center"/>
            <w:hideMark/>
          </w:tcPr>
          <w:p w14:paraId="60C332BA" w14:textId="77777777" w:rsidR="00AC7EE5" w:rsidRPr="00556915" w:rsidRDefault="00AC7EE5" w:rsidP="00AC7EE5">
            <w:pPr>
              <w:rPr>
                <w:color w:val="FFFFFF" w:themeColor="background1"/>
              </w:rPr>
            </w:pPr>
            <w:r w:rsidRPr="00556915">
              <w:rPr>
                <w:color w:val="FFFFFF" w:themeColor="background1"/>
              </w:rPr>
              <w:t>Standard assessment - large activity</w:t>
            </w:r>
          </w:p>
        </w:tc>
        <w:tc>
          <w:tcPr>
            <w:tcW w:w="1559" w:type="dxa"/>
            <w:shd w:val="clear" w:color="auto" w:fill="auto"/>
            <w:vAlign w:val="center"/>
          </w:tcPr>
          <w:p w14:paraId="3B7DFD2F" w14:textId="37AE16B5" w:rsidR="00AC7EE5" w:rsidRPr="003D4288" w:rsidRDefault="00AC7EE5" w:rsidP="00AC7EE5">
            <w:pPr>
              <w:jc w:val="center"/>
            </w:pPr>
            <w:r w:rsidRPr="00236DA8">
              <w:t>107</w:t>
            </w:r>
          </w:p>
        </w:tc>
        <w:tc>
          <w:tcPr>
            <w:tcW w:w="1418" w:type="dxa"/>
          </w:tcPr>
          <w:p w14:paraId="1EEE9E8B" w14:textId="2034E38E" w:rsidR="00AC7EE5" w:rsidRPr="00FF1339" w:rsidRDefault="00AC7EE5" w:rsidP="00AC7EE5">
            <w:pPr>
              <w:jc w:val="center"/>
            </w:pPr>
            <w:r w:rsidRPr="00056780">
              <w:t xml:space="preserve"> 105 </w:t>
            </w:r>
          </w:p>
        </w:tc>
        <w:tc>
          <w:tcPr>
            <w:tcW w:w="1559" w:type="dxa"/>
          </w:tcPr>
          <w:p w14:paraId="643F3359" w14:textId="280A718A" w:rsidR="00AC7EE5" w:rsidRPr="00FF1339" w:rsidRDefault="00AC7EE5" w:rsidP="00AC7EE5">
            <w:pPr>
              <w:jc w:val="center"/>
            </w:pPr>
            <w:r w:rsidRPr="0027578A">
              <w:t xml:space="preserve"> 149 </w:t>
            </w:r>
          </w:p>
        </w:tc>
        <w:tc>
          <w:tcPr>
            <w:tcW w:w="1701" w:type="dxa"/>
          </w:tcPr>
          <w:p w14:paraId="6B66D853" w14:textId="33B28264" w:rsidR="00AC7EE5" w:rsidRPr="00232080" w:rsidRDefault="00AC7EE5" w:rsidP="00AC7EE5">
            <w:pPr>
              <w:jc w:val="center"/>
            </w:pPr>
            <w:r w:rsidRPr="00D85C4E">
              <w:t xml:space="preserve"> 54 </w:t>
            </w:r>
          </w:p>
        </w:tc>
      </w:tr>
      <w:tr w:rsidR="00AC7EE5" w:rsidRPr="00556915" w14:paraId="7C9F12D5" w14:textId="77777777" w:rsidTr="00C35804">
        <w:trPr>
          <w:cantSplit/>
          <w:trHeight w:val="253"/>
        </w:trPr>
        <w:tc>
          <w:tcPr>
            <w:tcW w:w="2552" w:type="dxa"/>
            <w:shd w:val="clear" w:color="auto" w:fill="7F7F7F" w:themeFill="text1" w:themeFillTint="80"/>
            <w:vAlign w:val="center"/>
            <w:hideMark/>
          </w:tcPr>
          <w:p w14:paraId="23637A7B" w14:textId="77777777" w:rsidR="00AC7EE5" w:rsidRPr="00556915" w:rsidRDefault="00AC7EE5" w:rsidP="00AC7EE5">
            <w:pPr>
              <w:rPr>
                <w:color w:val="FFFFFF" w:themeColor="background1"/>
              </w:rPr>
            </w:pPr>
            <w:r w:rsidRPr="00556915">
              <w:rPr>
                <w:color w:val="FFFFFF" w:themeColor="background1"/>
              </w:rPr>
              <w:t>Complex assessment - small activity</w:t>
            </w:r>
          </w:p>
        </w:tc>
        <w:tc>
          <w:tcPr>
            <w:tcW w:w="1559" w:type="dxa"/>
            <w:shd w:val="clear" w:color="auto" w:fill="auto"/>
            <w:vAlign w:val="center"/>
          </w:tcPr>
          <w:p w14:paraId="3A5E7D3A" w14:textId="2CA9E2EA" w:rsidR="00AC7EE5" w:rsidRPr="003D4288" w:rsidRDefault="00AC7EE5" w:rsidP="00AC7EE5">
            <w:pPr>
              <w:jc w:val="center"/>
            </w:pPr>
            <w:r w:rsidRPr="00236DA8">
              <w:t>53</w:t>
            </w:r>
          </w:p>
        </w:tc>
        <w:tc>
          <w:tcPr>
            <w:tcW w:w="1418" w:type="dxa"/>
          </w:tcPr>
          <w:p w14:paraId="4689D9B5" w14:textId="62410633" w:rsidR="00AC7EE5" w:rsidRPr="00FF1339" w:rsidRDefault="00AC7EE5" w:rsidP="00AC7EE5">
            <w:pPr>
              <w:jc w:val="center"/>
            </w:pPr>
            <w:r w:rsidRPr="00056780">
              <w:t xml:space="preserve"> 41 </w:t>
            </w:r>
          </w:p>
        </w:tc>
        <w:tc>
          <w:tcPr>
            <w:tcW w:w="1559" w:type="dxa"/>
          </w:tcPr>
          <w:p w14:paraId="43A93163" w14:textId="7397C47E" w:rsidR="00AC7EE5" w:rsidRPr="00FF1339" w:rsidRDefault="00AC7EE5" w:rsidP="00AC7EE5">
            <w:pPr>
              <w:jc w:val="center"/>
            </w:pPr>
            <w:r w:rsidRPr="0027578A">
              <w:t xml:space="preserve"> 57 </w:t>
            </w:r>
          </w:p>
        </w:tc>
        <w:tc>
          <w:tcPr>
            <w:tcW w:w="1701" w:type="dxa"/>
          </w:tcPr>
          <w:p w14:paraId="55F6EAEB" w14:textId="2059FA2E" w:rsidR="00AC7EE5" w:rsidRPr="00232080" w:rsidRDefault="00AC7EE5" w:rsidP="00AC7EE5">
            <w:pPr>
              <w:jc w:val="center"/>
            </w:pPr>
            <w:r w:rsidRPr="00D85C4E">
              <w:t xml:space="preserve"> 24 </w:t>
            </w:r>
          </w:p>
        </w:tc>
      </w:tr>
      <w:tr w:rsidR="00AC7EE5" w:rsidRPr="00556915" w14:paraId="3DD2CCB3" w14:textId="77777777" w:rsidTr="00C35804">
        <w:trPr>
          <w:cantSplit/>
          <w:trHeight w:val="253"/>
        </w:trPr>
        <w:tc>
          <w:tcPr>
            <w:tcW w:w="2552" w:type="dxa"/>
            <w:shd w:val="clear" w:color="auto" w:fill="7F7F7F" w:themeFill="text1" w:themeFillTint="80"/>
            <w:vAlign w:val="center"/>
            <w:hideMark/>
          </w:tcPr>
          <w:p w14:paraId="7DA270EF" w14:textId="77777777" w:rsidR="00AC7EE5" w:rsidRPr="00556915" w:rsidRDefault="00AC7EE5" w:rsidP="00AC7EE5">
            <w:pPr>
              <w:rPr>
                <w:color w:val="FFFFFF" w:themeColor="background1"/>
              </w:rPr>
            </w:pPr>
            <w:r w:rsidRPr="00556915">
              <w:rPr>
                <w:color w:val="FFFFFF" w:themeColor="background1"/>
              </w:rPr>
              <w:t>Complex assessment - medium activity</w:t>
            </w:r>
          </w:p>
        </w:tc>
        <w:tc>
          <w:tcPr>
            <w:tcW w:w="1559" w:type="dxa"/>
            <w:shd w:val="clear" w:color="auto" w:fill="auto"/>
            <w:vAlign w:val="center"/>
          </w:tcPr>
          <w:p w14:paraId="5BD36EE4" w14:textId="0C72F797" w:rsidR="00AC7EE5" w:rsidRPr="003D4288" w:rsidRDefault="00AC7EE5" w:rsidP="00AC7EE5">
            <w:pPr>
              <w:jc w:val="center"/>
            </w:pPr>
            <w:r w:rsidRPr="00236DA8">
              <w:t>107</w:t>
            </w:r>
          </w:p>
        </w:tc>
        <w:tc>
          <w:tcPr>
            <w:tcW w:w="1418" w:type="dxa"/>
          </w:tcPr>
          <w:p w14:paraId="74F2DBB1" w14:textId="36DF7979" w:rsidR="00AC7EE5" w:rsidRPr="00FF1339" w:rsidRDefault="00AC7EE5" w:rsidP="00AC7EE5">
            <w:pPr>
              <w:jc w:val="center"/>
            </w:pPr>
            <w:r w:rsidRPr="00056780">
              <w:t xml:space="preserve"> 84 </w:t>
            </w:r>
          </w:p>
        </w:tc>
        <w:tc>
          <w:tcPr>
            <w:tcW w:w="1559" w:type="dxa"/>
          </w:tcPr>
          <w:p w14:paraId="281EDDAC" w14:textId="3643EABA" w:rsidR="00AC7EE5" w:rsidRPr="00FF1339" w:rsidRDefault="00AC7EE5" w:rsidP="00AC7EE5">
            <w:pPr>
              <w:jc w:val="center"/>
            </w:pPr>
            <w:r w:rsidRPr="0027578A">
              <w:t xml:space="preserve"> 114 </w:t>
            </w:r>
          </w:p>
        </w:tc>
        <w:tc>
          <w:tcPr>
            <w:tcW w:w="1701" w:type="dxa"/>
          </w:tcPr>
          <w:p w14:paraId="59521A96" w14:textId="6690BE41" w:rsidR="00AC7EE5" w:rsidRPr="00232080" w:rsidRDefault="00AC7EE5" w:rsidP="00AC7EE5">
            <w:pPr>
              <w:jc w:val="center"/>
            </w:pPr>
            <w:r w:rsidRPr="00D85C4E">
              <w:t xml:space="preserve"> 48 </w:t>
            </w:r>
          </w:p>
        </w:tc>
      </w:tr>
      <w:tr w:rsidR="00AC7EE5" w:rsidRPr="00556915" w14:paraId="07BBEF76" w14:textId="77777777" w:rsidTr="00C35804">
        <w:trPr>
          <w:cantSplit/>
          <w:trHeight w:val="253"/>
        </w:trPr>
        <w:tc>
          <w:tcPr>
            <w:tcW w:w="2552" w:type="dxa"/>
            <w:shd w:val="clear" w:color="auto" w:fill="7F7F7F" w:themeFill="text1" w:themeFillTint="80"/>
            <w:vAlign w:val="center"/>
            <w:hideMark/>
          </w:tcPr>
          <w:p w14:paraId="5B03D18F" w14:textId="77777777" w:rsidR="00AC7EE5" w:rsidRPr="00556915" w:rsidRDefault="00AC7EE5" w:rsidP="00AC7EE5">
            <w:pPr>
              <w:rPr>
                <w:color w:val="FFFFFF" w:themeColor="background1"/>
              </w:rPr>
            </w:pPr>
            <w:r w:rsidRPr="00556915">
              <w:rPr>
                <w:color w:val="FFFFFF" w:themeColor="background1"/>
              </w:rPr>
              <w:t>Complex assessment - large activity</w:t>
            </w:r>
          </w:p>
        </w:tc>
        <w:tc>
          <w:tcPr>
            <w:tcW w:w="1559" w:type="dxa"/>
            <w:shd w:val="clear" w:color="auto" w:fill="auto"/>
            <w:vAlign w:val="center"/>
          </w:tcPr>
          <w:p w14:paraId="3C8B2F52" w14:textId="31910165" w:rsidR="00AC7EE5" w:rsidRPr="003D4288" w:rsidRDefault="00AC7EE5" w:rsidP="00AC7EE5">
            <w:pPr>
              <w:jc w:val="center"/>
            </w:pPr>
            <w:r w:rsidRPr="00236DA8">
              <w:t>213</w:t>
            </w:r>
          </w:p>
        </w:tc>
        <w:tc>
          <w:tcPr>
            <w:tcW w:w="1418" w:type="dxa"/>
          </w:tcPr>
          <w:p w14:paraId="579200A5" w14:textId="59DFB7E7" w:rsidR="00AC7EE5" w:rsidRPr="00FF1339" w:rsidRDefault="00AC7EE5" w:rsidP="00AC7EE5">
            <w:pPr>
              <w:jc w:val="center"/>
            </w:pPr>
            <w:r w:rsidRPr="00056780">
              <w:t xml:space="preserve"> 167 </w:t>
            </w:r>
          </w:p>
        </w:tc>
        <w:tc>
          <w:tcPr>
            <w:tcW w:w="1559" w:type="dxa"/>
          </w:tcPr>
          <w:p w14:paraId="6003C9CC" w14:textId="769EEF28" w:rsidR="00AC7EE5" w:rsidRPr="00FF1339" w:rsidRDefault="00AC7EE5" w:rsidP="00AC7EE5">
            <w:pPr>
              <w:jc w:val="center"/>
            </w:pPr>
            <w:r w:rsidRPr="0027578A">
              <w:t xml:space="preserve"> 227 </w:t>
            </w:r>
          </w:p>
        </w:tc>
        <w:tc>
          <w:tcPr>
            <w:tcW w:w="1701" w:type="dxa"/>
          </w:tcPr>
          <w:p w14:paraId="42A3247F" w14:textId="4A49D45B" w:rsidR="00AC7EE5" w:rsidRPr="00232080" w:rsidRDefault="00AC7EE5" w:rsidP="00AC7EE5">
            <w:pPr>
              <w:jc w:val="center"/>
            </w:pPr>
            <w:r w:rsidRPr="00D85C4E">
              <w:t xml:space="preserve"> 96 </w:t>
            </w:r>
          </w:p>
        </w:tc>
      </w:tr>
      <w:tr w:rsidR="00AC7EE5" w:rsidRPr="00556915" w14:paraId="7C5684B2" w14:textId="77777777" w:rsidTr="00C35804">
        <w:trPr>
          <w:cantSplit/>
          <w:trHeight w:val="253"/>
        </w:trPr>
        <w:tc>
          <w:tcPr>
            <w:tcW w:w="2552" w:type="dxa"/>
            <w:shd w:val="clear" w:color="auto" w:fill="7F7F7F" w:themeFill="text1" w:themeFillTint="80"/>
            <w:vAlign w:val="center"/>
            <w:hideMark/>
          </w:tcPr>
          <w:p w14:paraId="4FDE34BE" w14:textId="77777777" w:rsidR="00AC7EE5" w:rsidRPr="00556915" w:rsidRDefault="00AC7EE5" w:rsidP="00AC7EE5">
            <w:pPr>
              <w:rPr>
                <w:b/>
                <w:bCs/>
                <w:color w:val="FFFFFF" w:themeColor="background1"/>
              </w:rPr>
            </w:pPr>
            <w:r w:rsidRPr="00556915">
              <w:rPr>
                <w:b/>
                <w:bCs/>
                <w:color w:val="FFFFFF" w:themeColor="background1"/>
              </w:rPr>
              <w:t>Approval of an amendment to a CHMP</w:t>
            </w:r>
          </w:p>
        </w:tc>
        <w:tc>
          <w:tcPr>
            <w:tcW w:w="1559" w:type="dxa"/>
            <w:shd w:val="clear" w:color="auto" w:fill="auto"/>
            <w:vAlign w:val="center"/>
          </w:tcPr>
          <w:p w14:paraId="1A9A43AE" w14:textId="22EF599C" w:rsidR="00AC7EE5" w:rsidRPr="003D4288" w:rsidRDefault="00AC7EE5" w:rsidP="00AC7EE5">
            <w:pPr>
              <w:jc w:val="center"/>
            </w:pPr>
            <w:r w:rsidRPr="00236DA8">
              <w:t>32</w:t>
            </w:r>
          </w:p>
        </w:tc>
        <w:tc>
          <w:tcPr>
            <w:tcW w:w="1418" w:type="dxa"/>
          </w:tcPr>
          <w:p w14:paraId="17C0CBC5" w14:textId="0D648672" w:rsidR="00AC7EE5" w:rsidRPr="00FF1339" w:rsidRDefault="00AC7EE5" w:rsidP="00AC7EE5">
            <w:pPr>
              <w:jc w:val="center"/>
            </w:pPr>
            <w:r w:rsidRPr="00056780">
              <w:t xml:space="preserve"> 53 </w:t>
            </w:r>
          </w:p>
        </w:tc>
        <w:tc>
          <w:tcPr>
            <w:tcW w:w="1559" w:type="dxa"/>
          </w:tcPr>
          <w:p w14:paraId="13DA6D90" w14:textId="64867FA8" w:rsidR="00AC7EE5" w:rsidRPr="00FF1339" w:rsidRDefault="00AC7EE5" w:rsidP="00AC7EE5">
            <w:pPr>
              <w:jc w:val="center"/>
            </w:pPr>
            <w:r w:rsidRPr="0027578A">
              <w:t xml:space="preserve"> 80 </w:t>
            </w:r>
          </w:p>
        </w:tc>
        <w:tc>
          <w:tcPr>
            <w:tcW w:w="1701" w:type="dxa"/>
          </w:tcPr>
          <w:p w14:paraId="2B2317D8" w14:textId="16DC2B5F" w:rsidR="00AC7EE5" w:rsidRPr="00232080" w:rsidRDefault="00AC7EE5" w:rsidP="00AC7EE5">
            <w:pPr>
              <w:jc w:val="center"/>
            </w:pPr>
            <w:r w:rsidRPr="00D85C4E">
              <w:t xml:space="preserve"> 28 </w:t>
            </w:r>
          </w:p>
        </w:tc>
      </w:tr>
      <w:tr w:rsidR="00AC7EE5" w:rsidRPr="00556915" w14:paraId="5369B821" w14:textId="77777777" w:rsidTr="00C35804">
        <w:trPr>
          <w:cantSplit/>
          <w:trHeight w:val="253"/>
        </w:trPr>
        <w:tc>
          <w:tcPr>
            <w:tcW w:w="2552" w:type="dxa"/>
            <w:shd w:val="clear" w:color="auto" w:fill="7F7F7F" w:themeFill="text1" w:themeFillTint="80"/>
            <w:vAlign w:val="center"/>
            <w:hideMark/>
          </w:tcPr>
          <w:p w14:paraId="1E2D8898" w14:textId="77777777" w:rsidR="00AC7EE5" w:rsidRPr="00556915" w:rsidRDefault="00AC7EE5" w:rsidP="00AC7EE5">
            <w:pPr>
              <w:rPr>
                <w:b/>
                <w:bCs/>
                <w:color w:val="FFFFFF" w:themeColor="background1"/>
              </w:rPr>
            </w:pPr>
            <w:r w:rsidRPr="00556915">
              <w:rPr>
                <w:b/>
                <w:bCs/>
                <w:color w:val="FFFFFF" w:themeColor="background1"/>
              </w:rPr>
              <w:t>Application for access to the Register</w:t>
            </w:r>
          </w:p>
        </w:tc>
        <w:tc>
          <w:tcPr>
            <w:tcW w:w="1559" w:type="dxa"/>
            <w:shd w:val="clear" w:color="auto" w:fill="auto"/>
            <w:vAlign w:val="center"/>
          </w:tcPr>
          <w:p w14:paraId="53DDE04C" w14:textId="534D67F3" w:rsidR="00AC7EE5" w:rsidRPr="003D4288" w:rsidRDefault="00AC7EE5" w:rsidP="00AC7EE5">
            <w:pPr>
              <w:jc w:val="center"/>
            </w:pPr>
            <w:r w:rsidRPr="00236DA8">
              <w:t>16</w:t>
            </w:r>
          </w:p>
        </w:tc>
        <w:tc>
          <w:tcPr>
            <w:tcW w:w="1418" w:type="dxa"/>
          </w:tcPr>
          <w:p w14:paraId="3138D73A" w14:textId="17789F1A" w:rsidR="00AC7EE5" w:rsidRPr="00FF1339" w:rsidRDefault="00AC7EE5" w:rsidP="00AC7EE5">
            <w:pPr>
              <w:jc w:val="center"/>
            </w:pPr>
            <w:r w:rsidRPr="00056780">
              <w:t xml:space="preserve"> 18 </w:t>
            </w:r>
          </w:p>
        </w:tc>
        <w:tc>
          <w:tcPr>
            <w:tcW w:w="1559" w:type="dxa"/>
          </w:tcPr>
          <w:p w14:paraId="37A8E7FF" w14:textId="097C55C8" w:rsidR="00AC7EE5" w:rsidRPr="00FF1339" w:rsidRDefault="00AC7EE5" w:rsidP="00AC7EE5">
            <w:pPr>
              <w:jc w:val="center"/>
            </w:pPr>
            <w:r w:rsidRPr="0027578A">
              <w:t xml:space="preserve"> 18 </w:t>
            </w:r>
          </w:p>
        </w:tc>
        <w:tc>
          <w:tcPr>
            <w:tcW w:w="1701" w:type="dxa"/>
          </w:tcPr>
          <w:p w14:paraId="01F29C7A" w14:textId="01F38904" w:rsidR="00AC7EE5" w:rsidRPr="00232080" w:rsidRDefault="00AC7EE5" w:rsidP="00AC7EE5">
            <w:pPr>
              <w:jc w:val="center"/>
            </w:pPr>
            <w:r w:rsidRPr="00D85C4E">
              <w:t xml:space="preserve"> N/A </w:t>
            </w:r>
          </w:p>
        </w:tc>
      </w:tr>
      <w:tr w:rsidR="00AC7EE5" w:rsidRPr="00556915" w14:paraId="1F01C31F" w14:textId="77777777" w:rsidTr="00C35804">
        <w:trPr>
          <w:cantSplit/>
          <w:trHeight w:val="253"/>
        </w:trPr>
        <w:tc>
          <w:tcPr>
            <w:tcW w:w="2552" w:type="dxa"/>
            <w:shd w:val="clear" w:color="auto" w:fill="7F7F7F" w:themeFill="text1" w:themeFillTint="80"/>
            <w:vAlign w:val="center"/>
            <w:hideMark/>
          </w:tcPr>
          <w:p w14:paraId="19C9B298" w14:textId="77777777" w:rsidR="00AC7EE5" w:rsidRPr="00556915" w:rsidRDefault="00AC7EE5" w:rsidP="00AC7EE5">
            <w:pPr>
              <w:rPr>
                <w:b/>
                <w:bCs/>
                <w:color w:val="FFFFFF" w:themeColor="background1"/>
              </w:rPr>
            </w:pPr>
            <w:r w:rsidRPr="00556915">
              <w:rPr>
                <w:b/>
                <w:bCs/>
                <w:color w:val="FFFFFF" w:themeColor="background1"/>
              </w:rPr>
              <w:t>Application for advice on the Register</w:t>
            </w:r>
          </w:p>
        </w:tc>
        <w:tc>
          <w:tcPr>
            <w:tcW w:w="1559" w:type="dxa"/>
            <w:shd w:val="clear" w:color="auto" w:fill="auto"/>
            <w:vAlign w:val="center"/>
          </w:tcPr>
          <w:p w14:paraId="69D52B36" w14:textId="5B99AA8B" w:rsidR="00AC7EE5" w:rsidRDefault="00AC7EE5" w:rsidP="00AC7EE5">
            <w:pPr>
              <w:jc w:val="center"/>
            </w:pPr>
            <w:r w:rsidRPr="00236DA8">
              <w:t>6</w:t>
            </w:r>
          </w:p>
        </w:tc>
        <w:tc>
          <w:tcPr>
            <w:tcW w:w="1418" w:type="dxa"/>
          </w:tcPr>
          <w:p w14:paraId="280BE224" w14:textId="76DC0A22" w:rsidR="00AC7EE5" w:rsidRPr="00FF1339" w:rsidRDefault="00AC7EE5" w:rsidP="00AC7EE5">
            <w:pPr>
              <w:jc w:val="center"/>
            </w:pPr>
            <w:r w:rsidRPr="00056780">
              <w:t xml:space="preserve"> 12 </w:t>
            </w:r>
          </w:p>
        </w:tc>
        <w:tc>
          <w:tcPr>
            <w:tcW w:w="1559" w:type="dxa"/>
          </w:tcPr>
          <w:p w14:paraId="508D64FB" w14:textId="727DB695" w:rsidR="00AC7EE5" w:rsidRPr="00FF1339" w:rsidRDefault="00AC7EE5" w:rsidP="00AC7EE5">
            <w:pPr>
              <w:jc w:val="center"/>
            </w:pPr>
            <w:r w:rsidRPr="0027578A">
              <w:t xml:space="preserve"> 12 </w:t>
            </w:r>
          </w:p>
        </w:tc>
        <w:tc>
          <w:tcPr>
            <w:tcW w:w="1701" w:type="dxa"/>
          </w:tcPr>
          <w:p w14:paraId="31E7A716" w14:textId="5BD2690A" w:rsidR="00AC7EE5" w:rsidRPr="00232080" w:rsidRDefault="00AC7EE5" w:rsidP="00AC7EE5">
            <w:pPr>
              <w:jc w:val="center"/>
            </w:pPr>
            <w:r w:rsidRPr="00D85C4E">
              <w:t xml:space="preserve"> N/A </w:t>
            </w:r>
          </w:p>
        </w:tc>
      </w:tr>
    </w:tbl>
    <w:p w14:paraId="4D8042F4" w14:textId="13BE957F" w:rsidR="003E6862" w:rsidRDefault="003E6862">
      <w:pPr>
        <w:pStyle w:val="PwCNormal"/>
        <w:numPr>
          <w:ilvl w:val="0"/>
          <w:numId w:val="0"/>
        </w:numPr>
        <w:rPr>
          <w:lang w:val="en-US"/>
        </w:rPr>
      </w:pPr>
    </w:p>
    <w:p w14:paraId="3E01E1C9" w14:textId="0C8A863B" w:rsidR="003E6862" w:rsidRDefault="003E6862" w:rsidP="00705BA8">
      <w:pPr>
        <w:pStyle w:val="Heading7"/>
        <w:rPr>
          <w:lang w:val="en-US"/>
        </w:rPr>
      </w:pPr>
      <w:r>
        <w:rPr>
          <w:lang w:val="en-US"/>
        </w:rPr>
        <w:t>Scoring of fee options</w:t>
      </w:r>
    </w:p>
    <w:p w14:paraId="6539F463" w14:textId="10EEE034" w:rsidR="004F1EC6" w:rsidRDefault="00763EF5" w:rsidP="00705BA8">
      <w:pPr>
        <w:pStyle w:val="PwCNormal"/>
      </w:pPr>
      <w:r>
        <w:t xml:space="preserve">The fee options are assessed using multi-criteria analysis. </w:t>
      </w:r>
      <w:r w:rsidR="003E6862" w:rsidRPr="00705BA8">
        <w:t>The fee options are scored against each criterion between -</w:t>
      </w:r>
      <w:r w:rsidR="00AC7EE5">
        <w:t>10</w:t>
      </w:r>
      <w:r w:rsidR="003E6862" w:rsidRPr="00705BA8">
        <w:t xml:space="preserve"> and +</w:t>
      </w:r>
      <w:r w:rsidR="00AC7EE5">
        <w:t>10</w:t>
      </w:r>
      <w:r w:rsidR="003E6862" w:rsidRPr="00705BA8">
        <w:t xml:space="preserve"> relative to the base case. Each score is then weighted according to the weightings shown in </w:t>
      </w:r>
      <w:r w:rsidR="003E6862" w:rsidRPr="00705BA8">
        <w:fldChar w:fldCharType="begin"/>
      </w:r>
      <w:r w:rsidR="003E6862" w:rsidRPr="00705BA8">
        <w:instrText xml:space="preserve"> REF _Ref504376520 \h </w:instrText>
      </w:r>
      <w:r w:rsidR="004F1EC6" w:rsidRPr="000B38DC">
        <w:instrText xml:space="preserve"> \* MERGEFORMAT </w:instrText>
      </w:r>
      <w:r w:rsidR="003E6862" w:rsidRPr="00705BA8">
        <w:fldChar w:fldCharType="separate"/>
      </w:r>
      <w:r w:rsidR="000369A1">
        <w:t>Table 24</w:t>
      </w:r>
      <w:r w:rsidR="003E6862" w:rsidRPr="00705BA8">
        <w:fldChar w:fldCharType="end"/>
      </w:r>
      <w:r w:rsidR="004F1EC6" w:rsidRPr="00705BA8">
        <w:t>.</w:t>
      </w:r>
      <w:r w:rsidR="004F1EC6" w:rsidRPr="00DC4A3F">
        <w:t xml:space="preserve"> </w:t>
      </w:r>
    </w:p>
    <w:p w14:paraId="6EE13A66" w14:textId="35D89ACF" w:rsidR="00C811D7" w:rsidRDefault="00DC4A3F" w:rsidP="00705BA8">
      <w:pPr>
        <w:pStyle w:val="PwCNormal"/>
      </w:pPr>
      <w:r>
        <w:t xml:space="preserve">Under the base case, </w:t>
      </w:r>
      <w:r w:rsidR="006A4BE4">
        <w:t xml:space="preserve">fees levels would not be set, which means fees would not be able to be charged. RAPs may either not choose to undertake any </w:t>
      </w:r>
      <w:r w:rsidR="0002399D">
        <w:t>evaluations</w:t>
      </w:r>
      <w:r w:rsidR="006A4BE4">
        <w:t xml:space="preserve">, or their financial sustainability may be jeopardised if they cannot find other funding to cover the cost of undertaking </w:t>
      </w:r>
      <w:r w:rsidR="0002399D">
        <w:t>evaluations</w:t>
      </w:r>
      <w:r w:rsidR="006A4BE4">
        <w:t>.</w:t>
      </w:r>
    </w:p>
    <w:p w14:paraId="7FBACB07" w14:textId="34C02BC4" w:rsidR="004F1EC6" w:rsidRDefault="00F36329" w:rsidP="00705BA8">
      <w:pPr>
        <w:pStyle w:val="Caption"/>
      </w:pPr>
      <w:r>
        <w:t>Full cost recovery</w:t>
      </w:r>
    </w:p>
    <w:p w14:paraId="15CE4FB3" w14:textId="05136EF7" w:rsidR="006A4BE4" w:rsidRDefault="003D3EF7" w:rsidP="00705BA8">
      <w:pPr>
        <w:pStyle w:val="ListBullet"/>
      </w:pPr>
      <w:r>
        <w:t>Fee o</w:t>
      </w:r>
      <w:r w:rsidR="00F36329">
        <w:t xml:space="preserve">ption 1: </w:t>
      </w:r>
      <w:r w:rsidR="006A4BE4">
        <w:t xml:space="preserve">Using the current fees means that the data used to estimate the fee levels will be out-of-date, </w:t>
      </w:r>
      <w:r>
        <w:t xml:space="preserve">would lead to under-recovery from some regulated parties and over-recovery from others. This </w:t>
      </w:r>
      <w:r w:rsidR="006A4BE4">
        <w:t xml:space="preserve">is likely to lead to an inefficient and/or inequitable allocation of resources. </w:t>
      </w:r>
      <w:r w:rsidR="00C0222E">
        <w:t xml:space="preserve">However, compared to the base case scenario, Option 1 does provide for </w:t>
      </w:r>
      <w:r w:rsidR="003E3708">
        <w:t>approximately 82 per cent</w:t>
      </w:r>
      <w:r w:rsidR="00C0222E">
        <w:t xml:space="preserve"> cost recovery</w:t>
      </w:r>
      <w:r w:rsidR="00934BA9">
        <w:t>, due to the fee levels being based on different estimates of evaluation costs</w:t>
      </w:r>
      <w:r w:rsidR="00C0222E">
        <w:t xml:space="preserve">. </w:t>
      </w:r>
      <w:r w:rsidR="00502A83" w:rsidRPr="00705BA8">
        <w:rPr>
          <w:i/>
        </w:rPr>
        <w:t xml:space="preserve">(Score: </w:t>
      </w:r>
      <w:r w:rsidR="00C0222E" w:rsidRPr="00705BA8">
        <w:rPr>
          <w:i/>
        </w:rPr>
        <w:t>+</w:t>
      </w:r>
      <w:r w:rsidR="00AC7EE5">
        <w:rPr>
          <w:i/>
        </w:rPr>
        <w:t>4</w:t>
      </w:r>
      <w:r w:rsidR="00502A83" w:rsidRPr="00705BA8">
        <w:rPr>
          <w:i/>
        </w:rPr>
        <w:t>)</w:t>
      </w:r>
    </w:p>
    <w:p w14:paraId="77CB7FD7" w14:textId="5594A87C" w:rsidR="00F36329" w:rsidRDefault="003D3EF7" w:rsidP="00F36329">
      <w:pPr>
        <w:pStyle w:val="ListBullet"/>
      </w:pPr>
      <w:r>
        <w:t>Fee o</w:t>
      </w:r>
      <w:r w:rsidR="00F36329">
        <w:t xml:space="preserve">ption 2: </w:t>
      </w:r>
      <w:r w:rsidR="00F36329" w:rsidRPr="00AC7EE5">
        <w:t>Option 2 represents an improvement on Option 1 as the fee levels have been updated using current data</w:t>
      </w:r>
      <w:r>
        <w:t>. Importantly, there is no longer over-recovery from regulated parties, however, total cost recovery is similar to fee option 1</w:t>
      </w:r>
      <w:r w:rsidR="00F36329" w:rsidRPr="00AC7EE5">
        <w:t>. The weighted average cost does provide some level of cross-subsidisation (mostly from Government to RAPs), which</w:t>
      </w:r>
      <w:r w:rsidR="00F36329">
        <w:t>, along with under-recovery for CHP and applications for advice on the Register,</w:t>
      </w:r>
      <w:r w:rsidR="00F36329" w:rsidRPr="00AC7EE5">
        <w:t xml:space="preserve"> reduces the extent of full cost recovery </w:t>
      </w:r>
      <w:r w:rsidR="00F36329" w:rsidRPr="00307176">
        <w:t>to 81</w:t>
      </w:r>
      <w:r w:rsidR="00F36329" w:rsidRPr="00AC7EE5">
        <w:t xml:space="preserve"> per cent.</w:t>
      </w:r>
      <w:r w:rsidR="00F36329">
        <w:t xml:space="preserve"> </w:t>
      </w:r>
      <w:r w:rsidR="00F36329" w:rsidRPr="00705BA8">
        <w:rPr>
          <w:i/>
        </w:rPr>
        <w:t>(Score: +</w:t>
      </w:r>
      <w:r w:rsidR="00F36329">
        <w:rPr>
          <w:i/>
        </w:rPr>
        <w:t>5</w:t>
      </w:r>
      <w:r w:rsidR="00F36329" w:rsidRPr="00705BA8">
        <w:rPr>
          <w:i/>
        </w:rPr>
        <w:t>)</w:t>
      </w:r>
    </w:p>
    <w:p w14:paraId="496751F8" w14:textId="6BA79D5F" w:rsidR="00F36329" w:rsidRDefault="003D3EF7" w:rsidP="00F36329">
      <w:pPr>
        <w:pStyle w:val="ListBullet"/>
      </w:pPr>
      <w:r>
        <w:t>Fee o</w:t>
      </w:r>
      <w:r w:rsidR="00F36329">
        <w:t>ption 3: Option 3 achieves a greater level of precision in cost recovery by providing for variable fees by assessor. This ensures that less cross-subsidisation occurs and the fees are closer to the actual cost of the activity for each party</w:t>
      </w:r>
      <w:r w:rsidR="00F11426">
        <w:t>,</w:t>
      </w:r>
      <w:r w:rsidR="00F36329">
        <w:rPr>
          <w:rStyle w:val="FootnoteReference"/>
        </w:rPr>
        <w:footnoteReference w:id="132"/>
      </w:r>
      <w:r w:rsidR="00F36329">
        <w:t xml:space="preserve"> </w:t>
      </w:r>
      <w:r w:rsidR="00F11426">
        <w:t xml:space="preserve">however, also means that an applicant may face higher fee levels if they plan work in a high fee area (compared with an otherwise identical applicant undertaking </w:t>
      </w:r>
      <w:r w:rsidR="003A4F62">
        <w:t>work in a low fee area), which may be considered unfair.</w:t>
      </w:r>
      <w:r w:rsidR="00F11426">
        <w:t xml:space="preserve"> </w:t>
      </w:r>
      <w:r w:rsidR="00F36329">
        <w:t>This fee option also ensures that RAPs receive appropriate funding for their evaluations. The proportion of cost recovery is the same as fee option 2, at 81 per cent.</w:t>
      </w:r>
      <w:r w:rsidR="00F36329">
        <w:rPr>
          <w:rStyle w:val="FootnoteReference"/>
        </w:rPr>
        <w:footnoteReference w:id="133"/>
      </w:r>
      <w:r w:rsidR="00F36329">
        <w:t xml:space="preserve"> </w:t>
      </w:r>
      <w:r w:rsidR="00F36329" w:rsidRPr="00705BA8">
        <w:rPr>
          <w:i/>
        </w:rPr>
        <w:t>(Score: +</w:t>
      </w:r>
      <w:r w:rsidR="00F36329">
        <w:rPr>
          <w:i/>
        </w:rPr>
        <w:t>5</w:t>
      </w:r>
      <w:r w:rsidR="00F36329" w:rsidRPr="00705BA8">
        <w:rPr>
          <w:i/>
        </w:rPr>
        <w:t>)</w:t>
      </w:r>
    </w:p>
    <w:p w14:paraId="08AED395" w14:textId="72FF36B9" w:rsidR="00AB64BA" w:rsidRDefault="00F36329" w:rsidP="00F36329">
      <w:pPr>
        <w:pStyle w:val="Caption"/>
        <w:ind w:left="0" w:firstLine="0"/>
      </w:pPr>
      <w:r>
        <w:t>Preventing induced demand changes</w:t>
      </w:r>
    </w:p>
    <w:p w14:paraId="6D26201D" w14:textId="184D48DD" w:rsidR="00F36329" w:rsidRPr="00705BA8" w:rsidRDefault="003D3EF7" w:rsidP="00F36329">
      <w:pPr>
        <w:pStyle w:val="ListBullet"/>
      </w:pPr>
      <w:r>
        <w:t>Fee o</w:t>
      </w:r>
      <w:r w:rsidR="00F36329">
        <w:t xml:space="preserve">ption 1: The fee levels in Option 1 would provide a level of consistency with the current fee levels. As the current level of non-compliance is not estimated to be significant, Option 1 is not likely to cause large induced changes in demand. </w:t>
      </w:r>
      <w:r w:rsidR="00F36329" w:rsidRPr="000B38DC">
        <w:rPr>
          <w:i/>
        </w:rPr>
        <w:t>(Score: -</w:t>
      </w:r>
      <w:r w:rsidR="00F36329">
        <w:rPr>
          <w:i/>
        </w:rPr>
        <w:t>2</w:t>
      </w:r>
      <w:r w:rsidR="00F36329" w:rsidRPr="00705BA8">
        <w:rPr>
          <w:i/>
        </w:rPr>
        <w:t>)</w:t>
      </w:r>
    </w:p>
    <w:p w14:paraId="3AAC8F11" w14:textId="67F109CB" w:rsidR="001C386A" w:rsidRDefault="003D3EF7" w:rsidP="00705BA8">
      <w:pPr>
        <w:pStyle w:val="ListBullet"/>
        <w:rPr>
          <w:i/>
        </w:rPr>
      </w:pPr>
      <w:r>
        <w:t>Fee o</w:t>
      </w:r>
      <w:r w:rsidR="00F36329">
        <w:t xml:space="preserve">ption 2: </w:t>
      </w:r>
      <w:r w:rsidR="00AB64BA">
        <w:t xml:space="preserve">Option 2 scores </w:t>
      </w:r>
      <w:r w:rsidR="0040518A">
        <w:t xml:space="preserve">better than </w:t>
      </w:r>
      <w:r w:rsidR="00AB64BA">
        <w:t>Option 1</w:t>
      </w:r>
      <w:r w:rsidR="0040518A">
        <w:t xml:space="preserve"> as CHMP fees mostly fall</w:t>
      </w:r>
      <w:r w:rsidR="00E03ACC">
        <w:t>. F</w:t>
      </w:r>
      <w:r w:rsidR="0040518A">
        <w:t>ees for PAHTs are substantially higher</w:t>
      </w:r>
      <w:r w:rsidR="00E03ACC">
        <w:t>, however, there are far fewer conducted.</w:t>
      </w:r>
      <w:r w:rsidR="00421B26">
        <w:t xml:space="preserve"> </w:t>
      </w:r>
      <w:r w:rsidR="00421B26" w:rsidRPr="000B38DC">
        <w:rPr>
          <w:i/>
        </w:rPr>
        <w:t>(Score: -</w:t>
      </w:r>
      <w:r w:rsidR="00F36329">
        <w:rPr>
          <w:i/>
        </w:rPr>
        <w:t>1</w:t>
      </w:r>
      <w:r w:rsidR="00421B26" w:rsidRPr="00705BA8">
        <w:rPr>
          <w:i/>
        </w:rPr>
        <w:t>)</w:t>
      </w:r>
    </w:p>
    <w:p w14:paraId="47CD7211" w14:textId="2511A3D7" w:rsidR="00F36329" w:rsidRPr="00705BA8" w:rsidRDefault="003D3EF7" w:rsidP="00F36329">
      <w:pPr>
        <w:pStyle w:val="ListBullet"/>
      </w:pPr>
      <w:r>
        <w:t>Fee o</w:t>
      </w:r>
      <w:r w:rsidR="00F36329">
        <w:t>ption 3: Option 3 could cause land-users to try and switch to the cheaper assessor for each fee type, causing over-crowding for the cheaper assessor. In practice however, the scope for land-users to be able to switch assessor without changing the location of their activity is extremely limited.</w:t>
      </w:r>
      <w:r w:rsidR="00F36329">
        <w:rPr>
          <w:rStyle w:val="FootnoteReference"/>
        </w:rPr>
        <w:footnoteReference w:id="134"/>
      </w:r>
      <w:r w:rsidR="00F36329">
        <w:t xml:space="preserve"> </w:t>
      </w:r>
      <w:r w:rsidR="00F36329" w:rsidRPr="000B38DC">
        <w:rPr>
          <w:i/>
        </w:rPr>
        <w:t>(Score: -</w:t>
      </w:r>
      <w:r w:rsidR="00F36329">
        <w:rPr>
          <w:i/>
        </w:rPr>
        <w:t>6</w:t>
      </w:r>
      <w:r w:rsidR="00F36329" w:rsidRPr="00705BA8">
        <w:rPr>
          <w:i/>
        </w:rPr>
        <w:t>)</w:t>
      </w:r>
    </w:p>
    <w:p w14:paraId="483CAF8E" w14:textId="72AE0D2D" w:rsidR="00421B26" w:rsidRDefault="00F36329" w:rsidP="00705BA8">
      <w:pPr>
        <w:pStyle w:val="Caption"/>
      </w:pPr>
      <w:r>
        <w:t>Simplic</w:t>
      </w:r>
      <w:r w:rsidR="00203583">
        <w:t>i</w:t>
      </w:r>
      <w:r>
        <w:t>ty</w:t>
      </w:r>
    </w:p>
    <w:p w14:paraId="23415772" w14:textId="7F6E0574" w:rsidR="00F36329" w:rsidRDefault="003D3EF7" w:rsidP="00F36329">
      <w:pPr>
        <w:pStyle w:val="ListBullet"/>
      </w:pPr>
      <w:r>
        <w:t>Fee o</w:t>
      </w:r>
      <w:r w:rsidR="00F36329">
        <w:t xml:space="preserve">ption 1: There are a large number of fee levels provided for in Option 1. While the definitions of small, medium and large activities are defined in the Act, the number of fee levels could cause confusion if land-users switch between different sized activity areas. </w:t>
      </w:r>
      <w:r w:rsidR="00F36329" w:rsidRPr="00305B90">
        <w:rPr>
          <w:i/>
        </w:rPr>
        <w:t>(Score: -</w:t>
      </w:r>
      <w:r w:rsidR="00F36329">
        <w:rPr>
          <w:i/>
        </w:rPr>
        <w:t>2</w:t>
      </w:r>
      <w:r w:rsidR="00F36329" w:rsidRPr="00705BA8">
        <w:rPr>
          <w:i/>
        </w:rPr>
        <w:t>)</w:t>
      </w:r>
    </w:p>
    <w:p w14:paraId="0072B9FC" w14:textId="0DE3235D" w:rsidR="00F36329" w:rsidRPr="00705BA8" w:rsidRDefault="003D3EF7" w:rsidP="00F36329">
      <w:pPr>
        <w:pStyle w:val="ListBullet"/>
        <w:rPr>
          <w:i/>
        </w:rPr>
      </w:pPr>
      <w:r>
        <w:t>Fee o</w:t>
      </w:r>
      <w:r w:rsidR="00F36329">
        <w:t xml:space="preserve">ption 2: As with Option 1, there are a large number of fees that could cause confusion relative to the base case. As Option 2 changes the current fee levels, this may cause increased confusion compared to Option 1. </w:t>
      </w:r>
      <w:r w:rsidR="00F36329" w:rsidRPr="000B38DC">
        <w:rPr>
          <w:i/>
        </w:rPr>
        <w:t>(Score: -</w:t>
      </w:r>
      <w:r w:rsidR="00F36329">
        <w:rPr>
          <w:i/>
        </w:rPr>
        <w:t>4</w:t>
      </w:r>
      <w:r w:rsidR="00F36329" w:rsidRPr="00705BA8">
        <w:rPr>
          <w:i/>
        </w:rPr>
        <w:t>)</w:t>
      </w:r>
    </w:p>
    <w:p w14:paraId="4AD8AF20" w14:textId="3F789776" w:rsidR="009A490A" w:rsidRPr="000B38DC" w:rsidRDefault="003D3EF7" w:rsidP="00705BA8">
      <w:pPr>
        <w:pStyle w:val="ListBullet"/>
      </w:pPr>
      <w:r>
        <w:t>Fee o</w:t>
      </w:r>
      <w:r w:rsidR="00F36329">
        <w:t>ption3</w:t>
      </w:r>
      <w:r w:rsidR="009A490A">
        <w:t>: Option 3 adds an extra layer of complexity to Options 1 and 2 by varying the fees by assessor type. This would cause uncertainty for la</w:t>
      </w:r>
      <w:r w:rsidR="000B38DC">
        <w:t xml:space="preserve">nd-users who could not be certain which fee they were to be charged (eg if RAPs declined to assess a CHMP due to capacity constraints). </w:t>
      </w:r>
      <w:r w:rsidR="000B38DC" w:rsidRPr="00705BA8">
        <w:rPr>
          <w:i/>
        </w:rPr>
        <w:t>(Score: -</w:t>
      </w:r>
      <w:r w:rsidR="00AC7EE5">
        <w:rPr>
          <w:i/>
        </w:rPr>
        <w:t>8</w:t>
      </w:r>
      <w:r w:rsidR="000B38DC" w:rsidRPr="00705BA8">
        <w:rPr>
          <w:i/>
        </w:rPr>
        <w:t>)</w:t>
      </w:r>
    </w:p>
    <w:p w14:paraId="0225634C" w14:textId="77777777" w:rsidR="000B38DC" w:rsidRDefault="000B38DC" w:rsidP="000B38DC">
      <w:pPr>
        <w:pStyle w:val="Caption"/>
      </w:pPr>
      <w:r>
        <w:t>Summary of MCA scores</w:t>
      </w:r>
    </w:p>
    <w:p w14:paraId="6F5F0132" w14:textId="0E3D54A4" w:rsidR="000B38DC" w:rsidRPr="007442D3" w:rsidRDefault="000B38DC" w:rsidP="000B38DC">
      <w:r>
        <w:fldChar w:fldCharType="begin"/>
      </w:r>
      <w:r>
        <w:instrText xml:space="preserve"> REF _Ref504403579 \h </w:instrText>
      </w:r>
      <w:r>
        <w:fldChar w:fldCharType="separate"/>
      </w:r>
      <w:r w:rsidR="000369A1">
        <w:t xml:space="preserve">Table </w:t>
      </w:r>
      <w:r w:rsidR="000369A1">
        <w:rPr>
          <w:noProof/>
        </w:rPr>
        <w:t>33</w:t>
      </w:r>
      <w:r>
        <w:fldChar w:fldCharType="end"/>
      </w:r>
      <w:r>
        <w:t xml:space="preserve"> provides the initial MCA scoring of the fee options.</w:t>
      </w:r>
      <w:r w:rsidRPr="00E466C5">
        <w:t xml:space="preserve"> </w:t>
      </w:r>
      <w:r>
        <w:t>These scores and their components provide an indication of the relative costs and benefits of each option.</w:t>
      </w:r>
    </w:p>
    <w:p w14:paraId="2ABDC9E9" w14:textId="1D4AAAD8" w:rsidR="000B38DC" w:rsidRDefault="000B38DC" w:rsidP="000B38DC">
      <w:pPr>
        <w:pStyle w:val="Caption"/>
      </w:pPr>
      <w:bookmarkStart w:id="89" w:name="_Ref504403579"/>
      <w:r>
        <w:t xml:space="preserve">Table </w:t>
      </w:r>
      <w:r w:rsidR="00B47FE6">
        <w:fldChar w:fldCharType="begin"/>
      </w:r>
      <w:r w:rsidR="00B47FE6">
        <w:instrText xml:space="preserve"> SEQ Table \* ARABIC </w:instrText>
      </w:r>
      <w:r w:rsidR="00B47FE6">
        <w:fldChar w:fldCharType="separate"/>
      </w:r>
      <w:r w:rsidR="000369A1">
        <w:rPr>
          <w:noProof/>
        </w:rPr>
        <w:t>33</w:t>
      </w:r>
      <w:r w:rsidR="00B47FE6">
        <w:rPr>
          <w:noProof/>
        </w:rPr>
        <w:fldChar w:fldCharType="end"/>
      </w:r>
      <w:bookmarkEnd w:id="89"/>
      <w:r>
        <w:t>: MCA scoring against the fee options</w:t>
      </w:r>
      <w:r w:rsidR="00F90AEC">
        <w:t xml:space="preserve"> (-10 to +10)</w:t>
      </w:r>
    </w:p>
    <w:tbl>
      <w:tblPr>
        <w:tblStyle w:val="TableGrid"/>
        <w:tblW w:w="0" w:type="auto"/>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1577"/>
        <w:gridCol w:w="821"/>
        <w:gridCol w:w="1209"/>
        <w:gridCol w:w="814"/>
        <w:gridCol w:w="1209"/>
        <w:gridCol w:w="785"/>
        <w:gridCol w:w="1141"/>
      </w:tblGrid>
      <w:tr w:rsidR="000B38DC" w14:paraId="688D4B7A" w14:textId="77777777" w:rsidTr="00705BA8">
        <w:trPr>
          <w:cantSplit/>
          <w:trHeight w:val="194"/>
        </w:trPr>
        <w:tc>
          <w:tcPr>
            <w:tcW w:w="1577" w:type="dxa"/>
            <w:shd w:val="clear" w:color="auto" w:fill="A32020" w:themeFill="text2"/>
            <w:vAlign w:val="center"/>
          </w:tcPr>
          <w:p w14:paraId="4DF7CC08" w14:textId="77777777" w:rsidR="000B38DC" w:rsidRPr="00FD6B9D" w:rsidRDefault="000B38DC" w:rsidP="00305B90">
            <w:pPr>
              <w:rPr>
                <w:b/>
                <w:color w:val="FFFFFF" w:themeColor="background1"/>
              </w:rPr>
            </w:pPr>
            <w:r w:rsidRPr="00FD6B9D">
              <w:rPr>
                <w:b/>
                <w:color w:val="FFFFFF" w:themeColor="background1"/>
              </w:rPr>
              <w:t>Criteria</w:t>
            </w:r>
          </w:p>
        </w:tc>
        <w:tc>
          <w:tcPr>
            <w:tcW w:w="2030" w:type="dxa"/>
            <w:gridSpan w:val="2"/>
            <w:shd w:val="clear" w:color="auto" w:fill="A32020" w:themeFill="text2"/>
            <w:vAlign w:val="center"/>
          </w:tcPr>
          <w:p w14:paraId="365B2753" w14:textId="006B657A" w:rsidR="000B38DC" w:rsidRPr="00FD6B9D" w:rsidRDefault="003D3EF7" w:rsidP="00305B90">
            <w:pPr>
              <w:jc w:val="center"/>
              <w:rPr>
                <w:b/>
                <w:color w:val="FFFFFF" w:themeColor="background1"/>
              </w:rPr>
            </w:pPr>
            <w:r>
              <w:rPr>
                <w:b/>
                <w:color w:val="FFFFFF" w:themeColor="background1"/>
              </w:rPr>
              <w:t>Fee o</w:t>
            </w:r>
            <w:r w:rsidR="000B38DC">
              <w:rPr>
                <w:b/>
                <w:color w:val="FFFFFF" w:themeColor="background1"/>
              </w:rPr>
              <w:t>ption 1</w:t>
            </w:r>
          </w:p>
        </w:tc>
        <w:tc>
          <w:tcPr>
            <w:tcW w:w="2023" w:type="dxa"/>
            <w:gridSpan w:val="2"/>
            <w:shd w:val="clear" w:color="auto" w:fill="A32020" w:themeFill="text2"/>
            <w:vAlign w:val="center"/>
          </w:tcPr>
          <w:p w14:paraId="62005B84" w14:textId="3320AB60" w:rsidR="000B38DC" w:rsidRPr="00FD6B9D" w:rsidRDefault="003D3EF7" w:rsidP="00305B90">
            <w:pPr>
              <w:jc w:val="center"/>
              <w:rPr>
                <w:b/>
                <w:color w:val="FFFFFF" w:themeColor="background1"/>
              </w:rPr>
            </w:pPr>
            <w:r>
              <w:rPr>
                <w:b/>
                <w:color w:val="FFFFFF" w:themeColor="background1"/>
              </w:rPr>
              <w:t>Fee o</w:t>
            </w:r>
            <w:r w:rsidR="000B38DC">
              <w:rPr>
                <w:b/>
                <w:color w:val="FFFFFF" w:themeColor="background1"/>
              </w:rPr>
              <w:t>ption 2</w:t>
            </w:r>
          </w:p>
        </w:tc>
        <w:tc>
          <w:tcPr>
            <w:tcW w:w="1926" w:type="dxa"/>
            <w:gridSpan w:val="2"/>
            <w:shd w:val="clear" w:color="auto" w:fill="A32020" w:themeFill="text2"/>
            <w:vAlign w:val="center"/>
          </w:tcPr>
          <w:p w14:paraId="42C3B1EB" w14:textId="075B423E" w:rsidR="000B38DC" w:rsidRPr="00FD6B9D" w:rsidRDefault="003D3EF7" w:rsidP="00305B90">
            <w:pPr>
              <w:jc w:val="center"/>
              <w:rPr>
                <w:b/>
                <w:color w:val="FFFFFF" w:themeColor="background1"/>
              </w:rPr>
            </w:pPr>
            <w:r>
              <w:rPr>
                <w:b/>
                <w:color w:val="FFFFFF" w:themeColor="background1"/>
              </w:rPr>
              <w:t>Fee o</w:t>
            </w:r>
            <w:r w:rsidR="000B38DC">
              <w:rPr>
                <w:b/>
                <w:color w:val="FFFFFF" w:themeColor="background1"/>
              </w:rPr>
              <w:t>ption 3</w:t>
            </w:r>
          </w:p>
        </w:tc>
      </w:tr>
      <w:tr w:rsidR="000B38DC" w14:paraId="03BFD9AC" w14:textId="77777777" w:rsidTr="00705BA8">
        <w:trPr>
          <w:cantSplit/>
          <w:trHeight w:val="388"/>
        </w:trPr>
        <w:tc>
          <w:tcPr>
            <w:tcW w:w="1577" w:type="dxa"/>
            <w:shd w:val="clear" w:color="auto" w:fill="F4CACA" w:themeFill="text2" w:themeFillTint="33"/>
            <w:vAlign w:val="center"/>
          </w:tcPr>
          <w:p w14:paraId="0F956FA0" w14:textId="77777777" w:rsidR="000B38DC" w:rsidRDefault="000B38DC" w:rsidP="00305B90">
            <w:r>
              <w:t>Scores</w:t>
            </w:r>
          </w:p>
        </w:tc>
        <w:tc>
          <w:tcPr>
            <w:tcW w:w="821" w:type="dxa"/>
            <w:shd w:val="clear" w:color="auto" w:fill="F4CACA" w:themeFill="text2" w:themeFillTint="33"/>
            <w:vAlign w:val="center"/>
          </w:tcPr>
          <w:p w14:paraId="72E7FA9B" w14:textId="77777777" w:rsidR="000B38DC" w:rsidRDefault="000B38DC" w:rsidP="00305B90">
            <w:pPr>
              <w:jc w:val="center"/>
            </w:pPr>
            <w:r>
              <w:t>Score</w:t>
            </w:r>
          </w:p>
        </w:tc>
        <w:tc>
          <w:tcPr>
            <w:tcW w:w="1209" w:type="dxa"/>
            <w:shd w:val="clear" w:color="auto" w:fill="F4CACA" w:themeFill="text2" w:themeFillTint="33"/>
            <w:vAlign w:val="center"/>
          </w:tcPr>
          <w:p w14:paraId="4885EFF7" w14:textId="77777777" w:rsidR="000B38DC" w:rsidRDefault="000B38DC" w:rsidP="00305B90">
            <w:pPr>
              <w:jc w:val="center"/>
            </w:pPr>
            <w:r>
              <w:t>Weighted-score</w:t>
            </w:r>
          </w:p>
        </w:tc>
        <w:tc>
          <w:tcPr>
            <w:tcW w:w="814" w:type="dxa"/>
            <w:shd w:val="clear" w:color="auto" w:fill="F4CACA" w:themeFill="text2" w:themeFillTint="33"/>
            <w:vAlign w:val="center"/>
          </w:tcPr>
          <w:p w14:paraId="5553A0AF" w14:textId="77777777" w:rsidR="000B38DC" w:rsidRDefault="000B38DC" w:rsidP="00305B90">
            <w:pPr>
              <w:jc w:val="center"/>
            </w:pPr>
            <w:r>
              <w:t>Score</w:t>
            </w:r>
          </w:p>
        </w:tc>
        <w:tc>
          <w:tcPr>
            <w:tcW w:w="1209" w:type="dxa"/>
            <w:shd w:val="clear" w:color="auto" w:fill="F4CACA" w:themeFill="text2" w:themeFillTint="33"/>
            <w:vAlign w:val="center"/>
          </w:tcPr>
          <w:p w14:paraId="04483E22" w14:textId="77777777" w:rsidR="000B38DC" w:rsidRDefault="000B38DC" w:rsidP="00305B90">
            <w:pPr>
              <w:jc w:val="center"/>
            </w:pPr>
            <w:r>
              <w:t>Weighted-score</w:t>
            </w:r>
          </w:p>
        </w:tc>
        <w:tc>
          <w:tcPr>
            <w:tcW w:w="785" w:type="dxa"/>
            <w:shd w:val="clear" w:color="auto" w:fill="F4CACA" w:themeFill="text2" w:themeFillTint="33"/>
            <w:vAlign w:val="center"/>
          </w:tcPr>
          <w:p w14:paraId="628448AF" w14:textId="77777777" w:rsidR="000B38DC" w:rsidRDefault="000B38DC" w:rsidP="00305B90">
            <w:pPr>
              <w:jc w:val="center"/>
            </w:pPr>
            <w:r>
              <w:t>Score</w:t>
            </w:r>
          </w:p>
        </w:tc>
        <w:tc>
          <w:tcPr>
            <w:tcW w:w="1141" w:type="dxa"/>
            <w:shd w:val="clear" w:color="auto" w:fill="F4CACA" w:themeFill="text2" w:themeFillTint="33"/>
            <w:vAlign w:val="center"/>
          </w:tcPr>
          <w:p w14:paraId="07E55378" w14:textId="77777777" w:rsidR="000B38DC" w:rsidRDefault="000B38DC" w:rsidP="00305B90">
            <w:pPr>
              <w:jc w:val="center"/>
            </w:pPr>
            <w:r>
              <w:t>Weighted-score</w:t>
            </w:r>
          </w:p>
        </w:tc>
      </w:tr>
      <w:tr w:rsidR="000B38DC" w14:paraId="1A62EEF3" w14:textId="77777777" w:rsidTr="00705BA8">
        <w:trPr>
          <w:cantSplit/>
          <w:trHeight w:val="388"/>
        </w:trPr>
        <w:tc>
          <w:tcPr>
            <w:tcW w:w="1577" w:type="dxa"/>
            <w:vAlign w:val="center"/>
          </w:tcPr>
          <w:p w14:paraId="720E3C00" w14:textId="40922904" w:rsidR="000B38DC" w:rsidRDefault="000B38DC" w:rsidP="00305B90">
            <w:r>
              <w:t>Full cost recovery (60%)</w:t>
            </w:r>
          </w:p>
        </w:tc>
        <w:tc>
          <w:tcPr>
            <w:tcW w:w="821" w:type="dxa"/>
            <w:vAlign w:val="center"/>
          </w:tcPr>
          <w:p w14:paraId="2720C5C3" w14:textId="530904A0" w:rsidR="000B38DC" w:rsidRDefault="00305B90" w:rsidP="00305B90">
            <w:pPr>
              <w:jc w:val="center"/>
            </w:pPr>
            <w:r>
              <w:t>+</w:t>
            </w:r>
            <w:r w:rsidR="00A87D8C">
              <w:t>4</w:t>
            </w:r>
          </w:p>
        </w:tc>
        <w:tc>
          <w:tcPr>
            <w:tcW w:w="1209" w:type="dxa"/>
            <w:vAlign w:val="center"/>
          </w:tcPr>
          <w:p w14:paraId="2F4F83C3" w14:textId="1C0343E2" w:rsidR="000B38DC" w:rsidRDefault="00305B90" w:rsidP="00A87D8C">
            <w:pPr>
              <w:jc w:val="center"/>
            </w:pPr>
            <w:r>
              <w:t>+</w:t>
            </w:r>
            <w:r w:rsidR="00A87D8C">
              <w:t>2.4</w:t>
            </w:r>
          </w:p>
        </w:tc>
        <w:tc>
          <w:tcPr>
            <w:tcW w:w="814" w:type="dxa"/>
            <w:vAlign w:val="center"/>
          </w:tcPr>
          <w:p w14:paraId="187E92FA" w14:textId="444FF77D" w:rsidR="000B38DC" w:rsidRDefault="00305B90" w:rsidP="00305B90">
            <w:pPr>
              <w:jc w:val="center"/>
            </w:pPr>
            <w:r>
              <w:t>+</w:t>
            </w:r>
            <w:r w:rsidR="00F36329">
              <w:t>5</w:t>
            </w:r>
          </w:p>
        </w:tc>
        <w:tc>
          <w:tcPr>
            <w:tcW w:w="1209" w:type="dxa"/>
            <w:vAlign w:val="center"/>
          </w:tcPr>
          <w:p w14:paraId="4AD95111" w14:textId="1A6FBD52" w:rsidR="000B38DC" w:rsidRDefault="00305B90" w:rsidP="00305B90">
            <w:pPr>
              <w:jc w:val="center"/>
            </w:pPr>
            <w:r>
              <w:t>+</w:t>
            </w:r>
            <w:r w:rsidR="00F36329">
              <w:t>3.0</w:t>
            </w:r>
          </w:p>
        </w:tc>
        <w:tc>
          <w:tcPr>
            <w:tcW w:w="785" w:type="dxa"/>
            <w:vAlign w:val="center"/>
          </w:tcPr>
          <w:p w14:paraId="0E07E7A0" w14:textId="4BBEBED7" w:rsidR="000B38DC" w:rsidRDefault="00305B90" w:rsidP="00305B90">
            <w:pPr>
              <w:jc w:val="center"/>
            </w:pPr>
            <w:r>
              <w:t>+</w:t>
            </w:r>
            <w:r w:rsidR="00F36329">
              <w:t>5</w:t>
            </w:r>
          </w:p>
        </w:tc>
        <w:tc>
          <w:tcPr>
            <w:tcW w:w="1141" w:type="dxa"/>
            <w:vAlign w:val="center"/>
          </w:tcPr>
          <w:p w14:paraId="604D8E8F" w14:textId="6FAC25F4" w:rsidR="000B38DC" w:rsidRDefault="00305B90" w:rsidP="00305B90">
            <w:pPr>
              <w:jc w:val="center"/>
            </w:pPr>
            <w:r>
              <w:t>+</w:t>
            </w:r>
            <w:r w:rsidR="00F36329">
              <w:t>3.0</w:t>
            </w:r>
          </w:p>
        </w:tc>
      </w:tr>
      <w:tr w:rsidR="000B38DC" w14:paraId="3BF4AA0F" w14:textId="77777777" w:rsidTr="00705BA8">
        <w:trPr>
          <w:cantSplit/>
          <w:trHeight w:val="388"/>
        </w:trPr>
        <w:tc>
          <w:tcPr>
            <w:tcW w:w="1577" w:type="dxa"/>
            <w:vAlign w:val="center"/>
          </w:tcPr>
          <w:p w14:paraId="6075A270" w14:textId="500213E8" w:rsidR="000B38DC" w:rsidRDefault="000B38DC" w:rsidP="00305B90">
            <w:r>
              <w:t>Preventing induced demand changes (20%)</w:t>
            </w:r>
          </w:p>
        </w:tc>
        <w:tc>
          <w:tcPr>
            <w:tcW w:w="821" w:type="dxa"/>
            <w:vAlign w:val="center"/>
          </w:tcPr>
          <w:p w14:paraId="1BE58B71" w14:textId="3A38F867" w:rsidR="000B38DC" w:rsidRDefault="00305B90" w:rsidP="00305B90">
            <w:pPr>
              <w:jc w:val="center"/>
            </w:pPr>
            <w:r>
              <w:t>-</w:t>
            </w:r>
            <w:r w:rsidR="00A87D8C">
              <w:t>2</w:t>
            </w:r>
          </w:p>
        </w:tc>
        <w:tc>
          <w:tcPr>
            <w:tcW w:w="1209" w:type="dxa"/>
            <w:vAlign w:val="center"/>
          </w:tcPr>
          <w:p w14:paraId="50231EFA" w14:textId="369E5D83" w:rsidR="000B38DC" w:rsidRDefault="00305B90" w:rsidP="00305B90">
            <w:pPr>
              <w:jc w:val="center"/>
            </w:pPr>
            <w:r>
              <w:t>-0.</w:t>
            </w:r>
            <w:r w:rsidR="00A87D8C">
              <w:t>4</w:t>
            </w:r>
          </w:p>
        </w:tc>
        <w:tc>
          <w:tcPr>
            <w:tcW w:w="814" w:type="dxa"/>
            <w:vAlign w:val="center"/>
          </w:tcPr>
          <w:p w14:paraId="6E684E1C" w14:textId="7476391D" w:rsidR="000B38DC" w:rsidRDefault="00305B90" w:rsidP="00305B90">
            <w:pPr>
              <w:jc w:val="center"/>
            </w:pPr>
            <w:r>
              <w:t>-</w:t>
            </w:r>
            <w:r w:rsidR="00A87D8C">
              <w:t>1</w:t>
            </w:r>
          </w:p>
        </w:tc>
        <w:tc>
          <w:tcPr>
            <w:tcW w:w="1209" w:type="dxa"/>
            <w:vAlign w:val="center"/>
          </w:tcPr>
          <w:p w14:paraId="32897A97" w14:textId="7679F528" w:rsidR="000B38DC" w:rsidRDefault="00305B90" w:rsidP="00305B90">
            <w:pPr>
              <w:jc w:val="center"/>
            </w:pPr>
            <w:r>
              <w:t>-0.</w:t>
            </w:r>
            <w:r w:rsidR="00A87D8C">
              <w:t>2</w:t>
            </w:r>
          </w:p>
        </w:tc>
        <w:tc>
          <w:tcPr>
            <w:tcW w:w="785" w:type="dxa"/>
            <w:vAlign w:val="center"/>
          </w:tcPr>
          <w:p w14:paraId="5F30B46B" w14:textId="3FBF07D3" w:rsidR="000B38DC" w:rsidRDefault="00305B90" w:rsidP="00305B90">
            <w:pPr>
              <w:jc w:val="center"/>
            </w:pPr>
            <w:r>
              <w:t>-</w:t>
            </w:r>
            <w:r w:rsidR="00A87D8C">
              <w:t>6</w:t>
            </w:r>
          </w:p>
        </w:tc>
        <w:tc>
          <w:tcPr>
            <w:tcW w:w="1141" w:type="dxa"/>
            <w:vAlign w:val="center"/>
          </w:tcPr>
          <w:p w14:paraId="6A86443C" w14:textId="1E9C1314" w:rsidR="000B38DC" w:rsidRDefault="00305B90" w:rsidP="00305B90">
            <w:pPr>
              <w:jc w:val="center"/>
            </w:pPr>
            <w:r>
              <w:t>-</w:t>
            </w:r>
            <w:r w:rsidR="00A87D8C">
              <w:t>1.2</w:t>
            </w:r>
          </w:p>
        </w:tc>
      </w:tr>
      <w:tr w:rsidR="000B38DC" w14:paraId="64A78FDA" w14:textId="77777777" w:rsidTr="00705BA8">
        <w:trPr>
          <w:cantSplit/>
          <w:trHeight w:val="633"/>
        </w:trPr>
        <w:tc>
          <w:tcPr>
            <w:tcW w:w="1577" w:type="dxa"/>
            <w:vAlign w:val="center"/>
          </w:tcPr>
          <w:p w14:paraId="342CC962" w14:textId="38332E3E" w:rsidR="000B38DC" w:rsidRDefault="000B38DC" w:rsidP="00305B90">
            <w:r>
              <w:t>Simplicity (20%)</w:t>
            </w:r>
          </w:p>
        </w:tc>
        <w:tc>
          <w:tcPr>
            <w:tcW w:w="821" w:type="dxa"/>
            <w:vAlign w:val="center"/>
          </w:tcPr>
          <w:p w14:paraId="35367677" w14:textId="6494AF8B" w:rsidR="000B38DC" w:rsidRDefault="00305B90" w:rsidP="00305B90">
            <w:pPr>
              <w:jc w:val="center"/>
            </w:pPr>
            <w:r>
              <w:t>-</w:t>
            </w:r>
            <w:r w:rsidR="00A87D8C">
              <w:t>2</w:t>
            </w:r>
          </w:p>
        </w:tc>
        <w:tc>
          <w:tcPr>
            <w:tcW w:w="1209" w:type="dxa"/>
            <w:vAlign w:val="center"/>
          </w:tcPr>
          <w:p w14:paraId="056B801C" w14:textId="371F5A10" w:rsidR="000B38DC" w:rsidRDefault="00305B90" w:rsidP="00305B90">
            <w:pPr>
              <w:jc w:val="center"/>
            </w:pPr>
            <w:r>
              <w:t>-0.</w:t>
            </w:r>
            <w:r w:rsidR="00A87D8C">
              <w:t>4</w:t>
            </w:r>
          </w:p>
        </w:tc>
        <w:tc>
          <w:tcPr>
            <w:tcW w:w="814" w:type="dxa"/>
            <w:vAlign w:val="center"/>
          </w:tcPr>
          <w:p w14:paraId="081E7397" w14:textId="48CEE73C" w:rsidR="000B38DC" w:rsidRDefault="00305B90" w:rsidP="00305B90">
            <w:pPr>
              <w:jc w:val="center"/>
            </w:pPr>
            <w:r>
              <w:t>-</w:t>
            </w:r>
            <w:r w:rsidR="00F36329">
              <w:t>4</w:t>
            </w:r>
          </w:p>
        </w:tc>
        <w:tc>
          <w:tcPr>
            <w:tcW w:w="1209" w:type="dxa"/>
            <w:vAlign w:val="center"/>
          </w:tcPr>
          <w:p w14:paraId="13450AED" w14:textId="4489D751" w:rsidR="000B38DC" w:rsidRDefault="00305B90" w:rsidP="00305B90">
            <w:pPr>
              <w:jc w:val="center"/>
            </w:pPr>
            <w:r>
              <w:t>-0.</w:t>
            </w:r>
            <w:r w:rsidR="00F36329">
              <w:t>8</w:t>
            </w:r>
          </w:p>
        </w:tc>
        <w:tc>
          <w:tcPr>
            <w:tcW w:w="785" w:type="dxa"/>
            <w:vAlign w:val="center"/>
          </w:tcPr>
          <w:p w14:paraId="5AC0D9DF" w14:textId="77161531" w:rsidR="000B38DC" w:rsidRDefault="00305B90" w:rsidP="00305B90">
            <w:pPr>
              <w:jc w:val="center"/>
            </w:pPr>
            <w:r>
              <w:t>-</w:t>
            </w:r>
            <w:r w:rsidR="00A87D8C">
              <w:t>8</w:t>
            </w:r>
          </w:p>
        </w:tc>
        <w:tc>
          <w:tcPr>
            <w:tcW w:w="1141" w:type="dxa"/>
            <w:vAlign w:val="center"/>
          </w:tcPr>
          <w:p w14:paraId="33732D8F" w14:textId="2537DFAE" w:rsidR="000B38DC" w:rsidRDefault="00305B90" w:rsidP="00305B90">
            <w:pPr>
              <w:jc w:val="center"/>
            </w:pPr>
            <w:r>
              <w:t>-</w:t>
            </w:r>
            <w:r w:rsidR="00A87D8C">
              <w:t>1.6</w:t>
            </w:r>
          </w:p>
        </w:tc>
      </w:tr>
      <w:tr w:rsidR="000B38DC" w14:paraId="73A40B5A" w14:textId="77777777" w:rsidTr="00705BA8">
        <w:trPr>
          <w:cantSplit/>
          <w:trHeight w:val="400"/>
        </w:trPr>
        <w:tc>
          <w:tcPr>
            <w:tcW w:w="1577" w:type="dxa"/>
            <w:vAlign w:val="center"/>
          </w:tcPr>
          <w:p w14:paraId="2D9343DE" w14:textId="77777777" w:rsidR="000B38DC" w:rsidRPr="007442D3" w:rsidRDefault="000B38DC" w:rsidP="00305B90">
            <w:pPr>
              <w:rPr>
                <w:b/>
              </w:rPr>
            </w:pPr>
            <w:r w:rsidRPr="007442D3">
              <w:rPr>
                <w:b/>
              </w:rPr>
              <w:t>Totals (after weighting)</w:t>
            </w:r>
          </w:p>
        </w:tc>
        <w:tc>
          <w:tcPr>
            <w:tcW w:w="2030" w:type="dxa"/>
            <w:gridSpan w:val="2"/>
            <w:vAlign w:val="center"/>
          </w:tcPr>
          <w:p w14:paraId="059F684E" w14:textId="1566DC7D" w:rsidR="000B38DC" w:rsidRPr="007442D3" w:rsidRDefault="00305B90" w:rsidP="00A87D8C">
            <w:pPr>
              <w:jc w:val="center"/>
              <w:rPr>
                <w:b/>
              </w:rPr>
            </w:pPr>
            <w:r>
              <w:rPr>
                <w:b/>
              </w:rPr>
              <w:t>+</w:t>
            </w:r>
            <w:r w:rsidR="00A87D8C">
              <w:rPr>
                <w:b/>
              </w:rPr>
              <w:t>1.6</w:t>
            </w:r>
          </w:p>
        </w:tc>
        <w:tc>
          <w:tcPr>
            <w:tcW w:w="2023" w:type="dxa"/>
            <w:gridSpan w:val="2"/>
            <w:vAlign w:val="center"/>
          </w:tcPr>
          <w:p w14:paraId="4F7124D8" w14:textId="03C5F500" w:rsidR="000B38DC" w:rsidRPr="007442D3" w:rsidRDefault="00305B90" w:rsidP="00F36329">
            <w:pPr>
              <w:jc w:val="center"/>
              <w:rPr>
                <w:b/>
              </w:rPr>
            </w:pPr>
            <w:r>
              <w:rPr>
                <w:b/>
              </w:rPr>
              <w:t>+</w:t>
            </w:r>
            <w:r w:rsidR="00F36329">
              <w:rPr>
                <w:b/>
              </w:rPr>
              <w:t>2.0</w:t>
            </w:r>
          </w:p>
        </w:tc>
        <w:tc>
          <w:tcPr>
            <w:tcW w:w="1926" w:type="dxa"/>
            <w:gridSpan w:val="2"/>
            <w:vAlign w:val="center"/>
          </w:tcPr>
          <w:p w14:paraId="429F4843" w14:textId="5C54B7EC" w:rsidR="000B38DC" w:rsidRPr="007442D3" w:rsidRDefault="00305B90" w:rsidP="00F36329">
            <w:pPr>
              <w:jc w:val="center"/>
              <w:rPr>
                <w:b/>
              </w:rPr>
            </w:pPr>
            <w:r>
              <w:rPr>
                <w:b/>
              </w:rPr>
              <w:t>+</w:t>
            </w:r>
            <w:r w:rsidR="00F36329">
              <w:rPr>
                <w:b/>
              </w:rPr>
              <w:t>0.2</w:t>
            </w:r>
          </w:p>
        </w:tc>
      </w:tr>
    </w:tbl>
    <w:p w14:paraId="31EA1310" w14:textId="75829171" w:rsidR="009F3647" w:rsidRDefault="000B38DC" w:rsidP="00705BA8">
      <w:pPr>
        <w:pStyle w:val="PwCNormal"/>
        <w:numPr>
          <w:ilvl w:val="0"/>
          <w:numId w:val="0"/>
        </w:numPr>
        <w:spacing w:before="240"/>
      </w:pPr>
      <w:r w:rsidRPr="0010776B">
        <w:t>The options analysis indicates t</w:t>
      </w:r>
      <w:r>
        <w:t>hat</w:t>
      </w:r>
      <w:r w:rsidR="00B56215">
        <w:t xml:space="preserve"> </w:t>
      </w:r>
      <w:r w:rsidR="0061195C">
        <w:t>fee o</w:t>
      </w:r>
      <w:r w:rsidR="00B56215">
        <w:t xml:space="preserve">ptions 2 </w:t>
      </w:r>
      <w:r w:rsidR="0040518A">
        <w:t>has</w:t>
      </w:r>
      <w:r>
        <w:t xml:space="preserve"> </w:t>
      </w:r>
      <w:r w:rsidR="00763EF5">
        <w:t>the highest score</w:t>
      </w:r>
      <w:r w:rsidRPr="0010776B">
        <w:t>.</w:t>
      </w:r>
      <w:r w:rsidR="00B56215">
        <w:t xml:space="preserve"> </w:t>
      </w:r>
      <w:r w:rsidR="0061195C">
        <w:t xml:space="preserve">This is primarily because </w:t>
      </w:r>
      <w:r w:rsidR="0040518A">
        <w:t>the fee option 2</w:t>
      </w:r>
      <w:r w:rsidR="0061195C">
        <w:t xml:space="preserve"> </w:t>
      </w:r>
      <w:r w:rsidR="0040518A">
        <w:t xml:space="preserve">uses </w:t>
      </w:r>
      <w:r w:rsidR="0061195C">
        <w:t>updated data on cost recovery activities to re-estimate fees levels</w:t>
      </w:r>
      <w:r w:rsidR="0040518A">
        <w:t>, while minimising the level of induced demand changes, and maintaining the more simple structure of fee option 1</w:t>
      </w:r>
      <w:r w:rsidR="00B72703">
        <w:t>.</w:t>
      </w:r>
    </w:p>
    <w:p w14:paraId="43DC76A1" w14:textId="046DF9DB" w:rsidR="00452800" w:rsidRDefault="00452800" w:rsidP="00705BA8">
      <w:pPr>
        <w:pStyle w:val="PwCNormal"/>
        <w:numPr>
          <w:ilvl w:val="0"/>
          <w:numId w:val="0"/>
        </w:numPr>
        <w:spacing w:before="240"/>
      </w:pPr>
      <w:r>
        <w:t xml:space="preserve">The percentage in the proposed change to fees is detailed in </w:t>
      </w:r>
      <w:r>
        <w:fldChar w:fldCharType="begin"/>
      </w:r>
      <w:r>
        <w:instrText xml:space="preserve"> REF _Ref509223410 \h </w:instrText>
      </w:r>
      <w:r>
        <w:fldChar w:fldCharType="separate"/>
      </w:r>
      <w:r w:rsidR="000369A1">
        <w:t xml:space="preserve">Table </w:t>
      </w:r>
      <w:r w:rsidR="000369A1">
        <w:rPr>
          <w:noProof/>
        </w:rPr>
        <w:t>34</w:t>
      </w:r>
      <w:r>
        <w:fldChar w:fldCharType="end"/>
      </w:r>
      <w:r>
        <w:t>.</w:t>
      </w:r>
    </w:p>
    <w:p w14:paraId="0737DD26" w14:textId="3ED40B33" w:rsidR="00B72703" w:rsidRDefault="00B72703" w:rsidP="00C35804">
      <w:pPr>
        <w:pStyle w:val="Caption"/>
      </w:pPr>
      <w:bookmarkStart w:id="90" w:name="_Ref509223410"/>
      <w:r>
        <w:t xml:space="preserve">Table </w:t>
      </w:r>
      <w:r w:rsidR="00B47FE6">
        <w:fldChar w:fldCharType="begin"/>
      </w:r>
      <w:r w:rsidR="00B47FE6">
        <w:instrText xml:space="preserve"> SEQ Table \* ARABIC </w:instrText>
      </w:r>
      <w:r w:rsidR="00B47FE6">
        <w:fldChar w:fldCharType="separate"/>
      </w:r>
      <w:r w:rsidR="000369A1">
        <w:rPr>
          <w:noProof/>
        </w:rPr>
        <w:t>34</w:t>
      </w:r>
      <w:r w:rsidR="00B47FE6">
        <w:rPr>
          <w:noProof/>
        </w:rPr>
        <w:fldChar w:fldCharType="end"/>
      </w:r>
      <w:bookmarkEnd w:id="90"/>
      <w:r>
        <w:t>: Percentage change in current and proposed fees</w:t>
      </w:r>
    </w:p>
    <w:tbl>
      <w:tblPr>
        <w:tblW w:w="5000" w:type="pct"/>
        <w:tblBorders>
          <w:top w:val="single" w:sz="4" w:space="0" w:color="A32020" w:themeColor="accent1"/>
          <w:left w:val="single" w:sz="4" w:space="0" w:color="A32020" w:themeColor="accent1"/>
          <w:bottom w:val="single" w:sz="4" w:space="0" w:color="A32020" w:themeColor="accent1"/>
          <w:right w:val="single" w:sz="4" w:space="0" w:color="A32020" w:themeColor="accent1"/>
          <w:insideH w:val="single" w:sz="4" w:space="0" w:color="A32020" w:themeColor="accent1"/>
          <w:insideV w:val="single" w:sz="4" w:space="0" w:color="A32020" w:themeColor="accent1"/>
        </w:tblBorders>
        <w:tblLook w:val="04A0" w:firstRow="1" w:lastRow="0" w:firstColumn="1" w:lastColumn="0" w:noHBand="0" w:noVBand="1"/>
      </w:tblPr>
      <w:tblGrid>
        <w:gridCol w:w="3038"/>
        <w:gridCol w:w="1856"/>
        <w:gridCol w:w="1687"/>
        <w:gridCol w:w="1856"/>
      </w:tblGrid>
      <w:tr w:rsidR="00B72703" w:rsidRPr="00B72703" w14:paraId="31B788DC" w14:textId="77777777" w:rsidTr="00C35804">
        <w:trPr>
          <w:cantSplit/>
          <w:trHeight w:val="379"/>
          <w:tblHeader/>
        </w:trPr>
        <w:tc>
          <w:tcPr>
            <w:tcW w:w="1800" w:type="pct"/>
            <w:shd w:val="clear" w:color="auto" w:fill="A32020" w:themeFill="accent1"/>
            <w:noWrap/>
            <w:vAlign w:val="center"/>
            <w:hideMark/>
          </w:tcPr>
          <w:p w14:paraId="4B68F6CE" w14:textId="77777777" w:rsidR="00B72703" w:rsidRPr="00B72703" w:rsidRDefault="00B72703" w:rsidP="00B72703">
            <w:pPr>
              <w:rPr>
                <w:b/>
                <w:bCs/>
                <w:color w:val="FFFFFF" w:themeColor="background1"/>
                <w:sz w:val="18"/>
              </w:rPr>
            </w:pPr>
            <w:r w:rsidRPr="00B72703">
              <w:rPr>
                <w:b/>
                <w:bCs/>
                <w:color w:val="FFFFFF" w:themeColor="background1"/>
                <w:sz w:val="18"/>
              </w:rPr>
              <w:t>Fee</w:t>
            </w:r>
          </w:p>
        </w:tc>
        <w:tc>
          <w:tcPr>
            <w:tcW w:w="1100" w:type="pct"/>
            <w:shd w:val="clear" w:color="auto" w:fill="A32020" w:themeFill="accent1"/>
            <w:vAlign w:val="center"/>
            <w:hideMark/>
          </w:tcPr>
          <w:p w14:paraId="14D10CB6" w14:textId="77777777" w:rsidR="00B72703" w:rsidRPr="00B72703" w:rsidRDefault="00B72703" w:rsidP="00B72703">
            <w:pPr>
              <w:jc w:val="center"/>
              <w:rPr>
                <w:b/>
                <w:bCs/>
                <w:color w:val="FFFFFF" w:themeColor="background1"/>
                <w:sz w:val="18"/>
              </w:rPr>
            </w:pPr>
            <w:r w:rsidRPr="00B72703">
              <w:rPr>
                <w:b/>
                <w:bCs/>
                <w:color w:val="FFFFFF" w:themeColor="background1"/>
                <w:sz w:val="18"/>
              </w:rPr>
              <w:t>Option 1 actual fee units (current)</w:t>
            </w:r>
          </w:p>
        </w:tc>
        <w:tc>
          <w:tcPr>
            <w:tcW w:w="1000" w:type="pct"/>
            <w:shd w:val="clear" w:color="auto" w:fill="A32020" w:themeFill="accent1"/>
            <w:vAlign w:val="center"/>
          </w:tcPr>
          <w:p w14:paraId="32E16DB9" w14:textId="77777777" w:rsidR="00B72703" w:rsidRPr="00B72703" w:rsidRDefault="00B72703" w:rsidP="00B72703">
            <w:pPr>
              <w:jc w:val="center"/>
              <w:rPr>
                <w:b/>
                <w:bCs/>
                <w:color w:val="FFFFFF" w:themeColor="background1"/>
                <w:sz w:val="18"/>
              </w:rPr>
            </w:pPr>
            <w:r w:rsidRPr="00B72703">
              <w:rPr>
                <w:b/>
                <w:bCs/>
                <w:color w:val="FFFFFF" w:themeColor="background1"/>
                <w:sz w:val="18"/>
              </w:rPr>
              <w:t>Option 2 implied fee units</w:t>
            </w:r>
          </w:p>
        </w:tc>
        <w:tc>
          <w:tcPr>
            <w:tcW w:w="1100" w:type="pct"/>
            <w:shd w:val="clear" w:color="auto" w:fill="A32020" w:themeFill="accent1"/>
            <w:vAlign w:val="center"/>
          </w:tcPr>
          <w:p w14:paraId="0D3B1040" w14:textId="346DFAFF" w:rsidR="00B72703" w:rsidRPr="00B72703" w:rsidRDefault="00B72703" w:rsidP="00B72703">
            <w:pPr>
              <w:jc w:val="center"/>
              <w:rPr>
                <w:b/>
                <w:bCs/>
                <w:color w:val="FFFFFF" w:themeColor="background1"/>
                <w:sz w:val="18"/>
              </w:rPr>
            </w:pPr>
            <w:r>
              <w:rPr>
                <w:b/>
                <w:bCs/>
                <w:color w:val="FFFFFF" w:themeColor="background1"/>
                <w:sz w:val="18"/>
              </w:rPr>
              <w:t>Change in fees (%)</w:t>
            </w:r>
          </w:p>
        </w:tc>
      </w:tr>
      <w:tr w:rsidR="00B72703" w:rsidRPr="00B72703" w14:paraId="22F690FB" w14:textId="77777777" w:rsidTr="00C35804">
        <w:trPr>
          <w:cantSplit/>
          <w:trHeight w:val="253"/>
        </w:trPr>
        <w:tc>
          <w:tcPr>
            <w:tcW w:w="1800" w:type="pct"/>
            <w:shd w:val="clear" w:color="auto" w:fill="7F7F7F" w:themeFill="text1" w:themeFillTint="80"/>
            <w:vAlign w:val="center"/>
            <w:hideMark/>
          </w:tcPr>
          <w:p w14:paraId="690A3C9B" w14:textId="77777777" w:rsidR="00B72703" w:rsidRPr="00B72703" w:rsidRDefault="00B72703" w:rsidP="00B72703">
            <w:pPr>
              <w:rPr>
                <w:b/>
                <w:bCs/>
                <w:color w:val="FFFFFF" w:themeColor="background1"/>
                <w:sz w:val="18"/>
              </w:rPr>
            </w:pPr>
            <w:r w:rsidRPr="00B72703">
              <w:rPr>
                <w:b/>
                <w:bCs/>
                <w:color w:val="FFFFFF" w:themeColor="background1"/>
                <w:sz w:val="18"/>
              </w:rPr>
              <w:t>CHP application</w:t>
            </w:r>
          </w:p>
        </w:tc>
        <w:tc>
          <w:tcPr>
            <w:tcW w:w="3200" w:type="pct"/>
            <w:gridSpan w:val="3"/>
            <w:shd w:val="clear" w:color="auto" w:fill="auto"/>
            <w:vAlign w:val="center"/>
            <w:hideMark/>
          </w:tcPr>
          <w:p w14:paraId="1D8D9C1E" w14:textId="77777777" w:rsidR="00B72703" w:rsidRPr="00B72703" w:rsidRDefault="00B72703" w:rsidP="00B72703">
            <w:pPr>
              <w:jc w:val="center"/>
              <w:rPr>
                <w:sz w:val="18"/>
              </w:rPr>
            </w:pPr>
          </w:p>
        </w:tc>
      </w:tr>
      <w:tr w:rsidR="00B72703" w:rsidRPr="00B72703" w14:paraId="711C0796" w14:textId="77777777" w:rsidTr="00C35804">
        <w:trPr>
          <w:cantSplit/>
          <w:trHeight w:val="253"/>
        </w:trPr>
        <w:tc>
          <w:tcPr>
            <w:tcW w:w="1800" w:type="pct"/>
            <w:shd w:val="clear" w:color="auto" w:fill="7F7F7F" w:themeFill="text1" w:themeFillTint="80"/>
            <w:vAlign w:val="center"/>
            <w:hideMark/>
          </w:tcPr>
          <w:p w14:paraId="6824A228" w14:textId="77777777" w:rsidR="00B72703" w:rsidRPr="00B72703" w:rsidRDefault="00B72703" w:rsidP="00B72703">
            <w:pPr>
              <w:rPr>
                <w:color w:val="FFFFFF" w:themeColor="background1"/>
                <w:sz w:val="18"/>
              </w:rPr>
            </w:pPr>
            <w:r w:rsidRPr="00B72703">
              <w:rPr>
                <w:color w:val="FFFFFF" w:themeColor="background1"/>
                <w:sz w:val="18"/>
              </w:rPr>
              <w:t>Discovery and research</w:t>
            </w:r>
          </w:p>
        </w:tc>
        <w:tc>
          <w:tcPr>
            <w:tcW w:w="1100" w:type="pct"/>
            <w:shd w:val="clear" w:color="auto" w:fill="auto"/>
            <w:vAlign w:val="center"/>
          </w:tcPr>
          <w:p w14:paraId="606DC27A" w14:textId="77777777" w:rsidR="00B72703" w:rsidRPr="00B72703" w:rsidRDefault="00B72703" w:rsidP="00B72703">
            <w:pPr>
              <w:jc w:val="center"/>
              <w:rPr>
                <w:sz w:val="18"/>
              </w:rPr>
            </w:pPr>
            <w:r w:rsidRPr="00B72703">
              <w:rPr>
                <w:sz w:val="18"/>
              </w:rPr>
              <w:t>8</w:t>
            </w:r>
          </w:p>
        </w:tc>
        <w:tc>
          <w:tcPr>
            <w:tcW w:w="1000" w:type="pct"/>
            <w:vAlign w:val="center"/>
          </w:tcPr>
          <w:p w14:paraId="6DCABC60" w14:textId="77777777" w:rsidR="00B72703" w:rsidRPr="00B72703" w:rsidRDefault="00B72703" w:rsidP="00B72703">
            <w:pPr>
              <w:jc w:val="center"/>
              <w:rPr>
                <w:sz w:val="18"/>
              </w:rPr>
            </w:pPr>
            <w:r w:rsidRPr="00B72703">
              <w:t xml:space="preserve">8 </w:t>
            </w:r>
          </w:p>
        </w:tc>
        <w:tc>
          <w:tcPr>
            <w:tcW w:w="1100" w:type="pct"/>
            <w:vAlign w:val="center"/>
          </w:tcPr>
          <w:p w14:paraId="15A9AAF6" w14:textId="32917DCD" w:rsidR="00B72703" w:rsidRPr="00B72703" w:rsidRDefault="00B72703" w:rsidP="00B72703">
            <w:pPr>
              <w:jc w:val="center"/>
              <w:rPr>
                <w:sz w:val="18"/>
              </w:rPr>
            </w:pPr>
            <w:r>
              <w:rPr>
                <w:sz w:val="18"/>
              </w:rPr>
              <w:t>0</w:t>
            </w:r>
          </w:p>
        </w:tc>
      </w:tr>
      <w:tr w:rsidR="00B72703" w:rsidRPr="00B72703" w14:paraId="4E1A387E" w14:textId="77777777" w:rsidTr="00C35804">
        <w:trPr>
          <w:cantSplit/>
          <w:trHeight w:val="253"/>
        </w:trPr>
        <w:tc>
          <w:tcPr>
            <w:tcW w:w="1800" w:type="pct"/>
            <w:shd w:val="clear" w:color="auto" w:fill="7F7F7F" w:themeFill="text1" w:themeFillTint="80"/>
            <w:vAlign w:val="center"/>
            <w:hideMark/>
          </w:tcPr>
          <w:p w14:paraId="5B5C0BD6" w14:textId="77777777" w:rsidR="00B72703" w:rsidRPr="00B72703" w:rsidRDefault="00B72703" w:rsidP="00B72703">
            <w:pPr>
              <w:rPr>
                <w:color w:val="FFFFFF" w:themeColor="background1"/>
                <w:sz w:val="18"/>
              </w:rPr>
            </w:pPr>
            <w:r w:rsidRPr="00B72703">
              <w:rPr>
                <w:color w:val="FFFFFF" w:themeColor="background1"/>
                <w:sz w:val="18"/>
              </w:rPr>
              <w:t>Harm Aboriginal cultural heritage</w:t>
            </w:r>
          </w:p>
        </w:tc>
        <w:tc>
          <w:tcPr>
            <w:tcW w:w="1100" w:type="pct"/>
            <w:shd w:val="clear" w:color="auto" w:fill="auto"/>
            <w:vAlign w:val="center"/>
          </w:tcPr>
          <w:p w14:paraId="753F04CE" w14:textId="77777777" w:rsidR="00B72703" w:rsidRPr="00B72703" w:rsidRDefault="00B72703" w:rsidP="00B72703">
            <w:pPr>
              <w:jc w:val="center"/>
              <w:rPr>
                <w:sz w:val="18"/>
              </w:rPr>
            </w:pPr>
            <w:r w:rsidRPr="00B72703">
              <w:rPr>
                <w:sz w:val="18"/>
              </w:rPr>
              <w:t>46</w:t>
            </w:r>
          </w:p>
        </w:tc>
        <w:tc>
          <w:tcPr>
            <w:tcW w:w="1000" w:type="pct"/>
            <w:vAlign w:val="center"/>
          </w:tcPr>
          <w:p w14:paraId="0DA83A8A" w14:textId="77777777" w:rsidR="00B72703" w:rsidRPr="00B72703" w:rsidRDefault="00B72703" w:rsidP="00B72703">
            <w:pPr>
              <w:jc w:val="center"/>
              <w:rPr>
                <w:sz w:val="18"/>
              </w:rPr>
            </w:pPr>
            <w:r w:rsidRPr="00B72703">
              <w:t xml:space="preserve">46 </w:t>
            </w:r>
          </w:p>
        </w:tc>
        <w:tc>
          <w:tcPr>
            <w:tcW w:w="1100" w:type="pct"/>
            <w:vAlign w:val="center"/>
          </w:tcPr>
          <w:p w14:paraId="09DA8299" w14:textId="1293FEE9" w:rsidR="00B72703" w:rsidRPr="00B72703" w:rsidRDefault="00B72703" w:rsidP="00B72703">
            <w:pPr>
              <w:jc w:val="center"/>
              <w:rPr>
                <w:sz w:val="18"/>
              </w:rPr>
            </w:pPr>
            <w:r>
              <w:rPr>
                <w:sz w:val="18"/>
              </w:rPr>
              <w:t>0</w:t>
            </w:r>
          </w:p>
        </w:tc>
      </w:tr>
      <w:tr w:rsidR="00B72703" w:rsidRPr="00B72703" w14:paraId="0FC8A11A" w14:textId="77777777" w:rsidTr="00C35804">
        <w:trPr>
          <w:cantSplit/>
          <w:trHeight w:val="253"/>
        </w:trPr>
        <w:tc>
          <w:tcPr>
            <w:tcW w:w="1800" w:type="pct"/>
            <w:shd w:val="clear" w:color="auto" w:fill="7F7F7F" w:themeFill="text1" w:themeFillTint="80"/>
            <w:vAlign w:val="center"/>
            <w:hideMark/>
          </w:tcPr>
          <w:p w14:paraId="5EF60633" w14:textId="77777777" w:rsidR="00B72703" w:rsidRPr="00B72703" w:rsidRDefault="00B72703" w:rsidP="00B72703">
            <w:pPr>
              <w:rPr>
                <w:color w:val="FFFFFF" w:themeColor="background1"/>
                <w:sz w:val="18"/>
              </w:rPr>
            </w:pPr>
            <w:r w:rsidRPr="00B72703">
              <w:rPr>
                <w:color w:val="FFFFFF" w:themeColor="background1"/>
                <w:sz w:val="18"/>
              </w:rPr>
              <w:t>Sell or remove Aboriginal object</w:t>
            </w:r>
          </w:p>
        </w:tc>
        <w:tc>
          <w:tcPr>
            <w:tcW w:w="1100" w:type="pct"/>
            <w:shd w:val="clear" w:color="auto" w:fill="auto"/>
            <w:vAlign w:val="center"/>
          </w:tcPr>
          <w:p w14:paraId="1F58B6DC" w14:textId="77777777" w:rsidR="00B72703" w:rsidRPr="00B72703" w:rsidRDefault="00B72703" w:rsidP="00B72703">
            <w:pPr>
              <w:jc w:val="center"/>
              <w:rPr>
                <w:sz w:val="18"/>
              </w:rPr>
            </w:pPr>
            <w:r w:rsidRPr="00B72703">
              <w:rPr>
                <w:sz w:val="18"/>
              </w:rPr>
              <w:t>13</w:t>
            </w:r>
          </w:p>
        </w:tc>
        <w:tc>
          <w:tcPr>
            <w:tcW w:w="1000" w:type="pct"/>
            <w:vAlign w:val="center"/>
          </w:tcPr>
          <w:p w14:paraId="296BD1B7" w14:textId="77777777" w:rsidR="00B72703" w:rsidRPr="00B72703" w:rsidRDefault="00B72703" w:rsidP="00B72703">
            <w:pPr>
              <w:jc w:val="center"/>
              <w:rPr>
                <w:sz w:val="18"/>
              </w:rPr>
            </w:pPr>
            <w:r w:rsidRPr="00B72703">
              <w:t xml:space="preserve">13 </w:t>
            </w:r>
          </w:p>
        </w:tc>
        <w:tc>
          <w:tcPr>
            <w:tcW w:w="1100" w:type="pct"/>
            <w:vAlign w:val="center"/>
          </w:tcPr>
          <w:p w14:paraId="28593160" w14:textId="52A6F787" w:rsidR="00B72703" w:rsidRPr="00B72703" w:rsidRDefault="00B72703" w:rsidP="00B72703">
            <w:pPr>
              <w:jc w:val="center"/>
              <w:rPr>
                <w:sz w:val="18"/>
              </w:rPr>
            </w:pPr>
            <w:r>
              <w:rPr>
                <w:sz w:val="18"/>
              </w:rPr>
              <w:t>0</w:t>
            </w:r>
          </w:p>
        </w:tc>
      </w:tr>
      <w:tr w:rsidR="00B72703" w:rsidRPr="00B72703" w14:paraId="56F5076E" w14:textId="77777777" w:rsidTr="00C35804">
        <w:trPr>
          <w:cantSplit/>
          <w:trHeight w:val="253"/>
        </w:trPr>
        <w:tc>
          <w:tcPr>
            <w:tcW w:w="1800" w:type="pct"/>
            <w:shd w:val="clear" w:color="auto" w:fill="7F7F7F" w:themeFill="text1" w:themeFillTint="80"/>
            <w:vAlign w:val="center"/>
            <w:hideMark/>
          </w:tcPr>
          <w:p w14:paraId="1ED926EF" w14:textId="77777777" w:rsidR="00B72703" w:rsidRPr="00B72703" w:rsidRDefault="00B72703" w:rsidP="00B72703">
            <w:pPr>
              <w:rPr>
                <w:b/>
                <w:bCs/>
                <w:color w:val="FFFFFF" w:themeColor="background1"/>
                <w:sz w:val="18"/>
              </w:rPr>
            </w:pPr>
            <w:r w:rsidRPr="00B72703">
              <w:rPr>
                <w:b/>
                <w:bCs/>
                <w:color w:val="FFFFFF" w:themeColor="background1"/>
                <w:sz w:val="18"/>
              </w:rPr>
              <w:t>PAHTs</w:t>
            </w:r>
          </w:p>
        </w:tc>
        <w:tc>
          <w:tcPr>
            <w:tcW w:w="3200" w:type="pct"/>
            <w:gridSpan w:val="3"/>
            <w:shd w:val="clear" w:color="auto" w:fill="auto"/>
            <w:vAlign w:val="center"/>
          </w:tcPr>
          <w:p w14:paraId="36F2A575" w14:textId="77777777" w:rsidR="00B72703" w:rsidRPr="00B72703" w:rsidRDefault="00B72703" w:rsidP="00B72703">
            <w:pPr>
              <w:jc w:val="center"/>
              <w:rPr>
                <w:sz w:val="18"/>
              </w:rPr>
            </w:pPr>
          </w:p>
        </w:tc>
      </w:tr>
      <w:tr w:rsidR="00B72703" w:rsidRPr="00B72703" w14:paraId="5D80DC00" w14:textId="77777777" w:rsidTr="00C35804">
        <w:trPr>
          <w:cantSplit/>
          <w:trHeight w:val="253"/>
        </w:trPr>
        <w:tc>
          <w:tcPr>
            <w:tcW w:w="1800" w:type="pct"/>
            <w:shd w:val="clear" w:color="auto" w:fill="7F7F7F" w:themeFill="text1" w:themeFillTint="80"/>
            <w:vAlign w:val="center"/>
            <w:hideMark/>
          </w:tcPr>
          <w:p w14:paraId="112ADD6E" w14:textId="77777777" w:rsidR="00B72703" w:rsidRPr="00B72703" w:rsidRDefault="00B72703" w:rsidP="00B72703">
            <w:pPr>
              <w:rPr>
                <w:color w:val="FFFFFF" w:themeColor="background1"/>
                <w:sz w:val="18"/>
              </w:rPr>
            </w:pPr>
            <w:r w:rsidRPr="00B72703">
              <w:rPr>
                <w:color w:val="FFFFFF" w:themeColor="background1"/>
                <w:sz w:val="18"/>
              </w:rPr>
              <w:t>Small activity</w:t>
            </w:r>
          </w:p>
        </w:tc>
        <w:tc>
          <w:tcPr>
            <w:tcW w:w="1100" w:type="pct"/>
            <w:shd w:val="clear" w:color="auto" w:fill="auto"/>
            <w:vAlign w:val="center"/>
          </w:tcPr>
          <w:p w14:paraId="347D8FF7" w14:textId="77777777" w:rsidR="00B72703" w:rsidRPr="00B72703" w:rsidRDefault="00B72703" w:rsidP="00B72703">
            <w:pPr>
              <w:jc w:val="center"/>
              <w:rPr>
                <w:sz w:val="18"/>
              </w:rPr>
            </w:pPr>
            <w:r w:rsidRPr="00B72703">
              <w:rPr>
                <w:sz w:val="18"/>
              </w:rPr>
              <w:t>40</w:t>
            </w:r>
          </w:p>
        </w:tc>
        <w:tc>
          <w:tcPr>
            <w:tcW w:w="1000" w:type="pct"/>
            <w:vAlign w:val="center"/>
          </w:tcPr>
          <w:p w14:paraId="5008C9C0" w14:textId="77777777" w:rsidR="00B72703" w:rsidRPr="00B72703" w:rsidRDefault="00B72703" w:rsidP="00B72703">
            <w:pPr>
              <w:jc w:val="center"/>
              <w:rPr>
                <w:sz w:val="18"/>
              </w:rPr>
            </w:pPr>
            <w:r w:rsidRPr="00B72703">
              <w:t xml:space="preserve">24 </w:t>
            </w:r>
          </w:p>
        </w:tc>
        <w:tc>
          <w:tcPr>
            <w:tcW w:w="1100" w:type="pct"/>
            <w:vAlign w:val="center"/>
          </w:tcPr>
          <w:p w14:paraId="7C30AE7A" w14:textId="37D641C0" w:rsidR="00B72703" w:rsidRPr="00B72703" w:rsidRDefault="00E96ADD" w:rsidP="00B72703">
            <w:pPr>
              <w:jc w:val="center"/>
              <w:rPr>
                <w:sz w:val="18"/>
              </w:rPr>
            </w:pPr>
            <w:r>
              <w:rPr>
                <w:sz w:val="18"/>
              </w:rPr>
              <w:t>-40</w:t>
            </w:r>
          </w:p>
        </w:tc>
      </w:tr>
      <w:tr w:rsidR="00B72703" w:rsidRPr="00B72703" w14:paraId="6D4D6F9B" w14:textId="77777777" w:rsidTr="00C35804">
        <w:trPr>
          <w:cantSplit/>
          <w:trHeight w:val="253"/>
        </w:trPr>
        <w:tc>
          <w:tcPr>
            <w:tcW w:w="1800" w:type="pct"/>
            <w:shd w:val="clear" w:color="auto" w:fill="7F7F7F" w:themeFill="text1" w:themeFillTint="80"/>
            <w:vAlign w:val="center"/>
            <w:hideMark/>
          </w:tcPr>
          <w:p w14:paraId="3384C564" w14:textId="77777777" w:rsidR="00B72703" w:rsidRPr="00B72703" w:rsidRDefault="00B72703" w:rsidP="00B72703">
            <w:pPr>
              <w:rPr>
                <w:color w:val="FFFFFF" w:themeColor="background1"/>
                <w:sz w:val="18"/>
              </w:rPr>
            </w:pPr>
            <w:r w:rsidRPr="00B72703">
              <w:rPr>
                <w:color w:val="FFFFFF" w:themeColor="background1"/>
                <w:sz w:val="18"/>
              </w:rPr>
              <w:t>Medium activity</w:t>
            </w:r>
          </w:p>
        </w:tc>
        <w:tc>
          <w:tcPr>
            <w:tcW w:w="1100" w:type="pct"/>
            <w:shd w:val="clear" w:color="auto" w:fill="auto"/>
            <w:vAlign w:val="center"/>
          </w:tcPr>
          <w:p w14:paraId="07955B8F" w14:textId="77777777" w:rsidR="00B72703" w:rsidRPr="00B72703" w:rsidRDefault="00B72703" w:rsidP="00B72703">
            <w:pPr>
              <w:jc w:val="center"/>
              <w:rPr>
                <w:sz w:val="18"/>
              </w:rPr>
            </w:pPr>
            <w:r w:rsidRPr="00B72703">
              <w:rPr>
                <w:sz w:val="18"/>
              </w:rPr>
              <w:t>80</w:t>
            </w:r>
          </w:p>
        </w:tc>
        <w:tc>
          <w:tcPr>
            <w:tcW w:w="1000" w:type="pct"/>
            <w:vAlign w:val="center"/>
          </w:tcPr>
          <w:p w14:paraId="07E62258" w14:textId="77777777" w:rsidR="00B72703" w:rsidRPr="00B72703" w:rsidRDefault="00B72703" w:rsidP="00B72703">
            <w:pPr>
              <w:jc w:val="center"/>
              <w:rPr>
                <w:sz w:val="18"/>
              </w:rPr>
            </w:pPr>
            <w:r w:rsidRPr="00B72703">
              <w:t xml:space="preserve">47 </w:t>
            </w:r>
          </w:p>
        </w:tc>
        <w:tc>
          <w:tcPr>
            <w:tcW w:w="1100" w:type="pct"/>
            <w:vAlign w:val="center"/>
          </w:tcPr>
          <w:p w14:paraId="22C02F96" w14:textId="11A18275" w:rsidR="00B72703" w:rsidRPr="00B72703" w:rsidRDefault="00E96ADD" w:rsidP="00B72703">
            <w:pPr>
              <w:jc w:val="center"/>
              <w:rPr>
                <w:sz w:val="18"/>
              </w:rPr>
            </w:pPr>
            <w:r>
              <w:rPr>
                <w:sz w:val="18"/>
              </w:rPr>
              <w:t>-41.</w:t>
            </w:r>
            <w:r w:rsidR="004D3AE7">
              <w:rPr>
                <w:sz w:val="18"/>
              </w:rPr>
              <w:t>3</w:t>
            </w:r>
          </w:p>
        </w:tc>
      </w:tr>
      <w:tr w:rsidR="00B72703" w:rsidRPr="00B72703" w14:paraId="12EA5FE5" w14:textId="77777777" w:rsidTr="00C35804">
        <w:trPr>
          <w:cantSplit/>
          <w:trHeight w:val="253"/>
        </w:trPr>
        <w:tc>
          <w:tcPr>
            <w:tcW w:w="1800" w:type="pct"/>
            <w:shd w:val="clear" w:color="auto" w:fill="7F7F7F" w:themeFill="text1" w:themeFillTint="80"/>
            <w:vAlign w:val="center"/>
            <w:hideMark/>
          </w:tcPr>
          <w:p w14:paraId="4EBF8950" w14:textId="77777777" w:rsidR="00B72703" w:rsidRPr="00B72703" w:rsidRDefault="00B72703" w:rsidP="00B72703">
            <w:pPr>
              <w:rPr>
                <w:color w:val="FFFFFF" w:themeColor="background1"/>
                <w:sz w:val="18"/>
              </w:rPr>
            </w:pPr>
            <w:r w:rsidRPr="00B72703">
              <w:rPr>
                <w:color w:val="FFFFFF" w:themeColor="background1"/>
                <w:sz w:val="18"/>
              </w:rPr>
              <w:t>Large activity</w:t>
            </w:r>
          </w:p>
        </w:tc>
        <w:tc>
          <w:tcPr>
            <w:tcW w:w="1100" w:type="pct"/>
            <w:shd w:val="clear" w:color="auto" w:fill="auto"/>
            <w:vAlign w:val="center"/>
          </w:tcPr>
          <w:p w14:paraId="2503B395" w14:textId="77777777" w:rsidR="00B72703" w:rsidRPr="00B72703" w:rsidRDefault="00B72703" w:rsidP="00B72703">
            <w:pPr>
              <w:jc w:val="center"/>
              <w:rPr>
                <w:sz w:val="18"/>
              </w:rPr>
            </w:pPr>
            <w:r w:rsidRPr="00B72703">
              <w:rPr>
                <w:sz w:val="18"/>
              </w:rPr>
              <w:t>120</w:t>
            </w:r>
          </w:p>
        </w:tc>
        <w:tc>
          <w:tcPr>
            <w:tcW w:w="1000" w:type="pct"/>
            <w:vAlign w:val="center"/>
          </w:tcPr>
          <w:p w14:paraId="1A0D15BA" w14:textId="77777777" w:rsidR="00B72703" w:rsidRPr="00B72703" w:rsidRDefault="00B72703" w:rsidP="00B72703">
            <w:pPr>
              <w:jc w:val="center"/>
              <w:rPr>
                <w:sz w:val="18"/>
              </w:rPr>
            </w:pPr>
            <w:r w:rsidRPr="00B72703">
              <w:t xml:space="preserve">71 </w:t>
            </w:r>
          </w:p>
        </w:tc>
        <w:tc>
          <w:tcPr>
            <w:tcW w:w="1100" w:type="pct"/>
            <w:vAlign w:val="center"/>
          </w:tcPr>
          <w:p w14:paraId="030735B3" w14:textId="4BC9645A" w:rsidR="00B72703" w:rsidRPr="00B72703" w:rsidRDefault="00E96ADD" w:rsidP="00B72703">
            <w:pPr>
              <w:jc w:val="center"/>
              <w:rPr>
                <w:sz w:val="18"/>
              </w:rPr>
            </w:pPr>
            <w:r>
              <w:rPr>
                <w:sz w:val="18"/>
              </w:rPr>
              <w:t>-40.</w:t>
            </w:r>
            <w:r w:rsidR="004D3AE7">
              <w:rPr>
                <w:sz w:val="18"/>
              </w:rPr>
              <w:t>8</w:t>
            </w:r>
          </w:p>
        </w:tc>
      </w:tr>
      <w:tr w:rsidR="00B72703" w:rsidRPr="00B72703" w14:paraId="60469BE0" w14:textId="77777777" w:rsidTr="00C35804">
        <w:trPr>
          <w:cantSplit/>
          <w:trHeight w:val="253"/>
        </w:trPr>
        <w:tc>
          <w:tcPr>
            <w:tcW w:w="1800" w:type="pct"/>
            <w:shd w:val="clear" w:color="auto" w:fill="7F7F7F" w:themeFill="text1" w:themeFillTint="80"/>
            <w:vAlign w:val="center"/>
            <w:hideMark/>
          </w:tcPr>
          <w:p w14:paraId="446D9B4C" w14:textId="77777777" w:rsidR="00B72703" w:rsidRPr="00B72703" w:rsidRDefault="00B72703" w:rsidP="00B72703">
            <w:pPr>
              <w:rPr>
                <w:b/>
                <w:bCs/>
                <w:color w:val="FFFFFF" w:themeColor="background1"/>
                <w:sz w:val="18"/>
              </w:rPr>
            </w:pPr>
            <w:r w:rsidRPr="00B72703">
              <w:rPr>
                <w:b/>
                <w:bCs/>
                <w:color w:val="FFFFFF" w:themeColor="background1"/>
                <w:sz w:val="18"/>
              </w:rPr>
              <w:t>NOI to prepare a CHMP</w:t>
            </w:r>
          </w:p>
        </w:tc>
        <w:tc>
          <w:tcPr>
            <w:tcW w:w="1100" w:type="pct"/>
            <w:shd w:val="clear" w:color="auto" w:fill="auto"/>
            <w:vAlign w:val="center"/>
          </w:tcPr>
          <w:p w14:paraId="3BEB9AE9" w14:textId="77777777" w:rsidR="00B72703" w:rsidRPr="00B72703" w:rsidRDefault="00B72703" w:rsidP="00B72703">
            <w:pPr>
              <w:jc w:val="center"/>
              <w:rPr>
                <w:sz w:val="18"/>
              </w:rPr>
            </w:pPr>
            <w:r w:rsidRPr="00B72703">
              <w:rPr>
                <w:sz w:val="18"/>
              </w:rPr>
              <w:t>8</w:t>
            </w:r>
          </w:p>
        </w:tc>
        <w:tc>
          <w:tcPr>
            <w:tcW w:w="1000" w:type="pct"/>
            <w:vAlign w:val="center"/>
          </w:tcPr>
          <w:p w14:paraId="58A2B07D" w14:textId="77777777" w:rsidR="00B72703" w:rsidRPr="00B72703" w:rsidRDefault="00B72703" w:rsidP="00B72703">
            <w:pPr>
              <w:jc w:val="center"/>
              <w:rPr>
                <w:sz w:val="18"/>
              </w:rPr>
            </w:pPr>
            <w:r w:rsidRPr="00B72703">
              <w:t xml:space="preserve">10 </w:t>
            </w:r>
          </w:p>
        </w:tc>
        <w:tc>
          <w:tcPr>
            <w:tcW w:w="1100" w:type="pct"/>
            <w:vAlign w:val="center"/>
          </w:tcPr>
          <w:p w14:paraId="74598F10" w14:textId="2A04CD8B" w:rsidR="00B72703" w:rsidRPr="00B72703" w:rsidRDefault="00E96ADD" w:rsidP="00B72703">
            <w:pPr>
              <w:jc w:val="center"/>
              <w:rPr>
                <w:sz w:val="18"/>
              </w:rPr>
            </w:pPr>
            <w:r>
              <w:rPr>
                <w:sz w:val="18"/>
              </w:rPr>
              <w:t>25</w:t>
            </w:r>
          </w:p>
        </w:tc>
      </w:tr>
      <w:tr w:rsidR="00B72703" w:rsidRPr="00B72703" w14:paraId="28A3E959" w14:textId="77777777" w:rsidTr="00C35804">
        <w:trPr>
          <w:cantSplit/>
          <w:trHeight w:val="253"/>
        </w:trPr>
        <w:tc>
          <w:tcPr>
            <w:tcW w:w="1800" w:type="pct"/>
            <w:shd w:val="clear" w:color="auto" w:fill="7F7F7F" w:themeFill="text1" w:themeFillTint="80"/>
            <w:vAlign w:val="center"/>
            <w:hideMark/>
          </w:tcPr>
          <w:p w14:paraId="0FD6C049" w14:textId="77777777" w:rsidR="00B72703" w:rsidRPr="00B72703" w:rsidRDefault="00B72703" w:rsidP="00B72703">
            <w:pPr>
              <w:rPr>
                <w:b/>
                <w:bCs/>
                <w:color w:val="FFFFFF" w:themeColor="background1"/>
                <w:sz w:val="18"/>
              </w:rPr>
            </w:pPr>
            <w:r w:rsidRPr="00B72703">
              <w:rPr>
                <w:b/>
                <w:bCs/>
                <w:color w:val="FFFFFF" w:themeColor="background1"/>
                <w:sz w:val="18"/>
              </w:rPr>
              <w:t>CHMPs - one authority only</w:t>
            </w:r>
          </w:p>
        </w:tc>
        <w:tc>
          <w:tcPr>
            <w:tcW w:w="1100" w:type="pct"/>
            <w:shd w:val="clear" w:color="auto" w:fill="auto"/>
            <w:vAlign w:val="center"/>
          </w:tcPr>
          <w:p w14:paraId="3C9B772D" w14:textId="77777777" w:rsidR="00B72703" w:rsidRPr="00B72703" w:rsidRDefault="00B72703" w:rsidP="00B72703">
            <w:pPr>
              <w:jc w:val="center"/>
              <w:rPr>
                <w:sz w:val="18"/>
              </w:rPr>
            </w:pPr>
          </w:p>
        </w:tc>
        <w:tc>
          <w:tcPr>
            <w:tcW w:w="1000" w:type="pct"/>
            <w:vAlign w:val="center"/>
          </w:tcPr>
          <w:p w14:paraId="3337DE34" w14:textId="77777777" w:rsidR="00B72703" w:rsidRPr="00B72703" w:rsidRDefault="00B72703" w:rsidP="00B72703">
            <w:pPr>
              <w:jc w:val="center"/>
              <w:rPr>
                <w:sz w:val="18"/>
              </w:rPr>
            </w:pPr>
          </w:p>
        </w:tc>
        <w:tc>
          <w:tcPr>
            <w:tcW w:w="1100" w:type="pct"/>
            <w:vAlign w:val="center"/>
          </w:tcPr>
          <w:p w14:paraId="0154371A" w14:textId="77777777" w:rsidR="00B72703" w:rsidRPr="00B72703" w:rsidRDefault="00B72703" w:rsidP="00B72703">
            <w:pPr>
              <w:jc w:val="center"/>
              <w:rPr>
                <w:sz w:val="18"/>
              </w:rPr>
            </w:pPr>
          </w:p>
        </w:tc>
      </w:tr>
      <w:tr w:rsidR="00B72703" w:rsidRPr="00B72703" w14:paraId="7D5DEB12" w14:textId="77777777" w:rsidTr="00C35804">
        <w:trPr>
          <w:cantSplit/>
          <w:trHeight w:val="253"/>
        </w:trPr>
        <w:tc>
          <w:tcPr>
            <w:tcW w:w="1800" w:type="pct"/>
            <w:shd w:val="clear" w:color="auto" w:fill="7F7F7F" w:themeFill="text1" w:themeFillTint="80"/>
            <w:vAlign w:val="center"/>
            <w:hideMark/>
          </w:tcPr>
          <w:p w14:paraId="333BBFA1" w14:textId="77777777" w:rsidR="00B72703" w:rsidRPr="00B72703" w:rsidRDefault="00B72703" w:rsidP="00B72703">
            <w:pPr>
              <w:rPr>
                <w:color w:val="FFFFFF" w:themeColor="background1"/>
                <w:sz w:val="18"/>
              </w:rPr>
            </w:pPr>
            <w:r w:rsidRPr="00B72703">
              <w:rPr>
                <w:color w:val="FFFFFF" w:themeColor="background1"/>
                <w:sz w:val="18"/>
              </w:rPr>
              <w:t>Desktop assessment - small activity</w:t>
            </w:r>
          </w:p>
        </w:tc>
        <w:tc>
          <w:tcPr>
            <w:tcW w:w="1100" w:type="pct"/>
            <w:shd w:val="clear" w:color="auto" w:fill="auto"/>
            <w:vAlign w:val="center"/>
          </w:tcPr>
          <w:p w14:paraId="16335FD7" w14:textId="77777777" w:rsidR="00B72703" w:rsidRPr="00B72703" w:rsidRDefault="00B72703" w:rsidP="00B72703">
            <w:pPr>
              <w:jc w:val="center"/>
              <w:rPr>
                <w:sz w:val="18"/>
              </w:rPr>
            </w:pPr>
            <w:r w:rsidRPr="00B72703">
              <w:rPr>
                <w:sz w:val="18"/>
              </w:rPr>
              <w:t>10</w:t>
            </w:r>
          </w:p>
        </w:tc>
        <w:tc>
          <w:tcPr>
            <w:tcW w:w="1000" w:type="pct"/>
            <w:vAlign w:val="center"/>
          </w:tcPr>
          <w:p w14:paraId="4BF07CDB" w14:textId="77777777" w:rsidR="00B72703" w:rsidRPr="00B72703" w:rsidRDefault="00B72703" w:rsidP="00B72703">
            <w:pPr>
              <w:jc w:val="center"/>
              <w:rPr>
                <w:sz w:val="18"/>
              </w:rPr>
            </w:pPr>
            <w:r w:rsidRPr="00B72703">
              <w:t xml:space="preserve">27 </w:t>
            </w:r>
          </w:p>
        </w:tc>
        <w:tc>
          <w:tcPr>
            <w:tcW w:w="1100" w:type="pct"/>
            <w:vAlign w:val="center"/>
          </w:tcPr>
          <w:p w14:paraId="63F2B32A" w14:textId="154E05B2" w:rsidR="00B72703" w:rsidRPr="00B72703" w:rsidRDefault="00E96ADD" w:rsidP="00B72703">
            <w:pPr>
              <w:jc w:val="center"/>
              <w:rPr>
                <w:sz w:val="18"/>
              </w:rPr>
            </w:pPr>
            <w:r>
              <w:rPr>
                <w:sz w:val="18"/>
              </w:rPr>
              <w:t>170</w:t>
            </w:r>
          </w:p>
        </w:tc>
      </w:tr>
      <w:tr w:rsidR="00B72703" w:rsidRPr="00B72703" w14:paraId="04F264BD" w14:textId="77777777" w:rsidTr="00C35804">
        <w:trPr>
          <w:cantSplit/>
          <w:trHeight w:val="253"/>
        </w:trPr>
        <w:tc>
          <w:tcPr>
            <w:tcW w:w="1800" w:type="pct"/>
            <w:shd w:val="clear" w:color="auto" w:fill="7F7F7F" w:themeFill="text1" w:themeFillTint="80"/>
            <w:vAlign w:val="center"/>
            <w:hideMark/>
          </w:tcPr>
          <w:p w14:paraId="17100229" w14:textId="77777777" w:rsidR="00B72703" w:rsidRPr="00B72703" w:rsidRDefault="00B72703" w:rsidP="00B72703">
            <w:pPr>
              <w:rPr>
                <w:color w:val="FFFFFF" w:themeColor="background1"/>
                <w:sz w:val="18"/>
              </w:rPr>
            </w:pPr>
            <w:r w:rsidRPr="00B72703">
              <w:rPr>
                <w:color w:val="FFFFFF" w:themeColor="background1"/>
                <w:sz w:val="18"/>
              </w:rPr>
              <w:t>Desktop assessment - medium activity</w:t>
            </w:r>
          </w:p>
        </w:tc>
        <w:tc>
          <w:tcPr>
            <w:tcW w:w="1100" w:type="pct"/>
            <w:shd w:val="clear" w:color="auto" w:fill="auto"/>
            <w:vAlign w:val="center"/>
          </w:tcPr>
          <w:p w14:paraId="5C2F92AB" w14:textId="77777777" w:rsidR="00B72703" w:rsidRPr="00B72703" w:rsidRDefault="00B72703" w:rsidP="00B72703">
            <w:pPr>
              <w:jc w:val="center"/>
              <w:rPr>
                <w:sz w:val="18"/>
              </w:rPr>
            </w:pPr>
            <w:r w:rsidRPr="00B72703">
              <w:rPr>
                <w:sz w:val="18"/>
              </w:rPr>
              <w:t>20</w:t>
            </w:r>
          </w:p>
        </w:tc>
        <w:tc>
          <w:tcPr>
            <w:tcW w:w="1000" w:type="pct"/>
            <w:vAlign w:val="center"/>
          </w:tcPr>
          <w:p w14:paraId="281A97AB" w14:textId="77777777" w:rsidR="00B72703" w:rsidRPr="00B72703" w:rsidRDefault="00B72703" w:rsidP="00B72703">
            <w:pPr>
              <w:jc w:val="center"/>
              <w:rPr>
                <w:sz w:val="18"/>
              </w:rPr>
            </w:pPr>
            <w:r w:rsidRPr="00B72703">
              <w:t xml:space="preserve">55 </w:t>
            </w:r>
          </w:p>
        </w:tc>
        <w:tc>
          <w:tcPr>
            <w:tcW w:w="1100" w:type="pct"/>
            <w:vAlign w:val="center"/>
          </w:tcPr>
          <w:p w14:paraId="1F394407" w14:textId="6D3D39FB" w:rsidR="00B72703" w:rsidRPr="00B72703" w:rsidRDefault="00E96ADD" w:rsidP="00B72703">
            <w:pPr>
              <w:jc w:val="center"/>
              <w:rPr>
                <w:sz w:val="18"/>
              </w:rPr>
            </w:pPr>
            <w:r>
              <w:rPr>
                <w:sz w:val="18"/>
              </w:rPr>
              <w:t>175</w:t>
            </w:r>
          </w:p>
        </w:tc>
      </w:tr>
      <w:tr w:rsidR="00B72703" w:rsidRPr="00B72703" w14:paraId="78F8919F" w14:textId="77777777" w:rsidTr="00C35804">
        <w:trPr>
          <w:cantSplit/>
          <w:trHeight w:val="253"/>
        </w:trPr>
        <w:tc>
          <w:tcPr>
            <w:tcW w:w="1800" w:type="pct"/>
            <w:shd w:val="clear" w:color="auto" w:fill="7F7F7F" w:themeFill="text1" w:themeFillTint="80"/>
            <w:vAlign w:val="center"/>
            <w:hideMark/>
          </w:tcPr>
          <w:p w14:paraId="620F46A7" w14:textId="77777777" w:rsidR="00B72703" w:rsidRPr="00B72703" w:rsidRDefault="00B72703" w:rsidP="00B72703">
            <w:pPr>
              <w:rPr>
                <w:color w:val="FFFFFF" w:themeColor="background1"/>
                <w:sz w:val="18"/>
              </w:rPr>
            </w:pPr>
            <w:r w:rsidRPr="00B72703">
              <w:rPr>
                <w:color w:val="FFFFFF" w:themeColor="background1"/>
                <w:sz w:val="18"/>
              </w:rPr>
              <w:t>Desktop assessment - large activity</w:t>
            </w:r>
          </w:p>
        </w:tc>
        <w:tc>
          <w:tcPr>
            <w:tcW w:w="1100" w:type="pct"/>
            <w:shd w:val="clear" w:color="auto" w:fill="auto"/>
            <w:vAlign w:val="center"/>
          </w:tcPr>
          <w:p w14:paraId="7F166402" w14:textId="77777777" w:rsidR="00B72703" w:rsidRPr="00B72703" w:rsidRDefault="00B72703" w:rsidP="00B72703">
            <w:pPr>
              <w:jc w:val="center"/>
              <w:rPr>
                <w:sz w:val="18"/>
              </w:rPr>
            </w:pPr>
            <w:r w:rsidRPr="00B72703">
              <w:rPr>
                <w:sz w:val="18"/>
              </w:rPr>
              <w:t>40</w:t>
            </w:r>
          </w:p>
        </w:tc>
        <w:tc>
          <w:tcPr>
            <w:tcW w:w="1000" w:type="pct"/>
            <w:vAlign w:val="center"/>
          </w:tcPr>
          <w:p w14:paraId="19079DC9" w14:textId="77777777" w:rsidR="00B72703" w:rsidRPr="00B72703" w:rsidRDefault="00B72703" w:rsidP="00B72703">
            <w:pPr>
              <w:jc w:val="center"/>
              <w:rPr>
                <w:sz w:val="18"/>
              </w:rPr>
            </w:pPr>
            <w:r w:rsidRPr="00B72703">
              <w:t xml:space="preserve">110 </w:t>
            </w:r>
          </w:p>
        </w:tc>
        <w:tc>
          <w:tcPr>
            <w:tcW w:w="1100" w:type="pct"/>
            <w:vAlign w:val="center"/>
          </w:tcPr>
          <w:p w14:paraId="543CE1A3" w14:textId="60E6347D" w:rsidR="00B72703" w:rsidRPr="00B72703" w:rsidRDefault="00E96ADD" w:rsidP="00B72703">
            <w:pPr>
              <w:jc w:val="center"/>
              <w:rPr>
                <w:sz w:val="18"/>
              </w:rPr>
            </w:pPr>
            <w:r>
              <w:rPr>
                <w:sz w:val="18"/>
              </w:rPr>
              <w:t>175</w:t>
            </w:r>
          </w:p>
        </w:tc>
      </w:tr>
      <w:tr w:rsidR="00B72703" w:rsidRPr="00B72703" w14:paraId="42B8E2EC" w14:textId="77777777" w:rsidTr="00C35804">
        <w:trPr>
          <w:cantSplit/>
          <w:trHeight w:val="253"/>
        </w:trPr>
        <w:tc>
          <w:tcPr>
            <w:tcW w:w="1800" w:type="pct"/>
            <w:shd w:val="clear" w:color="auto" w:fill="7F7F7F" w:themeFill="text1" w:themeFillTint="80"/>
            <w:vAlign w:val="center"/>
            <w:hideMark/>
          </w:tcPr>
          <w:p w14:paraId="72F76DB4" w14:textId="77777777" w:rsidR="00B72703" w:rsidRPr="00B72703" w:rsidRDefault="00B72703" w:rsidP="00B72703">
            <w:pPr>
              <w:rPr>
                <w:color w:val="FFFFFF" w:themeColor="background1"/>
                <w:sz w:val="18"/>
              </w:rPr>
            </w:pPr>
            <w:r w:rsidRPr="00B72703">
              <w:rPr>
                <w:color w:val="FFFFFF" w:themeColor="background1"/>
                <w:sz w:val="18"/>
              </w:rPr>
              <w:t>Standard assessment - small activity</w:t>
            </w:r>
          </w:p>
        </w:tc>
        <w:tc>
          <w:tcPr>
            <w:tcW w:w="1100" w:type="pct"/>
            <w:shd w:val="clear" w:color="auto" w:fill="auto"/>
            <w:vAlign w:val="center"/>
          </w:tcPr>
          <w:p w14:paraId="193896A4" w14:textId="77777777" w:rsidR="00B72703" w:rsidRPr="00B72703" w:rsidRDefault="00B72703" w:rsidP="00B72703">
            <w:pPr>
              <w:jc w:val="center"/>
              <w:rPr>
                <w:sz w:val="18"/>
              </w:rPr>
            </w:pPr>
            <w:r w:rsidRPr="00B72703">
              <w:rPr>
                <w:sz w:val="18"/>
              </w:rPr>
              <w:t>40</w:t>
            </w:r>
          </w:p>
        </w:tc>
        <w:tc>
          <w:tcPr>
            <w:tcW w:w="1000" w:type="pct"/>
            <w:vAlign w:val="center"/>
          </w:tcPr>
          <w:p w14:paraId="2AF7DBFC" w14:textId="77777777" w:rsidR="00B72703" w:rsidRPr="00B72703" w:rsidRDefault="00B72703" w:rsidP="00B72703">
            <w:pPr>
              <w:jc w:val="center"/>
              <w:rPr>
                <w:sz w:val="18"/>
              </w:rPr>
            </w:pPr>
            <w:r w:rsidRPr="00B72703">
              <w:t xml:space="preserve">39 </w:t>
            </w:r>
          </w:p>
        </w:tc>
        <w:tc>
          <w:tcPr>
            <w:tcW w:w="1100" w:type="pct"/>
            <w:vAlign w:val="center"/>
          </w:tcPr>
          <w:p w14:paraId="01BF1430" w14:textId="7A78853C" w:rsidR="00B72703" w:rsidRPr="00B72703" w:rsidRDefault="00E96ADD" w:rsidP="00B72703">
            <w:pPr>
              <w:jc w:val="center"/>
              <w:rPr>
                <w:sz w:val="18"/>
              </w:rPr>
            </w:pPr>
            <w:r>
              <w:rPr>
                <w:sz w:val="18"/>
              </w:rPr>
              <w:t>-2.5</w:t>
            </w:r>
          </w:p>
        </w:tc>
      </w:tr>
      <w:tr w:rsidR="00B72703" w:rsidRPr="00B72703" w14:paraId="55908243" w14:textId="77777777" w:rsidTr="00C35804">
        <w:trPr>
          <w:cantSplit/>
          <w:trHeight w:val="253"/>
        </w:trPr>
        <w:tc>
          <w:tcPr>
            <w:tcW w:w="1800" w:type="pct"/>
            <w:shd w:val="clear" w:color="auto" w:fill="7F7F7F" w:themeFill="text1" w:themeFillTint="80"/>
            <w:vAlign w:val="center"/>
            <w:hideMark/>
          </w:tcPr>
          <w:p w14:paraId="49E6570B" w14:textId="77777777" w:rsidR="00B72703" w:rsidRPr="00B72703" w:rsidRDefault="00B72703" w:rsidP="00B72703">
            <w:pPr>
              <w:rPr>
                <w:color w:val="FFFFFF" w:themeColor="background1"/>
                <w:sz w:val="18"/>
              </w:rPr>
            </w:pPr>
            <w:r w:rsidRPr="00B72703">
              <w:rPr>
                <w:color w:val="FFFFFF" w:themeColor="background1"/>
                <w:sz w:val="18"/>
              </w:rPr>
              <w:t>Standard assessment - medium activity</w:t>
            </w:r>
          </w:p>
        </w:tc>
        <w:tc>
          <w:tcPr>
            <w:tcW w:w="1100" w:type="pct"/>
            <w:shd w:val="clear" w:color="auto" w:fill="auto"/>
            <w:vAlign w:val="center"/>
          </w:tcPr>
          <w:p w14:paraId="24A61CA3" w14:textId="77777777" w:rsidR="00B72703" w:rsidRPr="00B72703" w:rsidRDefault="00B72703" w:rsidP="00B72703">
            <w:pPr>
              <w:jc w:val="center"/>
              <w:rPr>
                <w:sz w:val="18"/>
              </w:rPr>
            </w:pPr>
            <w:r w:rsidRPr="00B72703">
              <w:rPr>
                <w:sz w:val="18"/>
              </w:rPr>
              <w:t>80</w:t>
            </w:r>
          </w:p>
        </w:tc>
        <w:tc>
          <w:tcPr>
            <w:tcW w:w="1000" w:type="pct"/>
            <w:vAlign w:val="center"/>
          </w:tcPr>
          <w:p w14:paraId="13A55250" w14:textId="77777777" w:rsidR="00B72703" w:rsidRPr="00B72703" w:rsidRDefault="00B72703" w:rsidP="00B72703">
            <w:pPr>
              <w:jc w:val="center"/>
              <w:rPr>
                <w:sz w:val="18"/>
              </w:rPr>
            </w:pPr>
            <w:r w:rsidRPr="00B72703">
              <w:t xml:space="preserve">79 </w:t>
            </w:r>
          </w:p>
        </w:tc>
        <w:tc>
          <w:tcPr>
            <w:tcW w:w="1100" w:type="pct"/>
            <w:vAlign w:val="center"/>
          </w:tcPr>
          <w:p w14:paraId="48538A46" w14:textId="20E156F2" w:rsidR="00B72703" w:rsidRPr="00B72703" w:rsidRDefault="00E96ADD" w:rsidP="00B72703">
            <w:pPr>
              <w:jc w:val="center"/>
              <w:rPr>
                <w:sz w:val="18"/>
              </w:rPr>
            </w:pPr>
            <w:r>
              <w:rPr>
                <w:sz w:val="18"/>
              </w:rPr>
              <w:t>-1.</w:t>
            </w:r>
            <w:r w:rsidR="004D3AE7">
              <w:rPr>
                <w:sz w:val="18"/>
              </w:rPr>
              <w:t>3</w:t>
            </w:r>
          </w:p>
        </w:tc>
      </w:tr>
      <w:tr w:rsidR="00B72703" w:rsidRPr="00B72703" w14:paraId="261DC6C2" w14:textId="77777777" w:rsidTr="00C35804">
        <w:trPr>
          <w:cantSplit/>
          <w:trHeight w:val="253"/>
        </w:trPr>
        <w:tc>
          <w:tcPr>
            <w:tcW w:w="1800" w:type="pct"/>
            <w:shd w:val="clear" w:color="auto" w:fill="7F7F7F" w:themeFill="text1" w:themeFillTint="80"/>
            <w:vAlign w:val="center"/>
            <w:hideMark/>
          </w:tcPr>
          <w:p w14:paraId="23E23AE1" w14:textId="77777777" w:rsidR="00B72703" w:rsidRPr="00B72703" w:rsidRDefault="00B72703" w:rsidP="00B72703">
            <w:pPr>
              <w:rPr>
                <w:color w:val="FFFFFF" w:themeColor="background1"/>
                <w:sz w:val="18"/>
              </w:rPr>
            </w:pPr>
            <w:r w:rsidRPr="00B72703">
              <w:rPr>
                <w:color w:val="FFFFFF" w:themeColor="background1"/>
                <w:sz w:val="18"/>
              </w:rPr>
              <w:t>Standard assessment - large activity</w:t>
            </w:r>
          </w:p>
        </w:tc>
        <w:tc>
          <w:tcPr>
            <w:tcW w:w="1100" w:type="pct"/>
            <w:shd w:val="clear" w:color="auto" w:fill="auto"/>
            <w:vAlign w:val="center"/>
          </w:tcPr>
          <w:p w14:paraId="38F98ADA" w14:textId="77777777" w:rsidR="00B72703" w:rsidRPr="00B72703" w:rsidRDefault="00B72703" w:rsidP="00B72703">
            <w:pPr>
              <w:jc w:val="center"/>
              <w:rPr>
                <w:sz w:val="18"/>
              </w:rPr>
            </w:pPr>
            <w:r w:rsidRPr="00B72703">
              <w:rPr>
                <w:sz w:val="18"/>
              </w:rPr>
              <w:t>120</w:t>
            </w:r>
          </w:p>
        </w:tc>
        <w:tc>
          <w:tcPr>
            <w:tcW w:w="1000" w:type="pct"/>
            <w:vAlign w:val="center"/>
          </w:tcPr>
          <w:p w14:paraId="5850A11D" w14:textId="77777777" w:rsidR="00B72703" w:rsidRPr="00B72703" w:rsidRDefault="00B72703" w:rsidP="00B72703">
            <w:pPr>
              <w:jc w:val="center"/>
              <w:rPr>
                <w:sz w:val="18"/>
              </w:rPr>
            </w:pPr>
            <w:r w:rsidRPr="00B72703">
              <w:t xml:space="preserve">157 </w:t>
            </w:r>
          </w:p>
        </w:tc>
        <w:tc>
          <w:tcPr>
            <w:tcW w:w="1100" w:type="pct"/>
            <w:vAlign w:val="center"/>
          </w:tcPr>
          <w:p w14:paraId="2841C029" w14:textId="7FD13B4E" w:rsidR="00B72703" w:rsidRPr="00B72703" w:rsidRDefault="00E96ADD" w:rsidP="00B72703">
            <w:pPr>
              <w:jc w:val="center"/>
              <w:rPr>
                <w:sz w:val="18"/>
              </w:rPr>
            </w:pPr>
            <w:r>
              <w:rPr>
                <w:sz w:val="18"/>
              </w:rPr>
              <w:t>30.8</w:t>
            </w:r>
          </w:p>
        </w:tc>
      </w:tr>
      <w:tr w:rsidR="00B72703" w:rsidRPr="00B72703" w14:paraId="5D62656B" w14:textId="77777777" w:rsidTr="00C35804">
        <w:trPr>
          <w:cantSplit/>
          <w:trHeight w:val="253"/>
        </w:trPr>
        <w:tc>
          <w:tcPr>
            <w:tcW w:w="1800" w:type="pct"/>
            <w:shd w:val="clear" w:color="auto" w:fill="7F7F7F" w:themeFill="text1" w:themeFillTint="80"/>
            <w:vAlign w:val="center"/>
            <w:hideMark/>
          </w:tcPr>
          <w:p w14:paraId="5F5ED5F8" w14:textId="77777777" w:rsidR="00B72703" w:rsidRPr="00B72703" w:rsidRDefault="00B72703" w:rsidP="00B72703">
            <w:pPr>
              <w:rPr>
                <w:color w:val="FFFFFF" w:themeColor="background1"/>
                <w:sz w:val="18"/>
              </w:rPr>
            </w:pPr>
            <w:r w:rsidRPr="00B72703">
              <w:rPr>
                <w:color w:val="FFFFFF" w:themeColor="background1"/>
                <w:sz w:val="18"/>
              </w:rPr>
              <w:t>Complex assessment - small activity</w:t>
            </w:r>
          </w:p>
        </w:tc>
        <w:tc>
          <w:tcPr>
            <w:tcW w:w="1100" w:type="pct"/>
            <w:shd w:val="clear" w:color="auto" w:fill="auto"/>
            <w:vAlign w:val="center"/>
          </w:tcPr>
          <w:p w14:paraId="54436E99" w14:textId="77777777" w:rsidR="00B72703" w:rsidRPr="00B72703" w:rsidRDefault="00B72703" w:rsidP="00B72703">
            <w:pPr>
              <w:jc w:val="center"/>
              <w:rPr>
                <w:sz w:val="18"/>
              </w:rPr>
            </w:pPr>
            <w:r w:rsidRPr="00B72703">
              <w:rPr>
                <w:sz w:val="18"/>
              </w:rPr>
              <w:t>60</w:t>
            </w:r>
          </w:p>
        </w:tc>
        <w:tc>
          <w:tcPr>
            <w:tcW w:w="1000" w:type="pct"/>
            <w:vAlign w:val="center"/>
          </w:tcPr>
          <w:p w14:paraId="39F6C5D0" w14:textId="77777777" w:rsidR="00B72703" w:rsidRPr="00B72703" w:rsidRDefault="00B72703" w:rsidP="00B72703">
            <w:pPr>
              <w:jc w:val="center"/>
              <w:rPr>
                <w:sz w:val="18"/>
              </w:rPr>
            </w:pPr>
            <w:r w:rsidRPr="00B72703">
              <w:t xml:space="preserve">63 </w:t>
            </w:r>
          </w:p>
        </w:tc>
        <w:tc>
          <w:tcPr>
            <w:tcW w:w="1100" w:type="pct"/>
            <w:vAlign w:val="center"/>
          </w:tcPr>
          <w:p w14:paraId="4B0F9B6C" w14:textId="58B3BA5E" w:rsidR="00B72703" w:rsidRPr="00B72703" w:rsidRDefault="00E96ADD" w:rsidP="00B72703">
            <w:pPr>
              <w:jc w:val="center"/>
              <w:rPr>
                <w:sz w:val="18"/>
              </w:rPr>
            </w:pPr>
            <w:r>
              <w:rPr>
                <w:sz w:val="18"/>
              </w:rPr>
              <w:t>5</w:t>
            </w:r>
          </w:p>
        </w:tc>
      </w:tr>
      <w:tr w:rsidR="00B72703" w:rsidRPr="00B72703" w14:paraId="6CDE67A7" w14:textId="77777777" w:rsidTr="00C35804">
        <w:trPr>
          <w:cantSplit/>
          <w:trHeight w:val="253"/>
        </w:trPr>
        <w:tc>
          <w:tcPr>
            <w:tcW w:w="1800" w:type="pct"/>
            <w:shd w:val="clear" w:color="auto" w:fill="7F7F7F" w:themeFill="text1" w:themeFillTint="80"/>
            <w:vAlign w:val="center"/>
            <w:hideMark/>
          </w:tcPr>
          <w:p w14:paraId="22D9A133" w14:textId="77777777" w:rsidR="00B72703" w:rsidRPr="00B72703" w:rsidRDefault="00B72703" w:rsidP="00B72703">
            <w:pPr>
              <w:rPr>
                <w:color w:val="FFFFFF" w:themeColor="background1"/>
                <w:sz w:val="18"/>
              </w:rPr>
            </w:pPr>
            <w:r w:rsidRPr="00B72703">
              <w:rPr>
                <w:color w:val="FFFFFF" w:themeColor="background1"/>
                <w:sz w:val="18"/>
              </w:rPr>
              <w:t>Complex assessment - medium activity</w:t>
            </w:r>
          </w:p>
        </w:tc>
        <w:tc>
          <w:tcPr>
            <w:tcW w:w="1100" w:type="pct"/>
            <w:shd w:val="clear" w:color="auto" w:fill="auto"/>
            <w:vAlign w:val="center"/>
          </w:tcPr>
          <w:p w14:paraId="1209E783" w14:textId="77777777" w:rsidR="00B72703" w:rsidRPr="00B72703" w:rsidRDefault="00B72703" w:rsidP="00B72703">
            <w:pPr>
              <w:jc w:val="center"/>
              <w:rPr>
                <w:sz w:val="18"/>
              </w:rPr>
            </w:pPr>
            <w:r w:rsidRPr="00B72703">
              <w:rPr>
                <w:sz w:val="18"/>
              </w:rPr>
              <w:t>120</w:t>
            </w:r>
          </w:p>
        </w:tc>
        <w:tc>
          <w:tcPr>
            <w:tcW w:w="1000" w:type="pct"/>
            <w:vAlign w:val="center"/>
          </w:tcPr>
          <w:p w14:paraId="21035918" w14:textId="77777777" w:rsidR="00B72703" w:rsidRPr="00B72703" w:rsidRDefault="00B72703" w:rsidP="00B72703">
            <w:pPr>
              <w:jc w:val="center"/>
              <w:rPr>
                <w:sz w:val="18"/>
              </w:rPr>
            </w:pPr>
            <w:r w:rsidRPr="00B72703">
              <w:t xml:space="preserve">125 </w:t>
            </w:r>
          </w:p>
        </w:tc>
        <w:tc>
          <w:tcPr>
            <w:tcW w:w="1100" w:type="pct"/>
            <w:vAlign w:val="center"/>
          </w:tcPr>
          <w:p w14:paraId="187DB2A8" w14:textId="7CF50670" w:rsidR="00B72703" w:rsidRPr="00B72703" w:rsidRDefault="00E96ADD" w:rsidP="00B72703">
            <w:pPr>
              <w:jc w:val="center"/>
              <w:rPr>
                <w:sz w:val="18"/>
              </w:rPr>
            </w:pPr>
            <w:r>
              <w:rPr>
                <w:sz w:val="18"/>
              </w:rPr>
              <w:t>4.</w:t>
            </w:r>
            <w:r w:rsidR="004D3AE7">
              <w:rPr>
                <w:sz w:val="18"/>
              </w:rPr>
              <w:t>2</w:t>
            </w:r>
          </w:p>
        </w:tc>
      </w:tr>
      <w:tr w:rsidR="00B72703" w:rsidRPr="00B72703" w14:paraId="20A23301" w14:textId="77777777" w:rsidTr="00C35804">
        <w:trPr>
          <w:cantSplit/>
          <w:trHeight w:val="253"/>
        </w:trPr>
        <w:tc>
          <w:tcPr>
            <w:tcW w:w="1800" w:type="pct"/>
            <w:shd w:val="clear" w:color="auto" w:fill="7F7F7F" w:themeFill="text1" w:themeFillTint="80"/>
            <w:vAlign w:val="center"/>
            <w:hideMark/>
          </w:tcPr>
          <w:p w14:paraId="2B3B70D3" w14:textId="77777777" w:rsidR="00B72703" w:rsidRPr="00B72703" w:rsidRDefault="00B72703" w:rsidP="00B72703">
            <w:pPr>
              <w:rPr>
                <w:color w:val="FFFFFF" w:themeColor="background1"/>
                <w:sz w:val="18"/>
              </w:rPr>
            </w:pPr>
            <w:r w:rsidRPr="00B72703">
              <w:rPr>
                <w:color w:val="FFFFFF" w:themeColor="background1"/>
                <w:sz w:val="18"/>
              </w:rPr>
              <w:t>Complex assessment - large activity</w:t>
            </w:r>
          </w:p>
        </w:tc>
        <w:tc>
          <w:tcPr>
            <w:tcW w:w="1100" w:type="pct"/>
            <w:shd w:val="clear" w:color="auto" w:fill="auto"/>
            <w:vAlign w:val="center"/>
          </w:tcPr>
          <w:p w14:paraId="22640B92" w14:textId="77777777" w:rsidR="00B72703" w:rsidRPr="00B72703" w:rsidRDefault="00B72703" w:rsidP="00B72703">
            <w:pPr>
              <w:jc w:val="center"/>
              <w:rPr>
                <w:sz w:val="18"/>
              </w:rPr>
            </w:pPr>
            <w:r w:rsidRPr="00B72703">
              <w:rPr>
                <w:sz w:val="18"/>
              </w:rPr>
              <w:t>240</w:t>
            </w:r>
          </w:p>
        </w:tc>
        <w:tc>
          <w:tcPr>
            <w:tcW w:w="1000" w:type="pct"/>
            <w:vAlign w:val="center"/>
          </w:tcPr>
          <w:p w14:paraId="731CAD5D" w14:textId="77777777" w:rsidR="00B72703" w:rsidRPr="00B72703" w:rsidRDefault="00B72703" w:rsidP="00B72703">
            <w:pPr>
              <w:jc w:val="center"/>
              <w:rPr>
                <w:sz w:val="18"/>
              </w:rPr>
            </w:pPr>
            <w:r w:rsidRPr="00B72703">
              <w:t xml:space="preserve">251 </w:t>
            </w:r>
          </w:p>
        </w:tc>
        <w:tc>
          <w:tcPr>
            <w:tcW w:w="1100" w:type="pct"/>
            <w:vAlign w:val="center"/>
          </w:tcPr>
          <w:p w14:paraId="2E33B402" w14:textId="63A9E1B9" w:rsidR="00B72703" w:rsidRPr="00B72703" w:rsidRDefault="00E96ADD" w:rsidP="00B72703">
            <w:pPr>
              <w:jc w:val="center"/>
              <w:rPr>
                <w:sz w:val="18"/>
              </w:rPr>
            </w:pPr>
            <w:r>
              <w:rPr>
                <w:sz w:val="18"/>
              </w:rPr>
              <w:t>4.6</w:t>
            </w:r>
          </w:p>
        </w:tc>
      </w:tr>
      <w:tr w:rsidR="00B72703" w:rsidRPr="00B72703" w14:paraId="569AF924" w14:textId="77777777" w:rsidTr="00C35804">
        <w:trPr>
          <w:cantSplit/>
          <w:trHeight w:val="253"/>
        </w:trPr>
        <w:tc>
          <w:tcPr>
            <w:tcW w:w="1800" w:type="pct"/>
            <w:shd w:val="clear" w:color="auto" w:fill="7F7F7F" w:themeFill="text1" w:themeFillTint="80"/>
            <w:vAlign w:val="center"/>
            <w:hideMark/>
          </w:tcPr>
          <w:p w14:paraId="098B81A9" w14:textId="77777777" w:rsidR="00B72703" w:rsidRPr="00B72703" w:rsidRDefault="00B72703" w:rsidP="00B72703">
            <w:pPr>
              <w:rPr>
                <w:b/>
                <w:bCs/>
                <w:color w:val="FFFFFF" w:themeColor="background1"/>
                <w:sz w:val="18"/>
              </w:rPr>
            </w:pPr>
            <w:r w:rsidRPr="00B72703">
              <w:rPr>
                <w:b/>
                <w:bCs/>
                <w:color w:val="FFFFFF" w:themeColor="background1"/>
                <w:sz w:val="18"/>
              </w:rPr>
              <w:t>CHMPs - two authorities</w:t>
            </w:r>
          </w:p>
        </w:tc>
        <w:tc>
          <w:tcPr>
            <w:tcW w:w="3200" w:type="pct"/>
            <w:gridSpan w:val="3"/>
            <w:shd w:val="clear" w:color="auto" w:fill="auto"/>
            <w:vAlign w:val="center"/>
          </w:tcPr>
          <w:p w14:paraId="7354509C" w14:textId="77777777" w:rsidR="00B72703" w:rsidRPr="00B72703" w:rsidRDefault="00B72703" w:rsidP="00B72703">
            <w:pPr>
              <w:jc w:val="center"/>
              <w:rPr>
                <w:sz w:val="18"/>
              </w:rPr>
            </w:pPr>
          </w:p>
        </w:tc>
      </w:tr>
      <w:tr w:rsidR="00B72703" w:rsidRPr="00B72703" w14:paraId="606E9869" w14:textId="77777777" w:rsidTr="00C35804">
        <w:trPr>
          <w:cantSplit/>
          <w:trHeight w:val="253"/>
        </w:trPr>
        <w:tc>
          <w:tcPr>
            <w:tcW w:w="1800" w:type="pct"/>
            <w:shd w:val="clear" w:color="auto" w:fill="7F7F7F" w:themeFill="text1" w:themeFillTint="80"/>
            <w:vAlign w:val="center"/>
            <w:hideMark/>
          </w:tcPr>
          <w:p w14:paraId="1254D0C5" w14:textId="77777777" w:rsidR="00B72703" w:rsidRPr="00B72703" w:rsidRDefault="00B72703" w:rsidP="00B72703">
            <w:pPr>
              <w:rPr>
                <w:color w:val="FFFFFF" w:themeColor="background1"/>
                <w:sz w:val="18"/>
              </w:rPr>
            </w:pPr>
            <w:r w:rsidRPr="00B72703">
              <w:rPr>
                <w:color w:val="FFFFFF" w:themeColor="background1"/>
                <w:sz w:val="18"/>
              </w:rPr>
              <w:t>Desktop assessment - small activity</w:t>
            </w:r>
          </w:p>
        </w:tc>
        <w:tc>
          <w:tcPr>
            <w:tcW w:w="1100" w:type="pct"/>
            <w:shd w:val="clear" w:color="auto" w:fill="auto"/>
            <w:vAlign w:val="center"/>
          </w:tcPr>
          <w:p w14:paraId="5AD9BE40" w14:textId="77777777" w:rsidR="00B72703" w:rsidRPr="00B72703" w:rsidRDefault="00B72703" w:rsidP="00B72703">
            <w:pPr>
              <w:jc w:val="center"/>
              <w:rPr>
                <w:sz w:val="18"/>
              </w:rPr>
            </w:pPr>
            <w:r w:rsidRPr="00B72703">
              <w:rPr>
                <w:sz w:val="18"/>
              </w:rPr>
              <w:t>8</w:t>
            </w:r>
          </w:p>
        </w:tc>
        <w:tc>
          <w:tcPr>
            <w:tcW w:w="1000" w:type="pct"/>
            <w:vAlign w:val="center"/>
          </w:tcPr>
          <w:p w14:paraId="6E648F4A" w14:textId="77777777" w:rsidR="00B72703" w:rsidRPr="00B72703" w:rsidRDefault="00B72703" w:rsidP="00B72703">
            <w:pPr>
              <w:jc w:val="center"/>
              <w:rPr>
                <w:sz w:val="18"/>
              </w:rPr>
            </w:pPr>
            <w:r w:rsidRPr="00B72703">
              <w:t xml:space="preserve">22 </w:t>
            </w:r>
          </w:p>
        </w:tc>
        <w:tc>
          <w:tcPr>
            <w:tcW w:w="1100" w:type="pct"/>
            <w:vAlign w:val="center"/>
          </w:tcPr>
          <w:p w14:paraId="22D9F542" w14:textId="75D9E7BA" w:rsidR="00B72703" w:rsidRPr="00B72703" w:rsidRDefault="004D3AE7" w:rsidP="00B72703">
            <w:pPr>
              <w:jc w:val="center"/>
              <w:rPr>
                <w:sz w:val="18"/>
              </w:rPr>
            </w:pPr>
            <w:r>
              <w:rPr>
                <w:sz w:val="18"/>
              </w:rPr>
              <w:t>175</w:t>
            </w:r>
          </w:p>
        </w:tc>
      </w:tr>
      <w:tr w:rsidR="00B72703" w:rsidRPr="00B72703" w14:paraId="41C83747" w14:textId="77777777" w:rsidTr="00C35804">
        <w:trPr>
          <w:cantSplit/>
          <w:trHeight w:val="253"/>
        </w:trPr>
        <w:tc>
          <w:tcPr>
            <w:tcW w:w="1800" w:type="pct"/>
            <w:shd w:val="clear" w:color="auto" w:fill="7F7F7F" w:themeFill="text1" w:themeFillTint="80"/>
            <w:vAlign w:val="center"/>
            <w:hideMark/>
          </w:tcPr>
          <w:p w14:paraId="0DD9EF8E" w14:textId="77777777" w:rsidR="00B72703" w:rsidRPr="00B72703" w:rsidRDefault="00B72703" w:rsidP="00B72703">
            <w:pPr>
              <w:rPr>
                <w:color w:val="FFFFFF" w:themeColor="background1"/>
                <w:sz w:val="18"/>
              </w:rPr>
            </w:pPr>
            <w:r w:rsidRPr="00B72703">
              <w:rPr>
                <w:color w:val="FFFFFF" w:themeColor="background1"/>
                <w:sz w:val="18"/>
              </w:rPr>
              <w:t>Desktop assessment - medium activity</w:t>
            </w:r>
          </w:p>
        </w:tc>
        <w:tc>
          <w:tcPr>
            <w:tcW w:w="1100" w:type="pct"/>
            <w:shd w:val="clear" w:color="auto" w:fill="auto"/>
            <w:vAlign w:val="center"/>
          </w:tcPr>
          <w:p w14:paraId="7CC7D447" w14:textId="77777777" w:rsidR="00B72703" w:rsidRPr="00B72703" w:rsidRDefault="00B72703" w:rsidP="00B72703">
            <w:pPr>
              <w:jc w:val="center"/>
              <w:rPr>
                <w:sz w:val="18"/>
              </w:rPr>
            </w:pPr>
            <w:r w:rsidRPr="00B72703">
              <w:rPr>
                <w:sz w:val="18"/>
              </w:rPr>
              <w:t>15</w:t>
            </w:r>
          </w:p>
        </w:tc>
        <w:tc>
          <w:tcPr>
            <w:tcW w:w="1000" w:type="pct"/>
            <w:vAlign w:val="center"/>
          </w:tcPr>
          <w:p w14:paraId="1927A2C1" w14:textId="77777777" w:rsidR="00B72703" w:rsidRPr="00B72703" w:rsidRDefault="00B72703" w:rsidP="00B72703">
            <w:pPr>
              <w:jc w:val="center"/>
              <w:rPr>
                <w:sz w:val="18"/>
              </w:rPr>
            </w:pPr>
            <w:r w:rsidRPr="00B72703">
              <w:t xml:space="preserve">41 </w:t>
            </w:r>
          </w:p>
        </w:tc>
        <w:tc>
          <w:tcPr>
            <w:tcW w:w="1100" w:type="pct"/>
            <w:vAlign w:val="center"/>
          </w:tcPr>
          <w:p w14:paraId="209B7C70" w14:textId="439BCCCC" w:rsidR="00B72703" w:rsidRPr="00B72703" w:rsidRDefault="004D3AE7" w:rsidP="00B72703">
            <w:pPr>
              <w:jc w:val="center"/>
              <w:rPr>
                <w:sz w:val="18"/>
              </w:rPr>
            </w:pPr>
            <w:r>
              <w:rPr>
                <w:sz w:val="18"/>
              </w:rPr>
              <w:t>173.3</w:t>
            </w:r>
          </w:p>
        </w:tc>
      </w:tr>
      <w:tr w:rsidR="00B72703" w:rsidRPr="00B72703" w14:paraId="4AB5A0A7" w14:textId="77777777" w:rsidTr="00C35804">
        <w:trPr>
          <w:cantSplit/>
          <w:trHeight w:val="253"/>
        </w:trPr>
        <w:tc>
          <w:tcPr>
            <w:tcW w:w="1800" w:type="pct"/>
            <w:shd w:val="clear" w:color="auto" w:fill="7F7F7F" w:themeFill="text1" w:themeFillTint="80"/>
            <w:vAlign w:val="center"/>
            <w:hideMark/>
          </w:tcPr>
          <w:p w14:paraId="38FD7B41" w14:textId="77777777" w:rsidR="00B72703" w:rsidRPr="00B72703" w:rsidRDefault="00B72703" w:rsidP="00B72703">
            <w:pPr>
              <w:rPr>
                <w:color w:val="FFFFFF" w:themeColor="background1"/>
                <w:sz w:val="18"/>
              </w:rPr>
            </w:pPr>
            <w:r w:rsidRPr="00B72703">
              <w:rPr>
                <w:color w:val="FFFFFF" w:themeColor="background1"/>
                <w:sz w:val="18"/>
              </w:rPr>
              <w:t>Desktop assessment - large activity</w:t>
            </w:r>
          </w:p>
        </w:tc>
        <w:tc>
          <w:tcPr>
            <w:tcW w:w="1100" w:type="pct"/>
            <w:shd w:val="clear" w:color="auto" w:fill="auto"/>
            <w:vAlign w:val="center"/>
          </w:tcPr>
          <w:p w14:paraId="6F6E4BFF" w14:textId="77777777" w:rsidR="00B72703" w:rsidRPr="00B72703" w:rsidRDefault="00B72703" w:rsidP="00B72703">
            <w:pPr>
              <w:jc w:val="center"/>
              <w:rPr>
                <w:sz w:val="18"/>
              </w:rPr>
            </w:pPr>
            <w:r w:rsidRPr="00B72703">
              <w:rPr>
                <w:sz w:val="18"/>
              </w:rPr>
              <w:t>30</w:t>
            </w:r>
          </w:p>
        </w:tc>
        <w:tc>
          <w:tcPr>
            <w:tcW w:w="1000" w:type="pct"/>
            <w:vAlign w:val="center"/>
          </w:tcPr>
          <w:p w14:paraId="7566583D" w14:textId="77777777" w:rsidR="00B72703" w:rsidRPr="00B72703" w:rsidRDefault="00B72703" w:rsidP="00B72703">
            <w:pPr>
              <w:jc w:val="center"/>
              <w:rPr>
                <w:sz w:val="18"/>
              </w:rPr>
            </w:pPr>
            <w:r w:rsidRPr="00B72703">
              <w:t xml:space="preserve">82 </w:t>
            </w:r>
          </w:p>
        </w:tc>
        <w:tc>
          <w:tcPr>
            <w:tcW w:w="1100" w:type="pct"/>
            <w:vAlign w:val="center"/>
          </w:tcPr>
          <w:p w14:paraId="72541DDC" w14:textId="2DFD7DE8" w:rsidR="00B72703" w:rsidRPr="00B72703" w:rsidRDefault="00C14837" w:rsidP="00B72703">
            <w:pPr>
              <w:jc w:val="center"/>
              <w:rPr>
                <w:sz w:val="18"/>
              </w:rPr>
            </w:pPr>
            <w:r>
              <w:rPr>
                <w:sz w:val="18"/>
              </w:rPr>
              <w:t>173.3</w:t>
            </w:r>
          </w:p>
        </w:tc>
      </w:tr>
      <w:tr w:rsidR="00B72703" w:rsidRPr="00B72703" w14:paraId="199A73F3" w14:textId="77777777" w:rsidTr="00C35804">
        <w:trPr>
          <w:cantSplit/>
          <w:trHeight w:val="253"/>
        </w:trPr>
        <w:tc>
          <w:tcPr>
            <w:tcW w:w="1800" w:type="pct"/>
            <w:shd w:val="clear" w:color="auto" w:fill="7F7F7F" w:themeFill="text1" w:themeFillTint="80"/>
            <w:vAlign w:val="center"/>
            <w:hideMark/>
          </w:tcPr>
          <w:p w14:paraId="34E0FF3C" w14:textId="77777777" w:rsidR="00B72703" w:rsidRPr="00B72703" w:rsidRDefault="00B72703" w:rsidP="00B72703">
            <w:pPr>
              <w:rPr>
                <w:color w:val="FFFFFF" w:themeColor="background1"/>
                <w:sz w:val="18"/>
              </w:rPr>
            </w:pPr>
            <w:r w:rsidRPr="00B72703">
              <w:rPr>
                <w:color w:val="FFFFFF" w:themeColor="background1"/>
                <w:sz w:val="18"/>
              </w:rPr>
              <w:t>Standard assessment - small activity</w:t>
            </w:r>
          </w:p>
        </w:tc>
        <w:tc>
          <w:tcPr>
            <w:tcW w:w="1100" w:type="pct"/>
            <w:shd w:val="clear" w:color="auto" w:fill="auto"/>
            <w:vAlign w:val="center"/>
          </w:tcPr>
          <w:p w14:paraId="36AC6F19" w14:textId="77777777" w:rsidR="00B72703" w:rsidRPr="00B72703" w:rsidRDefault="00B72703" w:rsidP="00B72703">
            <w:pPr>
              <w:jc w:val="center"/>
              <w:rPr>
                <w:sz w:val="18"/>
              </w:rPr>
            </w:pPr>
            <w:r w:rsidRPr="00B72703">
              <w:rPr>
                <w:sz w:val="18"/>
              </w:rPr>
              <w:t>30</w:t>
            </w:r>
          </w:p>
        </w:tc>
        <w:tc>
          <w:tcPr>
            <w:tcW w:w="1000" w:type="pct"/>
            <w:vAlign w:val="center"/>
          </w:tcPr>
          <w:p w14:paraId="102EE4CE" w14:textId="77777777" w:rsidR="00B72703" w:rsidRPr="00B72703" w:rsidRDefault="00B72703" w:rsidP="00B72703">
            <w:pPr>
              <w:jc w:val="center"/>
              <w:rPr>
                <w:sz w:val="18"/>
              </w:rPr>
            </w:pPr>
            <w:r w:rsidRPr="00B72703">
              <w:t xml:space="preserve">30 </w:t>
            </w:r>
          </w:p>
        </w:tc>
        <w:tc>
          <w:tcPr>
            <w:tcW w:w="1100" w:type="pct"/>
            <w:vAlign w:val="center"/>
          </w:tcPr>
          <w:p w14:paraId="720C7AB0" w14:textId="70D3E8B2" w:rsidR="00B72703" w:rsidRPr="00B72703" w:rsidRDefault="00C14837" w:rsidP="00B72703">
            <w:pPr>
              <w:jc w:val="center"/>
              <w:rPr>
                <w:sz w:val="18"/>
              </w:rPr>
            </w:pPr>
            <w:r>
              <w:rPr>
                <w:sz w:val="18"/>
              </w:rPr>
              <w:t>0</w:t>
            </w:r>
          </w:p>
        </w:tc>
      </w:tr>
      <w:tr w:rsidR="00B72703" w:rsidRPr="00B72703" w14:paraId="42AEC5BF" w14:textId="77777777" w:rsidTr="00C35804">
        <w:trPr>
          <w:cantSplit/>
          <w:trHeight w:val="253"/>
        </w:trPr>
        <w:tc>
          <w:tcPr>
            <w:tcW w:w="1800" w:type="pct"/>
            <w:shd w:val="clear" w:color="auto" w:fill="7F7F7F" w:themeFill="text1" w:themeFillTint="80"/>
            <w:vAlign w:val="center"/>
            <w:hideMark/>
          </w:tcPr>
          <w:p w14:paraId="555EF250" w14:textId="77777777" w:rsidR="00B72703" w:rsidRPr="00B72703" w:rsidRDefault="00B72703" w:rsidP="00B72703">
            <w:pPr>
              <w:rPr>
                <w:color w:val="FFFFFF" w:themeColor="background1"/>
                <w:sz w:val="18"/>
              </w:rPr>
            </w:pPr>
            <w:r w:rsidRPr="00B72703">
              <w:rPr>
                <w:color w:val="FFFFFF" w:themeColor="background1"/>
                <w:sz w:val="18"/>
              </w:rPr>
              <w:t>Standard assessment - medium activity</w:t>
            </w:r>
          </w:p>
        </w:tc>
        <w:tc>
          <w:tcPr>
            <w:tcW w:w="1100" w:type="pct"/>
            <w:shd w:val="clear" w:color="auto" w:fill="auto"/>
            <w:vAlign w:val="center"/>
          </w:tcPr>
          <w:p w14:paraId="3682DA61" w14:textId="77777777" w:rsidR="00B72703" w:rsidRPr="00B72703" w:rsidRDefault="00B72703" w:rsidP="00B72703">
            <w:pPr>
              <w:jc w:val="center"/>
              <w:rPr>
                <w:sz w:val="18"/>
              </w:rPr>
            </w:pPr>
            <w:r w:rsidRPr="00B72703">
              <w:rPr>
                <w:sz w:val="18"/>
              </w:rPr>
              <w:t>60</w:t>
            </w:r>
          </w:p>
        </w:tc>
        <w:tc>
          <w:tcPr>
            <w:tcW w:w="1000" w:type="pct"/>
            <w:vAlign w:val="center"/>
          </w:tcPr>
          <w:p w14:paraId="5500839E" w14:textId="77777777" w:rsidR="00B72703" w:rsidRPr="00B72703" w:rsidRDefault="00B72703" w:rsidP="00B72703">
            <w:pPr>
              <w:jc w:val="center"/>
              <w:rPr>
                <w:sz w:val="18"/>
              </w:rPr>
            </w:pPr>
            <w:r w:rsidRPr="00B72703">
              <w:t xml:space="preserve">59 </w:t>
            </w:r>
          </w:p>
        </w:tc>
        <w:tc>
          <w:tcPr>
            <w:tcW w:w="1100" w:type="pct"/>
            <w:vAlign w:val="center"/>
          </w:tcPr>
          <w:p w14:paraId="0FC63013" w14:textId="0C92F671" w:rsidR="00B72703" w:rsidRPr="00B72703" w:rsidRDefault="00C14837" w:rsidP="00B72703">
            <w:pPr>
              <w:jc w:val="center"/>
              <w:rPr>
                <w:sz w:val="18"/>
              </w:rPr>
            </w:pPr>
            <w:r>
              <w:rPr>
                <w:sz w:val="18"/>
              </w:rPr>
              <w:t>-1.7</w:t>
            </w:r>
          </w:p>
        </w:tc>
      </w:tr>
      <w:tr w:rsidR="00B72703" w:rsidRPr="00B72703" w14:paraId="0FB9E4AD" w14:textId="77777777" w:rsidTr="00C35804">
        <w:trPr>
          <w:cantSplit/>
          <w:trHeight w:val="253"/>
        </w:trPr>
        <w:tc>
          <w:tcPr>
            <w:tcW w:w="1800" w:type="pct"/>
            <w:shd w:val="clear" w:color="auto" w:fill="7F7F7F" w:themeFill="text1" w:themeFillTint="80"/>
            <w:vAlign w:val="center"/>
            <w:hideMark/>
          </w:tcPr>
          <w:p w14:paraId="45E50B0D" w14:textId="77777777" w:rsidR="00B72703" w:rsidRPr="00B72703" w:rsidRDefault="00B72703" w:rsidP="00B72703">
            <w:pPr>
              <w:rPr>
                <w:color w:val="FFFFFF" w:themeColor="background1"/>
                <w:sz w:val="18"/>
              </w:rPr>
            </w:pPr>
            <w:r w:rsidRPr="00B72703">
              <w:rPr>
                <w:color w:val="FFFFFF" w:themeColor="background1"/>
                <w:sz w:val="18"/>
              </w:rPr>
              <w:t>Standard assessment - large activity</w:t>
            </w:r>
          </w:p>
        </w:tc>
        <w:tc>
          <w:tcPr>
            <w:tcW w:w="1100" w:type="pct"/>
            <w:shd w:val="clear" w:color="auto" w:fill="auto"/>
            <w:vAlign w:val="center"/>
          </w:tcPr>
          <w:p w14:paraId="7EE5C351" w14:textId="77777777" w:rsidR="00B72703" w:rsidRPr="00B72703" w:rsidRDefault="00B72703" w:rsidP="00B72703">
            <w:pPr>
              <w:jc w:val="center"/>
              <w:rPr>
                <w:sz w:val="18"/>
              </w:rPr>
            </w:pPr>
            <w:r w:rsidRPr="00B72703">
              <w:rPr>
                <w:sz w:val="18"/>
              </w:rPr>
              <w:t>160</w:t>
            </w:r>
          </w:p>
        </w:tc>
        <w:tc>
          <w:tcPr>
            <w:tcW w:w="1000" w:type="pct"/>
            <w:vAlign w:val="center"/>
          </w:tcPr>
          <w:p w14:paraId="4F82F336" w14:textId="77777777" w:rsidR="00B72703" w:rsidRPr="00B72703" w:rsidRDefault="00B72703" w:rsidP="00B72703">
            <w:pPr>
              <w:jc w:val="center"/>
              <w:rPr>
                <w:sz w:val="18"/>
              </w:rPr>
            </w:pPr>
            <w:r w:rsidRPr="00B72703">
              <w:t xml:space="preserve">118 </w:t>
            </w:r>
          </w:p>
        </w:tc>
        <w:tc>
          <w:tcPr>
            <w:tcW w:w="1100" w:type="pct"/>
            <w:vAlign w:val="center"/>
          </w:tcPr>
          <w:p w14:paraId="6DB930F6" w14:textId="7D05179A" w:rsidR="00B72703" w:rsidRPr="00B72703" w:rsidRDefault="00C14837" w:rsidP="00B72703">
            <w:pPr>
              <w:jc w:val="center"/>
              <w:rPr>
                <w:sz w:val="18"/>
              </w:rPr>
            </w:pPr>
            <w:r>
              <w:rPr>
                <w:sz w:val="18"/>
              </w:rPr>
              <w:t>-26.3</w:t>
            </w:r>
          </w:p>
        </w:tc>
      </w:tr>
      <w:tr w:rsidR="00B72703" w:rsidRPr="00B72703" w14:paraId="46F37D21" w14:textId="77777777" w:rsidTr="00C35804">
        <w:trPr>
          <w:cantSplit/>
          <w:trHeight w:val="253"/>
        </w:trPr>
        <w:tc>
          <w:tcPr>
            <w:tcW w:w="1800" w:type="pct"/>
            <w:shd w:val="clear" w:color="auto" w:fill="7F7F7F" w:themeFill="text1" w:themeFillTint="80"/>
            <w:vAlign w:val="center"/>
            <w:hideMark/>
          </w:tcPr>
          <w:p w14:paraId="698669AE" w14:textId="77777777" w:rsidR="00B72703" w:rsidRPr="00B72703" w:rsidRDefault="00B72703" w:rsidP="00B72703">
            <w:pPr>
              <w:rPr>
                <w:color w:val="FFFFFF" w:themeColor="background1"/>
                <w:sz w:val="18"/>
              </w:rPr>
            </w:pPr>
            <w:r w:rsidRPr="00B72703">
              <w:rPr>
                <w:color w:val="FFFFFF" w:themeColor="background1"/>
                <w:sz w:val="18"/>
              </w:rPr>
              <w:t>Complex assessment - small activity</w:t>
            </w:r>
          </w:p>
        </w:tc>
        <w:tc>
          <w:tcPr>
            <w:tcW w:w="1100" w:type="pct"/>
            <w:shd w:val="clear" w:color="auto" w:fill="auto"/>
            <w:vAlign w:val="center"/>
          </w:tcPr>
          <w:p w14:paraId="64913830" w14:textId="77777777" w:rsidR="00B72703" w:rsidRPr="00B72703" w:rsidRDefault="00B72703" w:rsidP="00B72703">
            <w:pPr>
              <w:jc w:val="center"/>
              <w:rPr>
                <w:sz w:val="18"/>
              </w:rPr>
            </w:pPr>
            <w:r w:rsidRPr="00B72703">
              <w:rPr>
                <w:sz w:val="18"/>
              </w:rPr>
              <w:t>80</w:t>
            </w:r>
          </w:p>
        </w:tc>
        <w:tc>
          <w:tcPr>
            <w:tcW w:w="1000" w:type="pct"/>
            <w:vAlign w:val="center"/>
          </w:tcPr>
          <w:p w14:paraId="32256C92" w14:textId="77777777" w:rsidR="00B72703" w:rsidRPr="00B72703" w:rsidRDefault="00B72703" w:rsidP="00B72703">
            <w:pPr>
              <w:jc w:val="center"/>
              <w:rPr>
                <w:sz w:val="18"/>
              </w:rPr>
            </w:pPr>
            <w:r w:rsidRPr="00B72703">
              <w:t xml:space="preserve">47 </w:t>
            </w:r>
          </w:p>
        </w:tc>
        <w:tc>
          <w:tcPr>
            <w:tcW w:w="1100" w:type="pct"/>
            <w:vAlign w:val="center"/>
          </w:tcPr>
          <w:p w14:paraId="60C2DC6D" w14:textId="4FA31A30" w:rsidR="00B72703" w:rsidRPr="00B72703" w:rsidRDefault="00C14837" w:rsidP="00B72703">
            <w:pPr>
              <w:jc w:val="center"/>
              <w:rPr>
                <w:sz w:val="18"/>
              </w:rPr>
            </w:pPr>
            <w:r>
              <w:rPr>
                <w:sz w:val="18"/>
              </w:rPr>
              <w:t>-41.3</w:t>
            </w:r>
          </w:p>
        </w:tc>
      </w:tr>
      <w:tr w:rsidR="00B72703" w:rsidRPr="00B72703" w14:paraId="4416014B" w14:textId="77777777" w:rsidTr="00C35804">
        <w:trPr>
          <w:cantSplit/>
          <w:trHeight w:val="253"/>
        </w:trPr>
        <w:tc>
          <w:tcPr>
            <w:tcW w:w="1800" w:type="pct"/>
            <w:shd w:val="clear" w:color="auto" w:fill="7F7F7F" w:themeFill="text1" w:themeFillTint="80"/>
            <w:vAlign w:val="center"/>
            <w:hideMark/>
          </w:tcPr>
          <w:p w14:paraId="06143E6C" w14:textId="77777777" w:rsidR="00B72703" w:rsidRPr="00B72703" w:rsidRDefault="00B72703" w:rsidP="00B72703">
            <w:pPr>
              <w:rPr>
                <w:color w:val="FFFFFF" w:themeColor="background1"/>
                <w:sz w:val="18"/>
              </w:rPr>
            </w:pPr>
            <w:r w:rsidRPr="00B72703">
              <w:rPr>
                <w:color w:val="FFFFFF" w:themeColor="background1"/>
                <w:sz w:val="18"/>
              </w:rPr>
              <w:t>Complex assessment - medium activity</w:t>
            </w:r>
          </w:p>
        </w:tc>
        <w:tc>
          <w:tcPr>
            <w:tcW w:w="1100" w:type="pct"/>
            <w:shd w:val="clear" w:color="auto" w:fill="auto"/>
            <w:vAlign w:val="center"/>
          </w:tcPr>
          <w:p w14:paraId="51AB6A22" w14:textId="77777777" w:rsidR="00B72703" w:rsidRPr="00B72703" w:rsidRDefault="00B72703" w:rsidP="00B72703">
            <w:pPr>
              <w:jc w:val="center"/>
              <w:rPr>
                <w:sz w:val="18"/>
              </w:rPr>
            </w:pPr>
            <w:r w:rsidRPr="00B72703">
              <w:rPr>
                <w:sz w:val="18"/>
              </w:rPr>
              <w:t>160</w:t>
            </w:r>
          </w:p>
        </w:tc>
        <w:tc>
          <w:tcPr>
            <w:tcW w:w="1000" w:type="pct"/>
            <w:vAlign w:val="center"/>
          </w:tcPr>
          <w:p w14:paraId="38137D55" w14:textId="77777777" w:rsidR="00B72703" w:rsidRPr="00B72703" w:rsidRDefault="00B72703" w:rsidP="00B72703">
            <w:pPr>
              <w:jc w:val="center"/>
              <w:rPr>
                <w:sz w:val="18"/>
              </w:rPr>
            </w:pPr>
            <w:r w:rsidRPr="00B72703">
              <w:t xml:space="preserve">94 </w:t>
            </w:r>
          </w:p>
        </w:tc>
        <w:tc>
          <w:tcPr>
            <w:tcW w:w="1100" w:type="pct"/>
            <w:vAlign w:val="center"/>
          </w:tcPr>
          <w:p w14:paraId="5EBBFDB1" w14:textId="79FB47A3" w:rsidR="00B72703" w:rsidRPr="00B72703" w:rsidRDefault="00C14837" w:rsidP="00B72703">
            <w:pPr>
              <w:jc w:val="center"/>
              <w:rPr>
                <w:sz w:val="18"/>
              </w:rPr>
            </w:pPr>
            <w:r>
              <w:rPr>
                <w:sz w:val="18"/>
              </w:rPr>
              <w:t>-41.3</w:t>
            </w:r>
          </w:p>
        </w:tc>
      </w:tr>
      <w:tr w:rsidR="00B72703" w:rsidRPr="00B72703" w14:paraId="2D7C047E" w14:textId="77777777" w:rsidTr="00C35804">
        <w:trPr>
          <w:cantSplit/>
          <w:trHeight w:val="253"/>
        </w:trPr>
        <w:tc>
          <w:tcPr>
            <w:tcW w:w="1800" w:type="pct"/>
            <w:shd w:val="clear" w:color="auto" w:fill="7F7F7F" w:themeFill="text1" w:themeFillTint="80"/>
            <w:vAlign w:val="center"/>
            <w:hideMark/>
          </w:tcPr>
          <w:p w14:paraId="1B3C84B9" w14:textId="77777777" w:rsidR="00B72703" w:rsidRPr="00B72703" w:rsidRDefault="00B72703" w:rsidP="00B72703">
            <w:pPr>
              <w:rPr>
                <w:color w:val="FFFFFF" w:themeColor="background1"/>
                <w:sz w:val="18"/>
              </w:rPr>
            </w:pPr>
            <w:r w:rsidRPr="00B72703">
              <w:rPr>
                <w:color w:val="FFFFFF" w:themeColor="background1"/>
                <w:sz w:val="18"/>
              </w:rPr>
              <w:t>Complex assessment - large activity</w:t>
            </w:r>
          </w:p>
        </w:tc>
        <w:tc>
          <w:tcPr>
            <w:tcW w:w="1100" w:type="pct"/>
            <w:shd w:val="clear" w:color="auto" w:fill="auto"/>
            <w:vAlign w:val="center"/>
          </w:tcPr>
          <w:p w14:paraId="7BBC64F3" w14:textId="77777777" w:rsidR="00B72703" w:rsidRPr="00B72703" w:rsidRDefault="00B72703" w:rsidP="00B72703">
            <w:pPr>
              <w:jc w:val="center"/>
              <w:rPr>
                <w:sz w:val="18"/>
              </w:rPr>
            </w:pPr>
            <w:r w:rsidRPr="00B72703">
              <w:rPr>
                <w:sz w:val="18"/>
              </w:rPr>
              <w:t>320</w:t>
            </w:r>
          </w:p>
        </w:tc>
        <w:tc>
          <w:tcPr>
            <w:tcW w:w="1000" w:type="pct"/>
            <w:vAlign w:val="center"/>
          </w:tcPr>
          <w:p w14:paraId="0579C3E1" w14:textId="77777777" w:rsidR="00B72703" w:rsidRPr="00B72703" w:rsidRDefault="00B72703" w:rsidP="00B72703">
            <w:pPr>
              <w:jc w:val="center"/>
              <w:rPr>
                <w:sz w:val="18"/>
              </w:rPr>
            </w:pPr>
            <w:r w:rsidRPr="00B72703">
              <w:t xml:space="preserve">188 </w:t>
            </w:r>
          </w:p>
        </w:tc>
        <w:tc>
          <w:tcPr>
            <w:tcW w:w="1100" w:type="pct"/>
            <w:vAlign w:val="center"/>
          </w:tcPr>
          <w:p w14:paraId="2B5C3D1F" w14:textId="3F307363" w:rsidR="00B72703" w:rsidRPr="00B72703" w:rsidRDefault="00C14837" w:rsidP="00B72703">
            <w:pPr>
              <w:jc w:val="center"/>
              <w:rPr>
                <w:sz w:val="18"/>
              </w:rPr>
            </w:pPr>
            <w:r>
              <w:rPr>
                <w:sz w:val="18"/>
              </w:rPr>
              <w:t>-41.3</w:t>
            </w:r>
          </w:p>
        </w:tc>
      </w:tr>
      <w:tr w:rsidR="00B72703" w:rsidRPr="00B72703" w14:paraId="4063A6A2" w14:textId="77777777" w:rsidTr="00C35804">
        <w:trPr>
          <w:cantSplit/>
          <w:trHeight w:val="253"/>
        </w:trPr>
        <w:tc>
          <w:tcPr>
            <w:tcW w:w="1800" w:type="pct"/>
            <w:shd w:val="clear" w:color="auto" w:fill="7F7F7F" w:themeFill="text1" w:themeFillTint="80"/>
            <w:vAlign w:val="center"/>
            <w:hideMark/>
          </w:tcPr>
          <w:p w14:paraId="09C530E4" w14:textId="77777777" w:rsidR="00B72703" w:rsidRPr="00B72703" w:rsidRDefault="00B72703" w:rsidP="00B72703">
            <w:pPr>
              <w:rPr>
                <w:b/>
                <w:bCs/>
                <w:color w:val="FFFFFF" w:themeColor="background1"/>
                <w:sz w:val="18"/>
              </w:rPr>
            </w:pPr>
            <w:r w:rsidRPr="00B72703">
              <w:rPr>
                <w:b/>
                <w:bCs/>
                <w:color w:val="FFFFFF" w:themeColor="background1"/>
                <w:sz w:val="18"/>
              </w:rPr>
              <w:t>CHMPs - three or more authorities</w:t>
            </w:r>
          </w:p>
        </w:tc>
        <w:tc>
          <w:tcPr>
            <w:tcW w:w="3200" w:type="pct"/>
            <w:gridSpan w:val="3"/>
            <w:shd w:val="clear" w:color="auto" w:fill="auto"/>
            <w:vAlign w:val="center"/>
          </w:tcPr>
          <w:p w14:paraId="66B2251D" w14:textId="77777777" w:rsidR="00B72703" w:rsidRPr="00B72703" w:rsidRDefault="00B72703" w:rsidP="00B72703">
            <w:pPr>
              <w:jc w:val="center"/>
              <w:rPr>
                <w:sz w:val="18"/>
              </w:rPr>
            </w:pPr>
          </w:p>
        </w:tc>
      </w:tr>
      <w:tr w:rsidR="00B72703" w:rsidRPr="00B72703" w14:paraId="45C04940" w14:textId="77777777" w:rsidTr="00C35804">
        <w:trPr>
          <w:cantSplit/>
          <w:trHeight w:val="253"/>
        </w:trPr>
        <w:tc>
          <w:tcPr>
            <w:tcW w:w="1800" w:type="pct"/>
            <w:shd w:val="clear" w:color="auto" w:fill="7F7F7F" w:themeFill="text1" w:themeFillTint="80"/>
            <w:vAlign w:val="center"/>
            <w:hideMark/>
          </w:tcPr>
          <w:p w14:paraId="49FC6B18" w14:textId="77777777" w:rsidR="00B72703" w:rsidRPr="00B72703" w:rsidRDefault="00B72703" w:rsidP="00B72703">
            <w:pPr>
              <w:rPr>
                <w:color w:val="FFFFFF" w:themeColor="background1"/>
                <w:sz w:val="18"/>
              </w:rPr>
            </w:pPr>
            <w:r w:rsidRPr="00B72703">
              <w:rPr>
                <w:color w:val="FFFFFF" w:themeColor="background1"/>
                <w:sz w:val="18"/>
              </w:rPr>
              <w:t>Desktop assessment - small activity</w:t>
            </w:r>
          </w:p>
        </w:tc>
        <w:tc>
          <w:tcPr>
            <w:tcW w:w="1100" w:type="pct"/>
            <w:shd w:val="clear" w:color="auto" w:fill="auto"/>
            <w:vAlign w:val="center"/>
          </w:tcPr>
          <w:p w14:paraId="73A5542D" w14:textId="77777777" w:rsidR="00B72703" w:rsidRPr="00B72703" w:rsidRDefault="00B72703" w:rsidP="00B72703">
            <w:pPr>
              <w:jc w:val="center"/>
              <w:rPr>
                <w:sz w:val="18"/>
              </w:rPr>
            </w:pPr>
            <w:r w:rsidRPr="00B72703">
              <w:rPr>
                <w:sz w:val="18"/>
              </w:rPr>
              <w:t>7</w:t>
            </w:r>
          </w:p>
        </w:tc>
        <w:tc>
          <w:tcPr>
            <w:tcW w:w="1000" w:type="pct"/>
            <w:vAlign w:val="center"/>
          </w:tcPr>
          <w:p w14:paraId="289B4819" w14:textId="77777777" w:rsidR="00B72703" w:rsidRPr="00B72703" w:rsidRDefault="00B72703" w:rsidP="00B72703">
            <w:pPr>
              <w:jc w:val="center"/>
              <w:rPr>
                <w:sz w:val="18"/>
              </w:rPr>
            </w:pPr>
            <w:r w:rsidRPr="00B72703">
              <w:t xml:space="preserve">19 </w:t>
            </w:r>
          </w:p>
        </w:tc>
        <w:tc>
          <w:tcPr>
            <w:tcW w:w="1100" w:type="pct"/>
            <w:vAlign w:val="center"/>
          </w:tcPr>
          <w:p w14:paraId="6829A366" w14:textId="40C76F89" w:rsidR="00B72703" w:rsidRPr="00B72703" w:rsidRDefault="00C14837" w:rsidP="00B72703">
            <w:pPr>
              <w:jc w:val="center"/>
              <w:rPr>
                <w:sz w:val="18"/>
              </w:rPr>
            </w:pPr>
            <w:r>
              <w:rPr>
                <w:sz w:val="18"/>
              </w:rPr>
              <w:t>171.4</w:t>
            </w:r>
          </w:p>
        </w:tc>
      </w:tr>
      <w:tr w:rsidR="00B72703" w:rsidRPr="00B72703" w14:paraId="43B94698" w14:textId="77777777" w:rsidTr="00C35804">
        <w:trPr>
          <w:cantSplit/>
          <w:trHeight w:val="253"/>
        </w:trPr>
        <w:tc>
          <w:tcPr>
            <w:tcW w:w="1800" w:type="pct"/>
            <w:shd w:val="clear" w:color="auto" w:fill="7F7F7F" w:themeFill="text1" w:themeFillTint="80"/>
            <w:vAlign w:val="center"/>
            <w:hideMark/>
          </w:tcPr>
          <w:p w14:paraId="7CC6F051" w14:textId="77777777" w:rsidR="00B72703" w:rsidRPr="00B72703" w:rsidRDefault="00B72703" w:rsidP="00B72703">
            <w:pPr>
              <w:rPr>
                <w:color w:val="FFFFFF" w:themeColor="background1"/>
                <w:sz w:val="18"/>
              </w:rPr>
            </w:pPr>
            <w:r w:rsidRPr="00B72703">
              <w:rPr>
                <w:color w:val="FFFFFF" w:themeColor="background1"/>
                <w:sz w:val="18"/>
              </w:rPr>
              <w:t>Desktop assessment - medium activity</w:t>
            </w:r>
          </w:p>
        </w:tc>
        <w:tc>
          <w:tcPr>
            <w:tcW w:w="1100" w:type="pct"/>
            <w:shd w:val="clear" w:color="auto" w:fill="auto"/>
            <w:vAlign w:val="center"/>
          </w:tcPr>
          <w:p w14:paraId="76FE4BFB" w14:textId="77777777" w:rsidR="00B72703" w:rsidRPr="00B72703" w:rsidRDefault="00B72703" w:rsidP="00B72703">
            <w:pPr>
              <w:jc w:val="center"/>
              <w:rPr>
                <w:sz w:val="18"/>
              </w:rPr>
            </w:pPr>
            <w:r w:rsidRPr="00B72703">
              <w:rPr>
                <w:sz w:val="18"/>
              </w:rPr>
              <w:t>13</w:t>
            </w:r>
          </w:p>
        </w:tc>
        <w:tc>
          <w:tcPr>
            <w:tcW w:w="1000" w:type="pct"/>
            <w:vAlign w:val="center"/>
          </w:tcPr>
          <w:p w14:paraId="14B5E66E" w14:textId="77777777" w:rsidR="00B72703" w:rsidRPr="00B72703" w:rsidRDefault="00B72703" w:rsidP="00B72703">
            <w:pPr>
              <w:jc w:val="center"/>
              <w:rPr>
                <w:sz w:val="18"/>
              </w:rPr>
            </w:pPr>
            <w:r w:rsidRPr="00B72703">
              <w:t xml:space="preserve">36 </w:t>
            </w:r>
          </w:p>
        </w:tc>
        <w:tc>
          <w:tcPr>
            <w:tcW w:w="1100" w:type="pct"/>
            <w:vAlign w:val="center"/>
          </w:tcPr>
          <w:p w14:paraId="2155C262" w14:textId="3E0EBB0E" w:rsidR="00B72703" w:rsidRPr="00B72703" w:rsidRDefault="00C14837" w:rsidP="00B72703">
            <w:pPr>
              <w:jc w:val="center"/>
              <w:rPr>
                <w:sz w:val="18"/>
              </w:rPr>
            </w:pPr>
            <w:r>
              <w:rPr>
                <w:sz w:val="18"/>
              </w:rPr>
              <w:t>176.9</w:t>
            </w:r>
          </w:p>
        </w:tc>
      </w:tr>
      <w:tr w:rsidR="00B72703" w:rsidRPr="00B72703" w14:paraId="27603330" w14:textId="77777777" w:rsidTr="00C35804">
        <w:trPr>
          <w:cantSplit/>
          <w:trHeight w:val="253"/>
        </w:trPr>
        <w:tc>
          <w:tcPr>
            <w:tcW w:w="1800" w:type="pct"/>
            <w:shd w:val="clear" w:color="auto" w:fill="7F7F7F" w:themeFill="text1" w:themeFillTint="80"/>
            <w:vAlign w:val="center"/>
            <w:hideMark/>
          </w:tcPr>
          <w:p w14:paraId="35D61C3F" w14:textId="77777777" w:rsidR="00B72703" w:rsidRPr="00B72703" w:rsidRDefault="00B72703" w:rsidP="00B72703">
            <w:pPr>
              <w:rPr>
                <w:color w:val="FFFFFF" w:themeColor="background1"/>
                <w:sz w:val="18"/>
              </w:rPr>
            </w:pPr>
            <w:r w:rsidRPr="00B72703">
              <w:rPr>
                <w:color w:val="FFFFFF" w:themeColor="background1"/>
                <w:sz w:val="18"/>
              </w:rPr>
              <w:t>Desktop assessment - large activity</w:t>
            </w:r>
          </w:p>
        </w:tc>
        <w:tc>
          <w:tcPr>
            <w:tcW w:w="1100" w:type="pct"/>
            <w:shd w:val="clear" w:color="auto" w:fill="auto"/>
            <w:vAlign w:val="center"/>
          </w:tcPr>
          <w:p w14:paraId="72066D5B" w14:textId="77777777" w:rsidR="00B72703" w:rsidRPr="00B72703" w:rsidRDefault="00B72703" w:rsidP="00B72703">
            <w:pPr>
              <w:jc w:val="center"/>
              <w:rPr>
                <w:sz w:val="18"/>
              </w:rPr>
            </w:pPr>
            <w:r w:rsidRPr="00B72703">
              <w:rPr>
                <w:sz w:val="18"/>
              </w:rPr>
              <w:t>27</w:t>
            </w:r>
          </w:p>
        </w:tc>
        <w:tc>
          <w:tcPr>
            <w:tcW w:w="1000" w:type="pct"/>
            <w:vAlign w:val="center"/>
          </w:tcPr>
          <w:p w14:paraId="7B9E3F68" w14:textId="77777777" w:rsidR="00B72703" w:rsidRPr="00B72703" w:rsidRDefault="00B72703" w:rsidP="00B72703">
            <w:pPr>
              <w:jc w:val="center"/>
              <w:rPr>
                <w:sz w:val="18"/>
              </w:rPr>
            </w:pPr>
            <w:r w:rsidRPr="00B72703">
              <w:t xml:space="preserve">74 </w:t>
            </w:r>
          </w:p>
        </w:tc>
        <w:tc>
          <w:tcPr>
            <w:tcW w:w="1100" w:type="pct"/>
            <w:vAlign w:val="center"/>
          </w:tcPr>
          <w:p w14:paraId="00F362A9" w14:textId="562ACB38" w:rsidR="00B72703" w:rsidRPr="00B72703" w:rsidRDefault="00C14837" w:rsidP="00B72703">
            <w:pPr>
              <w:jc w:val="center"/>
              <w:rPr>
                <w:sz w:val="18"/>
              </w:rPr>
            </w:pPr>
            <w:r>
              <w:rPr>
                <w:sz w:val="18"/>
              </w:rPr>
              <w:t>174.1</w:t>
            </w:r>
          </w:p>
        </w:tc>
      </w:tr>
      <w:tr w:rsidR="00B72703" w:rsidRPr="00B72703" w14:paraId="183AFB3E" w14:textId="77777777" w:rsidTr="00C35804">
        <w:trPr>
          <w:cantSplit/>
          <w:trHeight w:val="253"/>
        </w:trPr>
        <w:tc>
          <w:tcPr>
            <w:tcW w:w="1800" w:type="pct"/>
            <w:shd w:val="clear" w:color="auto" w:fill="7F7F7F" w:themeFill="text1" w:themeFillTint="80"/>
            <w:vAlign w:val="center"/>
            <w:hideMark/>
          </w:tcPr>
          <w:p w14:paraId="3098917E" w14:textId="77777777" w:rsidR="00B72703" w:rsidRPr="00B72703" w:rsidRDefault="00B72703" w:rsidP="00B72703">
            <w:pPr>
              <w:rPr>
                <w:color w:val="FFFFFF" w:themeColor="background1"/>
                <w:sz w:val="18"/>
              </w:rPr>
            </w:pPr>
            <w:r w:rsidRPr="00B72703">
              <w:rPr>
                <w:color w:val="FFFFFF" w:themeColor="background1"/>
                <w:sz w:val="18"/>
              </w:rPr>
              <w:t>Standard assessment - small activity</w:t>
            </w:r>
          </w:p>
        </w:tc>
        <w:tc>
          <w:tcPr>
            <w:tcW w:w="1100" w:type="pct"/>
            <w:shd w:val="clear" w:color="auto" w:fill="auto"/>
            <w:vAlign w:val="center"/>
          </w:tcPr>
          <w:p w14:paraId="681250D2" w14:textId="77777777" w:rsidR="00B72703" w:rsidRPr="00B72703" w:rsidRDefault="00B72703" w:rsidP="00B72703">
            <w:pPr>
              <w:jc w:val="center"/>
              <w:rPr>
                <w:sz w:val="18"/>
              </w:rPr>
            </w:pPr>
            <w:r w:rsidRPr="00B72703">
              <w:rPr>
                <w:sz w:val="18"/>
              </w:rPr>
              <w:t>27</w:t>
            </w:r>
          </w:p>
        </w:tc>
        <w:tc>
          <w:tcPr>
            <w:tcW w:w="1000" w:type="pct"/>
            <w:vAlign w:val="center"/>
          </w:tcPr>
          <w:p w14:paraId="21B379C5" w14:textId="77777777" w:rsidR="00B72703" w:rsidRPr="00B72703" w:rsidRDefault="00B72703" w:rsidP="00B72703">
            <w:pPr>
              <w:jc w:val="center"/>
              <w:rPr>
                <w:sz w:val="18"/>
              </w:rPr>
            </w:pPr>
            <w:r w:rsidRPr="00B72703">
              <w:t xml:space="preserve">27 </w:t>
            </w:r>
          </w:p>
        </w:tc>
        <w:tc>
          <w:tcPr>
            <w:tcW w:w="1100" w:type="pct"/>
            <w:vAlign w:val="center"/>
          </w:tcPr>
          <w:p w14:paraId="7D5344E4" w14:textId="42C319F5" w:rsidR="00B72703" w:rsidRPr="00B72703" w:rsidRDefault="00C14837" w:rsidP="00B72703">
            <w:pPr>
              <w:jc w:val="center"/>
              <w:rPr>
                <w:sz w:val="18"/>
              </w:rPr>
            </w:pPr>
            <w:r>
              <w:rPr>
                <w:sz w:val="18"/>
              </w:rPr>
              <w:t>0</w:t>
            </w:r>
          </w:p>
        </w:tc>
      </w:tr>
      <w:tr w:rsidR="00B72703" w:rsidRPr="00B72703" w14:paraId="0F2FCCBF" w14:textId="77777777" w:rsidTr="00C35804">
        <w:trPr>
          <w:cantSplit/>
          <w:trHeight w:val="253"/>
        </w:trPr>
        <w:tc>
          <w:tcPr>
            <w:tcW w:w="1800" w:type="pct"/>
            <w:shd w:val="clear" w:color="auto" w:fill="7F7F7F" w:themeFill="text1" w:themeFillTint="80"/>
            <w:vAlign w:val="center"/>
            <w:hideMark/>
          </w:tcPr>
          <w:p w14:paraId="29C5279B" w14:textId="77777777" w:rsidR="00B72703" w:rsidRPr="00B72703" w:rsidRDefault="00B72703" w:rsidP="00B72703">
            <w:pPr>
              <w:rPr>
                <w:color w:val="FFFFFF" w:themeColor="background1"/>
                <w:sz w:val="18"/>
              </w:rPr>
            </w:pPr>
            <w:r w:rsidRPr="00B72703">
              <w:rPr>
                <w:color w:val="FFFFFF" w:themeColor="background1"/>
                <w:sz w:val="18"/>
              </w:rPr>
              <w:t>Standard assessment - medium activity</w:t>
            </w:r>
          </w:p>
        </w:tc>
        <w:tc>
          <w:tcPr>
            <w:tcW w:w="1100" w:type="pct"/>
            <w:shd w:val="clear" w:color="auto" w:fill="auto"/>
            <w:vAlign w:val="center"/>
          </w:tcPr>
          <w:p w14:paraId="0B8D33FD" w14:textId="77777777" w:rsidR="00B72703" w:rsidRPr="00B72703" w:rsidRDefault="00B72703" w:rsidP="00B72703">
            <w:pPr>
              <w:jc w:val="center"/>
              <w:rPr>
                <w:sz w:val="18"/>
              </w:rPr>
            </w:pPr>
            <w:r w:rsidRPr="00B72703">
              <w:rPr>
                <w:sz w:val="18"/>
              </w:rPr>
              <w:t>53</w:t>
            </w:r>
          </w:p>
        </w:tc>
        <w:tc>
          <w:tcPr>
            <w:tcW w:w="1000" w:type="pct"/>
            <w:vAlign w:val="center"/>
          </w:tcPr>
          <w:p w14:paraId="431019BF" w14:textId="77777777" w:rsidR="00B72703" w:rsidRPr="00B72703" w:rsidRDefault="00B72703" w:rsidP="00B72703">
            <w:pPr>
              <w:jc w:val="center"/>
              <w:rPr>
                <w:sz w:val="18"/>
              </w:rPr>
            </w:pPr>
            <w:r w:rsidRPr="00B72703">
              <w:t xml:space="preserve">52 </w:t>
            </w:r>
          </w:p>
        </w:tc>
        <w:tc>
          <w:tcPr>
            <w:tcW w:w="1100" w:type="pct"/>
            <w:vAlign w:val="center"/>
          </w:tcPr>
          <w:p w14:paraId="5BB88E00" w14:textId="4DFE3361" w:rsidR="00B72703" w:rsidRPr="00B72703" w:rsidRDefault="00C14837" w:rsidP="00B72703">
            <w:pPr>
              <w:jc w:val="center"/>
              <w:rPr>
                <w:sz w:val="18"/>
              </w:rPr>
            </w:pPr>
            <w:r>
              <w:rPr>
                <w:sz w:val="18"/>
              </w:rPr>
              <w:t>-1.9</w:t>
            </w:r>
          </w:p>
        </w:tc>
      </w:tr>
      <w:tr w:rsidR="00B72703" w:rsidRPr="00B72703" w14:paraId="04307583" w14:textId="77777777" w:rsidTr="00C35804">
        <w:trPr>
          <w:cantSplit/>
          <w:trHeight w:val="253"/>
        </w:trPr>
        <w:tc>
          <w:tcPr>
            <w:tcW w:w="1800" w:type="pct"/>
            <w:shd w:val="clear" w:color="auto" w:fill="7F7F7F" w:themeFill="text1" w:themeFillTint="80"/>
            <w:vAlign w:val="center"/>
            <w:hideMark/>
          </w:tcPr>
          <w:p w14:paraId="37CE6220" w14:textId="77777777" w:rsidR="00B72703" w:rsidRPr="00B72703" w:rsidRDefault="00B72703" w:rsidP="00B72703">
            <w:pPr>
              <w:rPr>
                <w:color w:val="FFFFFF" w:themeColor="background1"/>
                <w:sz w:val="18"/>
              </w:rPr>
            </w:pPr>
            <w:r w:rsidRPr="00B72703">
              <w:rPr>
                <w:color w:val="FFFFFF" w:themeColor="background1"/>
                <w:sz w:val="18"/>
              </w:rPr>
              <w:t>Standard assessment - large activity</w:t>
            </w:r>
          </w:p>
        </w:tc>
        <w:tc>
          <w:tcPr>
            <w:tcW w:w="1100" w:type="pct"/>
            <w:shd w:val="clear" w:color="auto" w:fill="auto"/>
            <w:vAlign w:val="center"/>
          </w:tcPr>
          <w:p w14:paraId="03973BF2" w14:textId="77777777" w:rsidR="00B72703" w:rsidRPr="00B72703" w:rsidRDefault="00B72703" w:rsidP="00B72703">
            <w:pPr>
              <w:jc w:val="center"/>
              <w:rPr>
                <w:sz w:val="18"/>
              </w:rPr>
            </w:pPr>
            <w:r w:rsidRPr="00B72703">
              <w:rPr>
                <w:sz w:val="18"/>
              </w:rPr>
              <w:t>107</w:t>
            </w:r>
          </w:p>
        </w:tc>
        <w:tc>
          <w:tcPr>
            <w:tcW w:w="1000" w:type="pct"/>
            <w:vAlign w:val="center"/>
          </w:tcPr>
          <w:p w14:paraId="5BE36FFB" w14:textId="77777777" w:rsidR="00B72703" w:rsidRPr="00B72703" w:rsidRDefault="00B72703" w:rsidP="00B72703">
            <w:pPr>
              <w:jc w:val="center"/>
              <w:rPr>
                <w:sz w:val="18"/>
              </w:rPr>
            </w:pPr>
            <w:r w:rsidRPr="00B72703">
              <w:t xml:space="preserve">105 </w:t>
            </w:r>
          </w:p>
        </w:tc>
        <w:tc>
          <w:tcPr>
            <w:tcW w:w="1100" w:type="pct"/>
            <w:vAlign w:val="center"/>
          </w:tcPr>
          <w:p w14:paraId="3F4BCB72" w14:textId="2C05F8C4" w:rsidR="00B72703" w:rsidRPr="00B72703" w:rsidRDefault="00C14837" w:rsidP="00B72703">
            <w:pPr>
              <w:jc w:val="center"/>
              <w:rPr>
                <w:sz w:val="18"/>
              </w:rPr>
            </w:pPr>
            <w:r>
              <w:rPr>
                <w:sz w:val="18"/>
              </w:rPr>
              <w:t>-1.9</w:t>
            </w:r>
          </w:p>
        </w:tc>
      </w:tr>
      <w:tr w:rsidR="00B72703" w:rsidRPr="00B72703" w14:paraId="7424F05B" w14:textId="77777777" w:rsidTr="00C35804">
        <w:trPr>
          <w:cantSplit/>
          <w:trHeight w:val="253"/>
        </w:trPr>
        <w:tc>
          <w:tcPr>
            <w:tcW w:w="1800" w:type="pct"/>
            <w:shd w:val="clear" w:color="auto" w:fill="7F7F7F" w:themeFill="text1" w:themeFillTint="80"/>
            <w:vAlign w:val="center"/>
            <w:hideMark/>
          </w:tcPr>
          <w:p w14:paraId="5218D192" w14:textId="77777777" w:rsidR="00B72703" w:rsidRPr="00B72703" w:rsidRDefault="00B72703" w:rsidP="00B72703">
            <w:pPr>
              <w:rPr>
                <w:color w:val="FFFFFF" w:themeColor="background1"/>
                <w:sz w:val="18"/>
              </w:rPr>
            </w:pPr>
            <w:r w:rsidRPr="00B72703">
              <w:rPr>
                <w:color w:val="FFFFFF" w:themeColor="background1"/>
                <w:sz w:val="18"/>
              </w:rPr>
              <w:t>Complex assessment - small activity</w:t>
            </w:r>
          </w:p>
        </w:tc>
        <w:tc>
          <w:tcPr>
            <w:tcW w:w="1100" w:type="pct"/>
            <w:shd w:val="clear" w:color="auto" w:fill="auto"/>
            <w:vAlign w:val="center"/>
          </w:tcPr>
          <w:p w14:paraId="1D2CA39C" w14:textId="77777777" w:rsidR="00B72703" w:rsidRPr="00B72703" w:rsidRDefault="00B72703" w:rsidP="00B72703">
            <w:pPr>
              <w:jc w:val="center"/>
              <w:rPr>
                <w:sz w:val="18"/>
              </w:rPr>
            </w:pPr>
            <w:r w:rsidRPr="00B72703">
              <w:rPr>
                <w:sz w:val="18"/>
              </w:rPr>
              <w:t>53</w:t>
            </w:r>
          </w:p>
        </w:tc>
        <w:tc>
          <w:tcPr>
            <w:tcW w:w="1000" w:type="pct"/>
            <w:vAlign w:val="center"/>
          </w:tcPr>
          <w:p w14:paraId="548D5BC8" w14:textId="77777777" w:rsidR="00B72703" w:rsidRPr="00B72703" w:rsidRDefault="00B72703" w:rsidP="00B72703">
            <w:pPr>
              <w:jc w:val="center"/>
              <w:rPr>
                <w:sz w:val="18"/>
              </w:rPr>
            </w:pPr>
            <w:r w:rsidRPr="00B72703">
              <w:t xml:space="preserve">41 </w:t>
            </w:r>
          </w:p>
        </w:tc>
        <w:tc>
          <w:tcPr>
            <w:tcW w:w="1100" w:type="pct"/>
            <w:vAlign w:val="center"/>
          </w:tcPr>
          <w:p w14:paraId="4E06E5C4" w14:textId="7C253996" w:rsidR="00B72703" w:rsidRPr="00B72703" w:rsidRDefault="00C14837" w:rsidP="00B72703">
            <w:pPr>
              <w:jc w:val="center"/>
              <w:rPr>
                <w:sz w:val="18"/>
              </w:rPr>
            </w:pPr>
            <w:r>
              <w:rPr>
                <w:sz w:val="18"/>
              </w:rPr>
              <w:t>-22.6</w:t>
            </w:r>
          </w:p>
        </w:tc>
      </w:tr>
      <w:tr w:rsidR="00B72703" w:rsidRPr="00B72703" w14:paraId="0818BF25" w14:textId="77777777" w:rsidTr="00C35804">
        <w:trPr>
          <w:cantSplit/>
          <w:trHeight w:val="253"/>
        </w:trPr>
        <w:tc>
          <w:tcPr>
            <w:tcW w:w="1800" w:type="pct"/>
            <w:shd w:val="clear" w:color="auto" w:fill="7F7F7F" w:themeFill="text1" w:themeFillTint="80"/>
            <w:vAlign w:val="center"/>
            <w:hideMark/>
          </w:tcPr>
          <w:p w14:paraId="4825B6A3" w14:textId="77777777" w:rsidR="00B72703" w:rsidRPr="00B72703" w:rsidRDefault="00B72703" w:rsidP="00B72703">
            <w:pPr>
              <w:rPr>
                <w:color w:val="FFFFFF" w:themeColor="background1"/>
                <w:sz w:val="18"/>
              </w:rPr>
            </w:pPr>
            <w:r w:rsidRPr="00B72703">
              <w:rPr>
                <w:color w:val="FFFFFF" w:themeColor="background1"/>
                <w:sz w:val="18"/>
              </w:rPr>
              <w:t>Complex assessment - medium activity</w:t>
            </w:r>
          </w:p>
        </w:tc>
        <w:tc>
          <w:tcPr>
            <w:tcW w:w="1100" w:type="pct"/>
            <w:shd w:val="clear" w:color="auto" w:fill="auto"/>
            <w:vAlign w:val="center"/>
          </w:tcPr>
          <w:p w14:paraId="69DC747D" w14:textId="77777777" w:rsidR="00B72703" w:rsidRPr="00B72703" w:rsidRDefault="00B72703" w:rsidP="00B72703">
            <w:pPr>
              <w:jc w:val="center"/>
              <w:rPr>
                <w:sz w:val="18"/>
              </w:rPr>
            </w:pPr>
            <w:r w:rsidRPr="00B72703">
              <w:rPr>
                <w:sz w:val="18"/>
              </w:rPr>
              <w:t>107</w:t>
            </w:r>
          </w:p>
        </w:tc>
        <w:tc>
          <w:tcPr>
            <w:tcW w:w="1000" w:type="pct"/>
            <w:vAlign w:val="center"/>
          </w:tcPr>
          <w:p w14:paraId="496DC11E" w14:textId="77777777" w:rsidR="00B72703" w:rsidRPr="00B72703" w:rsidRDefault="00B72703" w:rsidP="00B72703">
            <w:pPr>
              <w:jc w:val="center"/>
              <w:rPr>
                <w:sz w:val="18"/>
              </w:rPr>
            </w:pPr>
            <w:r w:rsidRPr="00B72703">
              <w:t xml:space="preserve">84 </w:t>
            </w:r>
          </w:p>
        </w:tc>
        <w:tc>
          <w:tcPr>
            <w:tcW w:w="1100" w:type="pct"/>
            <w:vAlign w:val="center"/>
          </w:tcPr>
          <w:p w14:paraId="12967059" w14:textId="3B1F2D26" w:rsidR="00B72703" w:rsidRPr="00B72703" w:rsidRDefault="00C14837" w:rsidP="00B72703">
            <w:pPr>
              <w:jc w:val="center"/>
              <w:rPr>
                <w:sz w:val="18"/>
              </w:rPr>
            </w:pPr>
            <w:r>
              <w:rPr>
                <w:sz w:val="18"/>
              </w:rPr>
              <w:t>-21.5</w:t>
            </w:r>
          </w:p>
        </w:tc>
      </w:tr>
      <w:tr w:rsidR="00B72703" w:rsidRPr="00B72703" w14:paraId="0996A6D9" w14:textId="77777777" w:rsidTr="00C35804">
        <w:trPr>
          <w:cantSplit/>
          <w:trHeight w:val="253"/>
        </w:trPr>
        <w:tc>
          <w:tcPr>
            <w:tcW w:w="1800" w:type="pct"/>
            <w:shd w:val="clear" w:color="auto" w:fill="7F7F7F" w:themeFill="text1" w:themeFillTint="80"/>
            <w:vAlign w:val="center"/>
            <w:hideMark/>
          </w:tcPr>
          <w:p w14:paraId="3869A1B1" w14:textId="77777777" w:rsidR="00B72703" w:rsidRPr="00B72703" w:rsidRDefault="00B72703" w:rsidP="00B72703">
            <w:pPr>
              <w:rPr>
                <w:color w:val="FFFFFF" w:themeColor="background1"/>
                <w:sz w:val="18"/>
              </w:rPr>
            </w:pPr>
            <w:r w:rsidRPr="00B72703">
              <w:rPr>
                <w:color w:val="FFFFFF" w:themeColor="background1"/>
                <w:sz w:val="18"/>
              </w:rPr>
              <w:t>Complex assessment - large activity</w:t>
            </w:r>
          </w:p>
        </w:tc>
        <w:tc>
          <w:tcPr>
            <w:tcW w:w="1100" w:type="pct"/>
            <w:shd w:val="clear" w:color="auto" w:fill="auto"/>
            <w:vAlign w:val="center"/>
          </w:tcPr>
          <w:p w14:paraId="476CE66E" w14:textId="77777777" w:rsidR="00B72703" w:rsidRPr="00B72703" w:rsidRDefault="00B72703" w:rsidP="00B72703">
            <w:pPr>
              <w:jc w:val="center"/>
              <w:rPr>
                <w:sz w:val="18"/>
              </w:rPr>
            </w:pPr>
            <w:r w:rsidRPr="00B72703">
              <w:rPr>
                <w:sz w:val="18"/>
              </w:rPr>
              <w:t>213</w:t>
            </w:r>
          </w:p>
        </w:tc>
        <w:tc>
          <w:tcPr>
            <w:tcW w:w="1000" w:type="pct"/>
            <w:vAlign w:val="center"/>
          </w:tcPr>
          <w:p w14:paraId="37D0EFB7" w14:textId="77777777" w:rsidR="00B72703" w:rsidRPr="00B72703" w:rsidRDefault="00B72703" w:rsidP="00B72703">
            <w:pPr>
              <w:jc w:val="center"/>
              <w:rPr>
                <w:sz w:val="18"/>
              </w:rPr>
            </w:pPr>
            <w:r w:rsidRPr="00B72703">
              <w:t xml:space="preserve">167 </w:t>
            </w:r>
          </w:p>
        </w:tc>
        <w:tc>
          <w:tcPr>
            <w:tcW w:w="1100" w:type="pct"/>
            <w:vAlign w:val="center"/>
          </w:tcPr>
          <w:p w14:paraId="65890C94" w14:textId="37F8567E" w:rsidR="00B72703" w:rsidRPr="00B72703" w:rsidRDefault="00622655" w:rsidP="00B72703">
            <w:pPr>
              <w:jc w:val="center"/>
              <w:rPr>
                <w:sz w:val="18"/>
              </w:rPr>
            </w:pPr>
            <w:r>
              <w:rPr>
                <w:sz w:val="18"/>
              </w:rPr>
              <w:t>-21.6</w:t>
            </w:r>
          </w:p>
        </w:tc>
      </w:tr>
      <w:tr w:rsidR="00B72703" w:rsidRPr="00B72703" w14:paraId="07BE9792" w14:textId="77777777" w:rsidTr="00C35804">
        <w:trPr>
          <w:cantSplit/>
          <w:trHeight w:val="253"/>
        </w:trPr>
        <w:tc>
          <w:tcPr>
            <w:tcW w:w="1800" w:type="pct"/>
            <w:shd w:val="clear" w:color="auto" w:fill="7F7F7F" w:themeFill="text1" w:themeFillTint="80"/>
            <w:vAlign w:val="center"/>
            <w:hideMark/>
          </w:tcPr>
          <w:p w14:paraId="738B87BB" w14:textId="77777777" w:rsidR="00B72703" w:rsidRPr="00B72703" w:rsidRDefault="00B72703" w:rsidP="00B72703">
            <w:pPr>
              <w:rPr>
                <w:b/>
                <w:bCs/>
                <w:color w:val="FFFFFF" w:themeColor="background1"/>
                <w:sz w:val="18"/>
              </w:rPr>
            </w:pPr>
            <w:r w:rsidRPr="00B72703">
              <w:rPr>
                <w:b/>
                <w:bCs/>
                <w:color w:val="FFFFFF" w:themeColor="background1"/>
                <w:sz w:val="18"/>
              </w:rPr>
              <w:t>Approval of an amendment to a CHMP</w:t>
            </w:r>
          </w:p>
        </w:tc>
        <w:tc>
          <w:tcPr>
            <w:tcW w:w="1100" w:type="pct"/>
            <w:shd w:val="clear" w:color="auto" w:fill="auto"/>
            <w:vAlign w:val="center"/>
          </w:tcPr>
          <w:p w14:paraId="4AE2F3EA" w14:textId="77777777" w:rsidR="00B72703" w:rsidRPr="00B72703" w:rsidRDefault="00B72703" w:rsidP="00B72703">
            <w:pPr>
              <w:jc w:val="center"/>
              <w:rPr>
                <w:sz w:val="18"/>
              </w:rPr>
            </w:pPr>
            <w:r w:rsidRPr="00B72703">
              <w:rPr>
                <w:sz w:val="18"/>
              </w:rPr>
              <w:t>32</w:t>
            </w:r>
          </w:p>
        </w:tc>
        <w:tc>
          <w:tcPr>
            <w:tcW w:w="1000" w:type="pct"/>
            <w:vAlign w:val="center"/>
          </w:tcPr>
          <w:p w14:paraId="7FB42FE5" w14:textId="77777777" w:rsidR="00B72703" w:rsidRPr="00B72703" w:rsidRDefault="00B72703" w:rsidP="00B72703">
            <w:pPr>
              <w:jc w:val="center"/>
              <w:rPr>
                <w:sz w:val="18"/>
              </w:rPr>
            </w:pPr>
            <w:r w:rsidRPr="00B72703">
              <w:t xml:space="preserve">53 </w:t>
            </w:r>
          </w:p>
        </w:tc>
        <w:tc>
          <w:tcPr>
            <w:tcW w:w="1100" w:type="pct"/>
            <w:vAlign w:val="center"/>
          </w:tcPr>
          <w:p w14:paraId="3E9E66DE" w14:textId="4D1AE229" w:rsidR="00B72703" w:rsidRPr="00B72703" w:rsidRDefault="00622655">
            <w:pPr>
              <w:jc w:val="center"/>
              <w:rPr>
                <w:sz w:val="18"/>
              </w:rPr>
            </w:pPr>
            <w:r>
              <w:rPr>
                <w:sz w:val="18"/>
              </w:rPr>
              <w:t>65.6</w:t>
            </w:r>
          </w:p>
        </w:tc>
      </w:tr>
      <w:tr w:rsidR="00B72703" w:rsidRPr="00B72703" w14:paraId="3A73BF59" w14:textId="77777777" w:rsidTr="00C35804">
        <w:trPr>
          <w:cantSplit/>
          <w:trHeight w:val="253"/>
        </w:trPr>
        <w:tc>
          <w:tcPr>
            <w:tcW w:w="1800" w:type="pct"/>
            <w:shd w:val="clear" w:color="auto" w:fill="7F7F7F" w:themeFill="text1" w:themeFillTint="80"/>
            <w:vAlign w:val="center"/>
            <w:hideMark/>
          </w:tcPr>
          <w:p w14:paraId="35C97044" w14:textId="77777777" w:rsidR="00B72703" w:rsidRPr="00B72703" w:rsidRDefault="00B72703" w:rsidP="00B72703">
            <w:pPr>
              <w:rPr>
                <w:b/>
                <w:bCs/>
                <w:color w:val="FFFFFF" w:themeColor="background1"/>
                <w:sz w:val="18"/>
              </w:rPr>
            </w:pPr>
            <w:r w:rsidRPr="00B72703">
              <w:rPr>
                <w:b/>
                <w:bCs/>
                <w:color w:val="FFFFFF" w:themeColor="background1"/>
                <w:sz w:val="18"/>
              </w:rPr>
              <w:t>Application for access to the Register</w:t>
            </w:r>
          </w:p>
        </w:tc>
        <w:tc>
          <w:tcPr>
            <w:tcW w:w="1100" w:type="pct"/>
            <w:shd w:val="clear" w:color="auto" w:fill="auto"/>
            <w:vAlign w:val="center"/>
          </w:tcPr>
          <w:p w14:paraId="0BE4AB56" w14:textId="77777777" w:rsidR="00B72703" w:rsidRPr="00B72703" w:rsidRDefault="00B72703" w:rsidP="00B72703">
            <w:pPr>
              <w:jc w:val="center"/>
              <w:rPr>
                <w:sz w:val="18"/>
              </w:rPr>
            </w:pPr>
            <w:r w:rsidRPr="00B72703">
              <w:rPr>
                <w:sz w:val="18"/>
              </w:rPr>
              <w:t>16</w:t>
            </w:r>
          </w:p>
        </w:tc>
        <w:tc>
          <w:tcPr>
            <w:tcW w:w="1000" w:type="pct"/>
            <w:vAlign w:val="center"/>
          </w:tcPr>
          <w:p w14:paraId="5E8DB26B" w14:textId="77777777" w:rsidR="00B72703" w:rsidRPr="00B72703" w:rsidRDefault="00B72703" w:rsidP="00B72703">
            <w:pPr>
              <w:jc w:val="center"/>
              <w:rPr>
                <w:sz w:val="18"/>
              </w:rPr>
            </w:pPr>
            <w:r w:rsidRPr="00B72703">
              <w:t xml:space="preserve">18 </w:t>
            </w:r>
          </w:p>
        </w:tc>
        <w:tc>
          <w:tcPr>
            <w:tcW w:w="1100" w:type="pct"/>
            <w:vAlign w:val="center"/>
          </w:tcPr>
          <w:p w14:paraId="7D02AB34" w14:textId="1B631630" w:rsidR="00B72703" w:rsidRPr="00B72703" w:rsidRDefault="00B72703" w:rsidP="00B72703">
            <w:pPr>
              <w:jc w:val="center"/>
              <w:rPr>
                <w:sz w:val="18"/>
              </w:rPr>
            </w:pPr>
            <w:r w:rsidRPr="00B72703">
              <w:t xml:space="preserve"> </w:t>
            </w:r>
            <w:r w:rsidR="00622655">
              <w:t>12.5</w:t>
            </w:r>
          </w:p>
        </w:tc>
      </w:tr>
      <w:tr w:rsidR="00B72703" w:rsidRPr="00B72703" w14:paraId="5F6DCAA0" w14:textId="77777777" w:rsidTr="00C35804">
        <w:trPr>
          <w:cantSplit/>
          <w:trHeight w:val="253"/>
        </w:trPr>
        <w:tc>
          <w:tcPr>
            <w:tcW w:w="1800" w:type="pct"/>
            <w:shd w:val="clear" w:color="auto" w:fill="7F7F7F" w:themeFill="text1" w:themeFillTint="80"/>
            <w:vAlign w:val="center"/>
            <w:hideMark/>
          </w:tcPr>
          <w:p w14:paraId="05808D8E" w14:textId="77777777" w:rsidR="00B72703" w:rsidRPr="00B72703" w:rsidRDefault="00B72703" w:rsidP="00B72703">
            <w:pPr>
              <w:rPr>
                <w:b/>
                <w:bCs/>
                <w:color w:val="FFFFFF" w:themeColor="background1"/>
                <w:sz w:val="18"/>
              </w:rPr>
            </w:pPr>
            <w:r w:rsidRPr="00B72703">
              <w:rPr>
                <w:b/>
                <w:bCs/>
                <w:color w:val="FFFFFF" w:themeColor="background1"/>
                <w:sz w:val="18"/>
              </w:rPr>
              <w:t>Application for advice on the Register</w:t>
            </w:r>
          </w:p>
        </w:tc>
        <w:tc>
          <w:tcPr>
            <w:tcW w:w="1100" w:type="pct"/>
            <w:shd w:val="clear" w:color="auto" w:fill="auto"/>
            <w:vAlign w:val="center"/>
          </w:tcPr>
          <w:p w14:paraId="2FC33A5B" w14:textId="77777777" w:rsidR="00B72703" w:rsidRPr="00B72703" w:rsidRDefault="00B72703" w:rsidP="00B72703">
            <w:pPr>
              <w:jc w:val="center"/>
              <w:rPr>
                <w:sz w:val="18"/>
              </w:rPr>
            </w:pPr>
            <w:r w:rsidRPr="00B72703">
              <w:rPr>
                <w:sz w:val="18"/>
              </w:rPr>
              <w:t>6</w:t>
            </w:r>
          </w:p>
        </w:tc>
        <w:tc>
          <w:tcPr>
            <w:tcW w:w="1000" w:type="pct"/>
            <w:vAlign w:val="center"/>
          </w:tcPr>
          <w:p w14:paraId="6FA2909E" w14:textId="77777777" w:rsidR="00B72703" w:rsidRPr="00B72703" w:rsidRDefault="00B72703" w:rsidP="00B72703">
            <w:pPr>
              <w:jc w:val="center"/>
              <w:rPr>
                <w:sz w:val="18"/>
              </w:rPr>
            </w:pPr>
            <w:r w:rsidRPr="00B72703">
              <w:t xml:space="preserve">12 </w:t>
            </w:r>
          </w:p>
        </w:tc>
        <w:tc>
          <w:tcPr>
            <w:tcW w:w="1100" w:type="pct"/>
            <w:vAlign w:val="center"/>
          </w:tcPr>
          <w:p w14:paraId="4A92FC40" w14:textId="4356FA5E" w:rsidR="00B72703" w:rsidRPr="00B72703" w:rsidRDefault="00622655" w:rsidP="00B72703">
            <w:pPr>
              <w:jc w:val="center"/>
              <w:rPr>
                <w:sz w:val="18"/>
              </w:rPr>
            </w:pPr>
            <w:r>
              <w:rPr>
                <w:sz w:val="18"/>
              </w:rPr>
              <w:t>100</w:t>
            </w:r>
          </w:p>
        </w:tc>
      </w:tr>
    </w:tbl>
    <w:p w14:paraId="07E84A99" w14:textId="77777777" w:rsidR="00B72703" w:rsidRDefault="00B72703" w:rsidP="00705BA8">
      <w:pPr>
        <w:pStyle w:val="PwCNormal"/>
        <w:numPr>
          <w:ilvl w:val="0"/>
          <w:numId w:val="0"/>
        </w:numPr>
        <w:spacing w:before="240"/>
      </w:pPr>
    </w:p>
    <w:p w14:paraId="5589A4A7" w14:textId="77777777" w:rsidR="0040518A" w:rsidRDefault="0040518A" w:rsidP="00705BA8">
      <w:pPr>
        <w:pStyle w:val="PwCNormal"/>
        <w:numPr>
          <w:ilvl w:val="0"/>
          <w:numId w:val="0"/>
        </w:numPr>
        <w:spacing w:before="240"/>
      </w:pPr>
    </w:p>
    <w:p w14:paraId="30E13462" w14:textId="77777777" w:rsidR="00F014F1" w:rsidRPr="00705BA8" w:rsidRDefault="00F014F1" w:rsidP="00705BA8">
      <w:pPr>
        <w:pStyle w:val="PwCNormal"/>
        <w:numPr>
          <w:ilvl w:val="0"/>
          <w:numId w:val="0"/>
        </w:numPr>
        <w:spacing w:before="240"/>
        <w:sectPr w:rsidR="00F014F1" w:rsidRPr="00705BA8" w:rsidSect="00743D07">
          <w:headerReference w:type="even" r:id="rId34"/>
          <w:headerReference w:type="default" r:id="rId35"/>
          <w:footerReference w:type="even" r:id="rId36"/>
          <w:footerReference w:type="default" r:id="rId37"/>
          <w:headerReference w:type="first" r:id="rId38"/>
          <w:footerReference w:type="first" r:id="rId39"/>
          <w:type w:val="oddPage"/>
          <w:pgSz w:w="11907" w:h="16840" w:code="9"/>
          <w:pgMar w:top="1588" w:right="1843" w:bottom="1418" w:left="1843" w:header="567" w:footer="567" w:gutter="0"/>
          <w:cols w:space="227"/>
          <w:titlePg/>
          <w:docGrid w:linePitch="360"/>
        </w:sectPr>
      </w:pPr>
    </w:p>
    <w:p w14:paraId="4B6B5B41" w14:textId="77777777" w:rsidR="00C00A66" w:rsidRDefault="004F0878" w:rsidP="008E75A3">
      <w:pPr>
        <w:pStyle w:val="Appendicestitle"/>
      </w:pPr>
      <w:bookmarkStart w:id="91" w:name="_Toc150158830"/>
      <w:bookmarkStart w:id="92" w:name="_Toc152054531"/>
      <w:bookmarkStart w:id="93" w:name="_Toc175455170"/>
      <w:bookmarkStart w:id="94" w:name="_Toc188929763"/>
      <w:bookmarkStart w:id="95" w:name="_Toc190831168"/>
      <w:bookmarkStart w:id="96" w:name="_Toc190831919"/>
      <w:bookmarkStart w:id="97" w:name="_Toc222740491"/>
      <w:bookmarkStart w:id="98" w:name="_Toc222797936"/>
      <w:bookmarkStart w:id="99" w:name="_Toc222812200"/>
      <w:bookmarkStart w:id="100" w:name="_Toc222812227"/>
      <w:bookmarkStart w:id="101" w:name="_Toc222812328"/>
      <w:bookmarkStart w:id="102" w:name="_Toc222812365"/>
      <w:bookmarkStart w:id="103" w:name="_Toc225761846"/>
      <w:bookmarkStart w:id="104" w:name="_Toc225761870"/>
      <w:bookmarkStart w:id="105" w:name="_Toc225761910"/>
      <w:bookmarkStart w:id="106" w:name="_Toc225761938"/>
      <w:bookmarkStart w:id="107" w:name="_Toc225761943"/>
      <w:bookmarkStart w:id="108" w:name="_Toc225761966"/>
      <w:bookmarkStart w:id="109" w:name="_Toc225761994"/>
      <w:bookmarkStart w:id="110" w:name="_Toc225762001"/>
      <w:bookmarkStart w:id="111" w:name="_Toc225762006"/>
      <w:bookmarkStart w:id="112" w:name="_Toc225762012"/>
      <w:bookmarkStart w:id="113" w:name="_Toc225762175"/>
      <w:bookmarkStart w:id="114" w:name="_Toc225762181"/>
      <w:bookmarkStart w:id="115" w:name="_Toc225762203"/>
      <w:bookmarkStart w:id="116" w:name="_Toc225763053"/>
      <w:bookmarkStart w:id="117" w:name="_Toc225910585"/>
      <w:bookmarkStart w:id="118" w:name="_Toc225910639"/>
      <w:bookmarkStart w:id="119" w:name="_Toc225910665"/>
      <w:bookmarkStart w:id="120" w:name="_Toc225910695"/>
      <w:bookmarkStart w:id="121" w:name="_Toc225911504"/>
      <w:bookmarkStart w:id="122" w:name="_Toc225911520"/>
      <w:bookmarkStart w:id="123" w:name="_Toc225912405"/>
      <w:bookmarkStart w:id="124" w:name="_Toc225912871"/>
      <w:bookmarkStart w:id="125" w:name="_Toc225913057"/>
      <w:bookmarkStart w:id="126" w:name="_Toc225913091"/>
      <w:bookmarkStart w:id="127" w:name="_Toc225913280"/>
      <w:r>
        <w:t>Appendices</w:t>
      </w:r>
      <w:bookmarkStart w:id="128" w:name="TOCAppendix"/>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3F3DE3FF" w14:textId="39722353" w:rsidR="00587855" w:rsidRPr="007C0109" w:rsidRDefault="005E3C65">
      <w:pPr>
        <w:pStyle w:val="TOC4"/>
        <w:rPr>
          <w:noProof/>
        </w:rPr>
      </w:pPr>
      <w:r>
        <w:rPr>
          <w:color w:val="FFFFFF" w:themeColor="background1"/>
        </w:rPr>
        <w:fldChar w:fldCharType="begin"/>
      </w:r>
      <w:r w:rsidR="004F0878">
        <w:instrText xml:space="preserve"> </w:instrText>
      </w:r>
      <w:r w:rsidR="004F0878" w:rsidRPr="003A7350">
        <w:instrText>TOC \t " Heading 3,3,Heading 4,4" \*Charformat</w:instrText>
      </w:r>
      <w:r w:rsidR="004F0878">
        <w:instrText xml:space="preserve"> </w:instrText>
      </w:r>
      <w:r>
        <w:rPr>
          <w:color w:val="FFFFFF" w:themeColor="background1"/>
        </w:rPr>
        <w:fldChar w:fldCharType="separate"/>
      </w:r>
      <w:r w:rsidR="00587855">
        <w:rPr>
          <w:noProof/>
        </w:rPr>
        <w:t>Appendix A</w:t>
      </w:r>
      <w:r w:rsidR="00587855" w:rsidRPr="007C0109">
        <w:rPr>
          <w:noProof/>
        </w:rPr>
        <w:tab/>
      </w:r>
      <w:r w:rsidR="00587855">
        <w:rPr>
          <w:noProof/>
        </w:rPr>
        <w:t>Consultation summary</w:t>
      </w:r>
      <w:r w:rsidR="00587855">
        <w:rPr>
          <w:noProof/>
        </w:rPr>
        <w:tab/>
      </w:r>
      <w:r w:rsidR="00587855">
        <w:rPr>
          <w:noProof/>
        </w:rPr>
        <w:fldChar w:fldCharType="begin"/>
      </w:r>
      <w:r w:rsidR="00587855">
        <w:rPr>
          <w:noProof/>
        </w:rPr>
        <w:instrText xml:space="preserve"> PAGEREF _Toc507761459 \h </w:instrText>
      </w:r>
      <w:r w:rsidR="00587855">
        <w:rPr>
          <w:noProof/>
        </w:rPr>
      </w:r>
      <w:r w:rsidR="00587855">
        <w:rPr>
          <w:noProof/>
        </w:rPr>
        <w:fldChar w:fldCharType="separate"/>
      </w:r>
      <w:r w:rsidR="000369A1">
        <w:rPr>
          <w:noProof/>
        </w:rPr>
        <w:t>80</w:t>
      </w:r>
      <w:r w:rsidR="00587855">
        <w:rPr>
          <w:noProof/>
        </w:rPr>
        <w:fldChar w:fldCharType="end"/>
      </w:r>
    </w:p>
    <w:p w14:paraId="446088F9" w14:textId="6AC20350" w:rsidR="00587855" w:rsidRPr="007C0109" w:rsidRDefault="00587855">
      <w:pPr>
        <w:pStyle w:val="TOC4"/>
        <w:rPr>
          <w:noProof/>
        </w:rPr>
      </w:pPr>
      <w:r>
        <w:rPr>
          <w:noProof/>
        </w:rPr>
        <w:t>Appendix B</w:t>
      </w:r>
      <w:r w:rsidRPr="007C0109">
        <w:rPr>
          <w:noProof/>
        </w:rPr>
        <w:tab/>
      </w:r>
      <w:r>
        <w:rPr>
          <w:noProof/>
        </w:rPr>
        <w:t>Further background</w:t>
      </w:r>
      <w:r>
        <w:rPr>
          <w:noProof/>
        </w:rPr>
        <w:tab/>
      </w:r>
      <w:r>
        <w:rPr>
          <w:noProof/>
        </w:rPr>
        <w:fldChar w:fldCharType="begin"/>
      </w:r>
      <w:r>
        <w:rPr>
          <w:noProof/>
        </w:rPr>
        <w:instrText xml:space="preserve"> PAGEREF _Toc507761460 \h </w:instrText>
      </w:r>
      <w:r>
        <w:rPr>
          <w:noProof/>
        </w:rPr>
      </w:r>
      <w:r>
        <w:rPr>
          <w:noProof/>
        </w:rPr>
        <w:fldChar w:fldCharType="separate"/>
      </w:r>
      <w:r w:rsidR="000369A1">
        <w:rPr>
          <w:noProof/>
        </w:rPr>
        <w:t>87</w:t>
      </w:r>
      <w:r>
        <w:rPr>
          <w:noProof/>
        </w:rPr>
        <w:fldChar w:fldCharType="end"/>
      </w:r>
    </w:p>
    <w:p w14:paraId="4673A268" w14:textId="3005FDF0" w:rsidR="00587855" w:rsidRPr="007C0109" w:rsidRDefault="00587855">
      <w:pPr>
        <w:pStyle w:val="TOC4"/>
        <w:rPr>
          <w:noProof/>
        </w:rPr>
      </w:pPr>
      <w:r>
        <w:rPr>
          <w:noProof/>
        </w:rPr>
        <w:t>Appendix C</w:t>
      </w:r>
      <w:r w:rsidRPr="007C0109">
        <w:rPr>
          <w:noProof/>
        </w:rPr>
        <w:tab/>
      </w:r>
      <w:r>
        <w:rPr>
          <w:noProof/>
        </w:rPr>
        <w:t>Estimating quantifiable benefits</w:t>
      </w:r>
      <w:r>
        <w:rPr>
          <w:noProof/>
        </w:rPr>
        <w:tab/>
      </w:r>
      <w:r>
        <w:rPr>
          <w:noProof/>
        </w:rPr>
        <w:fldChar w:fldCharType="begin"/>
      </w:r>
      <w:r>
        <w:rPr>
          <w:noProof/>
        </w:rPr>
        <w:instrText xml:space="preserve"> PAGEREF _Toc507761461 \h </w:instrText>
      </w:r>
      <w:r>
        <w:rPr>
          <w:noProof/>
        </w:rPr>
      </w:r>
      <w:r>
        <w:rPr>
          <w:noProof/>
        </w:rPr>
        <w:fldChar w:fldCharType="separate"/>
      </w:r>
      <w:r w:rsidR="000369A1">
        <w:rPr>
          <w:noProof/>
        </w:rPr>
        <w:t>92</w:t>
      </w:r>
      <w:r>
        <w:rPr>
          <w:noProof/>
        </w:rPr>
        <w:fldChar w:fldCharType="end"/>
      </w:r>
    </w:p>
    <w:p w14:paraId="2CD18F52" w14:textId="77777777" w:rsidR="00A925C6" w:rsidRPr="00A925C6" w:rsidRDefault="005E3C65" w:rsidP="00A925C6">
      <w:pPr>
        <w:pStyle w:val="PwCNormal"/>
      </w:pPr>
      <w:r>
        <w:fldChar w:fldCharType="end"/>
      </w:r>
    </w:p>
    <w:p w14:paraId="7E740863" w14:textId="77777777" w:rsidR="004F0878" w:rsidRPr="00FC2C77" w:rsidRDefault="004F0878" w:rsidP="00330EAA">
      <w:pPr>
        <w:pStyle w:val="ChapterNumberLong"/>
        <w:sectPr w:rsidR="004F0878" w:rsidRPr="00FC2C77" w:rsidSect="00C54A4F">
          <w:headerReference w:type="even" r:id="rId40"/>
          <w:headerReference w:type="default" r:id="rId41"/>
          <w:footerReference w:type="even" r:id="rId42"/>
          <w:footerReference w:type="default" r:id="rId43"/>
          <w:headerReference w:type="first" r:id="rId44"/>
          <w:footerReference w:type="first" r:id="rId45"/>
          <w:type w:val="oddPage"/>
          <w:pgSz w:w="11907" w:h="16840" w:code="9"/>
          <w:pgMar w:top="1588" w:right="1843" w:bottom="1418" w:left="1843" w:header="567" w:footer="567" w:gutter="0"/>
          <w:cols w:space="227"/>
          <w:titlePg/>
          <w:docGrid w:linePitch="360"/>
        </w:sectPr>
      </w:pPr>
    </w:p>
    <w:p w14:paraId="4472C8BB" w14:textId="77777777" w:rsidR="004F0878" w:rsidRDefault="00134FA5" w:rsidP="00C35804">
      <w:pPr>
        <w:pStyle w:val="Heading4"/>
        <w:numPr>
          <w:ilvl w:val="4"/>
          <w:numId w:val="85"/>
        </w:numPr>
      </w:pPr>
      <w:bookmarkStart w:id="129" w:name="_Ref502161630"/>
      <w:bookmarkStart w:id="130" w:name="_Ref504147791"/>
      <w:bookmarkStart w:id="131" w:name="_Toc507761456"/>
      <w:bookmarkStart w:id="132" w:name="_Toc507761459"/>
      <w:r>
        <w:t>Consultation summary</w:t>
      </w:r>
      <w:bookmarkEnd w:id="129"/>
      <w:bookmarkEnd w:id="130"/>
      <w:bookmarkEnd w:id="131"/>
      <w:bookmarkEnd w:id="132"/>
    </w:p>
    <w:p w14:paraId="29C88597" w14:textId="53483460" w:rsidR="00367E41" w:rsidRDefault="00592BB8" w:rsidP="00367E41">
      <w:pPr>
        <w:pStyle w:val="Heading8"/>
      </w:pPr>
      <w:r>
        <w:t>Consultation participants</w:t>
      </w:r>
    </w:p>
    <w:p w14:paraId="36DB1B11" w14:textId="463FEECE" w:rsidR="00367E41" w:rsidRDefault="00367E41" w:rsidP="00367E41">
      <w:pPr>
        <w:pStyle w:val="PwCNormal"/>
        <w:numPr>
          <w:ilvl w:val="0"/>
          <w:numId w:val="0"/>
        </w:numPr>
        <w:rPr>
          <w:lang w:val="en-US"/>
        </w:rPr>
      </w:pPr>
      <w:r>
        <w:t>Consultation was conducted over late-2017 to gather the views of key stakeholders and collect data on the costs and benefits of the Regulations. The consultation primarily was conducted via online surveys</w:t>
      </w:r>
      <w:r>
        <w:rPr>
          <w:lang w:val="en-US"/>
        </w:rPr>
        <w:t xml:space="preserve"> aimed at heritage advisors, RAPs, councils and CHMP sponsors:</w:t>
      </w:r>
    </w:p>
    <w:p w14:paraId="0EAA34A5" w14:textId="3E08AEB1" w:rsidR="00367E41" w:rsidRDefault="00367E41" w:rsidP="00367E41">
      <w:pPr>
        <w:pStyle w:val="ListBullet"/>
        <w:rPr>
          <w:lang w:val="en-US"/>
        </w:rPr>
      </w:pPr>
      <w:r w:rsidRPr="003517CC">
        <w:rPr>
          <w:b/>
          <w:color w:val="A32020" w:themeColor="text2"/>
          <w:lang w:val="en-US"/>
        </w:rPr>
        <w:t>Heritage advisors:</w:t>
      </w:r>
      <w:r>
        <w:rPr>
          <w:lang w:val="en-US"/>
        </w:rPr>
        <w:t xml:space="preserve"> A survey was sent to all the heritage advisors on a list maintained on the AV website in mid-November 2017 (with a reminder sent a week later). It was received by approximately 270 heritage advisors and received 49 responses, of which 15 were considered </w:t>
      </w:r>
      <w:r w:rsidR="002217DE">
        <w:rPr>
          <w:lang w:val="en-US"/>
        </w:rPr>
        <w:t>complete</w:t>
      </w:r>
      <w:r>
        <w:rPr>
          <w:lang w:val="en-US"/>
        </w:rPr>
        <w:t>. Heritage advisors’ responses were used to inform the formation of the options, the cost-benefit analysis for options and the re-making of fees. It should be noted that to protect the anonymity of survey responses, survey respondents’ details were not collected and it is possible that a heritage advisor could have filled out a survey multiple times. However, there is no indication to suggest that this occurred.</w:t>
      </w:r>
      <w:r w:rsidR="008D7762">
        <w:rPr>
          <w:rStyle w:val="FootnoteReference"/>
          <w:lang w:val="en-US"/>
        </w:rPr>
        <w:footnoteReference w:id="135"/>
      </w:r>
      <w:r w:rsidR="003517CC">
        <w:rPr>
          <w:lang w:val="en-US"/>
        </w:rPr>
        <w:t xml:space="preserve"> Furthermore, the variation in response data</w:t>
      </w:r>
      <w:r w:rsidR="003517CC">
        <w:rPr>
          <w:rStyle w:val="FootnoteReference"/>
          <w:lang w:val="en-US"/>
        </w:rPr>
        <w:footnoteReference w:id="136"/>
      </w:r>
      <w:r w:rsidR="003517CC">
        <w:rPr>
          <w:lang w:val="en-US"/>
        </w:rPr>
        <w:t xml:space="preserve"> indicates that not all heritage advisors worked in the same firm or undertook the same types of work. However, it is difficult to work out whether the sample is representative.</w:t>
      </w:r>
    </w:p>
    <w:p w14:paraId="32B24CC6" w14:textId="1EDD2D28" w:rsidR="00367E41" w:rsidRDefault="00367E41" w:rsidP="00367E41">
      <w:pPr>
        <w:pStyle w:val="ListBullet"/>
        <w:rPr>
          <w:lang w:val="en-US"/>
        </w:rPr>
      </w:pPr>
      <w:r w:rsidRPr="003517CC">
        <w:rPr>
          <w:b/>
          <w:color w:val="A32020" w:themeColor="text2"/>
          <w:lang w:val="en-US"/>
        </w:rPr>
        <w:t>RAPs:</w:t>
      </w:r>
      <w:r w:rsidRPr="003517CC">
        <w:rPr>
          <w:color w:val="A32020" w:themeColor="text2"/>
          <w:lang w:val="en-US"/>
        </w:rPr>
        <w:t xml:space="preserve"> </w:t>
      </w:r>
      <w:r>
        <w:rPr>
          <w:lang w:val="en-US"/>
        </w:rPr>
        <w:t xml:space="preserve">In conjunction with the RAP forum in late-November, a survey was sent to email addresses provided by AV for the 10 currently active RAPs. It received 10 </w:t>
      </w:r>
      <w:r w:rsidR="002217DE">
        <w:rPr>
          <w:lang w:val="en-US"/>
        </w:rPr>
        <w:t xml:space="preserve">complete </w:t>
      </w:r>
      <w:r>
        <w:rPr>
          <w:lang w:val="en-US"/>
        </w:rPr>
        <w:t>responses. RAPs’ responses were used to inform the formation of the options and the re-making of fees. As with the heritage advisor survey, it is possible for RAPs to have filled out the survey multiple times, however, there is no indication that this occurred.</w:t>
      </w:r>
      <w:r w:rsidR="008D7762">
        <w:rPr>
          <w:rStyle w:val="FootnoteReference"/>
          <w:lang w:val="en-US"/>
        </w:rPr>
        <w:footnoteReference w:id="137"/>
      </w:r>
    </w:p>
    <w:p w14:paraId="7D380F8F" w14:textId="261A0923" w:rsidR="00367E41" w:rsidRDefault="00367E41" w:rsidP="00367E41">
      <w:pPr>
        <w:pStyle w:val="ListBullet"/>
        <w:rPr>
          <w:lang w:val="en-US"/>
        </w:rPr>
      </w:pPr>
      <w:r w:rsidRPr="003517CC">
        <w:rPr>
          <w:b/>
          <w:color w:val="A32020" w:themeColor="text2"/>
          <w:lang w:val="en-US"/>
        </w:rPr>
        <w:t>Councils and sponsors:</w:t>
      </w:r>
      <w:r w:rsidRPr="003517CC">
        <w:rPr>
          <w:color w:val="A32020" w:themeColor="text2"/>
          <w:lang w:val="en-US"/>
        </w:rPr>
        <w:t xml:space="preserve"> </w:t>
      </w:r>
      <w:r>
        <w:rPr>
          <w:lang w:val="en-US"/>
        </w:rPr>
        <w:t xml:space="preserve">Initially, engagement with councils and other CHMP sponsors had been intended to be conducted in focus groups. However, in engagement with the UDIA and MAV, some ‘consultation fatigue’ was reported following the discussion paper in mid-2017, and instead a survey was distributed to UDIA and MAV members. This received 6 </w:t>
      </w:r>
      <w:r w:rsidR="002217DE">
        <w:rPr>
          <w:lang w:val="en-US"/>
        </w:rPr>
        <w:t xml:space="preserve">complete </w:t>
      </w:r>
      <w:r>
        <w:rPr>
          <w:lang w:val="en-US"/>
        </w:rPr>
        <w:t>responses in total. These responses were used primarily to check against the data provided by other stakeholders.</w:t>
      </w:r>
    </w:p>
    <w:p w14:paraId="0FF2AE5D" w14:textId="76396AB4" w:rsidR="00592BB8" w:rsidRPr="004A1866" w:rsidRDefault="00592BB8" w:rsidP="00592BB8">
      <w:pPr>
        <w:pStyle w:val="ListBullet"/>
        <w:numPr>
          <w:ilvl w:val="0"/>
          <w:numId w:val="0"/>
        </w:numPr>
        <w:rPr>
          <w:lang w:val="en-US"/>
        </w:rPr>
      </w:pPr>
      <w:r>
        <w:rPr>
          <w:lang w:val="en-US"/>
        </w:rPr>
        <w:t>In addition, short teleconferences were conducted with a small number of heritage advisors and sponsors, who provided qualitative feedback.</w:t>
      </w:r>
      <w:r w:rsidR="00192B41">
        <w:rPr>
          <w:lang w:val="en-US"/>
        </w:rPr>
        <w:t xml:space="preserve"> Submissions to the AV discussion paper in mid-2017 were also used as inputs into the document.</w:t>
      </w:r>
    </w:p>
    <w:p w14:paraId="028B9710" w14:textId="52D4DD39" w:rsidR="00425FC5" w:rsidRDefault="00592BB8" w:rsidP="00592BB8">
      <w:pPr>
        <w:pStyle w:val="Heading8"/>
      </w:pPr>
      <w:r>
        <w:t>Findings from consultation</w:t>
      </w:r>
    </w:p>
    <w:p w14:paraId="24C91FC7" w14:textId="10FC28E7" w:rsidR="00592BB8" w:rsidRPr="00592BB8" w:rsidRDefault="00100A0C" w:rsidP="003862A3">
      <w:pPr>
        <w:pStyle w:val="Caption"/>
      </w:pPr>
      <w:r>
        <w:t>CHMP numbers and standards</w:t>
      </w:r>
    </w:p>
    <w:p w14:paraId="0D572DCC" w14:textId="7A652339" w:rsidR="00592BB8" w:rsidRDefault="00192B41" w:rsidP="00592BB8">
      <w:pPr>
        <w:pStyle w:val="PwCNormal"/>
      </w:pPr>
      <w:r>
        <w:t xml:space="preserve">The views on the optimum number of CHMPs that should be conducted varied among stakeholders. Most of the RAPs were in favour of a reduction in the number of exemptions and increase in triggers (i.e. the number of high impact activities and areas of cultural heritage sensitivity) for a CHMP. Most sponsors thought that there were too few exemptions for a CHMP and fewer triggers.  The views of heritage advisors were mixed, with most responding that the definition of high impact activities was “about right”, however, varied responses on the number of areas of cultural heritage sensitivity. </w:t>
      </w:r>
      <w:r w:rsidR="00100A0C">
        <w:t xml:space="preserve">Parks Victoria, in its submission to the discussion paper, stated that 95.8 per cent of the Parks Victoria estate is currently defined as an area of cultural heritage sensitivity, </w:t>
      </w:r>
      <w:r w:rsidR="00114A36">
        <w:t>and raised concerns that the required resources to prepare CHMPs and CHPs was prohibitive and provided minimal benefit given Parks Victoria’s role in conserving its estates. It gave the example of a boat ramp costing $10,000 to construct, however, requiring a CHMP costing $60,000.</w:t>
      </w:r>
    </w:p>
    <w:p w14:paraId="0B529AB1" w14:textId="457B2D92" w:rsidR="00192B41" w:rsidRDefault="005060F4" w:rsidP="00592BB8">
      <w:pPr>
        <w:pStyle w:val="PwCNormal"/>
      </w:pPr>
      <w:r>
        <w:t>When asked to rank their opinion of the prescribed content of a CHMP, both h</w:t>
      </w:r>
      <w:r w:rsidR="00192B41">
        <w:t xml:space="preserve">eritage advisors </w:t>
      </w:r>
      <w:r w:rsidR="00F97EC3">
        <w:t xml:space="preserve">and RAPs both generally </w:t>
      </w:r>
      <w:r w:rsidR="00192B41">
        <w:t xml:space="preserve">thought </w:t>
      </w:r>
      <w:r>
        <w:t>it</w:t>
      </w:r>
      <w:r w:rsidR="00192B41">
        <w:t xml:space="preserve"> was too prescriptive</w:t>
      </w:r>
      <w:r w:rsidR="00F97EC3">
        <w:t xml:space="preserve"> and required too much time and effort to comply with</w:t>
      </w:r>
      <w:r w:rsidR="00192B41">
        <w:t>, but also that it provided a useful structure and ensured that RAPs were pro</w:t>
      </w:r>
      <w:r w:rsidR="00F97EC3">
        <w:t>vided with consistent material.</w:t>
      </w:r>
      <w:r>
        <w:t xml:space="preserve"> </w:t>
      </w:r>
      <w:r w:rsidR="001D46EA">
        <w:t>Suggestions for improvement included generally focused around providing greater clarity around the triggers for a CHMP, when a CHMP should progress to a complex assessment, and how to determine the appropriate management conditions.</w:t>
      </w:r>
    </w:p>
    <w:p w14:paraId="173F89F4" w14:textId="6C0048C3" w:rsidR="00F97EC3" w:rsidRDefault="00F97EC3" w:rsidP="00592BB8">
      <w:pPr>
        <w:pStyle w:val="PwCNormal"/>
      </w:pPr>
      <w:r>
        <w:t xml:space="preserve">Another issue that was identified in by heritage advisors and sponsors was the perceived lack of consistency in the evaluation of a CHMP by AV or RAPs. </w:t>
      </w:r>
      <w:r w:rsidR="00A73956">
        <w:t xml:space="preserve"> AV will be amending its practice notes to attempt to improve this. </w:t>
      </w:r>
    </w:p>
    <w:p w14:paraId="0B6300F0" w14:textId="2944CF60" w:rsidR="00F97EC3" w:rsidRDefault="00F97EC3" w:rsidP="00F97EC3">
      <w:pPr>
        <w:pStyle w:val="Caption"/>
      </w:pPr>
      <w:r>
        <w:t>Management conditions resulting from a CHMP</w:t>
      </w:r>
    </w:p>
    <w:p w14:paraId="5B508BDD" w14:textId="1A466B34" w:rsidR="00114A36" w:rsidRDefault="00F97EC3" w:rsidP="00114A36">
      <w:pPr>
        <w:pStyle w:val="PwCNormal"/>
      </w:pPr>
      <w:r>
        <w:t xml:space="preserve">A number of sponsors and heritage advisors raised concerns around the cost of management </w:t>
      </w:r>
      <w:r w:rsidR="00226293">
        <w:t>conditions. The cost of salvage was a particular concern raised in submissions to the AV discussion paper.</w:t>
      </w:r>
      <w:r w:rsidR="00100A0C">
        <w:t xml:space="preserve"> The UDIA commented that the cost of recommendations from CHMPs appeared to have increased over time, and could not be predicted. Th</w:t>
      </w:r>
      <w:r w:rsidR="006559A6">
        <w:t>e Construction Material Processor</w:t>
      </w:r>
      <w:r w:rsidR="00100A0C">
        <w:t xml:space="preserve">s Association stated that RAPs dictate their standard management conditions into a CHMP without regard for the circumstances of the area and activity. </w:t>
      </w:r>
    </w:p>
    <w:p w14:paraId="75A6A6BE" w14:textId="641F652C" w:rsidR="00114A36" w:rsidRDefault="00C87F76" w:rsidP="00114A36">
      <w:pPr>
        <w:pStyle w:val="PwCNormal"/>
      </w:pPr>
      <w:r>
        <w:t>Heritage advisors indicated that the cost of management conditions to sponsors was highly variable by project, and that avoidance and minimisation costs in particular were difficult to quantify. Some stated that defining the appropriate level of salvage was often difficult, as there was no strict criteria for when it should be undertaken.</w:t>
      </w:r>
      <w:r w:rsidR="00410D4F">
        <w:t xml:space="preserve"> Sponsors stated that the cost of management conditions was often prohibitively high, particularly given the material salvaged often stayed on site.</w:t>
      </w:r>
    </w:p>
    <w:p w14:paraId="539AC35A" w14:textId="17F99664" w:rsidR="00C87F76" w:rsidRDefault="00C87F76" w:rsidP="00C87F76">
      <w:pPr>
        <w:pStyle w:val="Caption"/>
      </w:pPr>
      <w:r>
        <w:t>Fees and forms</w:t>
      </w:r>
    </w:p>
    <w:p w14:paraId="6375B708" w14:textId="6D58330D" w:rsidR="004C1F04" w:rsidRDefault="00C87F76" w:rsidP="000847B3">
      <w:pPr>
        <w:pStyle w:val="PwCNormal"/>
      </w:pPr>
      <w:r>
        <w:t>Stakeholders had fewer views on fees and forms than on issues relating to CHMPs. Some heritage advisors commented that RAPs had a financial incentive through the fees they received to push for a complex CHMP to be undertaken</w:t>
      </w:r>
      <w:r w:rsidR="001D46EA">
        <w:t xml:space="preserve"> (as </w:t>
      </w:r>
      <w:r w:rsidR="00A741BF">
        <w:t xml:space="preserve">this increased their </w:t>
      </w:r>
      <w:r w:rsidR="00A73956">
        <w:t xml:space="preserve">gross </w:t>
      </w:r>
      <w:r w:rsidR="00A741BF">
        <w:t>revenue</w:t>
      </w:r>
      <w:r w:rsidR="0070033E">
        <w:rPr>
          <w:rStyle w:val="FootnoteReference"/>
        </w:rPr>
        <w:footnoteReference w:id="138"/>
      </w:r>
      <w:r w:rsidR="00A741BF">
        <w:t>)</w:t>
      </w:r>
      <w:r>
        <w:t>, or for compliance inspections to be required.</w:t>
      </w:r>
      <w:r w:rsidR="00E05754">
        <w:t xml:space="preserve"> One heritage advisor stated that more than half the cost of a CHMP was as a result of RAP fees. RAPs, in their join</w:t>
      </w:r>
      <w:r w:rsidR="00576197">
        <w:t>t</w:t>
      </w:r>
      <w:r w:rsidR="00E05754">
        <w:t xml:space="preserve"> submission to the AV discussion paper, stated that an increase in fees was needed, particularly for a small CHMPs, which could require nearly the same amount of work as a large CHMP.</w:t>
      </w:r>
      <w:r w:rsidR="00A741BF">
        <w:t xml:space="preserve"> The quantitative data collected as part of the survey of RAPs did not bear this out however.</w:t>
      </w:r>
      <w:r w:rsidR="00E05754">
        <w:t xml:space="preserve"> RAPs </w:t>
      </w:r>
      <w:r w:rsidR="00A741BF">
        <w:t xml:space="preserve">also </w:t>
      </w:r>
      <w:r w:rsidR="00E05754">
        <w:t>pointed out that they did not receive payment for assessing or providing comment on a CHMP outside their RAP area.</w:t>
      </w:r>
      <w:r w:rsidR="002E22D7">
        <w:rPr>
          <w:rStyle w:val="FootnoteReference"/>
          <w:szCs w:val="16"/>
        </w:rPr>
        <w:footnoteReference w:id="139"/>
      </w:r>
    </w:p>
    <w:p w14:paraId="17E4F19F" w14:textId="656821D0" w:rsidR="008C268D" w:rsidRDefault="00410D4F" w:rsidP="00410D4F">
      <w:pPr>
        <w:pStyle w:val="PwCNormal"/>
        <w:numPr>
          <w:ilvl w:val="0"/>
          <w:numId w:val="0"/>
        </w:numPr>
      </w:pPr>
      <w:r>
        <w:t>A related issue raised by heritage advisors and sponsors was RAPs experiencing capacity constraints,</w:t>
      </w:r>
      <w:r w:rsidR="008068A9">
        <w:rPr>
          <w:rStyle w:val="FootnoteReference"/>
        </w:rPr>
        <w:footnoteReference w:id="140"/>
      </w:r>
      <w:r>
        <w:t xml:space="preserve"> resulting in significant time d</w:t>
      </w:r>
      <w:r w:rsidR="008C268D">
        <w:t xml:space="preserve">elays for </w:t>
      </w:r>
      <w:r w:rsidR="0002399D">
        <w:t xml:space="preserve">evaluations </w:t>
      </w:r>
      <w:r w:rsidR="008C268D">
        <w:t>of CHMPs.</w:t>
      </w:r>
    </w:p>
    <w:p w14:paraId="0FDCD883" w14:textId="0BCFB5FC" w:rsidR="00C47E55" w:rsidRDefault="00E42AED" w:rsidP="007C0109">
      <w:pPr>
        <w:pStyle w:val="Heading8"/>
      </w:pPr>
      <w:r>
        <w:t>Responses to common stakeholder feedback</w:t>
      </w:r>
    </w:p>
    <w:p w14:paraId="18B3DFF4" w14:textId="1C5566D9" w:rsidR="00C47E55" w:rsidRDefault="00E42AED">
      <w:pPr>
        <w:pStyle w:val="PwCNormal"/>
        <w:numPr>
          <w:ilvl w:val="0"/>
          <w:numId w:val="0"/>
        </w:numPr>
      </w:pPr>
      <w:r>
        <w:t xml:space="preserve">AV has carefully considered the feedback given by stakeholders. Based on this, it has made a number of changes, however, also maintained a number of commented-upon aspects in the current Regulations. </w:t>
      </w:r>
      <w:r>
        <w:fldChar w:fldCharType="begin"/>
      </w:r>
      <w:r>
        <w:instrText xml:space="preserve"> REF _Ref507615149 \h </w:instrText>
      </w:r>
      <w:r>
        <w:fldChar w:fldCharType="separate"/>
      </w:r>
      <w:r w:rsidR="000369A1">
        <w:t xml:space="preserve">Table </w:t>
      </w:r>
      <w:r w:rsidR="000369A1">
        <w:rPr>
          <w:noProof/>
        </w:rPr>
        <w:t>35</w:t>
      </w:r>
      <w:r>
        <w:fldChar w:fldCharType="end"/>
      </w:r>
      <w:r>
        <w:t xml:space="preserve"> shows the common suggestions from stakeholders and</w:t>
      </w:r>
      <w:r w:rsidR="009514E8">
        <w:t xml:space="preserve"> </w:t>
      </w:r>
      <w:r>
        <w:t xml:space="preserve">AV’s rationale for </w:t>
      </w:r>
      <w:r w:rsidR="009514E8">
        <w:t>addressing the issues through non-regulatory measures</w:t>
      </w:r>
      <w:r w:rsidR="005E26BB">
        <w:t xml:space="preserve"> or potential future changes to the Act or Aboriginal Heritage Regulations 2018</w:t>
      </w:r>
      <w:r>
        <w:t>.</w:t>
      </w:r>
    </w:p>
    <w:p w14:paraId="08D41E37" w14:textId="13576495" w:rsidR="00E42AED" w:rsidRDefault="00E42AED" w:rsidP="007C0109">
      <w:pPr>
        <w:pStyle w:val="Caption"/>
      </w:pPr>
      <w:bookmarkStart w:id="133" w:name="_Ref507615149"/>
      <w:r>
        <w:t xml:space="preserve">Table </w:t>
      </w:r>
      <w:r w:rsidR="00B47FE6">
        <w:fldChar w:fldCharType="begin"/>
      </w:r>
      <w:r w:rsidR="00B47FE6">
        <w:instrText xml:space="preserve"> SEQ Table \* ARABIC </w:instrText>
      </w:r>
      <w:r w:rsidR="00B47FE6">
        <w:fldChar w:fldCharType="separate"/>
      </w:r>
      <w:r w:rsidR="000369A1">
        <w:rPr>
          <w:noProof/>
        </w:rPr>
        <w:t>35</w:t>
      </w:r>
      <w:r w:rsidR="00B47FE6">
        <w:rPr>
          <w:noProof/>
        </w:rPr>
        <w:fldChar w:fldCharType="end"/>
      </w:r>
      <w:bookmarkEnd w:id="133"/>
      <w:r>
        <w:t>: Responses to common stakeholder feedback</w:t>
      </w:r>
    </w:p>
    <w:tbl>
      <w:tblPr>
        <w:tblStyle w:val="TableGrid"/>
        <w:tblW w:w="8921" w:type="dxa"/>
        <w:tblBorders>
          <w:top w:val="single" w:sz="4" w:space="0" w:color="A32020" w:themeColor="text2"/>
          <w:left w:val="single" w:sz="4" w:space="0" w:color="A32020" w:themeColor="text2"/>
          <w:bottom w:val="single" w:sz="4" w:space="0" w:color="A32020" w:themeColor="text2"/>
          <w:right w:val="single" w:sz="4" w:space="0" w:color="A32020" w:themeColor="text2"/>
          <w:insideH w:val="single" w:sz="4" w:space="0" w:color="A32020" w:themeColor="text2"/>
          <w:insideV w:val="single" w:sz="4" w:space="0" w:color="A32020" w:themeColor="text2"/>
        </w:tblBorders>
        <w:tblLook w:val="04A0" w:firstRow="1" w:lastRow="0" w:firstColumn="1" w:lastColumn="0" w:noHBand="0" w:noVBand="1"/>
      </w:tblPr>
      <w:tblGrid>
        <w:gridCol w:w="1692"/>
        <w:gridCol w:w="1559"/>
        <w:gridCol w:w="1276"/>
        <w:gridCol w:w="2693"/>
        <w:gridCol w:w="1701"/>
      </w:tblGrid>
      <w:tr w:rsidR="00E76E3E" w14:paraId="23E2E63E" w14:textId="77777777" w:rsidTr="00C35804">
        <w:trPr>
          <w:cantSplit/>
          <w:tblHeader/>
        </w:trPr>
        <w:tc>
          <w:tcPr>
            <w:tcW w:w="1692" w:type="dxa"/>
            <w:shd w:val="clear" w:color="auto" w:fill="A32020" w:themeFill="text2"/>
            <w:vAlign w:val="center"/>
          </w:tcPr>
          <w:p w14:paraId="76CE2796" w14:textId="77777777" w:rsidR="00C47E55" w:rsidRPr="007C0109" w:rsidRDefault="00C47E55">
            <w:pPr>
              <w:rPr>
                <w:b/>
                <w:color w:val="FFFFFF" w:themeColor="background1"/>
              </w:rPr>
            </w:pPr>
            <w:r w:rsidRPr="007C0109">
              <w:rPr>
                <w:b/>
                <w:color w:val="FFFFFF" w:themeColor="background1"/>
              </w:rPr>
              <w:t>Suggestion or problem</w:t>
            </w:r>
          </w:p>
        </w:tc>
        <w:tc>
          <w:tcPr>
            <w:tcW w:w="1559" w:type="dxa"/>
            <w:shd w:val="clear" w:color="auto" w:fill="A32020" w:themeFill="text2"/>
            <w:vAlign w:val="center"/>
          </w:tcPr>
          <w:p w14:paraId="5DD1ADDC" w14:textId="77777777" w:rsidR="00C47E55" w:rsidRPr="007C0109" w:rsidRDefault="00C47E55">
            <w:pPr>
              <w:rPr>
                <w:b/>
                <w:color w:val="FFFFFF" w:themeColor="background1"/>
              </w:rPr>
            </w:pPr>
            <w:r w:rsidRPr="007C0109">
              <w:rPr>
                <w:b/>
                <w:color w:val="FFFFFF" w:themeColor="background1"/>
              </w:rPr>
              <w:t>Source</w:t>
            </w:r>
          </w:p>
        </w:tc>
        <w:tc>
          <w:tcPr>
            <w:tcW w:w="1276" w:type="dxa"/>
            <w:shd w:val="clear" w:color="auto" w:fill="A32020" w:themeFill="text2"/>
            <w:vAlign w:val="center"/>
          </w:tcPr>
          <w:p w14:paraId="5007C13D" w14:textId="77777777" w:rsidR="00C47E55" w:rsidRPr="007C0109" w:rsidRDefault="00C47E55">
            <w:pPr>
              <w:rPr>
                <w:b/>
                <w:color w:val="FFFFFF" w:themeColor="background1"/>
              </w:rPr>
            </w:pPr>
            <w:r w:rsidRPr="007C0109">
              <w:rPr>
                <w:b/>
                <w:color w:val="FFFFFF" w:themeColor="background1"/>
              </w:rPr>
              <w:t>Decision</w:t>
            </w:r>
          </w:p>
        </w:tc>
        <w:tc>
          <w:tcPr>
            <w:tcW w:w="2693" w:type="dxa"/>
            <w:shd w:val="clear" w:color="auto" w:fill="A32020" w:themeFill="text2"/>
            <w:vAlign w:val="center"/>
          </w:tcPr>
          <w:p w14:paraId="548D25B7" w14:textId="77777777" w:rsidR="00C47E55" w:rsidRPr="007C0109" w:rsidRDefault="00C47E55">
            <w:pPr>
              <w:rPr>
                <w:b/>
                <w:color w:val="FFFFFF" w:themeColor="background1"/>
              </w:rPr>
            </w:pPr>
            <w:r w:rsidRPr="007C0109">
              <w:rPr>
                <w:b/>
                <w:color w:val="FFFFFF" w:themeColor="background1"/>
              </w:rPr>
              <w:t>Justification</w:t>
            </w:r>
          </w:p>
        </w:tc>
        <w:tc>
          <w:tcPr>
            <w:tcW w:w="1701" w:type="dxa"/>
            <w:shd w:val="clear" w:color="auto" w:fill="A32020" w:themeFill="text2"/>
            <w:vAlign w:val="center"/>
          </w:tcPr>
          <w:p w14:paraId="45ECAE2E" w14:textId="77777777" w:rsidR="00C47E55" w:rsidRPr="007C0109" w:rsidRDefault="00C47E55">
            <w:pPr>
              <w:rPr>
                <w:b/>
                <w:color w:val="FFFFFF" w:themeColor="background1"/>
              </w:rPr>
            </w:pPr>
            <w:r w:rsidRPr="007C0109">
              <w:rPr>
                <w:b/>
                <w:color w:val="FFFFFF" w:themeColor="background1"/>
              </w:rPr>
              <w:t>How will AV address this outside of the Regulations</w:t>
            </w:r>
          </w:p>
        </w:tc>
      </w:tr>
      <w:tr w:rsidR="00E76E3E" w14:paraId="2A2E58B4" w14:textId="77777777" w:rsidTr="00C35804">
        <w:trPr>
          <w:cantSplit/>
        </w:trPr>
        <w:tc>
          <w:tcPr>
            <w:tcW w:w="1692" w:type="dxa"/>
          </w:tcPr>
          <w:p w14:paraId="52A78F98" w14:textId="77777777" w:rsidR="00C47E55" w:rsidRDefault="00C47E55" w:rsidP="00257A68">
            <w:r>
              <w:t>Introduce a size threshold for the definition of significant ground disturbance</w:t>
            </w:r>
          </w:p>
        </w:tc>
        <w:tc>
          <w:tcPr>
            <w:tcW w:w="1559" w:type="dxa"/>
          </w:tcPr>
          <w:p w14:paraId="013CA778" w14:textId="77777777" w:rsidR="00C47E55" w:rsidRDefault="00C47E55" w:rsidP="00257A68">
            <w:r>
              <w:t>Submission to the discussion paper</w:t>
            </w:r>
          </w:p>
        </w:tc>
        <w:tc>
          <w:tcPr>
            <w:tcW w:w="1276" w:type="dxa"/>
          </w:tcPr>
          <w:p w14:paraId="0EF153A1" w14:textId="77777777" w:rsidR="00C47E55" w:rsidRDefault="00C47E55" w:rsidP="00257A68">
            <w:r>
              <w:t>No change to the definition</w:t>
            </w:r>
          </w:p>
        </w:tc>
        <w:tc>
          <w:tcPr>
            <w:tcW w:w="2693" w:type="dxa"/>
          </w:tcPr>
          <w:p w14:paraId="5B220155" w14:textId="35A71D3B" w:rsidR="00C47E55" w:rsidRDefault="00C47E55" w:rsidP="00257A68">
            <w:r>
              <w:t>Introducing a size threshold to the definition of significant ground disturbance would unnecessarily complicate the triggers for CHMPs</w:t>
            </w:r>
          </w:p>
        </w:tc>
        <w:tc>
          <w:tcPr>
            <w:tcW w:w="1701" w:type="dxa"/>
          </w:tcPr>
          <w:p w14:paraId="429A07E9" w14:textId="67193507" w:rsidR="00C47E55" w:rsidRDefault="00C47E55" w:rsidP="00257A68">
            <w:r>
              <w:t>AV will develop better information regarding the application of significant ground disturbance</w:t>
            </w:r>
          </w:p>
        </w:tc>
      </w:tr>
      <w:tr w:rsidR="00E76E3E" w14:paraId="2951DE5B" w14:textId="77777777" w:rsidTr="00C35804">
        <w:trPr>
          <w:cantSplit/>
        </w:trPr>
        <w:tc>
          <w:tcPr>
            <w:tcW w:w="1692" w:type="dxa"/>
          </w:tcPr>
          <w:p w14:paraId="4F0DA9D0" w14:textId="4D142A27" w:rsidR="00C47E55" w:rsidRDefault="00C47E55" w:rsidP="00257A68">
            <w:r>
              <w:t>The Regulations should address the difficulty for Sponsors in providing evidence of significant ground disturbance</w:t>
            </w:r>
          </w:p>
        </w:tc>
        <w:tc>
          <w:tcPr>
            <w:tcW w:w="1559" w:type="dxa"/>
          </w:tcPr>
          <w:p w14:paraId="5A3861C9" w14:textId="77777777" w:rsidR="00C47E55" w:rsidRDefault="00C47E55" w:rsidP="00257A68">
            <w:r>
              <w:t>Submission to the discussion paper</w:t>
            </w:r>
          </w:p>
        </w:tc>
        <w:tc>
          <w:tcPr>
            <w:tcW w:w="1276" w:type="dxa"/>
          </w:tcPr>
          <w:p w14:paraId="400C31F6" w14:textId="77777777" w:rsidR="00C47E55" w:rsidRDefault="00C47E55" w:rsidP="00257A68">
            <w:r>
              <w:t>No change to the Regulations</w:t>
            </w:r>
          </w:p>
        </w:tc>
        <w:tc>
          <w:tcPr>
            <w:tcW w:w="2693" w:type="dxa"/>
          </w:tcPr>
          <w:p w14:paraId="2EE59152" w14:textId="77777777" w:rsidR="00C47E55" w:rsidRDefault="00C47E55" w:rsidP="00257A68">
            <w:r>
              <w:t>AV believes the interpretation and application of significant ground disturbance is better addressed in improved guidance material</w:t>
            </w:r>
          </w:p>
        </w:tc>
        <w:tc>
          <w:tcPr>
            <w:tcW w:w="1701" w:type="dxa"/>
          </w:tcPr>
          <w:p w14:paraId="3804C04B" w14:textId="19A2077E" w:rsidR="00C47E55" w:rsidRDefault="00C47E55" w:rsidP="00257A68">
            <w:r>
              <w:t>AV will develop better information regarding the application of significant ground disturbance</w:t>
            </w:r>
          </w:p>
        </w:tc>
      </w:tr>
      <w:tr w:rsidR="00E76E3E" w14:paraId="1CDDB861" w14:textId="77777777" w:rsidTr="00C35804">
        <w:trPr>
          <w:cantSplit/>
        </w:trPr>
        <w:tc>
          <w:tcPr>
            <w:tcW w:w="1692" w:type="dxa"/>
          </w:tcPr>
          <w:p w14:paraId="44CC0C1F" w14:textId="77777777" w:rsidR="00C47E55" w:rsidRDefault="00C47E55" w:rsidP="00257A68">
            <w:r>
              <w:t>Misconceptions regarding the definition and application of significant ground disturbance</w:t>
            </w:r>
          </w:p>
        </w:tc>
        <w:tc>
          <w:tcPr>
            <w:tcW w:w="1559" w:type="dxa"/>
          </w:tcPr>
          <w:p w14:paraId="62F9CA8A" w14:textId="77777777" w:rsidR="00C47E55" w:rsidRDefault="00C47E55" w:rsidP="00257A68">
            <w:r>
              <w:t>Submissions to the discussion paper, stakeholder consultation</w:t>
            </w:r>
          </w:p>
        </w:tc>
        <w:tc>
          <w:tcPr>
            <w:tcW w:w="1276" w:type="dxa"/>
          </w:tcPr>
          <w:p w14:paraId="23DC02B3" w14:textId="77777777" w:rsidR="00C47E55" w:rsidRDefault="00C47E55" w:rsidP="00257A68">
            <w:r>
              <w:t>No change to the Regulations</w:t>
            </w:r>
          </w:p>
        </w:tc>
        <w:tc>
          <w:tcPr>
            <w:tcW w:w="2693" w:type="dxa"/>
          </w:tcPr>
          <w:p w14:paraId="4A605C73" w14:textId="77777777" w:rsidR="00C47E55" w:rsidRDefault="00C47E55" w:rsidP="00257A68">
            <w:r>
              <w:t>Several stakeholders noted there is confusion as to the definition and application of significant ground disturbance. AV believes these concerns are best addressed by improving guidelines</w:t>
            </w:r>
          </w:p>
        </w:tc>
        <w:tc>
          <w:tcPr>
            <w:tcW w:w="1701" w:type="dxa"/>
          </w:tcPr>
          <w:p w14:paraId="6DC7964B" w14:textId="780620C5" w:rsidR="00C47E55" w:rsidRDefault="00C47E55" w:rsidP="00257A68">
            <w:r>
              <w:t>AV will develop better information regarding the application of significant ground disturbance</w:t>
            </w:r>
          </w:p>
        </w:tc>
      </w:tr>
      <w:tr w:rsidR="00E76E3E" w14:paraId="2637943D" w14:textId="77777777" w:rsidTr="00C35804">
        <w:trPr>
          <w:cantSplit/>
        </w:trPr>
        <w:tc>
          <w:tcPr>
            <w:tcW w:w="1692" w:type="dxa"/>
          </w:tcPr>
          <w:p w14:paraId="00F721E8" w14:textId="1E242805" w:rsidR="00C47E55" w:rsidRDefault="00C47E55" w:rsidP="00257A68">
            <w:r>
              <w:t>Define ‘management vehicle roads’ as a high impact activity</w:t>
            </w:r>
          </w:p>
        </w:tc>
        <w:tc>
          <w:tcPr>
            <w:tcW w:w="1559" w:type="dxa"/>
          </w:tcPr>
          <w:p w14:paraId="23DC6B65" w14:textId="77777777" w:rsidR="00C47E55" w:rsidRDefault="00C47E55" w:rsidP="00257A68">
            <w:r>
              <w:t>Submission to the discussion</w:t>
            </w:r>
          </w:p>
        </w:tc>
        <w:tc>
          <w:tcPr>
            <w:tcW w:w="1276" w:type="dxa"/>
          </w:tcPr>
          <w:p w14:paraId="5A10B850" w14:textId="77777777" w:rsidR="00C47E55" w:rsidRDefault="00C47E55" w:rsidP="00257A68">
            <w:r>
              <w:t>Do not include as a high impact activity</w:t>
            </w:r>
          </w:p>
        </w:tc>
        <w:tc>
          <w:tcPr>
            <w:tcW w:w="2693" w:type="dxa"/>
          </w:tcPr>
          <w:p w14:paraId="4E7BCA5D" w14:textId="77777777" w:rsidR="00C47E55" w:rsidRDefault="00C47E55" w:rsidP="00257A68">
            <w:r>
              <w:t xml:space="preserve">AV determined heritage management during the construction of management vehicle roads was better addressed through discussions with public land managers </w:t>
            </w:r>
          </w:p>
        </w:tc>
        <w:tc>
          <w:tcPr>
            <w:tcW w:w="1701" w:type="dxa"/>
          </w:tcPr>
          <w:p w14:paraId="7E0F2627" w14:textId="6C20046E" w:rsidR="00C47E55" w:rsidRDefault="00C47E55" w:rsidP="00257A68">
            <w:r>
              <w:t>AV will communicate with relevant public land managers to identify risks to heritage in the construction of management vehicle roads and advise accordingly</w:t>
            </w:r>
          </w:p>
        </w:tc>
      </w:tr>
      <w:tr w:rsidR="00E76E3E" w14:paraId="3098D4CB" w14:textId="77777777" w:rsidTr="00C35804">
        <w:trPr>
          <w:cantSplit/>
        </w:trPr>
        <w:tc>
          <w:tcPr>
            <w:tcW w:w="1692" w:type="dxa"/>
          </w:tcPr>
          <w:p w14:paraId="3D3EBB8E" w14:textId="77777777" w:rsidR="00C47E55" w:rsidRDefault="00C47E55" w:rsidP="00257A68">
            <w:r>
              <w:t>Amend the Regulations so that only the area of cultural heritage sensitivity is investigated in assessments for CHMPs</w:t>
            </w:r>
          </w:p>
        </w:tc>
        <w:tc>
          <w:tcPr>
            <w:tcW w:w="1559" w:type="dxa"/>
          </w:tcPr>
          <w:p w14:paraId="2AAE16CC" w14:textId="77777777" w:rsidR="00C47E55" w:rsidRDefault="00C47E55" w:rsidP="00257A68">
            <w:r>
              <w:t>Submission to the discussion paper</w:t>
            </w:r>
          </w:p>
        </w:tc>
        <w:tc>
          <w:tcPr>
            <w:tcW w:w="1276" w:type="dxa"/>
          </w:tcPr>
          <w:p w14:paraId="73AD4C46" w14:textId="77777777" w:rsidR="00C47E55" w:rsidRDefault="00C47E55" w:rsidP="00257A68">
            <w:r>
              <w:t>No change to the Regulations</w:t>
            </w:r>
          </w:p>
        </w:tc>
        <w:tc>
          <w:tcPr>
            <w:tcW w:w="2693" w:type="dxa"/>
          </w:tcPr>
          <w:p w14:paraId="5A541429" w14:textId="58FAB06C" w:rsidR="00C47E55" w:rsidRDefault="00C47E55" w:rsidP="00257A68">
            <w:r>
              <w:t xml:space="preserve">The defined areas of cultural heritage sensitivity are indicative only and it is known Aboriginal cultural heritage will be more likely identified in greater densities on land </w:t>
            </w:r>
            <w:r w:rsidR="004D6323">
              <w:t xml:space="preserve">outside but </w:t>
            </w:r>
            <w:r>
              <w:t>immediately adjacent to defined areas of cultural heritage sensitivity. It is therefore appropriate these areas are investigated as part of the assessment for a CHMP</w:t>
            </w:r>
          </w:p>
        </w:tc>
        <w:tc>
          <w:tcPr>
            <w:tcW w:w="1701" w:type="dxa"/>
          </w:tcPr>
          <w:p w14:paraId="6696571D" w14:textId="244EF4CE" w:rsidR="00C47E55" w:rsidRDefault="00C47E55" w:rsidP="00257A68">
            <w:r>
              <w:t>AV will develop better information regarding the purpose of the defined areas of cultural heritage sensitivity</w:t>
            </w:r>
          </w:p>
        </w:tc>
      </w:tr>
      <w:tr w:rsidR="00E76E3E" w14:paraId="5D8365E9" w14:textId="77777777" w:rsidTr="00C35804">
        <w:trPr>
          <w:cantSplit/>
        </w:trPr>
        <w:tc>
          <w:tcPr>
            <w:tcW w:w="1692" w:type="dxa"/>
          </w:tcPr>
          <w:p w14:paraId="722840BE" w14:textId="041246F3" w:rsidR="00C47E55" w:rsidRDefault="00C47E55" w:rsidP="00257A68">
            <w:r>
              <w:t>Access to the Victorian Aboriginal Heritage</w:t>
            </w:r>
            <w:r w:rsidR="004D6323">
              <w:t xml:space="preserve"> Register</w:t>
            </w:r>
            <w:r>
              <w:t xml:space="preserve"> is too limited for heritage advisors</w:t>
            </w:r>
          </w:p>
        </w:tc>
        <w:tc>
          <w:tcPr>
            <w:tcW w:w="1559" w:type="dxa"/>
          </w:tcPr>
          <w:p w14:paraId="0D48A06E" w14:textId="77777777" w:rsidR="00C47E55" w:rsidRDefault="00C47E55" w:rsidP="00257A68">
            <w:r>
              <w:t>Submission to the discussion paper</w:t>
            </w:r>
          </w:p>
        </w:tc>
        <w:tc>
          <w:tcPr>
            <w:tcW w:w="1276" w:type="dxa"/>
          </w:tcPr>
          <w:p w14:paraId="363F428D" w14:textId="77777777" w:rsidR="00C47E55" w:rsidRDefault="00C47E55" w:rsidP="00257A68">
            <w:r>
              <w:t>No change to the Regulations</w:t>
            </w:r>
          </w:p>
        </w:tc>
        <w:tc>
          <w:tcPr>
            <w:tcW w:w="2693" w:type="dxa"/>
          </w:tcPr>
          <w:p w14:paraId="33E8E39B" w14:textId="0514582E" w:rsidR="00C47E55" w:rsidRPr="001602F5" w:rsidRDefault="00C47E55" w:rsidP="00B15256">
            <w:r>
              <w:t xml:space="preserve">Access to the Victorian Aboriginal Heritage Register is set out in the </w:t>
            </w:r>
            <w:r w:rsidR="00B15256">
              <w:t>Act</w:t>
            </w:r>
          </w:p>
        </w:tc>
        <w:tc>
          <w:tcPr>
            <w:tcW w:w="1701" w:type="dxa"/>
          </w:tcPr>
          <w:p w14:paraId="0870769F" w14:textId="77777777" w:rsidR="00C47E55" w:rsidRDefault="00C47E55" w:rsidP="00257A68">
            <w:r>
              <w:t>AV will investigate options for including more information on the Aboriginal Victoria public map to assist heritage advisors</w:t>
            </w:r>
          </w:p>
        </w:tc>
      </w:tr>
      <w:tr w:rsidR="00E76E3E" w14:paraId="18553C98" w14:textId="77777777" w:rsidTr="00C35804">
        <w:trPr>
          <w:cantSplit/>
        </w:trPr>
        <w:tc>
          <w:tcPr>
            <w:tcW w:w="1692" w:type="dxa"/>
          </w:tcPr>
          <w:p w14:paraId="14E985AC" w14:textId="77777777" w:rsidR="00C47E55" w:rsidRDefault="00C47E55" w:rsidP="00257A68">
            <w:r>
              <w:t>The Regulations should address the significant costs associated with archaeological salvage operations</w:t>
            </w:r>
          </w:p>
        </w:tc>
        <w:tc>
          <w:tcPr>
            <w:tcW w:w="1559" w:type="dxa"/>
          </w:tcPr>
          <w:p w14:paraId="5DB9CBC8" w14:textId="77777777" w:rsidR="00C47E55" w:rsidRDefault="00C47E55" w:rsidP="00257A68">
            <w:r>
              <w:t>Submission to the discussion paper</w:t>
            </w:r>
          </w:p>
        </w:tc>
        <w:tc>
          <w:tcPr>
            <w:tcW w:w="1276" w:type="dxa"/>
          </w:tcPr>
          <w:p w14:paraId="3BCBAF9E" w14:textId="77777777" w:rsidR="00C47E55" w:rsidRDefault="00C47E55" w:rsidP="00257A68">
            <w:r>
              <w:t>No change to the Regulations</w:t>
            </w:r>
          </w:p>
        </w:tc>
        <w:tc>
          <w:tcPr>
            <w:tcW w:w="2693" w:type="dxa"/>
          </w:tcPr>
          <w:p w14:paraId="101D12D3" w14:textId="788799ED" w:rsidR="00C47E55" w:rsidRDefault="00C47E55" w:rsidP="00B15256">
            <w:r>
              <w:t xml:space="preserve">Archaeological salvage can be a condition of a CHMP and a regulatory regime is not set-out in the </w:t>
            </w:r>
            <w:r w:rsidR="00B15256">
              <w:t>Act</w:t>
            </w:r>
          </w:p>
        </w:tc>
        <w:tc>
          <w:tcPr>
            <w:tcW w:w="1701" w:type="dxa"/>
          </w:tcPr>
          <w:p w14:paraId="4667D4A3" w14:textId="77777777" w:rsidR="00C47E55" w:rsidRDefault="00C47E55" w:rsidP="00257A68">
            <w:r>
              <w:t>Aboriginal Victoria will consult with key stakeholders to address any concerns regarding archaeological salvage operations. The outcomes of this consultation may result in amendments to legislation, regulation, or better guides and forms</w:t>
            </w:r>
          </w:p>
        </w:tc>
      </w:tr>
      <w:tr w:rsidR="00E76E3E" w14:paraId="34C99E8B" w14:textId="77777777" w:rsidTr="00C35804">
        <w:trPr>
          <w:cantSplit/>
        </w:trPr>
        <w:tc>
          <w:tcPr>
            <w:tcW w:w="1692" w:type="dxa"/>
          </w:tcPr>
          <w:p w14:paraId="190262B8" w14:textId="0DB1B3DC" w:rsidR="00C47E55" w:rsidRPr="00B15256" w:rsidRDefault="00C47E55" w:rsidP="00B15256">
            <w:r>
              <w:t xml:space="preserve">The definition of ‘harm’ in the </w:t>
            </w:r>
            <w:r w:rsidR="00B15256">
              <w:t>Act</w:t>
            </w:r>
          </w:p>
        </w:tc>
        <w:tc>
          <w:tcPr>
            <w:tcW w:w="1559" w:type="dxa"/>
          </w:tcPr>
          <w:p w14:paraId="0B91FBF9" w14:textId="77777777" w:rsidR="00C47E55" w:rsidRDefault="00C47E55" w:rsidP="00257A68">
            <w:r>
              <w:t>Submission to the discussion paper, stakeholder consultation</w:t>
            </w:r>
          </w:p>
        </w:tc>
        <w:tc>
          <w:tcPr>
            <w:tcW w:w="1276" w:type="dxa"/>
          </w:tcPr>
          <w:p w14:paraId="7A7C2BBD" w14:textId="77777777" w:rsidR="00C47E55" w:rsidRDefault="00C47E55" w:rsidP="00257A68">
            <w:r>
              <w:t>No changes to the Regulations</w:t>
            </w:r>
          </w:p>
        </w:tc>
        <w:tc>
          <w:tcPr>
            <w:tcW w:w="2693" w:type="dxa"/>
          </w:tcPr>
          <w:p w14:paraId="08A6D8EA" w14:textId="77777777" w:rsidR="00C47E55" w:rsidRDefault="00C47E55" w:rsidP="00257A68">
            <w:r>
              <w:t xml:space="preserve">AV believes clarification to the definition of harm is better addressed in improved guidance material </w:t>
            </w:r>
          </w:p>
        </w:tc>
        <w:tc>
          <w:tcPr>
            <w:tcW w:w="1701" w:type="dxa"/>
          </w:tcPr>
          <w:p w14:paraId="03DC482D" w14:textId="77777777" w:rsidR="00C47E55" w:rsidRDefault="00C47E55" w:rsidP="00257A68">
            <w:r>
              <w:t>AV will investigate opportunities to clarify the practical application of the definition of harm</w:t>
            </w:r>
          </w:p>
        </w:tc>
      </w:tr>
      <w:tr w:rsidR="00E76E3E" w14:paraId="7938C794" w14:textId="77777777" w:rsidTr="00C35804">
        <w:trPr>
          <w:cantSplit/>
        </w:trPr>
        <w:tc>
          <w:tcPr>
            <w:tcW w:w="1692" w:type="dxa"/>
          </w:tcPr>
          <w:p w14:paraId="35D41D2D" w14:textId="77777777" w:rsidR="00C47E55" w:rsidRDefault="00C47E55" w:rsidP="00257A68">
            <w:r>
              <w:t>Land developers are carrying out their activity in stages so as to avoid the need to prepare a CHMP</w:t>
            </w:r>
          </w:p>
        </w:tc>
        <w:tc>
          <w:tcPr>
            <w:tcW w:w="1559" w:type="dxa"/>
          </w:tcPr>
          <w:p w14:paraId="257029A8" w14:textId="77777777" w:rsidR="00C47E55" w:rsidRDefault="00C47E55" w:rsidP="00257A68">
            <w:r>
              <w:t>Submission to the discussion paper, stakeholder consultation</w:t>
            </w:r>
          </w:p>
        </w:tc>
        <w:tc>
          <w:tcPr>
            <w:tcW w:w="1276" w:type="dxa"/>
          </w:tcPr>
          <w:p w14:paraId="5AFAD17F" w14:textId="77777777" w:rsidR="00C47E55" w:rsidRDefault="00C47E55" w:rsidP="00257A68">
            <w:r>
              <w:t>No changes to the Regulations</w:t>
            </w:r>
          </w:p>
        </w:tc>
        <w:tc>
          <w:tcPr>
            <w:tcW w:w="2693" w:type="dxa"/>
          </w:tcPr>
          <w:p w14:paraId="6343C934" w14:textId="77777777" w:rsidR="00C47E55" w:rsidRDefault="00C47E55" w:rsidP="00257A68">
            <w:r>
              <w:t>AV believes the staging of development activities to avoid CHMP requirements is better addressed in improved guidance material</w:t>
            </w:r>
          </w:p>
        </w:tc>
        <w:tc>
          <w:tcPr>
            <w:tcW w:w="1701" w:type="dxa"/>
          </w:tcPr>
          <w:p w14:paraId="3A8AC873" w14:textId="77777777" w:rsidR="00C47E55" w:rsidRDefault="00C47E55" w:rsidP="00257A68">
            <w:r>
              <w:t>AV will develop better guidance material regarding the interpretation of the definition of activity and how it relates to staged developments</w:t>
            </w:r>
          </w:p>
        </w:tc>
      </w:tr>
      <w:tr w:rsidR="00E76E3E" w14:paraId="7FEF7874" w14:textId="77777777" w:rsidTr="00C35804">
        <w:trPr>
          <w:cantSplit/>
        </w:trPr>
        <w:tc>
          <w:tcPr>
            <w:tcW w:w="1692" w:type="dxa"/>
          </w:tcPr>
          <w:p w14:paraId="124D76E0" w14:textId="77777777" w:rsidR="00C47E55" w:rsidRDefault="00C47E55" w:rsidP="00257A68">
            <w:r>
              <w:t>It is not clear in the Regulations when a CHMP should include a complex assessment</w:t>
            </w:r>
          </w:p>
        </w:tc>
        <w:tc>
          <w:tcPr>
            <w:tcW w:w="1559" w:type="dxa"/>
          </w:tcPr>
          <w:p w14:paraId="40D61776" w14:textId="77777777" w:rsidR="00C47E55" w:rsidRDefault="00C47E55" w:rsidP="00257A68">
            <w:r>
              <w:t>Submission to the discussion paper, stakeholder consultation</w:t>
            </w:r>
          </w:p>
        </w:tc>
        <w:tc>
          <w:tcPr>
            <w:tcW w:w="1276" w:type="dxa"/>
          </w:tcPr>
          <w:p w14:paraId="704EEA86" w14:textId="77777777" w:rsidR="00C47E55" w:rsidRDefault="00C47E55" w:rsidP="00257A68">
            <w:r>
              <w:t>No changes to the Regulations</w:t>
            </w:r>
          </w:p>
        </w:tc>
        <w:tc>
          <w:tcPr>
            <w:tcW w:w="2693" w:type="dxa"/>
          </w:tcPr>
          <w:p w14:paraId="1E87FCA9" w14:textId="77777777" w:rsidR="00C47E55" w:rsidRDefault="00C47E55" w:rsidP="00257A68">
            <w:r>
              <w:t>AV believes the reasons when a CHMP should include a complex assessment would be better explained in improved guidance material</w:t>
            </w:r>
          </w:p>
        </w:tc>
        <w:tc>
          <w:tcPr>
            <w:tcW w:w="1701" w:type="dxa"/>
          </w:tcPr>
          <w:p w14:paraId="61F49B1C" w14:textId="77777777" w:rsidR="00C47E55" w:rsidRDefault="00C47E55" w:rsidP="00257A68">
            <w:r>
              <w:t>AV will develop better guidance material regarding the CHMP preparation process</w:t>
            </w:r>
          </w:p>
        </w:tc>
      </w:tr>
      <w:tr w:rsidR="00E76E3E" w14:paraId="4A302F9C" w14:textId="77777777" w:rsidTr="00C35804">
        <w:trPr>
          <w:cantSplit/>
        </w:trPr>
        <w:tc>
          <w:tcPr>
            <w:tcW w:w="1692" w:type="dxa"/>
          </w:tcPr>
          <w:p w14:paraId="20ED00F0" w14:textId="77777777" w:rsidR="00C47E55" w:rsidRDefault="00C47E55" w:rsidP="00257A68">
            <w:r>
              <w:t>Geotechnical investigations should be exempt from requiring a CHMP</w:t>
            </w:r>
          </w:p>
        </w:tc>
        <w:tc>
          <w:tcPr>
            <w:tcW w:w="1559" w:type="dxa"/>
          </w:tcPr>
          <w:p w14:paraId="3F49C856" w14:textId="77777777" w:rsidR="00C47E55" w:rsidRDefault="00C47E55" w:rsidP="00257A68">
            <w:r>
              <w:t>Submission to the discussion paper</w:t>
            </w:r>
          </w:p>
        </w:tc>
        <w:tc>
          <w:tcPr>
            <w:tcW w:w="1276" w:type="dxa"/>
          </w:tcPr>
          <w:p w14:paraId="0C975A38" w14:textId="77777777" w:rsidR="00C47E55" w:rsidRDefault="00C47E55" w:rsidP="00257A68">
            <w:r>
              <w:t>No changes to the Regulations</w:t>
            </w:r>
          </w:p>
        </w:tc>
        <w:tc>
          <w:tcPr>
            <w:tcW w:w="2693" w:type="dxa"/>
          </w:tcPr>
          <w:p w14:paraId="256CDB0E" w14:textId="754DAB47" w:rsidR="00C47E55" w:rsidRDefault="00C47E55" w:rsidP="00257A68">
            <w:r>
              <w:t>AV notes a Practice Note exists for geotechnical investigations</w:t>
            </w:r>
          </w:p>
        </w:tc>
        <w:tc>
          <w:tcPr>
            <w:tcW w:w="1701" w:type="dxa"/>
          </w:tcPr>
          <w:p w14:paraId="5C1C7137" w14:textId="77777777" w:rsidR="00C47E55" w:rsidRDefault="00C47E55" w:rsidP="00257A68">
            <w:r>
              <w:t>AV will investigate opportunities to improve advice regarding geotechnical investigations</w:t>
            </w:r>
          </w:p>
        </w:tc>
      </w:tr>
      <w:tr w:rsidR="00E76E3E" w14:paraId="3D3A36F1" w14:textId="77777777" w:rsidTr="00C35804">
        <w:trPr>
          <w:cantSplit/>
        </w:trPr>
        <w:tc>
          <w:tcPr>
            <w:tcW w:w="1692" w:type="dxa"/>
          </w:tcPr>
          <w:p w14:paraId="359F4B57" w14:textId="77777777" w:rsidR="00C47E55" w:rsidRDefault="00C47E55" w:rsidP="00257A68">
            <w:r>
              <w:t xml:space="preserve">The requirement for a cumulative Impacts statement as part of a CHMP needs to be better explained and should be prescribed in the Regulations </w:t>
            </w:r>
          </w:p>
        </w:tc>
        <w:tc>
          <w:tcPr>
            <w:tcW w:w="1559" w:type="dxa"/>
          </w:tcPr>
          <w:p w14:paraId="3B1A1003" w14:textId="77777777" w:rsidR="00C47E55" w:rsidRDefault="00C47E55" w:rsidP="00257A68">
            <w:r>
              <w:t>Submissions to the discussion paper, stakeholder consultation</w:t>
            </w:r>
          </w:p>
        </w:tc>
        <w:tc>
          <w:tcPr>
            <w:tcW w:w="1276" w:type="dxa"/>
          </w:tcPr>
          <w:p w14:paraId="71E520E6" w14:textId="77777777" w:rsidR="00C47E55" w:rsidRDefault="00C47E55" w:rsidP="00257A68">
            <w:r>
              <w:t>No changes to the Regulations</w:t>
            </w:r>
          </w:p>
        </w:tc>
        <w:tc>
          <w:tcPr>
            <w:tcW w:w="2693" w:type="dxa"/>
          </w:tcPr>
          <w:p w14:paraId="7E2C0146" w14:textId="284305E3" w:rsidR="00C47E55" w:rsidRDefault="00C47E55" w:rsidP="00257A68">
            <w:r>
              <w:t>The cumulative impacts statement is already required by the CHMP approved</w:t>
            </w:r>
            <w:r w:rsidR="00B15256">
              <w:t xml:space="preserve"> form</w:t>
            </w:r>
          </w:p>
        </w:tc>
        <w:tc>
          <w:tcPr>
            <w:tcW w:w="1701" w:type="dxa"/>
          </w:tcPr>
          <w:p w14:paraId="7939E605" w14:textId="77777777" w:rsidR="00C47E55" w:rsidRDefault="00C47E55" w:rsidP="00257A68">
            <w:r>
              <w:t>AV will develop better guidance material regarding the need for and expectations of the cumulative impacts statement in a CHMP</w:t>
            </w:r>
          </w:p>
        </w:tc>
      </w:tr>
      <w:tr w:rsidR="00E76E3E" w14:paraId="44896A79" w14:textId="77777777" w:rsidTr="00C35804">
        <w:trPr>
          <w:cantSplit/>
        </w:trPr>
        <w:tc>
          <w:tcPr>
            <w:tcW w:w="1692" w:type="dxa"/>
          </w:tcPr>
          <w:p w14:paraId="7D5A8F64" w14:textId="3FB0B103" w:rsidR="00C47E55" w:rsidRDefault="00C47E55" w:rsidP="00B15256">
            <w:r>
              <w:t xml:space="preserve">The fees charged by heritage advisors and Registered Aboriginal Parties are too high and should be </w:t>
            </w:r>
            <w:r w:rsidR="00B15256">
              <w:t>prescribed</w:t>
            </w:r>
            <w:r>
              <w:t xml:space="preserve"> in the Regulations</w:t>
            </w:r>
          </w:p>
        </w:tc>
        <w:tc>
          <w:tcPr>
            <w:tcW w:w="1559" w:type="dxa"/>
          </w:tcPr>
          <w:p w14:paraId="163BF959" w14:textId="77777777" w:rsidR="00C47E55" w:rsidRDefault="00C47E55" w:rsidP="00257A68">
            <w:r>
              <w:t>Submission to the discussion paper</w:t>
            </w:r>
          </w:p>
        </w:tc>
        <w:tc>
          <w:tcPr>
            <w:tcW w:w="1276" w:type="dxa"/>
          </w:tcPr>
          <w:p w14:paraId="15D9954A" w14:textId="77777777" w:rsidR="00C47E55" w:rsidRDefault="00C47E55" w:rsidP="00257A68">
            <w:r>
              <w:t>No change to the Regulations</w:t>
            </w:r>
          </w:p>
        </w:tc>
        <w:tc>
          <w:tcPr>
            <w:tcW w:w="2693" w:type="dxa"/>
          </w:tcPr>
          <w:p w14:paraId="5740F612" w14:textId="6CD48433" w:rsidR="00C47E55" w:rsidRDefault="00C47E55" w:rsidP="00B15256">
            <w:r>
              <w:t>The Act establishes which fees can be prescribed in the Regulations.</w:t>
            </w:r>
          </w:p>
        </w:tc>
        <w:tc>
          <w:tcPr>
            <w:tcW w:w="1701" w:type="dxa"/>
          </w:tcPr>
          <w:p w14:paraId="722D0799" w14:textId="77777777" w:rsidR="00C47E55" w:rsidRDefault="00C47E55" w:rsidP="00257A68">
            <w:r>
              <w:t xml:space="preserve">AV will investigate opportunities to develop general advice for Sponsors seeking the services of a heritage advisor </w:t>
            </w:r>
          </w:p>
        </w:tc>
      </w:tr>
      <w:tr w:rsidR="00E76E3E" w14:paraId="2754C660" w14:textId="77777777" w:rsidTr="00C35804">
        <w:trPr>
          <w:cantSplit/>
        </w:trPr>
        <w:tc>
          <w:tcPr>
            <w:tcW w:w="1692" w:type="dxa"/>
          </w:tcPr>
          <w:p w14:paraId="66C68164" w14:textId="77777777" w:rsidR="00C47E55" w:rsidRDefault="00C47E55" w:rsidP="00257A68">
            <w:r>
              <w:t>Management conditions detailed in CHMPs are often unclear and difficult to enforce</w:t>
            </w:r>
          </w:p>
        </w:tc>
        <w:tc>
          <w:tcPr>
            <w:tcW w:w="1559" w:type="dxa"/>
          </w:tcPr>
          <w:p w14:paraId="685EC692" w14:textId="77777777" w:rsidR="00C47E55" w:rsidRDefault="00C47E55" w:rsidP="00257A68">
            <w:r>
              <w:t>Submission to the discussion paper, stakeholder consultation</w:t>
            </w:r>
          </w:p>
        </w:tc>
        <w:tc>
          <w:tcPr>
            <w:tcW w:w="1276" w:type="dxa"/>
          </w:tcPr>
          <w:p w14:paraId="16F4C8CD" w14:textId="77777777" w:rsidR="00C47E55" w:rsidRDefault="00C47E55" w:rsidP="00257A68">
            <w:r>
              <w:t>No change to the Regulations</w:t>
            </w:r>
          </w:p>
        </w:tc>
        <w:tc>
          <w:tcPr>
            <w:tcW w:w="2693" w:type="dxa"/>
          </w:tcPr>
          <w:p w14:paraId="47C81A51" w14:textId="77777777" w:rsidR="00C47E55" w:rsidRDefault="00C47E55" w:rsidP="00257A68">
            <w:r>
              <w:t xml:space="preserve">Management conditions are prepared by the sponsor </w:t>
            </w:r>
          </w:p>
        </w:tc>
        <w:tc>
          <w:tcPr>
            <w:tcW w:w="1701" w:type="dxa"/>
          </w:tcPr>
          <w:p w14:paraId="62A677F4" w14:textId="77777777" w:rsidR="00C47E55" w:rsidRDefault="00C47E55" w:rsidP="00257A68">
            <w:r>
              <w:t>AV will prepare guidelines writing enforceable conditions for CHMPs</w:t>
            </w:r>
          </w:p>
        </w:tc>
      </w:tr>
      <w:tr w:rsidR="00E76E3E" w14:paraId="61A2C605" w14:textId="77777777" w:rsidTr="00C35804">
        <w:trPr>
          <w:cantSplit/>
        </w:trPr>
        <w:tc>
          <w:tcPr>
            <w:tcW w:w="1692" w:type="dxa"/>
          </w:tcPr>
          <w:p w14:paraId="5B543EBD" w14:textId="77777777" w:rsidR="00C47E55" w:rsidRDefault="00C47E55" w:rsidP="00257A68">
            <w:r>
              <w:t>The area of cultural heritage sensitivity associated with waterways should be reduced</w:t>
            </w:r>
          </w:p>
        </w:tc>
        <w:tc>
          <w:tcPr>
            <w:tcW w:w="1559" w:type="dxa"/>
          </w:tcPr>
          <w:p w14:paraId="49F7B007" w14:textId="77777777" w:rsidR="00C47E55" w:rsidRDefault="00C47E55" w:rsidP="00257A68">
            <w:r>
              <w:t>Submission to the discussion paper</w:t>
            </w:r>
          </w:p>
        </w:tc>
        <w:tc>
          <w:tcPr>
            <w:tcW w:w="1276" w:type="dxa"/>
          </w:tcPr>
          <w:p w14:paraId="3E28CE71" w14:textId="77777777" w:rsidR="00C47E55" w:rsidRDefault="00C47E55" w:rsidP="00257A68">
            <w:r>
              <w:t>No change to the Regulations</w:t>
            </w:r>
          </w:p>
        </w:tc>
        <w:tc>
          <w:tcPr>
            <w:tcW w:w="2693" w:type="dxa"/>
          </w:tcPr>
          <w:p w14:paraId="3E848CFB" w14:textId="77777777" w:rsidR="00C47E55" w:rsidRDefault="00C47E55" w:rsidP="00257A68">
            <w:r>
              <w:t>AV’s recent analysis of the proximity of Aboriginal places to waterways indicates a 200m buffer is appropriate</w:t>
            </w:r>
          </w:p>
        </w:tc>
        <w:tc>
          <w:tcPr>
            <w:tcW w:w="1701" w:type="dxa"/>
          </w:tcPr>
          <w:p w14:paraId="7E216168" w14:textId="77777777" w:rsidR="00C47E55" w:rsidRDefault="00C47E55" w:rsidP="00257A68">
            <w:r>
              <w:t>AV will develop better information regarding the purpose of the defined areas of cultural heritage sensitivity.</w:t>
            </w:r>
          </w:p>
        </w:tc>
      </w:tr>
      <w:tr w:rsidR="00E76E3E" w14:paraId="50D90DF2" w14:textId="77777777" w:rsidTr="00C35804">
        <w:trPr>
          <w:cantSplit/>
        </w:trPr>
        <w:tc>
          <w:tcPr>
            <w:tcW w:w="1692" w:type="dxa"/>
          </w:tcPr>
          <w:p w14:paraId="3C9395BE" w14:textId="77777777" w:rsidR="00C47E55" w:rsidRDefault="00C47E55" w:rsidP="00257A68">
            <w:r>
              <w:t>It is not clear what constitutes minor works, and what process Sponsors should follow when their activity is exempt from requiring a CHMP</w:t>
            </w:r>
          </w:p>
        </w:tc>
        <w:tc>
          <w:tcPr>
            <w:tcW w:w="1559" w:type="dxa"/>
          </w:tcPr>
          <w:p w14:paraId="04E47165" w14:textId="77777777" w:rsidR="00C47E55" w:rsidRDefault="00C47E55" w:rsidP="00257A68">
            <w:r>
              <w:t>Submission to the discussion paper</w:t>
            </w:r>
          </w:p>
        </w:tc>
        <w:tc>
          <w:tcPr>
            <w:tcW w:w="1276" w:type="dxa"/>
          </w:tcPr>
          <w:p w14:paraId="4ADEDB39" w14:textId="77777777" w:rsidR="00C47E55" w:rsidRDefault="00C47E55" w:rsidP="00257A68">
            <w:r>
              <w:t>No change to the definition of minor works in the Regulations</w:t>
            </w:r>
          </w:p>
        </w:tc>
        <w:tc>
          <w:tcPr>
            <w:tcW w:w="2693" w:type="dxa"/>
          </w:tcPr>
          <w:p w14:paraId="628D0800" w14:textId="77777777" w:rsidR="00C47E55" w:rsidRDefault="00C47E55" w:rsidP="00257A68">
            <w:r>
              <w:t>AV believes clarification to the definition of minor works is better addressed in improved guidance material</w:t>
            </w:r>
          </w:p>
        </w:tc>
        <w:tc>
          <w:tcPr>
            <w:tcW w:w="1701" w:type="dxa"/>
          </w:tcPr>
          <w:p w14:paraId="5778D039" w14:textId="77777777" w:rsidR="00C47E55" w:rsidRDefault="00C47E55" w:rsidP="00257A68">
            <w:r>
              <w:t>AV will prepare guidance material for minor works and responsibilities of Sponsors outside of the CHMP process</w:t>
            </w:r>
          </w:p>
        </w:tc>
      </w:tr>
      <w:tr w:rsidR="00E76E3E" w14:paraId="5AC48CA0" w14:textId="77777777" w:rsidTr="00C35804">
        <w:trPr>
          <w:cantSplit/>
        </w:trPr>
        <w:tc>
          <w:tcPr>
            <w:tcW w:w="1692" w:type="dxa"/>
          </w:tcPr>
          <w:p w14:paraId="06F56DD3" w14:textId="77777777" w:rsidR="00C47E55" w:rsidRDefault="00C47E55" w:rsidP="00257A68">
            <w:r>
              <w:t>Some activities which are not defined high impact activities should require the preparation of a CHMP if Aboriginal places are present in the activity area</w:t>
            </w:r>
          </w:p>
        </w:tc>
        <w:tc>
          <w:tcPr>
            <w:tcW w:w="1559" w:type="dxa"/>
          </w:tcPr>
          <w:p w14:paraId="1082FE03" w14:textId="77777777" w:rsidR="00C47E55" w:rsidRDefault="00C47E55" w:rsidP="00257A68">
            <w:r>
              <w:t>Submission to the discussion paper, stakeholder consultation</w:t>
            </w:r>
          </w:p>
        </w:tc>
        <w:tc>
          <w:tcPr>
            <w:tcW w:w="1276" w:type="dxa"/>
          </w:tcPr>
          <w:p w14:paraId="0C578213" w14:textId="77777777" w:rsidR="00C47E55" w:rsidRDefault="00C47E55" w:rsidP="00257A68">
            <w:r>
              <w:t>No change to the Regulations</w:t>
            </w:r>
          </w:p>
        </w:tc>
        <w:tc>
          <w:tcPr>
            <w:tcW w:w="2693" w:type="dxa"/>
          </w:tcPr>
          <w:p w14:paraId="1425C33C" w14:textId="77777777" w:rsidR="00C47E55" w:rsidRDefault="00C47E55" w:rsidP="00257A68">
            <w:r>
              <w:t>AV notes a cultural heritage permit is required for activities which may harm an Aboriginal place</w:t>
            </w:r>
          </w:p>
        </w:tc>
        <w:tc>
          <w:tcPr>
            <w:tcW w:w="1701" w:type="dxa"/>
          </w:tcPr>
          <w:p w14:paraId="07BF8E58" w14:textId="77777777" w:rsidR="00C47E55" w:rsidRDefault="00C47E55" w:rsidP="00257A68">
            <w:r>
              <w:t>AV will develop better information regarding responsibilities of Sponsors outside of the CHMP process</w:t>
            </w:r>
          </w:p>
        </w:tc>
      </w:tr>
      <w:tr w:rsidR="00E76E3E" w14:paraId="30A9AC12" w14:textId="77777777" w:rsidTr="00C35804">
        <w:trPr>
          <w:cantSplit/>
        </w:trPr>
        <w:tc>
          <w:tcPr>
            <w:tcW w:w="1692" w:type="dxa"/>
          </w:tcPr>
          <w:p w14:paraId="4153BAFB" w14:textId="77777777" w:rsidR="00C47E55" w:rsidRDefault="00C47E55" w:rsidP="00257A68">
            <w:r>
              <w:t>The definition of cultural heritage sensitivity should be broadened to apply to a greater area of Victoria</w:t>
            </w:r>
          </w:p>
        </w:tc>
        <w:tc>
          <w:tcPr>
            <w:tcW w:w="1559" w:type="dxa"/>
          </w:tcPr>
          <w:p w14:paraId="4438F564" w14:textId="77777777" w:rsidR="00C47E55" w:rsidRDefault="00C47E55" w:rsidP="00257A68">
            <w:r>
              <w:t>Submission to the discussion paper, stakeholder consultation</w:t>
            </w:r>
          </w:p>
        </w:tc>
        <w:tc>
          <w:tcPr>
            <w:tcW w:w="1276" w:type="dxa"/>
          </w:tcPr>
          <w:p w14:paraId="582ADEBC" w14:textId="77777777" w:rsidR="00C47E55" w:rsidRDefault="00C47E55" w:rsidP="00257A68">
            <w:r>
              <w:t>No change to the Regulations</w:t>
            </w:r>
          </w:p>
        </w:tc>
        <w:tc>
          <w:tcPr>
            <w:tcW w:w="2693" w:type="dxa"/>
          </w:tcPr>
          <w:p w14:paraId="7FAFB13A" w14:textId="77777777" w:rsidR="00C47E55" w:rsidRDefault="00C47E55" w:rsidP="00257A68">
            <w:r>
              <w:t>AV investigated options to broaden the definition of cultural heritage sensitivity and concluded the current definition achieves the right balance in protecting Aboriginal cultural heritage while ensuring the Regulations do not impose a significant burden to land users and developers</w:t>
            </w:r>
          </w:p>
        </w:tc>
        <w:tc>
          <w:tcPr>
            <w:tcW w:w="1701" w:type="dxa"/>
          </w:tcPr>
          <w:p w14:paraId="122F0398" w14:textId="77777777" w:rsidR="00C47E55" w:rsidRDefault="00C47E55" w:rsidP="00257A68">
            <w:r>
              <w:t>AV will develop better information regarding the purpose of the defined areas of cultural heritage sensitivity</w:t>
            </w:r>
          </w:p>
        </w:tc>
      </w:tr>
      <w:tr w:rsidR="00E76E3E" w14:paraId="10B75E02" w14:textId="77777777" w:rsidTr="00C35804">
        <w:trPr>
          <w:cantSplit/>
        </w:trPr>
        <w:tc>
          <w:tcPr>
            <w:tcW w:w="1692" w:type="dxa"/>
          </w:tcPr>
          <w:p w14:paraId="43008B2E" w14:textId="77777777" w:rsidR="00C47E55" w:rsidRDefault="00C47E55" w:rsidP="00257A68">
            <w:r>
              <w:t>CHMP conditions are not clearly presented in the CHMP document</w:t>
            </w:r>
          </w:p>
        </w:tc>
        <w:tc>
          <w:tcPr>
            <w:tcW w:w="1559" w:type="dxa"/>
          </w:tcPr>
          <w:p w14:paraId="06E83B28" w14:textId="77777777" w:rsidR="00C47E55" w:rsidRDefault="00C47E55" w:rsidP="00257A68">
            <w:r>
              <w:t>Stakeholder consultation</w:t>
            </w:r>
          </w:p>
        </w:tc>
        <w:tc>
          <w:tcPr>
            <w:tcW w:w="1276" w:type="dxa"/>
          </w:tcPr>
          <w:p w14:paraId="16322009" w14:textId="77777777" w:rsidR="00C47E55" w:rsidRDefault="00C47E55" w:rsidP="00257A68">
            <w:r>
              <w:t>No change to the Regulations</w:t>
            </w:r>
          </w:p>
        </w:tc>
        <w:tc>
          <w:tcPr>
            <w:tcW w:w="2693" w:type="dxa"/>
          </w:tcPr>
          <w:p w14:paraId="1C03BD15" w14:textId="2E45A7F6" w:rsidR="00C47E55" w:rsidRDefault="00C47E55" w:rsidP="00257A68">
            <w:r>
              <w:t xml:space="preserve">AV believes presenting the management conditions towards the front of the CHMP </w:t>
            </w:r>
            <w:r w:rsidR="00B15256">
              <w:t xml:space="preserve">would </w:t>
            </w:r>
            <w:r>
              <w:t xml:space="preserve">improve compliance </w:t>
            </w:r>
          </w:p>
        </w:tc>
        <w:tc>
          <w:tcPr>
            <w:tcW w:w="1701" w:type="dxa"/>
          </w:tcPr>
          <w:p w14:paraId="567990DD" w14:textId="414961AF" w:rsidR="00C47E55" w:rsidRDefault="00C47E55" w:rsidP="00257A68">
            <w:r>
              <w:t>AV will make improvements to the guide for preparing a CHMP,</w:t>
            </w:r>
            <w:r w:rsidR="00B15256">
              <w:t xml:space="preserve"> amendments to the approved form,</w:t>
            </w:r>
            <w:r>
              <w:t xml:space="preserve"> and will prepare advice for writing enforceable conditions</w:t>
            </w:r>
          </w:p>
        </w:tc>
      </w:tr>
      <w:tr w:rsidR="00E76E3E" w14:paraId="149E407A" w14:textId="77777777" w:rsidTr="00C35804">
        <w:trPr>
          <w:cantSplit/>
        </w:trPr>
        <w:tc>
          <w:tcPr>
            <w:tcW w:w="1692" w:type="dxa"/>
          </w:tcPr>
          <w:p w14:paraId="659E1F88" w14:textId="51FA8199" w:rsidR="00C47E55" w:rsidRDefault="00C47E55" w:rsidP="00B15256">
            <w:r>
              <w:t xml:space="preserve">Amendments should not be made to approved CHMPs </w:t>
            </w:r>
            <w:r w:rsidR="00B15256">
              <w:t>when additional</w:t>
            </w:r>
            <w:r>
              <w:t xml:space="preserve"> assessment is required to prepare the </w:t>
            </w:r>
            <w:r w:rsidR="00B15256">
              <w:t>amendment</w:t>
            </w:r>
          </w:p>
        </w:tc>
        <w:tc>
          <w:tcPr>
            <w:tcW w:w="1559" w:type="dxa"/>
          </w:tcPr>
          <w:p w14:paraId="7E2C9612" w14:textId="124ABCC7" w:rsidR="00C47E55" w:rsidRDefault="00B15256" w:rsidP="00257A68">
            <w:r>
              <w:t>S</w:t>
            </w:r>
            <w:r w:rsidR="00C47E55">
              <w:t>takeholder consultation</w:t>
            </w:r>
          </w:p>
        </w:tc>
        <w:tc>
          <w:tcPr>
            <w:tcW w:w="1276" w:type="dxa"/>
          </w:tcPr>
          <w:p w14:paraId="0F861F70" w14:textId="77777777" w:rsidR="00C47E55" w:rsidRDefault="00C47E55" w:rsidP="00257A68">
            <w:r>
              <w:t>No change to the Regulations</w:t>
            </w:r>
          </w:p>
        </w:tc>
        <w:tc>
          <w:tcPr>
            <w:tcW w:w="2693" w:type="dxa"/>
          </w:tcPr>
          <w:p w14:paraId="2770B892" w14:textId="77777777" w:rsidR="00C47E55" w:rsidRDefault="00C47E55" w:rsidP="00257A68">
            <w:r>
              <w:t xml:space="preserve">The Act determines the circumstances under which an approved CHMP can be amended </w:t>
            </w:r>
          </w:p>
        </w:tc>
        <w:tc>
          <w:tcPr>
            <w:tcW w:w="1701" w:type="dxa"/>
          </w:tcPr>
          <w:p w14:paraId="2A658B50" w14:textId="77777777" w:rsidR="00C47E55" w:rsidRDefault="00C47E55" w:rsidP="00257A68">
            <w:r>
              <w:t>AV will make improvements to the guide for preparing a CHMP to clarify in what circumstances an amendment is appropriate</w:t>
            </w:r>
          </w:p>
        </w:tc>
      </w:tr>
      <w:tr w:rsidR="00E76E3E" w14:paraId="08E96FA2" w14:textId="77777777" w:rsidTr="00C35804">
        <w:trPr>
          <w:cantSplit/>
        </w:trPr>
        <w:tc>
          <w:tcPr>
            <w:tcW w:w="1692" w:type="dxa"/>
          </w:tcPr>
          <w:p w14:paraId="161C3594" w14:textId="77777777" w:rsidR="00C47E55" w:rsidRDefault="00C47E55" w:rsidP="00257A68">
            <w:r>
              <w:t>Aboriginal places which have been destroyed should no longer generate an area of cultural heritage sensitivity</w:t>
            </w:r>
          </w:p>
        </w:tc>
        <w:tc>
          <w:tcPr>
            <w:tcW w:w="1559" w:type="dxa"/>
          </w:tcPr>
          <w:p w14:paraId="53403D84" w14:textId="77777777" w:rsidR="00C47E55" w:rsidRDefault="00C47E55" w:rsidP="00257A68">
            <w:r>
              <w:t>Stakeholder consultation</w:t>
            </w:r>
          </w:p>
        </w:tc>
        <w:tc>
          <w:tcPr>
            <w:tcW w:w="1276" w:type="dxa"/>
          </w:tcPr>
          <w:p w14:paraId="6284C71E" w14:textId="77777777" w:rsidR="00C47E55" w:rsidRDefault="00C47E55" w:rsidP="00257A68">
            <w:r>
              <w:t>No change to the Regulations</w:t>
            </w:r>
          </w:p>
        </w:tc>
        <w:tc>
          <w:tcPr>
            <w:tcW w:w="2693" w:type="dxa"/>
          </w:tcPr>
          <w:p w14:paraId="1AD7C5C2" w14:textId="40CF6796" w:rsidR="00C47E55" w:rsidRDefault="00C47E55" w:rsidP="00257A68">
            <w:r>
              <w:t xml:space="preserve">Aboriginal Victoria believes it is appropriate an area of cultural heritage sensitivity remains for destroyed Aboriginal places. This is because it is likely nearby Aboriginal places exist and these should </w:t>
            </w:r>
            <w:r w:rsidR="009E70A9">
              <w:t xml:space="preserve">be </w:t>
            </w:r>
            <w:r>
              <w:t>protected and managed through the CHMP process</w:t>
            </w:r>
          </w:p>
        </w:tc>
        <w:tc>
          <w:tcPr>
            <w:tcW w:w="1701" w:type="dxa"/>
          </w:tcPr>
          <w:p w14:paraId="62CA609E" w14:textId="5838CAE0" w:rsidR="00C47E55" w:rsidRDefault="00C47E55" w:rsidP="00257A68">
            <w:r>
              <w:t>AV will develop better information regarding the purpose of the defined areas of cultural heritage sensitivity</w:t>
            </w:r>
          </w:p>
        </w:tc>
      </w:tr>
    </w:tbl>
    <w:p w14:paraId="370DBDB5" w14:textId="01BB1AA7" w:rsidR="00C47E55" w:rsidRPr="007C0109" w:rsidRDefault="00E42AED" w:rsidP="00C47E55">
      <w:pPr>
        <w:pStyle w:val="PwCNormal"/>
        <w:numPr>
          <w:ilvl w:val="0"/>
          <w:numId w:val="0"/>
        </w:numPr>
        <w:rPr>
          <w:color w:val="A32020" w:themeColor="text2"/>
          <w:sz w:val="16"/>
        </w:rPr>
      </w:pPr>
      <w:r w:rsidRPr="007C0109">
        <w:rPr>
          <w:color w:val="A32020" w:themeColor="text2"/>
          <w:sz w:val="16"/>
          <w:lang w:val="en-US"/>
        </w:rPr>
        <w:t>Source: Information provided by AV.</w:t>
      </w:r>
    </w:p>
    <w:p w14:paraId="35B32EC1" w14:textId="77777777" w:rsidR="008C268D" w:rsidRDefault="008C268D" w:rsidP="00410D4F">
      <w:pPr>
        <w:pStyle w:val="PwCNormal"/>
        <w:numPr>
          <w:ilvl w:val="0"/>
          <w:numId w:val="0"/>
        </w:numPr>
      </w:pPr>
    </w:p>
    <w:p w14:paraId="36156639" w14:textId="77777777" w:rsidR="008C268D" w:rsidRDefault="008C268D" w:rsidP="00410D4F">
      <w:pPr>
        <w:pStyle w:val="PwCNormal"/>
        <w:numPr>
          <w:ilvl w:val="0"/>
          <w:numId w:val="0"/>
        </w:numPr>
      </w:pPr>
    </w:p>
    <w:p w14:paraId="64AC12E0" w14:textId="77777777" w:rsidR="008C268D" w:rsidRDefault="008C268D">
      <w:pPr>
        <w:kinsoku/>
        <w:overflowPunct/>
        <w:autoSpaceDE/>
        <w:autoSpaceDN/>
        <w:adjustRightInd/>
        <w:snapToGrid/>
        <w:rPr>
          <w:rFonts w:asciiTheme="majorHAnsi" w:hAnsiTheme="majorHAnsi"/>
          <w:b/>
          <w:i/>
          <w:iCs/>
          <w:color w:val="000000" w:themeColor="text1"/>
          <w:sz w:val="56"/>
          <w:szCs w:val="36"/>
        </w:rPr>
      </w:pPr>
      <w:r>
        <w:br w:type="page"/>
      </w:r>
    </w:p>
    <w:p w14:paraId="549064CA" w14:textId="681F56B4" w:rsidR="008C268D" w:rsidRDefault="00D36CE5" w:rsidP="008C268D">
      <w:pPr>
        <w:pStyle w:val="Heading4"/>
      </w:pPr>
      <w:bookmarkStart w:id="134" w:name="_Ref503454770"/>
      <w:bookmarkStart w:id="135" w:name="_Ref503455456"/>
      <w:bookmarkStart w:id="136" w:name="_Ref505006021"/>
      <w:bookmarkStart w:id="137" w:name="_Ref505006076"/>
      <w:bookmarkStart w:id="138" w:name="_Toc507761457"/>
      <w:bookmarkStart w:id="139" w:name="_Toc507761460"/>
      <w:r>
        <w:t>Further background</w:t>
      </w:r>
      <w:bookmarkEnd w:id="134"/>
      <w:bookmarkEnd w:id="135"/>
      <w:bookmarkEnd w:id="136"/>
      <w:bookmarkEnd w:id="137"/>
      <w:bookmarkEnd w:id="138"/>
      <w:bookmarkEnd w:id="139"/>
    </w:p>
    <w:p w14:paraId="4908698D" w14:textId="62C62AD9" w:rsidR="00D36CE5" w:rsidRDefault="00D36CE5" w:rsidP="00D36CE5">
      <w:pPr>
        <w:pStyle w:val="Heading8"/>
      </w:pPr>
      <w:r>
        <w:t>Previous legislation</w:t>
      </w:r>
    </w:p>
    <w:p w14:paraId="20385D32" w14:textId="77777777" w:rsidR="008C268D" w:rsidRDefault="008C268D" w:rsidP="008C268D">
      <w:pPr>
        <w:pStyle w:val="PwCNormal"/>
        <w:numPr>
          <w:ilvl w:val="0"/>
          <w:numId w:val="0"/>
        </w:numPr>
      </w:pPr>
      <w:r>
        <w:t>The main previous legislation relating to Victorian Aboriginal cultural heritage protection are:</w:t>
      </w:r>
    </w:p>
    <w:p w14:paraId="2D5C086E" w14:textId="77777777" w:rsidR="008C268D" w:rsidRDefault="008C268D" w:rsidP="008C268D">
      <w:pPr>
        <w:pStyle w:val="ListBullet"/>
      </w:pPr>
      <w:r>
        <w:t>the Victorian Archaeological and Aboriginal Relics Preservation Act 1972</w:t>
      </w:r>
    </w:p>
    <w:p w14:paraId="3EBC1F74" w14:textId="77777777" w:rsidR="008C268D" w:rsidRDefault="008C268D" w:rsidP="008C268D">
      <w:pPr>
        <w:pStyle w:val="ListBullet"/>
      </w:pPr>
      <w:r>
        <w:t>Part 2A of the Commonwealth Aboriginal and Torres Strait Islander Heritage Protection Act 1984.</w:t>
      </w:r>
    </w:p>
    <w:p w14:paraId="520F8785" w14:textId="46996178" w:rsidR="008C268D" w:rsidRPr="008C268D" w:rsidRDefault="008C268D" w:rsidP="008C268D">
      <w:pPr>
        <w:pStyle w:val="ListBullet"/>
        <w:numPr>
          <w:ilvl w:val="0"/>
          <w:numId w:val="0"/>
        </w:numPr>
      </w:pPr>
      <w:r>
        <w:t xml:space="preserve">The </w:t>
      </w:r>
      <w:r w:rsidRPr="00705BA8">
        <w:rPr>
          <w:i/>
        </w:rPr>
        <w:t>Aboriginal Heritage Act 2006</w:t>
      </w:r>
      <w:r>
        <w:t xml:space="preserve"> and Aboriginal Heritage Regulations 2007 superseded this legislation. </w:t>
      </w:r>
    </w:p>
    <w:p w14:paraId="38CEE61D" w14:textId="77777777" w:rsidR="008C268D" w:rsidRPr="00D80F95" w:rsidRDefault="008C268D" w:rsidP="008C268D">
      <w:pPr>
        <w:pStyle w:val="PwCNormal"/>
        <w:spacing w:before="180" w:after="180"/>
        <w:rPr>
          <w:rFonts w:asciiTheme="majorHAnsi" w:hAnsiTheme="majorHAnsi"/>
        </w:rPr>
      </w:pPr>
      <w:r w:rsidRPr="00D80F95">
        <w:rPr>
          <w:rFonts w:asciiTheme="majorHAnsi" w:hAnsiTheme="majorHAnsi"/>
        </w:rPr>
        <w:t>Victoria has almost a 40 year history of laws protecting Aboriginal cultural heritage.</w:t>
      </w:r>
      <w:r>
        <w:rPr>
          <w:rFonts w:asciiTheme="majorHAnsi" w:hAnsiTheme="majorHAnsi"/>
        </w:rPr>
        <w:t xml:space="preserve"> P</w:t>
      </w:r>
      <w:r w:rsidRPr="00D80F95">
        <w:rPr>
          <w:rFonts w:asciiTheme="majorHAnsi" w:hAnsiTheme="majorHAnsi"/>
        </w:rPr>
        <w:t xml:space="preserve">rior to 2007, Aboriginal cultural heritage in Victoria was managed under the Victorian </w:t>
      </w:r>
      <w:r w:rsidRPr="00D80F95">
        <w:rPr>
          <w:rFonts w:asciiTheme="majorHAnsi" w:hAnsiTheme="majorHAnsi"/>
          <w:i/>
        </w:rPr>
        <w:t>Archaeological and Aboriginal Relics Preservation Act 1972</w:t>
      </w:r>
      <w:r w:rsidRPr="00D80F95">
        <w:rPr>
          <w:rFonts w:asciiTheme="majorHAnsi" w:hAnsiTheme="majorHAnsi"/>
        </w:rPr>
        <w:t xml:space="preserve"> and Part 2A of the Commonwealth </w:t>
      </w:r>
      <w:r w:rsidRPr="00D80F95">
        <w:rPr>
          <w:rFonts w:asciiTheme="majorHAnsi" w:hAnsiTheme="majorHAnsi"/>
          <w:i/>
        </w:rPr>
        <w:t>Aboriginal and Torres Strait Islander Heritage Protection Act 1984</w:t>
      </w:r>
      <w:r w:rsidRPr="00D80F95">
        <w:rPr>
          <w:rFonts w:asciiTheme="majorHAnsi" w:hAnsiTheme="majorHAnsi"/>
        </w:rPr>
        <w:t>.</w:t>
      </w:r>
    </w:p>
    <w:p w14:paraId="745EB67B" w14:textId="77777777" w:rsidR="008C268D" w:rsidRPr="00D80F95" w:rsidRDefault="008C268D" w:rsidP="008C268D">
      <w:pPr>
        <w:pStyle w:val="PwCNormal"/>
        <w:spacing w:before="180" w:after="180"/>
        <w:rPr>
          <w:rFonts w:asciiTheme="majorHAnsi" w:hAnsiTheme="majorHAnsi"/>
        </w:rPr>
      </w:pPr>
      <w:r w:rsidRPr="00D80F95">
        <w:rPr>
          <w:rFonts w:asciiTheme="majorHAnsi" w:hAnsiTheme="majorHAnsi"/>
        </w:rPr>
        <w:t xml:space="preserve">The 1972 Act was the first in Australia, along with the still-operating 1972 Western Australian </w:t>
      </w:r>
      <w:r w:rsidRPr="00D80F95">
        <w:rPr>
          <w:rFonts w:asciiTheme="majorHAnsi" w:hAnsiTheme="majorHAnsi"/>
          <w:i/>
        </w:rPr>
        <w:t>Aboriginal Heritage Act 1972</w:t>
      </w:r>
      <w:r w:rsidRPr="00D80F95">
        <w:rPr>
          <w:rFonts w:asciiTheme="majorHAnsi" w:hAnsiTheme="majorHAnsi"/>
        </w:rPr>
        <w:t>. It was an early attempt to provide protection of Aboriginal heritage, but it included no roles for Aboriginal people. The 1972 Act established the Victorian Aboriginal Heritage Register (the Register), which now holds records of over 30,000 places, and introduced penalties for damaging ‘relics’. It also established a permit system, controll</w:t>
      </w:r>
      <w:r>
        <w:rPr>
          <w:rFonts w:asciiTheme="majorHAnsi" w:hAnsiTheme="majorHAnsi"/>
        </w:rPr>
        <w:t>ed by the State. According to A</w:t>
      </w:r>
      <w:r w:rsidRPr="00D80F95">
        <w:rPr>
          <w:rFonts w:asciiTheme="majorHAnsi" w:hAnsiTheme="majorHAnsi"/>
        </w:rPr>
        <w:t>V, during this period few developments were assessed for heritage impacts, and destruction of Aboriginal heritage was common.</w:t>
      </w:r>
    </w:p>
    <w:p w14:paraId="708B859D" w14:textId="77777777" w:rsidR="008C268D" w:rsidRPr="00C411EA" w:rsidRDefault="008C268D" w:rsidP="008C268D">
      <w:r w:rsidRPr="00913778">
        <w:rPr>
          <w:rFonts w:asciiTheme="majorHAnsi" w:hAnsiTheme="majorHAnsi"/>
        </w:rPr>
        <w:t xml:space="preserve">In the early 1980s, the State attempted to pass updated heritage legislation, failed, and asked the Commonwealth to pass legislation on its behalf. Part 2A of the </w:t>
      </w:r>
      <w:r w:rsidRPr="00913778">
        <w:rPr>
          <w:rFonts w:asciiTheme="majorHAnsi" w:hAnsiTheme="majorHAnsi"/>
          <w:i/>
        </w:rPr>
        <w:t>Aboriginal and Torres Strait Islander Heritage Protection Act 1984</w:t>
      </w:r>
      <w:r w:rsidRPr="00913778">
        <w:rPr>
          <w:rFonts w:asciiTheme="majorHAnsi" w:hAnsiTheme="majorHAnsi"/>
        </w:rPr>
        <w:t xml:space="preserve"> was enacted in 1984, which pertained exclusively to Victoria and operated concurrently with the </w:t>
      </w:r>
      <w:hyperlink r:id="rId46" w:history="1">
        <w:r w:rsidRPr="00913778">
          <w:rPr>
            <w:rFonts w:asciiTheme="majorHAnsi" w:hAnsiTheme="majorHAnsi"/>
            <w:i/>
          </w:rPr>
          <w:t>Archaeological and Aboriginal Relics Preservation Act 1972</w:t>
        </w:r>
      </w:hyperlink>
      <w:r w:rsidRPr="00913778">
        <w:rPr>
          <w:rFonts w:asciiTheme="majorHAnsi" w:hAnsiTheme="majorHAnsi"/>
          <w:i/>
        </w:rPr>
        <w:t>.</w:t>
      </w:r>
      <w:r w:rsidRPr="00913778">
        <w:rPr>
          <w:rFonts w:asciiTheme="majorHAnsi" w:hAnsiTheme="majorHAnsi"/>
        </w:rPr>
        <w:t xml:space="preserve"> </w:t>
      </w:r>
    </w:p>
    <w:p w14:paraId="3391DED5" w14:textId="77777777" w:rsidR="008C268D" w:rsidRPr="00C411EA" w:rsidRDefault="008C268D" w:rsidP="008C268D">
      <w:pPr>
        <w:pStyle w:val="PwCNormal"/>
        <w:spacing w:before="180" w:after="180"/>
        <w:rPr>
          <w:rFonts w:asciiTheme="majorHAnsi" w:hAnsiTheme="majorHAnsi"/>
        </w:rPr>
      </w:pPr>
      <w:r w:rsidRPr="00913778">
        <w:rPr>
          <w:rFonts w:asciiTheme="majorHAnsi" w:hAnsiTheme="majorHAnsi"/>
        </w:rPr>
        <w:t xml:space="preserve">The 1984 Commonwealth Act enabled the Victorian Government to pass limited heritage responsibilities to Aboriginal organisations nominated by the Minister. Most of these were community based organisations (often referred to as co-operatives), established for purposes other than cultural heritage management, such as providing community health and housing services to the local population.  These organisations were not necessarily Traditional Owner organisations. Under the Commonwealth legislation, the decisions these organisations made could be an effective veto over development, creating a deadlock in some cases and conflict and high costs in others. </w:t>
      </w:r>
    </w:p>
    <w:p w14:paraId="7E1E6286" w14:textId="77777777" w:rsidR="008C268D" w:rsidRPr="00C411EA" w:rsidRDefault="008C268D" w:rsidP="008C268D">
      <w:pPr>
        <w:pStyle w:val="PwCNormal"/>
        <w:spacing w:before="180" w:after="180"/>
        <w:rPr>
          <w:rFonts w:asciiTheme="majorHAnsi" w:hAnsiTheme="majorHAnsi"/>
        </w:rPr>
      </w:pPr>
      <w:r w:rsidRPr="00913778">
        <w:rPr>
          <w:rFonts w:asciiTheme="majorHAnsi" w:hAnsiTheme="majorHAnsi"/>
        </w:rPr>
        <w:t>Under this system, there was minimal pro-active assessment of Aboriginal heritage. If a statutory authority identified a potential heritage issue, th</w:t>
      </w:r>
      <w:r>
        <w:rPr>
          <w:rFonts w:asciiTheme="majorHAnsi" w:hAnsiTheme="majorHAnsi"/>
        </w:rPr>
        <w:t>e matter could be referred to A</w:t>
      </w:r>
      <w:r w:rsidRPr="00913778">
        <w:rPr>
          <w:rFonts w:asciiTheme="majorHAnsi" w:hAnsiTheme="majorHAnsi"/>
        </w:rPr>
        <w:t>V to determine whether a heritage assessment was required. In these cases, heritage was generally dealt with through monitoring of construction works and consents to disturb and destroy sites. Where sites were identified, the developer needed to seek consent to disturb or destroy sites from the local Aboriginal organisation which could often stop works during construction.</w:t>
      </w:r>
    </w:p>
    <w:p w14:paraId="09629587" w14:textId="6EB6A404" w:rsidR="008C268D" w:rsidRPr="008C268D" w:rsidRDefault="008C268D" w:rsidP="008C268D">
      <w:pPr>
        <w:pStyle w:val="PwCNormal"/>
      </w:pPr>
      <w:r w:rsidRPr="00913778">
        <w:t>Some of the issues associated with this framework included a lack of clear processes for statutory authorities, confusion about who spoke for cultural heritage on behalf of the Aboriginal community, uncertainty for industry about how to manage impacts on heritage and inadequate assessment, management and protection of Aboriginal cultural heritage.</w:t>
      </w:r>
    </w:p>
    <w:p w14:paraId="3077C048" w14:textId="77777777" w:rsidR="008C268D" w:rsidRDefault="008C268D" w:rsidP="008C268D">
      <w:pPr>
        <w:pStyle w:val="PwCNormal"/>
        <w:numPr>
          <w:ilvl w:val="0"/>
          <w:numId w:val="0"/>
        </w:numPr>
      </w:pPr>
    </w:p>
    <w:p w14:paraId="5A3EB3BC" w14:textId="5C8C5FC1" w:rsidR="005B29B5" w:rsidRDefault="005B29B5" w:rsidP="00D36CE5">
      <w:pPr>
        <w:pStyle w:val="Heading8"/>
      </w:pPr>
      <w:r>
        <w:t>Aboriginal Heritage Amendment Act 2016</w:t>
      </w:r>
    </w:p>
    <w:p w14:paraId="30D1C4D1" w14:textId="23846DCC" w:rsidR="005B29B5" w:rsidRPr="00677865" w:rsidRDefault="005B29B5" w:rsidP="005B29B5">
      <w:pPr>
        <w:pStyle w:val="PwCNormal"/>
        <w:spacing w:before="120" w:after="120"/>
        <w:rPr>
          <w:rFonts w:eastAsia="Calibri"/>
          <w:bCs/>
        </w:rPr>
      </w:pPr>
      <w:r w:rsidRPr="00677865">
        <w:rPr>
          <w:rFonts w:eastAsia="Calibri"/>
        </w:rPr>
        <w:t>The Aboriginal Heritage Amendment Act 2016 (the Amendment Act) establishe</w:t>
      </w:r>
      <w:r>
        <w:rPr>
          <w:rFonts w:eastAsia="Calibri"/>
        </w:rPr>
        <w:t>d</w:t>
      </w:r>
      <w:r w:rsidRPr="00677865">
        <w:rPr>
          <w:rFonts w:eastAsia="Calibri"/>
        </w:rPr>
        <w:t xml:space="preserve"> new provisions and changes to the </w:t>
      </w:r>
      <w:r w:rsidRPr="00677865">
        <w:rPr>
          <w:rFonts w:eastAsia="Calibri"/>
          <w:i/>
        </w:rPr>
        <w:t>Aboriginal Heritage Act 2006</w:t>
      </w:r>
      <w:r w:rsidRPr="00677865">
        <w:rPr>
          <w:rFonts w:eastAsia="Calibri"/>
        </w:rPr>
        <w:t xml:space="preserve">. The Amendment Act </w:t>
      </w:r>
      <w:r>
        <w:rPr>
          <w:rFonts w:eastAsia="Calibri"/>
        </w:rPr>
        <w:t>was</w:t>
      </w:r>
      <w:r w:rsidRPr="00677865">
        <w:rPr>
          <w:rFonts w:eastAsia="Calibri"/>
        </w:rPr>
        <w:t xml:space="preserve"> informed by the Victorian Government Response to the </w:t>
      </w:r>
      <w:r w:rsidRPr="00677865">
        <w:rPr>
          <w:rFonts w:eastAsia="Calibri"/>
          <w:i/>
        </w:rPr>
        <w:t>Review of the Aboriginal Heritage Act 2006</w:t>
      </w:r>
      <w:r w:rsidRPr="00677865">
        <w:rPr>
          <w:rFonts w:eastAsia="Calibri"/>
        </w:rPr>
        <w:t xml:space="preserve">, the </w:t>
      </w:r>
      <w:r w:rsidRPr="00677865">
        <w:rPr>
          <w:rFonts w:eastAsia="Calibri"/>
          <w:i/>
        </w:rPr>
        <w:t>Parliamentary Inquiry into the Establishment and Effectiveness of Registered Aboriginal Parties</w:t>
      </w:r>
      <w:r w:rsidRPr="00677865">
        <w:rPr>
          <w:rFonts w:eastAsia="Calibri"/>
        </w:rPr>
        <w:t xml:space="preserve">, the release of an </w:t>
      </w:r>
      <w:r w:rsidRPr="00677865">
        <w:rPr>
          <w:rFonts w:eastAsia="Calibri"/>
          <w:i/>
        </w:rPr>
        <w:t>Aboriginal Heritage Amendment Bill Exposure Draft</w:t>
      </w:r>
      <w:r w:rsidRPr="00677865">
        <w:rPr>
          <w:rFonts w:eastAsia="Calibri"/>
        </w:rPr>
        <w:t>, and widespread consultation with Traditional Owners, industry groups, local Government, State and Commonwealth Government and cultural heritage professionals.</w:t>
      </w:r>
      <w:r>
        <w:rPr>
          <w:rFonts w:eastAsia="Calibri"/>
        </w:rPr>
        <w:t xml:space="preserve"> The </w:t>
      </w:r>
      <w:r w:rsidRPr="00677865">
        <w:rPr>
          <w:rFonts w:eastAsia="Calibri"/>
          <w:bCs/>
        </w:rPr>
        <w:t>Amendment Act</w:t>
      </w:r>
      <w:r>
        <w:rPr>
          <w:rFonts w:eastAsia="Calibri"/>
          <w:bCs/>
        </w:rPr>
        <w:t xml:space="preserve"> included new provisions into the principal Act, including those relating to Aboriginal Intangible Heritage, PAHTs, ACHLMAs, and the Aboriginal Cultural Heritage Management Fund. The changes included:</w:t>
      </w:r>
    </w:p>
    <w:p w14:paraId="7A784C5B" w14:textId="77777777" w:rsidR="005B29B5" w:rsidRPr="002234EC" w:rsidRDefault="005B29B5" w:rsidP="005B29B5">
      <w:pPr>
        <w:pStyle w:val="PwCNormal"/>
        <w:numPr>
          <w:ilvl w:val="0"/>
          <w:numId w:val="32"/>
        </w:numPr>
        <w:spacing w:before="120" w:after="120"/>
        <w:rPr>
          <w:rFonts w:eastAsia="Calibri"/>
        </w:rPr>
      </w:pPr>
      <w:r w:rsidRPr="002234EC">
        <w:rPr>
          <w:rFonts w:eastAsia="Calibri"/>
        </w:rPr>
        <w:t>empowering Registered Aboriginal Parties (RAPs) to determine cultural heritage permit applications;</w:t>
      </w:r>
    </w:p>
    <w:p w14:paraId="7416355E" w14:textId="77777777" w:rsidR="005B29B5" w:rsidRPr="002234EC" w:rsidRDefault="005B29B5" w:rsidP="005B29B5">
      <w:pPr>
        <w:pStyle w:val="PwCNormal"/>
        <w:numPr>
          <w:ilvl w:val="0"/>
          <w:numId w:val="32"/>
        </w:numPr>
        <w:spacing w:before="120" w:after="120"/>
        <w:rPr>
          <w:rFonts w:eastAsia="Calibri"/>
        </w:rPr>
      </w:pPr>
      <w:r w:rsidRPr="002234EC">
        <w:rPr>
          <w:rFonts w:eastAsia="Calibri"/>
        </w:rPr>
        <w:t>the introduction of the Preliminary Aboriginal Heritage Test (PAHT) system – a voluntary process allowing certification by the Secretary as to whether a cultural heritage management plan (CHMP) is required;</w:t>
      </w:r>
    </w:p>
    <w:p w14:paraId="130A5029" w14:textId="77777777" w:rsidR="005B29B5" w:rsidRPr="002234EC" w:rsidRDefault="005B29B5" w:rsidP="005B29B5">
      <w:pPr>
        <w:pStyle w:val="PwCNormal"/>
        <w:numPr>
          <w:ilvl w:val="0"/>
          <w:numId w:val="32"/>
        </w:numPr>
        <w:spacing w:before="120" w:after="120"/>
        <w:rPr>
          <w:rFonts w:eastAsia="Calibri"/>
        </w:rPr>
      </w:pPr>
      <w:r w:rsidRPr="002234EC">
        <w:rPr>
          <w:rFonts w:eastAsia="Calibri"/>
        </w:rPr>
        <w:t>enabling the Secretary to establish an Activity Advisory Group (AAG) of Traditional Owners for a project in an area where there is no appointed RAP, to advise on the proposed activity and its impact on Aboriginal cultural heritage;</w:t>
      </w:r>
    </w:p>
    <w:p w14:paraId="0DB1F5DC" w14:textId="77777777" w:rsidR="005B29B5" w:rsidRDefault="005B29B5" w:rsidP="005B29B5">
      <w:pPr>
        <w:pStyle w:val="ListBullet"/>
        <w:numPr>
          <w:ilvl w:val="0"/>
          <w:numId w:val="32"/>
        </w:numPr>
        <w:spacing w:before="120" w:after="120"/>
      </w:pPr>
      <w:r>
        <w:t xml:space="preserve">establishing </w:t>
      </w:r>
      <w:r w:rsidRPr="002866D1">
        <w:t>Aboriginal Cultural Heritage Land Management Agreement</w:t>
      </w:r>
      <w:r>
        <w:t>s</w:t>
      </w:r>
      <w:r w:rsidRPr="002866D1">
        <w:t xml:space="preserve"> (ACHLMA</w:t>
      </w:r>
      <w:r>
        <w:t>s), which are</w:t>
      </w:r>
      <w:r w:rsidRPr="002866D1">
        <w:t xml:space="preserve"> a written agreement between a public land manager and a Registered Aboriginal Party (RAP) for the purposes of managing and protecting Aboriginal cultural heritage during low-medium im</w:t>
      </w:r>
      <w:r>
        <w:t>pact land management activities;</w:t>
      </w:r>
    </w:p>
    <w:p w14:paraId="7F31BEE7" w14:textId="77777777" w:rsidR="005B29B5" w:rsidRPr="002234EC" w:rsidRDefault="005B29B5" w:rsidP="005B29B5">
      <w:pPr>
        <w:pStyle w:val="PwCNormal"/>
        <w:numPr>
          <w:ilvl w:val="0"/>
          <w:numId w:val="32"/>
        </w:numPr>
        <w:spacing w:before="120" w:after="120"/>
        <w:rPr>
          <w:rFonts w:eastAsia="Calibri"/>
        </w:rPr>
      </w:pPr>
      <w:r w:rsidRPr="002234EC">
        <w:rPr>
          <w:rFonts w:eastAsia="Calibri"/>
        </w:rPr>
        <w:t>Aboriginal Heritage Officers to be employed by RAPs to monitor sponsor compliance with CHMPs and with the power to issue improvement notices and 24-hour stop orders;</w:t>
      </w:r>
    </w:p>
    <w:p w14:paraId="327596C9" w14:textId="77777777" w:rsidR="005B29B5" w:rsidRPr="002234EC" w:rsidRDefault="005B29B5" w:rsidP="005B29B5">
      <w:pPr>
        <w:pStyle w:val="PwCNormal"/>
        <w:numPr>
          <w:ilvl w:val="0"/>
          <w:numId w:val="32"/>
        </w:numPr>
        <w:spacing w:before="120" w:after="120"/>
        <w:rPr>
          <w:rFonts w:eastAsia="Calibri"/>
        </w:rPr>
      </w:pPr>
      <w:r w:rsidRPr="002234EC">
        <w:rPr>
          <w:rFonts w:eastAsia="Calibri"/>
        </w:rPr>
        <w:t>the Victorian Aboriginal Heritage Council (VAHC) to coordinate the management, return and protection of Aboriginal Ancestral Remains within Victoria;</w:t>
      </w:r>
    </w:p>
    <w:p w14:paraId="64266207" w14:textId="77777777" w:rsidR="005B29B5" w:rsidRDefault="005B29B5" w:rsidP="005B29B5">
      <w:pPr>
        <w:pStyle w:val="ListBullet"/>
        <w:numPr>
          <w:ilvl w:val="0"/>
          <w:numId w:val="32"/>
        </w:numPr>
        <w:spacing w:before="120" w:after="120"/>
      </w:pPr>
      <w:r>
        <w:t>introducing the concept of Aboriginal Intangible Heritage and Aboriginal Intangible Heritage Agreements (AIHAs). AIHAs can be formed by a RAP or Traditional Owner group applying to register Aboriginal Intangible Heritage, including:</w:t>
      </w:r>
    </w:p>
    <w:p w14:paraId="2F8B8B8C" w14:textId="77777777" w:rsidR="005B29B5" w:rsidRDefault="005B29B5" w:rsidP="005B29B5">
      <w:pPr>
        <w:pStyle w:val="ListBullet2"/>
        <w:numPr>
          <w:ilvl w:val="1"/>
          <w:numId w:val="32"/>
        </w:numPr>
        <w:spacing w:before="120" w:after="120"/>
      </w:pPr>
      <w:r>
        <w:t>oral and expressions (including language, songs and stories)</w:t>
      </w:r>
    </w:p>
    <w:p w14:paraId="17754E02" w14:textId="77777777" w:rsidR="005B29B5" w:rsidRDefault="005B29B5" w:rsidP="005B29B5">
      <w:pPr>
        <w:pStyle w:val="ListBullet2"/>
        <w:numPr>
          <w:ilvl w:val="1"/>
          <w:numId w:val="32"/>
        </w:numPr>
        <w:spacing w:before="120" w:after="120"/>
      </w:pPr>
      <w:r>
        <w:t>performing arts (vocal and instrumental music, dance and performance)</w:t>
      </w:r>
    </w:p>
    <w:p w14:paraId="0A3E5588" w14:textId="77777777" w:rsidR="005B29B5" w:rsidRDefault="005B29B5" w:rsidP="005B29B5">
      <w:pPr>
        <w:pStyle w:val="ListBullet2"/>
        <w:numPr>
          <w:ilvl w:val="1"/>
          <w:numId w:val="32"/>
        </w:numPr>
        <w:spacing w:before="120" w:after="120"/>
      </w:pPr>
      <w:r>
        <w:t>social practices, rituals and festive events</w:t>
      </w:r>
    </w:p>
    <w:p w14:paraId="1463FBBB" w14:textId="77777777" w:rsidR="005B29B5" w:rsidRDefault="005B29B5" w:rsidP="005B29B5">
      <w:pPr>
        <w:pStyle w:val="ListBullet2"/>
        <w:numPr>
          <w:ilvl w:val="1"/>
          <w:numId w:val="32"/>
        </w:numPr>
        <w:spacing w:before="120" w:after="120"/>
      </w:pPr>
      <w:r>
        <w:t>knowledge and practices concerning nature and the universe (including environmental and ecological knowledge) and/or</w:t>
      </w:r>
    </w:p>
    <w:p w14:paraId="5ABCE6AF" w14:textId="77777777" w:rsidR="005B29B5" w:rsidRDefault="005B29B5" w:rsidP="005B29B5">
      <w:pPr>
        <w:pStyle w:val="ListBullet2"/>
        <w:numPr>
          <w:ilvl w:val="1"/>
          <w:numId w:val="32"/>
        </w:numPr>
        <w:spacing w:before="120" w:after="120"/>
      </w:pPr>
      <w:r>
        <w:t>visual arts and craftsmanship (skills and knowledge involved in their production).</w:t>
      </w:r>
    </w:p>
    <w:p w14:paraId="1BEAB8CB" w14:textId="77777777" w:rsidR="005B29B5" w:rsidRPr="002234EC" w:rsidRDefault="005B29B5" w:rsidP="005B29B5">
      <w:pPr>
        <w:pStyle w:val="ListBullet"/>
        <w:rPr>
          <w:rFonts w:eastAsia="Calibri"/>
        </w:rPr>
      </w:pPr>
      <w:r w:rsidRPr="002234EC">
        <w:rPr>
          <w:rFonts w:eastAsia="Calibri"/>
          <w:lang w:val="en-US"/>
        </w:rPr>
        <w:t>Fees and charges collected under the Act, relevant Government appropriation such as funds allocated to support RAPs, additional gifts and interest earned on investments, to go into an Aboriginal Cultural Heritage Management Fund, to be managed by the VAHC. On the VAHC’s recommendation, funds will be used to facilitate Aboriginal cultural heritage management and protection projects.</w:t>
      </w:r>
    </w:p>
    <w:p w14:paraId="16C008D5" w14:textId="77777777" w:rsidR="005B29B5" w:rsidRPr="002234EC" w:rsidRDefault="005B29B5" w:rsidP="005B29B5">
      <w:pPr>
        <w:pStyle w:val="PwCNormal"/>
        <w:spacing w:before="120" w:after="120"/>
        <w:rPr>
          <w:rFonts w:eastAsia="Calibri"/>
          <w:bCs/>
        </w:rPr>
      </w:pPr>
      <w:r w:rsidRPr="002234EC">
        <w:rPr>
          <w:rFonts w:eastAsia="Calibri"/>
          <w:bCs/>
        </w:rPr>
        <w:t>Other amendments:</w:t>
      </w:r>
    </w:p>
    <w:p w14:paraId="601F98FC"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 xml:space="preserve">the ability to amend cultural heritage management plans (CHMPs) after approval; </w:t>
      </w:r>
    </w:p>
    <w:p w14:paraId="373CF1EF"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 xml:space="preserve">removing the requirement for a CHMP for certain small developments in urban areas; </w:t>
      </w:r>
    </w:p>
    <w:p w14:paraId="381A375D"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strengthened offences and penalties and new offences to improve the enforceability of the Act and strengthen its deterrent effects;</w:t>
      </w:r>
    </w:p>
    <w:p w14:paraId="60CAC6F2"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 new cultural heritage permit (CHP) to rehabilitate land at an Aboriginal place, including land containing burial grounds for Aboriginal Ancestral Remains;</w:t>
      </w:r>
    </w:p>
    <w:p w14:paraId="5E3F1BC9"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 xml:space="preserve">a new CHP to inter Aboriginal Ancestral Remains at an Aboriginal place, </w:t>
      </w:r>
    </w:p>
    <w:p w14:paraId="3619E11C"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 xml:space="preserve">introducing a 30-day CHP application consideration period; </w:t>
      </w:r>
    </w:p>
    <w:p w14:paraId="19DDC903"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removing the requirement for a CHP to buy an Aboriginal object;</w:t>
      </w:r>
    </w:p>
    <w:p w14:paraId="6C7549C2"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additional roles and reporting functions for RAPs and the VAHC;</w:t>
      </w:r>
    </w:p>
    <w:p w14:paraId="6A9B973A"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 power for the VAHC to establish and call upon its own advisory committees as required;</w:t>
      </w:r>
    </w:p>
    <w:p w14:paraId="6E0580BB" w14:textId="2A894B2E" w:rsidR="005B29B5" w:rsidRPr="002234EC" w:rsidRDefault="005B29B5" w:rsidP="005B29B5">
      <w:pPr>
        <w:pStyle w:val="PwCNormal"/>
        <w:numPr>
          <w:ilvl w:val="0"/>
          <w:numId w:val="33"/>
        </w:numPr>
        <w:spacing w:before="120" w:after="120"/>
        <w:rPr>
          <w:rFonts w:eastAsia="Calibri"/>
        </w:rPr>
      </w:pPr>
      <w:r w:rsidRPr="002234EC">
        <w:rPr>
          <w:rFonts w:eastAsia="Calibri"/>
        </w:rPr>
        <w:t>new fees</w:t>
      </w:r>
      <w:r w:rsidR="005B1A6C">
        <w:rPr>
          <w:rFonts w:eastAsia="Calibri"/>
        </w:rPr>
        <w:t xml:space="preserve"> </w:t>
      </w:r>
      <w:r w:rsidRPr="002234EC">
        <w:rPr>
          <w:rFonts w:eastAsia="Calibri"/>
        </w:rPr>
        <w:t>to support the administration of the Act</w:t>
      </w:r>
      <w:r w:rsidR="005B1A6C">
        <w:rPr>
          <w:rFonts w:eastAsia="Calibri"/>
        </w:rPr>
        <w:t>, for example, for NOIs to prepare a CHMP</w:t>
      </w:r>
      <w:r w:rsidRPr="002234EC">
        <w:rPr>
          <w:rFonts w:eastAsia="Calibri"/>
        </w:rPr>
        <w:t>;</w:t>
      </w:r>
    </w:p>
    <w:p w14:paraId="64287F04"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additional RAP application provisions; and</w:t>
      </w:r>
    </w:p>
    <w:p w14:paraId="009DAAAD"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additional persons and organisations able to access the Victorian Aboriginal Heritage Register;</w:t>
      </w:r>
    </w:p>
    <w:p w14:paraId="3BA969BE" w14:textId="77777777" w:rsidR="005B29B5" w:rsidRPr="002234EC" w:rsidRDefault="005B29B5" w:rsidP="005B29B5">
      <w:pPr>
        <w:pStyle w:val="PwCNormal"/>
        <w:numPr>
          <w:ilvl w:val="0"/>
          <w:numId w:val="33"/>
        </w:numPr>
        <w:spacing w:before="120" w:after="120"/>
        <w:rPr>
          <w:rFonts w:eastAsia="Calibri"/>
        </w:rPr>
      </w:pPr>
      <w:r w:rsidRPr="002234EC">
        <w:rPr>
          <w:rFonts w:eastAsia="Calibri"/>
        </w:rPr>
        <w:t>a new offence related to the misuse of VAHR information;</w:t>
      </w:r>
    </w:p>
    <w:p w14:paraId="6D4A6F05" w14:textId="77777777" w:rsidR="005B29B5" w:rsidRDefault="005B29B5" w:rsidP="005B29B5">
      <w:pPr>
        <w:pStyle w:val="PwCNormal"/>
        <w:numPr>
          <w:ilvl w:val="0"/>
          <w:numId w:val="33"/>
        </w:numPr>
        <w:spacing w:before="120" w:after="120"/>
        <w:rPr>
          <w:rFonts w:eastAsia="Calibri"/>
        </w:rPr>
      </w:pPr>
      <w:r w:rsidRPr="002234EC">
        <w:rPr>
          <w:rFonts w:eastAsia="Calibri"/>
        </w:rPr>
        <w:t>new and clarified definitions.</w:t>
      </w:r>
    </w:p>
    <w:p w14:paraId="3522833F" w14:textId="146F52BB" w:rsidR="00D36CE5" w:rsidRPr="00D36CE5" w:rsidRDefault="00D36CE5" w:rsidP="00D36CE5">
      <w:pPr>
        <w:pStyle w:val="Heading8"/>
      </w:pPr>
      <w:r w:rsidRPr="00D36CE5">
        <w:t>Reviews and reforms</w:t>
      </w:r>
      <w:r>
        <w:t xml:space="preserve"> of the legislative framework</w:t>
      </w:r>
    </w:p>
    <w:p w14:paraId="0811D7EA" w14:textId="77777777" w:rsidR="00D36CE5" w:rsidRDefault="00D36CE5" w:rsidP="00D36CE5">
      <w:pPr>
        <w:pStyle w:val="PwCNormal"/>
      </w:pPr>
      <w:r>
        <w:t>There have been a number of reviews and reforms of the legislative framework over the past decade, including:</w:t>
      </w:r>
    </w:p>
    <w:p w14:paraId="2F94DF2F" w14:textId="77777777" w:rsidR="00D36CE5" w:rsidRDefault="00D36CE5" w:rsidP="00D36CE5">
      <w:pPr>
        <w:pStyle w:val="ListBullet"/>
      </w:pPr>
      <w:r>
        <w:t>the initial review of the Regulations, including the previous RIS</w:t>
      </w:r>
    </w:p>
    <w:p w14:paraId="7D42EA3C" w14:textId="77777777" w:rsidR="00D36CE5" w:rsidRDefault="00D36CE5" w:rsidP="00D36CE5">
      <w:pPr>
        <w:pStyle w:val="ListBullet"/>
      </w:pPr>
      <w:r>
        <w:t>the 2012 Parliamentary Inquiry into the Establishment and Effectiveness of Registered Aboriginal Parties</w:t>
      </w:r>
    </w:p>
    <w:p w14:paraId="0B20E9AD" w14:textId="77777777" w:rsidR="00D36CE5" w:rsidRDefault="00D36CE5" w:rsidP="00D36CE5">
      <w:pPr>
        <w:pStyle w:val="ListBullet"/>
      </w:pPr>
      <w:r>
        <w:t xml:space="preserve">the 2011-12 review of the </w:t>
      </w:r>
      <w:r w:rsidRPr="00705BA8">
        <w:rPr>
          <w:i/>
        </w:rPr>
        <w:t>Aboriginal Heritage Act 2006</w:t>
      </w:r>
    </w:p>
    <w:p w14:paraId="08B1384A" w14:textId="77777777" w:rsidR="00D36CE5" w:rsidRDefault="00D36CE5" w:rsidP="00D36CE5">
      <w:pPr>
        <w:pStyle w:val="ListBullet"/>
      </w:pPr>
      <w:r>
        <w:t>the 2015-16 and 2016-17 Victorian Government budgets</w:t>
      </w:r>
    </w:p>
    <w:p w14:paraId="11C92954" w14:textId="77777777" w:rsidR="00D36CE5" w:rsidRDefault="00D36CE5" w:rsidP="00D36CE5">
      <w:pPr>
        <w:pStyle w:val="ListBullet"/>
      </w:pPr>
      <w:r>
        <w:t>the 2017 review of the Aboriginal Heritage Regulations.</w:t>
      </w:r>
    </w:p>
    <w:p w14:paraId="4956EAF1" w14:textId="77777777" w:rsidR="00D36CE5" w:rsidRDefault="00D36CE5" w:rsidP="00D36CE5">
      <w:pPr>
        <w:pStyle w:val="Caption"/>
        <w:rPr>
          <w:rFonts w:eastAsia="Calibri"/>
        </w:rPr>
      </w:pPr>
      <w:r>
        <w:rPr>
          <w:rFonts w:eastAsia="Calibri"/>
        </w:rPr>
        <w:t xml:space="preserve">Initial review of the Regulations </w:t>
      </w:r>
    </w:p>
    <w:p w14:paraId="267FEA68" w14:textId="5828C8FD" w:rsidR="00D36CE5" w:rsidRPr="00EC6B7D" w:rsidRDefault="00D36CE5" w:rsidP="00D36CE5">
      <w:pPr>
        <w:pStyle w:val="PwCNormal"/>
        <w:spacing w:before="120" w:after="120"/>
        <w:rPr>
          <w:rFonts w:eastAsia="Calibri"/>
          <w:lang w:val="en-US"/>
        </w:rPr>
      </w:pPr>
      <w:r w:rsidRPr="00EC6B7D">
        <w:rPr>
          <w:rFonts w:eastAsia="Calibri"/>
          <w:lang w:val="en-US"/>
        </w:rPr>
        <w:t xml:space="preserve">Given the substantial change to the legislation, it was accepted that a period of operation was required before some aspects of the Regulations could be reasonably evaluated. Firstly, the RIS process had highlighted that the cost of the Regulations could only be accurately assessed after the Regulations had been in operation for a period. Secondly, the then Minister for Aboriginal Affairs wanted to ensure that the list of High Impact Activities in the Regulations was sufficiently targeted, and considered that an operational period may be needed to identify corrections (if any) in this list. In addition to these issues, a review was considered beneficial in assessing the effectiveness of the Regulations in meeting the aims of the Act. </w:t>
      </w:r>
    </w:p>
    <w:p w14:paraId="14505CDE" w14:textId="6C7E23AA" w:rsidR="00D36CE5" w:rsidRPr="00EC6B7D" w:rsidRDefault="00D36CE5" w:rsidP="00D36CE5">
      <w:pPr>
        <w:pStyle w:val="PwCNormal"/>
        <w:spacing w:before="120" w:after="120"/>
        <w:rPr>
          <w:rFonts w:eastAsia="Calibri"/>
          <w:lang w:val="en-US"/>
        </w:rPr>
      </w:pPr>
      <w:r w:rsidRPr="00EC6B7D">
        <w:rPr>
          <w:rFonts w:eastAsia="Calibri"/>
          <w:lang w:val="en-US"/>
        </w:rPr>
        <w:t xml:space="preserve">Consequently, the RIS included an evaluation strategy, and the Minister commenced operation of the Act </w:t>
      </w:r>
      <w:r w:rsidR="00616935">
        <w:rPr>
          <w:rFonts w:eastAsia="Calibri"/>
          <w:lang w:val="en-US"/>
        </w:rPr>
        <w:t xml:space="preserve">in 2006 </w:t>
      </w:r>
      <w:r w:rsidRPr="00EC6B7D">
        <w:rPr>
          <w:rFonts w:eastAsia="Calibri"/>
          <w:lang w:val="en-US"/>
        </w:rPr>
        <w:t xml:space="preserve">with a commitment that the Regulations would be reviewed after twelve months operation. </w:t>
      </w:r>
    </w:p>
    <w:p w14:paraId="6A077641" w14:textId="77777777" w:rsidR="00D36CE5" w:rsidRPr="00EC6B7D" w:rsidRDefault="00D36CE5" w:rsidP="00D36CE5">
      <w:pPr>
        <w:pStyle w:val="PwCNormal"/>
        <w:spacing w:before="120" w:after="120"/>
        <w:rPr>
          <w:rFonts w:eastAsia="Calibri"/>
          <w:lang w:val="en-US"/>
        </w:rPr>
      </w:pPr>
      <w:r>
        <w:rPr>
          <w:rFonts w:eastAsia="Calibri"/>
          <w:lang w:val="en-US"/>
        </w:rPr>
        <w:t>The evaluation concluded</w:t>
      </w:r>
      <w:r w:rsidRPr="00EC6B7D">
        <w:rPr>
          <w:rFonts w:eastAsia="Calibri"/>
          <w:lang w:val="en-US"/>
        </w:rPr>
        <w:t xml:space="preserve"> that the Regulations have: </w:t>
      </w:r>
    </w:p>
    <w:p w14:paraId="3B509200" w14:textId="2FB38646" w:rsidR="00D36CE5" w:rsidRPr="00A631F1" w:rsidRDefault="00D36CE5" w:rsidP="00D36CE5">
      <w:pPr>
        <w:pStyle w:val="PwCNormal"/>
        <w:numPr>
          <w:ilvl w:val="0"/>
          <w:numId w:val="30"/>
        </w:numPr>
        <w:spacing w:before="180" w:after="180"/>
        <w:rPr>
          <w:rFonts w:asciiTheme="majorHAnsi" w:hAnsiTheme="majorHAnsi"/>
        </w:rPr>
      </w:pPr>
      <w:r w:rsidRPr="00A631F1">
        <w:rPr>
          <w:rFonts w:asciiTheme="majorHAnsi" w:hAnsiTheme="majorHAnsi"/>
        </w:rPr>
        <w:t>been effective in protecting Aboriginal cultural heritage</w:t>
      </w:r>
      <w:r w:rsidR="008068A9">
        <w:rPr>
          <w:rFonts w:asciiTheme="majorHAnsi" w:hAnsiTheme="majorHAnsi"/>
        </w:rPr>
        <w:t>:</w:t>
      </w:r>
    </w:p>
    <w:p w14:paraId="1CFDE38B" w14:textId="3B3DA2F9" w:rsidR="00D36CE5" w:rsidRPr="00A631F1" w:rsidRDefault="00D36CE5" w:rsidP="00D36CE5">
      <w:pPr>
        <w:pStyle w:val="PwCNormal"/>
        <w:numPr>
          <w:ilvl w:val="1"/>
          <w:numId w:val="30"/>
        </w:numPr>
        <w:spacing w:before="180" w:after="180"/>
        <w:rPr>
          <w:rFonts w:asciiTheme="majorHAnsi" w:hAnsiTheme="majorHAnsi"/>
        </w:rPr>
      </w:pPr>
      <w:r w:rsidRPr="00A631F1">
        <w:rPr>
          <w:rFonts w:asciiTheme="majorHAnsi" w:hAnsiTheme="majorHAnsi"/>
        </w:rPr>
        <w:t xml:space="preserve">based on reports to AV, there has been a significant reduction in developments occurring without assessment or approvals </w:t>
      </w:r>
      <w:r>
        <w:rPr>
          <w:rFonts w:asciiTheme="majorHAnsi" w:hAnsiTheme="majorHAnsi"/>
        </w:rPr>
        <w:t>compared to the previous system</w:t>
      </w:r>
    </w:p>
    <w:p w14:paraId="530F014B" w14:textId="77777777" w:rsidR="00D36CE5" w:rsidRPr="00A631F1" w:rsidRDefault="00D36CE5" w:rsidP="00D36CE5">
      <w:pPr>
        <w:pStyle w:val="PwCNormal"/>
        <w:numPr>
          <w:ilvl w:val="1"/>
          <w:numId w:val="30"/>
        </w:numPr>
        <w:spacing w:before="180" w:after="180"/>
        <w:rPr>
          <w:rFonts w:asciiTheme="majorHAnsi" w:hAnsiTheme="majorHAnsi"/>
        </w:rPr>
      </w:pPr>
      <w:r w:rsidRPr="00A631F1">
        <w:rPr>
          <w:rFonts w:asciiTheme="majorHAnsi" w:hAnsiTheme="majorHAnsi"/>
        </w:rPr>
        <w:t xml:space="preserve">those CHMPs that have been prepared have consistently related to developments potentially impacting on Aboriginal cultural heritage, as was intended </w:t>
      </w:r>
    </w:p>
    <w:p w14:paraId="01B18420" w14:textId="153308A5" w:rsidR="00D36CE5" w:rsidRPr="00A631F1" w:rsidRDefault="00D36CE5" w:rsidP="00D36CE5">
      <w:pPr>
        <w:pStyle w:val="PwCNormal"/>
        <w:numPr>
          <w:ilvl w:val="0"/>
          <w:numId w:val="30"/>
        </w:numPr>
        <w:spacing w:before="180" w:after="180"/>
        <w:rPr>
          <w:rFonts w:asciiTheme="majorHAnsi" w:hAnsiTheme="majorHAnsi"/>
        </w:rPr>
      </w:pPr>
      <w:r w:rsidRPr="00A631F1">
        <w:rPr>
          <w:rFonts w:asciiTheme="majorHAnsi" w:hAnsiTheme="majorHAnsi"/>
        </w:rPr>
        <w:t>ensured a reasonably consistent CHMP system</w:t>
      </w:r>
      <w:r w:rsidR="008068A9">
        <w:rPr>
          <w:rFonts w:asciiTheme="majorHAnsi" w:hAnsiTheme="majorHAnsi"/>
        </w:rPr>
        <w:t>:</w:t>
      </w:r>
    </w:p>
    <w:p w14:paraId="122665FE" w14:textId="5D813429" w:rsidR="00D36CE5" w:rsidRPr="00A631F1" w:rsidRDefault="00D36CE5" w:rsidP="00D36CE5">
      <w:pPr>
        <w:pStyle w:val="PwCNormal"/>
        <w:numPr>
          <w:ilvl w:val="1"/>
          <w:numId w:val="30"/>
        </w:numPr>
        <w:spacing w:before="180" w:after="180"/>
        <w:rPr>
          <w:rFonts w:asciiTheme="majorHAnsi" w:hAnsiTheme="majorHAnsi"/>
        </w:rPr>
      </w:pPr>
      <w:r w:rsidRPr="00A631F1">
        <w:rPr>
          <w:rFonts w:asciiTheme="majorHAnsi" w:hAnsiTheme="majorHAnsi"/>
        </w:rPr>
        <w:t>there has been a greater reduction in the number of unnecessary assessments than was estimated, suggesting that the new system is providing ever greater clarity around obligations to protec</w:t>
      </w:r>
      <w:r w:rsidR="00616935">
        <w:rPr>
          <w:rFonts w:asciiTheme="majorHAnsi" w:hAnsiTheme="majorHAnsi"/>
        </w:rPr>
        <w:t>t Aboriginal cultural heritage</w:t>
      </w:r>
    </w:p>
    <w:p w14:paraId="662374C0" w14:textId="0806A922" w:rsidR="00D36CE5" w:rsidRPr="00A631F1" w:rsidRDefault="00D36CE5" w:rsidP="00D36CE5">
      <w:pPr>
        <w:pStyle w:val="PwCNormal"/>
        <w:numPr>
          <w:ilvl w:val="1"/>
          <w:numId w:val="30"/>
        </w:numPr>
        <w:spacing w:before="180" w:after="180"/>
        <w:rPr>
          <w:rFonts w:asciiTheme="majorHAnsi" w:hAnsiTheme="majorHAnsi"/>
        </w:rPr>
      </w:pPr>
      <w:r w:rsidRPr="00A631F1">
        <w:rPr>
          <w:rFonts w:asciiTheme="majorHAnsi" w:hAnsiTheme="majorHAnsi"/>
        </w:rPr>
        <w:t>although it is difficult to be definitive based on the data available, the indications are that CHMPs are being prepared across the State, in relation to developments with the potential to harm heritage, and that local government areas that should have comparatively more CHMPs</w:t>
      </w:r>
      <w:r w:rsidR="00616935">
        <w:rPr>
          <w:rFonts w:asciiTheme="majorHAnsi" w:hAnsiTheme="majorHAnsi"/>
        </w:rPr>
        <w:t xml:space="preserve"> generally do have more</w:t>
      </w:r>
    </w:p>
    <w:p w14:paraId="7942D26C" w14:textId="12893706" w:rsidR="00D36CE5" w:rsidRPr="00A631F1" w:rsidRDefault="00D36CE5" w:rsidP="00D36CE5">
      <w:pPr>
        <w:pStyle w:val="PwCNormal"/>
        <w:numPr>
          <w:ilvl w:val="0"/>
          <w:numId w:val="30"/>
        </w:numPr>
        <w:spacing w:before="180" w:after="180"/>
        <w:rPr>
          <w:rFonts w:asciiTheme="majorHAnsi" w:hAnsiTheme="majorHAnsi"/>
        </w:rPr>
      </w:pPr>
      <w:r w:rsidRPr="00A631F1">
        <w:rPr>
          <w:rFonts w:asciiTheme="majorHAnsi" w:hAnsiTheme="majorHAnsi"/>
        </w:rPr>
        <w:t>generally resulted in consistent and appropriate assessment methodol</w:t>
      </w:r>
      <w:r>
        <w:rPr>
          <w:rFonts w:asciiTheme="majorHAnsi" w:hAnsiTheme="majorHAnsi"/>
        </w:rPr>
        <w:t xml:space="preserve">ogies and CHMP recommendations. </w:t>
      </w:r>
      <w:r w:rsidRPr="00A631F1">
        <w:rPr>
          <w:rFonts w:asciiTheme="majorHAnsi" w:hAnsiTheme="majorHAnsi"/>
        </w:rPr>
        <w:t>It was too early to evaluate the fees being paid to RAPs, as there is insufficient data t</w:t>
      </w:r>
      <w:r w:rsidR="00616935">
        <w:rPr>
          <w:rFonts w:asciiTheme="majorHAnsi" w:hAnsiTheme="majorHAnsi"/>
        </w:rPr>
        <w:t>o draw meaningful conclusions.</w:t>
      </w:r>
    </w:p>
    <w:p w14:paraId="138F6FEC" w14:textId="77777777" w:rsidR="00D36CE5" w:rsidRPr="00A631F1" w:rsidRDefault="00D36CE5" w:rsidP="00D36CE5">
      <w:pPr>
        <w:pStyle w:val="PwCNormal"/>
        <w:spacing w:before="120" w:after="120"/>
        <w:rPr>
          <w:rFonts w:eastAsia="Calibri"/>
          <w:lang w:val="en-US"/>
        </w:rPr>
      </w:pPr>
      <w:r w:rsidRPr="00EC6B7D">
        <w:rPr>
          <w:rFonts w:eastAsia="Calibri"/>
          <w:lang w:val="en-US"/>
        </w:rPr>
        <w:t>The RIS estimated that the Regulations would lead to an increase in the administrative burden of $5.7 million, driven by estimated additional costs of preparing plans, and the cost of additional plans that it was estimated would need to be prepared because of</w:t>
      </w:r>
      <w:r>
        <w:rPr>
          <w:rFonts w:eastAsia="Calibri"/>
          <w:lang w:val="en-US"/>
        </w:rPr>
        <w:t xml:space="preserve"> the Regulations.</w:t>
      </w:r>
      <w:r w:rsidRPr="00EC6B7D">
        <w:rPr>
          <w:rFonts w:ascii="MS Mincho" w:eastAsia="MS Mincho" w:hAnsi="MS Mincho" w:cs="MS Mincho"/>
          <w:lang w:val="en-US"/>
        </w:rPr>
        <w:t> </w:t>
      </w:r>
      <w:r w:rsidRPr="00EC6B7D">
        <w:rPr>
          <w:rFonts w:eastAsia="Calibri"/>
          <w:lang w:val="en-US"/>
        </w:rPr>
        <w:t>After further consultations with heritage consultants, and based on actual data in relation to the number of plans</w:t>
      </w:r>
      <w:r>
        <w:rPr>
          <w:rFonts w:eastAsia="Calibri"/>
          <w:lang w:val="en-US"/>
        </w:rPr>
        <w:t xml:space="preserve"> after commencement</w:t>
      </w:r>
      <w:r w:rsidRPr="00EC6B7D">
        <w:rPr>
          <w:rFonts w:eastAsia="Calibri"/>
          <w:lang w:val="en-US"/>
        </w:rPr>
        <w:t xml:space="preserve">, the overall </w:t>
      </w:r>
      <w:r>
        <w:rPr>
          <w:rFonts w:eastAsia="Calibri"/>
          <w:lang w:val="en-US"/>
        </w:rPr>
        <w:t>increase</w:t>
      </w:r>
      <w:r w:rsidRPr="00EC6B7D">
        <w:rPr>
          <w:rFonts w:eastAsia="Calibri"/>
          <w:lang w:val="en-US"/>
        </w:rPr>
        <w:t xml:space="preserve"> in the administrative burden </w:t>
      </w:r>
      <w:r>
        <w:rPr>
          <w:rFonts w:eastAsia="Calibri"/>
          <w:lang w:val="en-US"/>
        </w:rPr>
        <w:t>was not as great as that estimated in the RIS. This is because the increase in the cost of preparing CHMPs was largely offset by a reduction in the number of plans required</w:t>
      </w:r>
      <w:r w:rsidRPr="00A631F1">
        <w:rPr>
          <w:rFonts w:eastAsia="Calibri"/>
          <w:lang w:val="en-US"/>
        </w:rPr>
        <w:t xml:space="preserve"> </w:t>
      </w:r>
      <w:r>
        <w:rPr>
          <w:rFonts w:eastAsia="Calibri"/>
          <w:lang w:val="en-US"/>
        </w:rPr>
        <w:t>(from 380 per annum to 271)</w:t>
      </w:r>
      <w:r w:rsidRPr="00A631F1">
        <w:rPr>
          <w:rFonts w:eastAsia="Calibri"/>
          <w:lang w:val="en-US"/>
        </w:rPr>
        <w:t xml:space="preserve">. </w:t>
      </w:r>
    </w:p>
    <w:p w14:paraId="00C57FCA" w14:textId="77777777" w:rsidR="00D36CE5" w:rsidRDefault="00D36CE5" w:rsidP="0056743B">
      <w:pPr>
        <w:pStyle w:val="Caption"/>
        <w:ind w:left="0" w:firstLine="0"/>
        <w:rPr>
          <w:rFonts w:eastAsia="Calibri"/>
        </w:rPr>
      </w:pPr>
      <w:r w:rsidRPr="009B780F">
        <w:rPr>
          <w:rFonts w:eastAsia="Calibri"/>
        </w:rPr>
        <w:t>Parliamentary Inquiry into the Establishment and Effectiveness of Registered Aboriginal Parties</w:t>
      </w:r>
    </w:p>
    <w:p w14:paraId="0F8C2D16" w14:textId="77777777" w:rsidR="008624F9" w:rsidRDefault="00D36CE5" w:rsidP="00D36CE5">
      <w:pPr>
        <w:pStyle w:val="PwCNormal"/>
        <w:spacing w:before="120" w:after="120"/>
        <w:rPr>
          <w:rFonts w:eastAsia="Calibri"/>
        </w:rPr>
      </w:pPr>
      <w:r w:rsidRPr="00677865">
        <w:rPr>
          <w:rFonts w:eastAsia="Calibri"/>
          <w:lang w:val="en-GB"/>
        </w:rPr>
        <w:t xml:space="preserve">The Environment and Natural Resources Committee Inquiry into the establishment and effectiveness of Registered Aboriginal Parties was initiated in September 2011. Registered Aboriginal Parties are appointed by the Victorian Aboriginal Heritage Council pursuant to the </w:t>
      </w:r>
      <w:r w:rsidRPr="00705BA8">
        <w:rPr>
          <w:rFonts w:eastAsia="Calibri"/>
          <w:i/>
          <w:lang w:val="en-GB"/>
        </w:rPr>
        <w:t>Aboriginal Heritage Act 2006</w:t>
      </w:r>
      <w:r w:rsidRPr="00677865">
        <w:rPr>
          <w:rFonts w:eastAsia="Calibri"/>
          <w:lang w:val="en-GB"/>
        </w:rPr>
        <w:t>. The Committee received 70 submissions and conducted six public hearings across Victoria. The Committee handed down its report on 14 November 2012.</w:t>
      </w:r>
      <w:r w:rsidRPr="00677865">
        <w:rPr>
          <w:rFonts w:eastAsia="Calibri"/>
        </w:rPr>
        <w:t xml:space="preserve"> </w:t>
      </w:r>
    </w:p>
    <w:p w14:paraId="33C40DB3" w14:textId="77777777" w:rsidR="00D36CE5" w:rsidRPr="00677865" w:rsidRDefault="00D36CE5" w:rsidP="00D36CE5">
      <w:pPr>
        <w:pStyle w:val="PwCNormal"/>
        <w:spacing w:before="120" w:after="120"/>
        <w:rPr>
          <w:rFonts w:eastAsia="Calibri"/>
        </w:rPr>
      </w:pPr>
      <w:r w:rsidRPr="007C0109">
        <w:rPr>
          <w:rFonts w:asciiTheme="majorHAnsi" w:eastAsia="Calibri" w:hAnsiTheme="majorHAnsi"/>
          <w:b/>
          <w:color w:val="A32020" w:themeColor="text2"/>
        </w:rPr>
        <w:t>Review of the Aboriginal Heritage Act 2006</w:t>
      </w:r>
    </w:p>
    <w:p w14:paraId="034E510B" w14:textId="77777777" w:rsidR="00D36CE5" w:rsidRPr="002234EC" w:rsidRDefault="00D36CE5" w:rsidP="00D36CE5">
      <w:pPr>
        <w:pStyle w:val="PwCNormal"/>
        <w:spacing w:before="120" w:after="120"/>
        <w:rPr>
          <w:rFonts w:eastAsia="Calibri"/>
        </w:rPr>
      </w:pPr>
      <w:r w:rsidRPr="002234EC">
        <w:rPr>
          <w:rFonts w:eastAsia="Calibri"/>
        </w:rPr>
        <w:t xml:space="preserve">The Victorian Government concurrently conducted a review of the </w:t>
      </w:r>
      <w:r w:rsidRPr="00705BA8">
        <w:rPr>
          <w:rFonts w:eastAsia="Calibri"/>
          <w:i/>
        </w:rPr>
        <w:t>Aboriginal Heritage Act 2006</w:t>
      </w:r>
      <w:r w:rsidRPr="002234EC">
        <w:rPr>
          <w:rFonts w:eastAsia="Calibri"/>
        </w:rPr>
        <w:t xml:space="preserve">. The </w:t>
      </w:r>
      <w:r>
        <w:rPr>
          <w:rFonts w:eastAsia="Calibri"/>
        </w:rPr>
        <w:t>review was</w:t>
      </w:r>
      <w:r w:rsidRPr="002234EC">
        <w:rPr>
          <w:rFonts w:eastAsia="Calibri"/>
        </w:rPr>
        <w:t xml:space="preserve"> a legislated requirement under section 193 of the </w:t>
      </w:r>
      <w:r w:rsidRPr="00705BA8">
        <w:rPr>
          <w:rFonts w:eastAsia="Calibri"/>
          <w:i/>
        </w:rPr>
        <w:t>Aboriginal Heritage Act 2006</w:t>
      </w:r>
      <w:r w:rsidRPr="002234EC">
        <w:rPr>
          <w:rFonts w:eastAsia="Calibri"/>
        </w:rPr>
        <w:t>, and was required to be conducted before the fifth anniversary of it</w:t>
      </w:r>
      <w:r>
        <w:rPr>
          <w:rFonts w:eastAsia="Calibri"/>
        </w:rPr>
        <w:t>s commencement (28 May 2012).</w:t>
      </w:r>
      <w:r w:rsidRPr="002234EC">
        <w:rPr>
          <w:rFonts w:eastAsia="Calibri"/>
        </w:rPr>
        <w:t xml:space="preserve"> </w:t>
      </w:r>
    </w:p>
    <w:p w14:paraId="6E87B6C6" w14:textId="77777777" w:rsidR="00D36CE5" w:rsidRPr="002234EC" w:rsidRDefault="00D36CE5" w:rsidP="00D36CE5">
      <w:pPr>
        <w:pStyle w:val="PwCNormal"/>
        <w:spacing w:before="120" w:after="120"/>
        <w:rPr>
          <w:rFonts w:eastAsia="Calibri"/>
        </w:rPr>
      </w:pPr>
      <w:r w:rsidRPr="002234EC">
        <w:rPr>
          <w:rFonts w:eastAsia="Calibri"/>
        </w:rPr>
        <w:t xml:space="preserve">The review involved widespread consultation and </w:t>
      </w:r>
      <w:r>
        <w:rPr>
          <w:rFonts w:eastAsia="Calibri"/>
        </w:rPr>
        <w:t xml:space="preserve">140 written submissions were received. </w:t>
      </w:r>
      <w:r w:rsidRPr="002234EC">
        <w:rPr>
          <w:rFonts w:eastAsia="Calibri"/>
        </w:rPr>
        <w:t xml:space="preserve">A range of materials were </w:t>
      </w:r>
      <w:r>
        <w:rPr>
          <w:rFonts w:eastAsia="Calibri"/>
        </w:rPr>
        <w:t>developed as part of the review, including:</w:t>
      </w:r>
    </w:p>
    <w:p w14:paraId="677BACB9" w14:textId="77777777" w:rsidR="00D36CE5" w:rsidRPr="002234EC" w:rsidRDefault="00D36CE5" w:rsidP="00D36CE5">
      <w:pPr>
        <w:pStyle w:val="PwCNormal"/>
        <w:numPr>
          <w:ilvl w:val="0"/>
          <w:numId w:val="31"/>
        </w:numPr>
        <w:spacing w:before="120" w:after="120"/>
        <w:rPr>
          <w:rFonts w:eastAsia="Calibri"/>
        </w:rPr>
      </w:pPr>
      <w:r>
        <w:rPr>
          <w:rFonts w:eastAsia="Calibri"/>
        </w:rPr>
        <w:t>A Discussion Paper</w:t>
      </w:r>
    </w:p>
    <w:p w14:paraId="0E9E25D4" w14:textId="77777777" w:rsidR="00D36CE5" w:rsidRPr="002234EC" w:rsidRDefault="00D36CE5" w:rsidP="00D36CE5">
      <w:pPr>
        <w:pStyle w:val="PwCNormal"/>
        <w:numPr>
          <w:ilvl w:val="0"/>
          <w:numId w:val="31"/>
        </w:numPr>
        <w:spacing w:before="120" w:after="120"/>
        <w:rPr>
          <w:rFonts w:eastAsia="Calibri"/>
        </w:rPr>
      </w:pPr>
      <w:r w:rsidRPr="002234EC">
        <w:rPr>
          <w:rFonts w:eastAsia="Calibri"/>
        </w:rPr>
        <w:t xml:space="preserve">Summary of Submissions and </w:t>
      </w:r>
      <w:r>
        <w:rPr>
          <w:rFonts w:eastAsia="Calibri"/>
        </w:rPr>
        <w:t>Consultations (first round)</w:t>
      </w:r>
    </w:p>
    <w:p w14:paraId="641DE9B7" w14:textId="77777777" w:rsidR="00D36CE5" w:rsidRPr="002234EC" w:rsidRDefault="00D36CE5" w:rsidP="00D36CE5">
      <w:pPr>
        <w:pStyle w:val="PwCNormal"/>
        <w:numPr>
          <w:ilvl w:val="0"/>
          <w:numId w:val="31"/>
        </w:numPr>
        <w:spacing w:before="120" w:after="120"/>
        <w:rPr>
          <w:rFonts w:eastAsia="Calibri"/>
        </w:rPr>
      </w:pPr>
      <w:r>
        <w:rPr>
          <w:rFonts w:eastAsia="Calibri"/>
        </w:rPr>
        <w:t>Issues and Options paper</w:t>
      </w:r>
    </w:p>
    <w:p w14:paraId="6A9BF80E" w14:textId="77777777" w:rsidR="00D36CE5" w:rsidRPr="002234EC" w:rsidRDefault="00D36CE5" w:rsidP="00D36CE5">
      <w:pPr>
        <w:pStyle w:val="PwCNormal"/>
        <w:numPr>
          <w:ilvl w:val="0"/>
          <w:numId w:val="31"/>
        </w:numPr>
        <w:spacing w:before="120" w:after="120"/>
        <w:rPr>
          <w:rFonts w:eastAsia="Calibri"/>
        </w:rPr>
      </w:pPr>
      <w:r w:rsidRPr="002234EC">
        <w:rPr>
          <w:rFonts w:eastAsia="Calibri"/>
        </w:rPr>
        <w:t>A P</w:t>
      </w:r>
      <w:r>
        <w:rPr>
          <w:rFonts w:eastAsia="Calibri"/>
        </w:rPr>
        <w:t>wC</w:t>
      </w:r>
      <w:r w:rsidRPr="002234EC">
        <w:rPr>
          <w:rFonts w:eastAsia="Calibri"/>
        </w:rPr>
        <w:t xml:space="preserve"> </w:t>
      </w:r>
      <w:r>
        <w:rPr>
          <w:rFonts w:eastAsia="Calibri"/>
        </w:rPr>
        <w:t>r</w:t>
      </w:r>
      <w:r w:rsidRPr="002234EC">
        <w:rPr>
          <w:rFonts w:eastAsia="Calibri"/>
        </w:rPr>
        <w:t xml:space="preserve">eport on the social </w:t>
      </w:r>
      <w:r>
        <w:rPr>
          <w:rFonts w:eastAsia="Calibri"/>
        </w:rPr>
        <w:t>and economic impacts of the Act</w:t>
      </w:r>
      <w:r w:rsidRPr="002234EC">
        <w:rPr>
          <w:rFonts w:eastAsia="Calibri"/>
        </w:rPr>
        <w:t xml:space="preserve">; and </w:t>
      </w:r>
    </w:p>
    <w:p w14:paraId="7C882479" w14:textId="77777777" w:rsidR="00D36CE5" w:rsidRPr="002234EC" w:rsidRDefault="00D36CE5" w:rsidP="00D36CE5">
      <w:pPr>
        <w:pStyle w:val="PwCNormal"/>
        <w:numPr>
          <w:ilvl w:val="0"/>
          <w:numId w:val="31"/>
        </w:numPr>
        <w:spacing w:before="120" w:after="120"/>
        <w:rPr>
          <w:rFonts w:eastAsia="Calibri"/>
        </w:rPr>
      </w:pPr>
      <w:r w:rsidRPr="002234EC">
        <w:rPr>
          <w:rFonts w:eastAsia="Calibri"/>
        </w:rPr>
        <w:t>A Summary Report responding to</w:t>
      </w:r>
      <w:r>
        <w:rPr>
          <w:rFonts w:eastAsia="Calibri"/>
        </w:rPr>
        <w:t xml:space="preserve"> the Issues and Options Paper.</w:t>
      </w:r>
    </w:p>
    <w:p w14:paraId="0DEC2BAC" w14:textId="77777777" w:rsidR="00D36CE5" w:rsidRDefault="00D36CE5" w:rsidP="00D36CE5">
      <w:pPr>
        <w:pStyle w:val="Caption"/>
        <w:rPr>
          <w:rFonts w:eastAsia="Calibri"/>
        </w:rPr>
      </w:pPr>
      <w:r w:rsidRPr="009B780F">
        <w:rPr>
          <w:rFonts w:eastAsia="Calibri"/>
        </w:rPr>
        <w:t xml:space="preserve">2015-16 </w:t>
      </w:r>
      <w:r>
        <w:rPr>
          <w:rFonts w:eastAsia="Calibri"/>
        </w:rPr>
        <w:t xml:space="preserve">and 2016-17 </w:t>
      </w:r>
      <w:r w:rsidRPr="009B780F">
        <w:rPr>
          <w:rFonts w:eastAsia="Calibri"/>
        </w:rPr>
        <w:t>Victorian Budget</w:t>
      </w:r>
    </w:p>
    <w:p w14:paraId="385426BF" w14:textId="77777777" w:rsidR="00D36CE5" w:rsidRDefault="00D36CE5" w:rsidP="00D36CE5">
      <w:pPr>
        <w:pStyle w:val="PwCNormal"/>
        <w:spacing w:before="120" w:after="120"/>
        <w:rPr>
          <w:rFonts w:eastAsia="Calibri"/>
        </w:rPr>
      </w:pPr>
      <w:r>
        <w:rPr>
          <w:rFonts w:eastAsia="Calibri"/>
        </w:rPr>
        <w:t>The 2015-16 Victoria Budget provided over $10 million in operational funding for RAPs:</w:t>
      </w:r>
    </w:p>
    <w:p w14:paraId="0F5F4F3F" w14:textId="77777777" w:rsidR="00D36CE5" w:rsidRDefault="00D36CE5" w:rsidP="00D36CE5">
      <w:pPr>
        <w:pStyle w:val="PwCNormal"/>
        <w:numPr>
          <w:ilvl w:val="0"/>
          <w:numId w:val="31"/>
        </w:numPr>
        <w:spacing w:before="120" w:after="120"/>
        <w:rPr>
          <w:rFonts w:eastAsia="Calibri"/>
        </w:rPr>
      </w:pPr>
      <w:r>
        <w:rPr>
          <w:rFonts w:eastAsia="Calibri"/>
        </w:rPr>
        <w:t>Between $200,000 - $300,000 in funding per RAP for a Cultural Heritage Officer, and part funding for an administration officer, an executive officer, and office &amp; vehicle costs</w:t>
      </w:r>
    </w:p>
    <w:p w14:paraId="566FDFE7" w14:textId="77777777" w:rsidR="00D36CE5" w:rsidRDefault="00D36CE5" w:rsidP="00D36CE5">
      <w:pPr>
        <w:pStyle w:val="PwCNormal"/>
        <w:numPr>
          <w:ilvl w:val="0"/>
          <w:numId w:val="31"/>
        </w:numPr>
        <w:spacing w:before="120" w:after="120"/>
        <w:rPr>
          <w:rFonts w:eastAsia="Calibri"/>
        </w:rPr>
      </w:pPr>
      <w:r>
        <w:rPr>
          <w:rFonts w:eastAsia="Calibri"/>
        </w:rPr>
        <w:t>Approximately $1.5 million for the Victorian Aboriginal Heritage Council for expanded functions</w:t>
      </w:r>
    </w:p>
    <w:p w14:paraId="1CED8DB7" w14:textId="77777777" w:rsidR="00D36CE5" w:rsidRDefault="00D36CE5" w:rsidP="00D36CE5">
      <w:pPr>
        <w:pStyle w:val="PwCNormal"/>
        <w:numPr>
          <w:ilvl w:val="0"/>
          <w:numId w:val="31"/>
        </w:numPr>
        <w:spacing w:before="120" w:after="120"/>
        <w:rPr>
          <w:rFonts w:eastAsia="Calibri"/>
        </w:rPr>
      </w:pPr>
      <w:r>
        <w:rPr>
          <w:rFonts w:eastAsia="Calibri"/>
        </w:rPr>
        <w:t>Over $1 million for an Aboriginal Ancestral Remains Unit. Further approximately $500,000 for an Aboriginal Ancestral Remains Consultation and Return Fund</w:t>
      </w:r>
    </w:p>
    <w:p w14:paraId="6062756D" w14:textId="77777777" w:rsidR="00D36CE5" w:rsidRDefault="00D36CE5" w:rsidP="00D36CE5">
      <w:pPr>
        <w:pStyle w:val="PwCNormal"/>
        <w:numPr>
          <w:ilvl w:val="0"/>
          <w:numId w:val="31"/>
        </w:numPr>
        <w:spacing w:before="120" w:after="120"/>
        <w:rPr>
          <w:rFonts w:eastAsia="Calibri"/>
        </w:rPr>
      </w:pPr>
      <w:r>
        <w:rPr>
          <w:rFonts w:eastAsia="Calibri"/>
        </w:rPr>
        <w:t>Senior enforcement officer position funded to spearhead a greater focus on enforcement and compliance.</w:t>
      </w:r>
    </w:p>
    <w:p w14:paraId="23CB02DE" w14:textId="3EEAD243" w:rsidR="00D81598" w:rsidRDefault="00D36CE5" w:rsidP="00616935">
      <w:pPr>
        <w:pStyle w:val="PwCNormal"/>
        <w:numPr>
          <w:ilvl w:val="0"/>
          <w:numId w:val="0"/>
        </w:numPr>
        <w:spacing w:before="120" w:after="120"/>
        <w:rPr>
          <w:rFonts w:eastAsia="Calibri"/>
        </w:rPr>
      </w:pPr>
      <w:r>
        <w:rPr>
          <w:rFonts w:eastAsia="Calibri"/>
        </w:rPr>
        <w:t>The 2016-17 Budget provided $1.0 million for Aboriginal cultural heritage management and protection, as well as $3.8 million for Aboriginal self-determination and strong Aboriginal culture.</w:t>
      </w:r>
      <w:r>
        <w:rPr>
          <w:rStyle w:val="FootnoteReference"/>
          <w:rFonts w:eastAsia="Calibri"/>
        </w:rPr>
        <w:footnoteReference w:id="141"/>
      </w:r>
    </w:p>
    <w:p w14:paraId="51913A17" w14:textId="77777777" w:rsidR="00D81598" w:rsidRDefault="00D81598" w:rsidP="00705BA8">
      <w:pPr>
        <w:pStyle w:val="PwCNormal"/>
        <w:rPr>
          <w:rFonts w:eastAsia="Calibri"/>
        </w:rPr>
      </w:pPr>
      <w:r>
        <w:rPr>
          <w:rFonts w:eastAsia="Calibri"/>
        </w:rPr>
        <w:br w:type="page"/>
      </w:r>
    </w:p>
    <w:p w14:paraId="5C6E256D" w14:textId="5E2A13B3" w:rsidR="001369C3" w:rsidRDefault="00D04A83" w:rsidP="00D04A83">
      <w:pPr>
        <w:pStyle w:val="Heading4"/>
      </w:pPr>
      <w:bookmarkStart w:id="140" w:name="_Toc505006294"/>
      <w:bookmarkStart w:id="141" w:name="_Toc505175064"/>
      <w:bookmarkStart w:id="142" w:name="_Toc505175068"/>
      <w:bookmarkStart w:id="143" w:name="_Toc505336543"/>
      <w:bookmarkStart w:id="144" w:name="_Ref502158228"/>
      <w:bookmarkStart w:id="145" w:name="_Toc507761458"/>
      <w:bookmarkStart w:id="146" w:name="_Toc507761461"/>
      <w:bookmarkEnd w:id="140"/>
      <w:bookmarkEnd w:id="141"/>
      <w:bookmarkEnd w:id="142"/>
      <w:bookmarkEnd w:id="143"/>
      <w:r>
        <w:t>Estimating quantifiable benefits</w:t>
      </w:r>
      <w:bookmarkEnd w:id="144"/>
      <w:bookmarkEnd w:id="145"/>
      <w:bookmarkEnd w:id="146"/>
    </w:p>
    <w:p w14:paraId="3B240203" w14:textId="21F31F8F" w:rsidR="001369C3" w:rsidRDefault="001369C3" w:rsidP="001369C3">
      <w:pPr>
        <w:pStyle w:val="PwCNormal"/>
        <w:rPr>
          <w:lang w:val="en-US"/>
        </w:rPr>
      </w:pPr>
      <w:r>
        <w:rPr>
          <w:lang w:val="en-US"/>
        </w:rPr>
        <w:t>Further detail on the</w:t>
      </w:r>
      <w:r w:rsidR="005C54D5">
        <w:rPr>
          <w:lang w:val="en-US"/>
        </w:rPr>
        <w:t xml:space="preserve"> assumptions and methodology to calculate the quantifiable benefits of the Regulations</w:t>
      </w:r>
      <w:r>
        <w:rPr>
          <w:lang w:val="en-US"/>
        </w:rPr>
        <w:t xml:space="preserve"> is shown below.</w:t>
      </w:r>
    </w:p>
    <w:p w14:paraId="2105FFCA" w14:textId="7DF12E71" w:rsidR="00FB7E94" w:rsidRDefault="00FB7E94" w:rsidP="00705BA8">
      <w:pPr>
        <w:pStyle w:val="Heading8"/>
        <w:rPr>
          <w:lang w:val="en-US"/>
        </w:rPr>
      </w:pPr>
      <w:r>
        <w:rPr>
          <w:lang w:val="en-US"/>
        </w:rPr>
        <w:t>Methodology</w:t>
      </w:r>
    </w:p>
    <w:p w14:paraId="3103BE37" w14:textId="6EE19F3E" w:rsidR="00FB7E94" w:rsidRDefault="002C10D3">
      <w:pPr>
        <w:pStyle w:val="PwCNormal"/>
        <w:rPr>
          <w:lang w:val="en-US"/>
        </w:rPr>
      </w:pPr>
      <w:r>
        <w:rPr>
          <w:lang w:val="en-US"/>
        </w:rPr>
        <w:t xml:space="preserve">Estimating the quantifiable benefits of the Regulations </w:t>
      </w:r>
      <w:r w:rsidR="004B2F22">
        <w:rPr>
          <w:lang w:val="en-US"/>
        </w:rPr>
        <w:t>means trying to capture as much of the above value as possible. Fortuitously, sociocultural value can generally be captured within economic value, which is easier to quantify. For example, the economic value that an individual will place on a place of cultural heritage will, consciously or unconsciously, take into account the historical significance to them. One set of methods to estimate economic value is stated preference. This involves survey respondents participating in hypothetical markets to make hypothetical choices.</w:t>
      </w:r>
      <w:r w:rsidR="00243DD0">
        <w:rPr>
          <w:rStyle w:val="FootnoteReference"/>
          <w:lang w:val="en-US"/>
        </w:rPr>
        <w:footnoteReference w:id="142"/>
      </w:r>
      <w:r w:rsidR="004B2F22">
        <w:rPr>
          <w:lang w:val="en-US"/>
        </w:rPr>
        <w:t xml:space="preserve"> These choices may then be transformed into values. </w:t>
      </w:r>
      <w:r w:rsidR="00024777">
        <w:rPr>
          <w:lang w:val="en-US"/>
        </w:rPr>
        <w:t>T</w:t>
      </w:r>
      <w:r w:rsidR="00243DD0">
        <w:rPr>
          <w:lang w:val="en-US"/>
        </w:rPr>
        <w:t>wo studies that have used stated value to estimate the value of heritage are described</w:t>
      </w:r>
      <w:r w:rsidR="00024777">
        <w:rPr>
          <w:lang w:val="en-US"/>
        </w:rPr>
        <w:t xml:space="preserve"> below.</w:t>
      </w:r>
    </w:p>
    <w:p w14:paraId="1CE05BA6" w14:textId="33599BA7" w:rsidR="00960282" w:rsidRPr="00FB7E94" w:rsidRDefault="00960282" w:rsidP="00705BA8">
      <w:pPr>
        <w:pStyle w:val="Heading8"/>
        <w:rPr>
          <w:lang w:val="en-US"/>
        </w:rPr>
      </w:pPr>
      <w:r>
        <w:rPr>
          <w:lang w:val="en-US"/>
        </w:rPr>
        <w:t>Studies on stated values of cultural heritage</w:t>
      </w:r>
    </w:p>
    <w:p w14:paraId="6BC781B9" w14:textId="77777777" w:rsidR="001369C3" w:rsidRDefault="001369C3" w:rsidP="00D04A83">
      <w:pPr>
        <w:pStyle w:val="Caption"/>
      </w:pPr>
      <w:r>
        <w:t>Rolfe and Windle (2003)</w:t>
      </w:r>
    </w:p>
    <w:p w14:paraId="5FC896B5" w14:textId="6A03D344" w:rsidR="001369C3" w:rsidRDefault="001369C3" w:rsidP="001369C3">
      <w:pPr>
        <w:pStyle w:val="PwCNormal"/>
      </w:pPr>
      <w:r>
        <w:t>The protection of Aboriginal heritage has typically been inconsistent across states in Australia, according to a study by John Rolfe and Jill Windle in 2003.</w:t>
      </w:r>
      <w:r>
        <w:rPr>
          <w:rStyle w:val="FootnoteReference"/>
        </w:rPr>
        <w:footnoteReference w:id="143"/>
      </w:r>
      <w:r w:rsidRPr="000C7456">
        <w:t xml:space="preserve"> </w:t>
      </w:r>
      <w:r>
        <w:t xml:space="preserve">This is due largely to significant differences in the subjectively assessed </w:t>
      </w:r>
      <w:r w:rsidRPr="000C7456">
        <w:t xml:space="preserve">quality of different </w:t>
      </w:r>
      <w:r w:rsidR="00D05AC9">
        <w:t xml:space="preserve">places </w:t>
      </w:r>
      <w:r>
        <w:t xml:space="preserve">or assets which may range from areas that are nationally and internationally renowned (ie cave paintings, art galleries and burial grounds) through to </w:t>
      </w:r>
      <w:r w:rsidR="00D05AC9">
        <w:t xml:space="preserve">places </w:t>
      </w:r>
      <w:r>
        <w:t xml:space="preserve">of more localised importance, such as </w:t>
      </w:r>
      <w:r w:rsidRPr="000C7456">
        <w:t>camping areas, rock-working sites and marked trees</w:t>
      </w:r>
      <w:r>
        <w:t xml:space="preserve">. The authors conducted a study to establish what </w:t>
      </w:r>
      <w:r w:rsidRPr="000C7456">
        <w:t xml:space="preserve">values are held within the Australian community for protecting </w:t>
      </w:r>
      <w:r w:rsidR="00D05AC9">
        <w:t>places</w:t>
      </w:r>
      <w:r w:rsidRPr="000C7456">
        <w:t xml:space="preserve">. </w:t>
      </w:r>
      <w:r>
        <w:t>They used a c</w:t>
      </w:r>
      <w:r w:rsidRPr="000C7456">
        <w:t xml:space="preserve">hoice </w:t>
      </w:r>
      <w:r>
        <w:t>m</w:t>
      </w:r>
      <w:r w:rsidRPr="000C7456">
        <w:t xml:space="preserve">odelling valuation </w:t>
      </w:r>
      <w:r>
        <w:t xml:space="preserve">approach to </w:t>
      </w:r>
      <w:r w:rsidRPr="000C7456">
        <w:t xml:space="preserve">assess the values held by both the </w:t>
      </w:r>
      <w:r w:rsidR="00D05AC9">
        <w:t>Aboriginal</w:t>
      </w:r>
      <w:r w:rsidR="00D05AC9" w:rsidRPr="000C7456">
        <w:t xml:space="preserve"> </w:t>
      </w:r>
      <w:r w:rsidRPr="000C7456">
        <w:t xml:space="preserve">community and the general community for the protection of </w:t>
      </w:r>
      <w:r w:rsidR="00D05AC9">
        <w:t>places</w:t>
      </w:r>
      <w:r w:rsidR="00D05AC9" w:rsidRPr="000C7456">
        <w:t xml:space="preserve"> </w:t>
      </w:r>
      <w:r w:rsidR="00D05AC9">
        <w:t xml:space="preserve">of </w:t>
      </w:r>
      <w:r w:rsidRPr="000C7456">
        <w:t>Aboriginal cultural heritage in Central Queensland, Australia.</w:t>
      </w:r>
    </w:p>
    <w:p w14:paraId="2D4A8B60" w14:textId="78504847" w:rsidR="001369C3" w:rsidRDefault="001369C3" w:rsidP="001369C3">
      <w:pPr>
        <w:pStyle w:val="PwCNormal"/>
      </w:pPr>
      <w:r>
        <w:t xml:space="preserve">While the study does not specifically concern itself with the willingness to pay for the protection of </w:t>
      </w:r>
      <w:r w:rsidR="00D05AC9">
        <w:t xml:space="preserve">places of </w:t>
      </w:r>
      <w:r>
        <w:t xml:space="preserve">Aboriginal cultural heritage, this inference can be drawn from their model estimates so that it is possible to estimate a willingness to pay (derived from a representation of proposed increased annual </w:t>
      </w:r>
      <w:r w:rsidR="008068A9">
        <w:t xml:space="preserve">local government </w:t>
      </w:r>
      <w:r>
        <w:t xml:space="preserve">rates in the Rockhampton and greater Brisbane area) for increasing levels of protection over these cultural </w:t>
      </w:r>
      <w:r w:rsidR="00D05AC9">
        <w:t>places</w:t>
      </w:r>
      <w:r>
        <w:t xml:space="preserve">. </w:t>
      </w:r>
    </w:p>
    <w:p w14:paraId="1FD1B1C0" w14:textId="61DF53EB" w:rsidR="001369C3" w:rsidRDefault="001369C3" w:rsidP="001369C3">
      <w:pPr>
        <w:pStyle w:val="PwCNormal"/>
      </w:pPr>
      <w:r>
        <w:t>Firstly, it is important to note that the non-</w:t>
      </w:r>
      <w:r w:rsidR="00D05AC9">
        <w:t xml:space="preserve">Aboriginal </w:t>
      </w:r>
      <w:r>
        <w:t xml:space="preserve">respondents (in Rockhampton and Greater Brisbane) indicated that they would, in a trade-off, prefer an improvement to all other attributes in the model to the increased protection of </w:t>
      </w:r>
      <w:r w:rsidR="00D05AC9">
        <w:t xml:space="preserve">places of </w:t>
      </w:r>
      <w:r>
        <w:t xml:space="preserve">Aboriginal cultural heritage. Their multinomial logit parameters were negative, indicating they did not place a positive value on the increasing of protection over </w:t>
      </w:r>
      <w:r w:rsidR="00D05AC9">
        <w:t xml:space="preserve">places of </w:t>
      </w:r>
      <w:r>
        <w:t xml:space="preserve">Aboriginal </w:t>
      </w:r>
      <w:r w:rsidR="00D05AC9">
        <w:t xml:space="preserve">cultural </w:t>
      </w:r>
      <w:r>
        <w:t xml:space="preserve">heritage compared to other aspects like vegetation protection and river health within the study area. At the time the research was conducted (2002-03), around 15% of </w:t>
      </w:r>
      <w:r w:rsidR="00D05AC9">
        <w:t xml:space="preserve">places of </w:t>
      </w:r>
      <w:r>
        <w:t xml:space="preserve">Aboriginal cultural </w:t>
      </w:r>
      <w:r w:rsidR="00D05AC9">
        <w:t xml:space="preserve">heritage </w:t>
      </w:r>
      <w:r>
        <w:t xml:space="preserve">were protected in the study area, The Bowen Basin, as a result of being in national parks and timber reserves. The remaining 84.5% of </w:t>
      </w:r>
      <w:r w:rsidR="00D05AC9">
        <w:t xml:space="preserve">places of Aboriginal </w:t>
      </w:r>
      <w:r>
        <w:t xml:space="preserve">cultural </w:t>
      </w:r>
      <w:r w:rsidR="00D05AC9">
        <w:t xml:space="preserve">heritage </w:t>
      </w:r>
      <w:r>
        <w:t xml:space="preserve">were on private or crown land and their protection was at the </w:t>
      </w:r>
      <w:r w:rsidR="00F643AB">
        <w:t xml:space="preserve">discretion </w:t>
      </w:r>
      <w:r>
        <w:t xml:space="preserve">of the landholder. </w:t>
      </w:r>
    </w:p>
    <w:p w14:paraId="4A9CDE5A" w14:textId="6A55889C" w:rsidR="001369C3" w:rsidRDefault="001369C3" w:rsidP="001369C3">
      <w:pPr>
        <w:pStyle w:val="PwCNormal"/>
      </w:pPr>
      <w:r>
        <w:t>Unlike the non-</w:t>
      </w:r>
      <w:r w:rsidR="00D05AC9">
        <w:t xml:space="preserve">Aboriginal </w:t>
      </w:r>
      <w:r>
        <w:t xml:space="preserve">respondents who, through their choices indicated they would not be prepared to pay an increased household based tax to protect more </w:t>
      </w:r>
      <w:r w:rsidR="00D05AC9">
        <w:t xml:space="preserve">places of </w:t>
      </w:r>
      <w:r>
        <w:t xml:space="preserve">Aboriginal </w:t>
      </w:r>
      <w:r w:rsidR="00D05AC9">
        <w:t xml:space="preserve">cultural </w:t>
      </w:r>
      <w:r>
        <w:t xml:space="preserve">heritage, the </w:t>
      </w:r>
      <w:r w:rsidR="00D05AC9">
        <w:t xml:space="preserve">Aboriginal </w:t>
      </w:r>
      <w:r>
        <w:t xml:space="preserve">respondents of Rockhampton did indicate they would be prepared to pay to increase the level of protection through their household taxation. The </w:t>
      </w:r>
      <w:r w:rsidR="00D05AC9">
        <w:t xml:space="preserve">Aboriginal </w:t>
      </w:r>
      <w:r>
        <w:t>respondents in the study area indicated through their choices that they would pay $3.40 annually per incremental increase in the amount of protected Aboriginal heritage land.</w:t>
      </w:r>
      <w:r>
        <w:rPr>
          <w:rStyle w:val="FootnoteReference"/>
        </w:rPr>
        <w:footnoteReference w:id="144"/>
      </w:r>
      <w:r>
        <w:t xml:space="preserve"> This ranged from 25 to 55 per cent protection in 10</w:t>
      </w:r>
      <w:r w:rsidR="0092219C">
        <w:t xml:space="preserve"> per cent</w:t>
      </w:r>
      <w:r>
        <w:t xml:space="preserve"> increments. Assuming that the relationship between price and cultural heritage protection is linear, for each 10 per cent increase in the amount of heritage land protected </w:t>
      </w:r>
      <w:r w:rsidR="00D05AC9">
        <w:t xml:space="preserve">Aboriginal </w:t>
      </w:r>
      <w:r>
        <w:t>households would be willing to accept an increase to their annual household rates of $3.40 ($4.</w:t>
      </w:r>
      <w:r w:rsidR="00960282">
        <w:t>97</w:t>
      </w:r>
      <w:r>
        <w:t xml:space="preserve"> in 201</w:t>
      </w:r>
      <w:r w:rsidR="00960282">
        <w:t>8</w:t>
      </w:r>
      <w:r>
        <w:t xml:space="preserve"> dollars). Further, the paper confirms that </w:t>
      </w:r>
      <w:r w:rsidR="00D05AC9">
        <w:t xml:space="preserve">Aboriginal </w:t>
      </w:r>
      <w:r>
        <w:t>households would prefer the highest level of protection available (55</w:t>
      </w:r>
      <w:r w:rsidR="0092219C">
        <w:t xml:space="preserve"> per cent</w:t>
      </w:r>
      <w:r>
        <w:t xml:space="preserve"> in the study), implying that they would be prepared to pay $13.60 ($19.</w:t>
      </w:r>
      <w:r w:rsidR="00960282">
        <w:t>87</w:t>
      </w:r>
      <w:r>
        <w:t xml:space="preserve"> in 201</w:t>
      </w:r>
      <w:r w:rsidR="00960282">
        <w:t>8</w:t>
      </w:r>
      <w:r>
        <w:t xml:space="preserve"> dollars) per year per household for the protection of the maximum suggested protection level.</w:t>
      </w:r>
      <w:r>
        <w:rPr>
          <w:rStyle w:val="FootnoteReference"/>
        </w:rPr>
        <w:footnoteReference w:id="145"/>
      </w:r>
      <w:r>
        <w:t xml:space="preserve"> In essence this means that each protected </w:t>
      </w:r>
      <w:r w:rsidR="00D05AC9">
        <w:t xml:space="preserve">place </w:t>
      </w:r>
      <w:r>
        <w:t>at the highest level of protection would be worth $19.</w:t>
      </w:r>
      <w:r w:rsidR="00960282">
        <w:t>87</w:t>
      </w:r>
      <w:r>
        <w:t xml:space="preserve"> per household per year in 201</w:t>
      </w:r>
      <w:r w:rsidR="00960282">
        <w:t>8</w:t>
      </w:r>
      <w:r>
        <w:t xml:space="preserve"> terms. </w:t>
      </w:r>
    </w:p>
    <w:p w14:paraId="7F0B0718" w14:textId="514AF05C" w:rsidR="001369C3" w:rsidRDefault="001369C3" w:rsidP="001369C3">
      <w:pPr>
        <w:pStyle w:val="PwCNormal"/>
      </w:pPr>
      <w:r>
        <w:t>In 2016, there were 47,788 Aboriginal and Torres Strait Islander people in Victoria according to the ABS Census. Average household size for Indigenous people is estimated to be 3.2 persons, which gives 14,934 Victorian Indigenous households.</w:t>
      </w:r>
      <w:r>
        <w:rPr>
          <w:rStyle w:val="FootnoteReference"/>
        </w:rPr>
        <w:footnoteReference w:id="146"/>
      </w:r>
      <w:r>
        <w:t xml:space="preserve"> Using the choice modelling value of $19.</w:t>
      </w:r>
      <w:r w:rsidR="00960282">
        <w:t>87</w:t>
      </w:r>
      <w:r>
        <w:t xml:space="preserve"> per household per year, this gives an implied value per </w:t>
      </w:r>
      <w:r w:rsidR="00D05AC9">
        <w:t xml:space="preserve">place </w:t>
      </w:r>
      <w:r>
        <w:t>of $</w:t>
      </w:r>
      <w:r w:rsidR="00716133">
        <w:t>296,739</w:t>
      </w:r>
      <w:r>
        <w:t>. This result rests on a number of assumptions:</w:t>
      </w:r>
    </w:p>
    <w:p w14:paraId="651C3334" w14:textId="42F3CA32" w:rsidR="001369C3" w:rsidRDefault="001369C3" w:rsidP="001369C3">
      <w:pPr>
        <w:pStyle w:val="ListBullet"/>
      </w:pPr>
      <w:r>
        <w:t xml:space="preserve">The </w:t>
      </w:r>
      <w:r w:rsidR="00D05AC9">
        <w:t xml:space="preserve">Aboriginal </w:t>
      </w:r>
      <w:r>
        <w:t>population in Rockhampton and Victoria have similar valuations for Aboriginal cultural heritage.</w:t>
      </w:r>
    </w:p>
    <w:p w14:paraId="05E54C1A" w14:textId="1DA0B2AA" w:rsidR="001369C3" w:rsidRDefault="00D05AC9" w:rsidP="001369C3">
      <w:pPr>
        <w:pStyle w:val="ListBullet"/>
      </w:pPr>
      <w:r>
        <w:t xml:space="preserve">Aboriginal </w:t>
      </w:r>
      <w:r w:rsidR="001369C3">
        <w:t xml:space="preserve">people’s valuation of Aboriginal cultural heritage has not changed over the past 15 years. </w:t>
      </w:r>
    </w:p>
    <w:p w14:paraId="48A53EBD" w14:textId="5723CB5F" w:rsidR="001369C3" w:rsidRDefault="001369C3" w:rsidP="001369C3">
      <w:pPr>
        <w:pStyle w:val="ListBullet"/>
      </w:pPr>
      <w:r>
        <w:t xml:space="preserve">The relationship between price and cultural heritage protection is linear (ie that for each 10 per cent increase in the amount of heritage land, </w:t>
      </w:r>
      <w:r w:rsidR="00D05AC9">
        <w:t xml:space="preserve">Aboriginal </w:t>
      </w:r>
      <w:r>
        <w:t xml:space="preserve">households are willing to pay the same amount to protect Aboriginal cultural heritage). The above modelling has used a relatively conservative approach, as it would be possible to increase the proportion of the Aboriginal </w:t>
      </w:r>
      <w:r w:rsidR="00D05AC9">
        <w:t xml:space="preserve">places </w:t>
      </w:r>
      <w:r>
        <w:t>towards 100 per cent, and therefore increase the implied value per site.</w:t>
      </w:r>
    </w:p>
    <w:p w14:paraId="0664A278" w14:textId="4A701E5A" w:rsidR="001369C3" w:rsidRDefault="001369C3" w:rsidP="001369C3">
      <w:pPr>
        <w:pStyle w:val="ListBullet"/>
      </w:pPr>
      <w:r>
        <w:t xml:space="preserve">That the stated values of Aboriginal cultural heritage are similar to the actual values, that is, each </w:t>
      </w:r>
      <w:r w:rsidR="00D05AC9">
        <w:t xml:space="preserve">Aboriginal </w:t>
      </w:r>
      <w:r>
        <w:t xml:space="preserve">household would be prepared to pay $13.60 per year per </w:t>
      </w:r>
      <w:r w:rsidR="00C92BDB">
        <w:t>place of Aboriginal cultural heritage</w:t>
      </w:r>
      <w:r w:rsidR="00D05AC9">
        <w:t xml:space="preserve"> </w:t>
      </w:r>
      <w:r>
        <w:t>in practice.</w:t>
      </w:r>
    </w:p>
    <w:p w14:paraId="5DB985D9" w14:textId="78397334" w:rsidR="001369C3" w:rsidRDefault="001369C3" w:rsidP="001369C3">
      <w:pPr>
        <w:pStyle w:val="ListBullet"/>
      </w:pPr>
      <w:r>
        <w:t xml:space="preserve">There is no reduction in the value of Aboriginal cultural heritage as proximity to the </w:t>
      </w:r>
      <w:r w:rsidR="00D05AC9">
        <w:t xml:space="preserve">place </w:t>
      </w:r>
      <w:r>
        <w:t xml:space="preserve">diminishes. For example, it is possible that </w:t>
      </w:r>
      <w:r w:rsidR="00D05AC9">
        <w:t xml:space="preserve">Aboriginal </w:t>
      </w:r>
      <w:r>
        <w:t xml:space="preserve">people in Rockhampton might value significant sites in that town highly, but might not value a site further away as highly. </w:t>
      </w:r>
    </w:p>
    <w:p w14:paraId="6D2CE7FC" w14:textId="44935713" w:rsidR="00A741BF" w:rsidRDefault="00A741BF" w:rsidP="00705BA8">
      <w:pPr>
        <w:pStyle w:val="PwCNormal"/>
      </w:pPr>
      <w:r>
        <w:t xml:space="preserve">The use of the Rolfe and Wolfe study involves accepting the assumptions outlined above. Nonetheless, given the scarcity of other studies examining the preferences of Victorians towards the value of Aboriginal cultural heritage, </w:t>
      </w:r>
      <w:r w:rsidR="00F643AB">
        <w:t xml:space="preserve">AV considers </w:t>
      </w:r>
      <w:r>
        <w:t xml:space="preserve">it is reasonable to consider the results of this study </w:t>
      </w:r>
      <w:r w:rsidR="00F643AB">
        <w:t xml:space="preserve">as </w:t>
      </w:r>
      <w:r>
        <w:t>a useful indication of the value of Aboriginal cultural heritage.</w:t>
      </w:r>
    </w:p>
    <w:p w14:paraId="3150AEC6" w14:textId="77777777" w:rsidR="001369C3" w:rsidRDefault="001369C3" w:rsidP="0056743B">
      <w:pPr>
        <w:pStyle w:val="Caption"/>
        <w:ind w:left="0" w:firstLine="0"/>
      </w:pPr>
      <w:r w:rsidRPr="00A51BA0">
        <w:t xml:space="preserve">Valuing the priceless: The value of historic heritage in Australia </w:t>
      </w:r>
      <w:r>
        <w:t>by the Allen Consulting Group (2005)</w:t>
      </w:r>
    </w:p>
    <w:p w14:paraId="7F4DACB4" w14:textId="77777777" w:rsidR="001369C3" w:rsidRDefault="001369C3" w:rsidP="001369C3">
      <w:pPr>
        <w:pStyle w:val="PwCNormal"/>
      </w:pPr>
      <w:r>
        <w:t>A choice modelling exercise undertaken by the Allen Consulting Group in 2005</w:t>
      </w:r>
      <w:r>
        <w:rPr>
          <w:rStyle w:val="FootnoteReference"/>
        </w:rPr>
        <w:footnoteReference w:id="147"/>
      </w:r>
      <w:r>
        <w:t xml:space="preserve"> indicated that Australians value heritage highly. Only 3 per cent of survey respondents believed “too much is being done [to protect historic heritage across Australia]” in comparison to 62 per cent of survey respondents who believed that “No, too little is being done”, and 32 per cent believed “Yes, about right”.</w:t>
      </w:r>
    </w:p>
    <w:p w14:paraId="1499A3DB" w14:textId="11B63852" w:rsidR="001369C3" w:rsidRDefault="001369C3" w:rsidP="00D04A83">
      <w:pPr>
        <w:pStyle w:val="ListBullet"/>
        <w:numPr>
          <w:ilvl w:val="0"/>
          <w:numId w:val="0"/>
        </w:numPr>
      </w:pPr>
      <w:r>
        <w:t>A scenario involving tightening of development controls and an increase in the number of heritage listings prompted a willingness-to-pay of $105.90 ($14</w:t>
      </w:r>
      <w:r w:rsidR="00960282">
        <w:t>6</w:t>
      </w:r>
      <w:r>
        <w:t>.</w:t>
      </w:r>
      <w:r w:rsidR="00960282">
        <w:t>27</w:t>
      </w:r>
      <w:r>
        <w:t xml:space="preserve"> in 201</w:t>
      </w:r>
      <w:r w:rsidR="00960282">
        <w:t>8</w:t>
      </w:r>
      <w:r>
        <w:t xml:space="preserve"> dollars) per person per year. </w:t>
      </w:r>
    </w:p>
    <w:p w14:paraId="3B744C40" w14:textId="50B6843C" w:rsidR="00D81598" w:rsidRPr="00D81598" w:rsidRDefault="00D81598" w:rsidP="00705BA8">
      <w:pPr>
        <w:kinsoku/>
        <w:overflowPunct/>
        <w:autoSpaceDE/>
        <w:autoSpaceDN/>
        <w:adjustRightInd/>
        <w:snapToGrid/>
      </w:pPr>
    </w:p>
    <w:p w14:paraId="111009FB" w14:textId="77777777" w:rsidR="00D81598" w:rsidRDefault="00D81598" w:rsidP="00D04A83">
      <w:pPr>
        <w:pStyle w:val="ListBullet"/>
        <w:numPr>
          <w:ilvl w:val="0"/>
          <w:numId w:val="0"/>
        </w:numPr>
      </w:pPr>
    </w:p>
    <w:p w14:paraId="61E038DB" w14:textId="77777777" w:rsidR="00D81598" w:rsidRPr="001369C3" w:rsidRDefault="00D81598" w:rsidP="00D04A83">
      <w:pPr>
        <w:pStyle w:val="ListBullet"/>
        <w:numPr>
          <w:ilvl w:val="0"/>
          <w:numId w:val="0"/>
        </w:numPr>
        <w:sectPr w:rsidR="00D81598" w:rsidRPr="001369C3" w:rsidSect="00C54A4F">
          <w:headerReference w:type="even" r:id="rId47"/>
          <w:headerReference w:type="default" r:id="rId48"/>
          <w:headerReference w:type="first" r:id="rId49"/>
          <w:pgSz w:w="11907" w:h="16840" w:code="9"/>
          <w:pgMar w:top="1588" w:right="1843" w:bottom="1418" w:left="1843" w:header="567" w:footer="567" w:gutter="0"/>
          <w:cols w:space="227"/>
          <w:titlePg/>
          <w:docGrid w:linePitch="360"/>
        </w:sectPr>
      </w:pPr>
    </w:p>
    <w:p w14:paraId="0F3CE8EC" w14:textId="77777777" w:rsidR="005236F7" w:rsidRDefault="005236F7">
      <w:pPr>
        <w:kinsoku/>
        <w:overflowPunct/>
        <w:autoSpaceDE/>
        <w:autoSpaceDN/>
        <w:adjustRightInd/>
        <w:snapToGrid/>
      </w:pPr>
    </w:p>
    <w:sectPr w:rsidR="005236F7" w:rsidSect="008A3C08">
      <w:headerReference w:type="even" r:id="rId50"/>
      <w:headerReference w:type="default" r:id="rId51"/>
      <w:footerReference w:type="even" r:id="rId52"/>
      <w:footerReference w:type="default" r:id="rId53"/>
      <w:headerReference w:type="first" r:id="rId54"/>
      <w:type w:val="evenPage"/>
      <w:pgSz w:w="11907" w:h="16840" w:code="9"/>
      <w:pgMar w:top="1701" w:right="1021" w:bottom="1418"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D0B24" w14:textId="77777777" w:rsidR="009719FC" w:rsidRDefault="009719FC" w:rsidP="004343B3">
      <w:pPr>
        <w:pStyle w:val="Separator"/>
      </w:pPr>
      <w:r>
        <w:separator/>
      </w:r>
    </w:p>
    <w:p w14:paraId="6F1134D9" w14:textId="77777777" w:rsidR="009719FC" w:rsidRDefault="009719FC"/>
  </w:endnote>
  <w:endnote w:type="continuationSeparator" w:id="0">
    <w:p w14:paraId="6F219CB0" w14:textId="77777777" w:rsidR="009719FC" w:rsidRDefault="009719FC" w:rsidP="004343B3">
      <w:pPr>
        <w:pStyle w:val="Separator"/>
      </w:pPr>
      <w:r>
        <w:continuationSeparator/>
      </w:r>
    </w:p>
    <w:p w14:paraId="77850086" w14:textId="77777777" w:rsidR="009719FC" w:rsidRDefault="009719FC"/>
  </w:endnote>
  <w:endnote w:type="continuationNotice" w:id="1">
    <w:p w14:paraId="68F0E454" w14:textId="77777777" w:rsidR="009719FC" w:rsidRDefault="009719FC" w:rsidP="004343B3">
      <w:pPr>
        <w:pStyle w:val="Separator"/>
      </w:pPr>
    </w:p>
    <w:p w14:paraId="7C744F11" w14:textId="77777777" w:rsidR="009719FC" w:rsidRDefault="00971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EC85" w14:textId="77777777" w:rsidR="009719FC" w:rsidRDefault="009719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2E81" w14:textId="77777777" w:rsidR="009719FC" w:rsidRDefault="00B47FE6" w:rsidP="00C54A4F">
    <w:pPr>
      <w:pStyle w:val="Footer-Even"/>
    </w:pPr>
    <w:r>
      <w:fldChar w:fldCharType="begin"/>
    </w:r>
    <w:r>
      <w:instrText xml:space="preserve"> STYLEREF "Cover Title" </w:instrText>
    </w:r>
    <w:r>
      <w:fldChar w:fldCharType="separate"/>
    </w:r>
    <w:r w:rsidR="00C35804">
      <w:rPr>
        <w:noProof/>
      </w:rPr>
      <w:t>Aboriginal Victoria</w:t>
    </w:r>
    <w:r>
      <w:rPr>
        <w:noProof/>
      </w:rPr>
      <w:fldChar w:fldCharType="end"/>
    </w:r>
  </w:p>
  <w:p w14:paraId="5275FCE7" w14:textId="77777777" w:rsidR="009719FC" w:rsidRPr="006650EF" w:rsidRDefault="009719FC" w:rsidP="00C54A4F">
    <w:pPr>
      <w:pStyle w:val="Footer-Even"/>
    </w:pPr>
    <w:r>
      <w:t>PwC</w:t>
    </w:r>
    <w:r>
      <w:ptab w:relativeTo="margin" w:alignment="right" w:leader="none"/>
    </w:r>
    <w:r>
      <w:fldChar w:fldCharType="begin"/>
    </w:r>
    <w:r>
      <w:instrText xml:space="preserve"> PAGE  \* MERGEFORMAT </w:instrText>
    </w:r>
    <w:r>
      <w:fldChar w:fldCharType="separate"/>
    </w:r>
    <w:r w:rsidR="00C35804">
      <w:rPr>
        <w:noProof/>
      </w:rPr>
      <w:t>76</w:t>
    </w:r>
    <w:r>
      <w:rPr>
        <w:noProof/>
      </w:rPr>
      <w:fldChar w:fldCharType="end"/>
    </w:r>
  </w:p>
  <w:p w14:paraId="7A4CF639" w14:textId="77777777" w:rsidR="009719FC" w:rsidRDefault="009719F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19CE2" w14:textId="77777777" w:rsidR="009719FC" w:rsidRPr="008C6722" w:rsidRDefault="00B47FE6" w:rsidP="00C54A4F">
    <w:pPr>
      <w:pStyle w:val="Footer"/>
    </w:pPr>
    <w:r>
      <w:fldChar w:fldCharType="begin"/>
    </w:r>
    <w:r>
      <w:instrText xml:space="preserve"> STYLEREF "Cover Title" </w:instrText>
    </w:r>
    <w:r>
      <w:fldChar w:fldCharType="separate"/>
    </w:r>
    <w:r w:rsidR="00C35804">
      <w:rPr>
        <w:noProof/>
      </w:rPr>
      <w:t>Aboriginal Victoria</w:t>
    </w:r>
    <w:r>
      <w:rPr>
        <w:noProof/>
      </w:rPr>
      <w:fldChar w:fldCharType="end"/>
    </w:r>
  </w:p>
  <w:p w14:paraId="26CC849C" w14:textId="77777777" w:rsidR="009719FC" w:rsidRPr="008C6722" w:rsidRDefault="009719FC" w:rsidP="00C54A4F">
    <w:pPr>
      <w:pStyle w:val="Footer"/>
    </w:pPr>
    <w:r w:rsidRPr="008C6722">
      <w:t>PwC</w:t>
    </w:r>
    <w:r>
      <w:ptab w:relativeTo="margin" w:alignment="right" w:leader="none"/>
    </w:r>
    <w:r>
      <w:fldChar w:fldCharType="begin"/>
    </w:r>
    <w:r>
      <w:instrText xml:space="preserve"> PAGE  \* MERGEFORMAT </w:instrText>
    </w:r>
    <w:r>
      <w:fldChar w:fldCharType="separate"/>
    </w:r>
    <w:r w:rsidR="00C35804">
      <w:rPr>
        <w:noProof/>
      </w:rPr>
      <w:t>77</w:t>
    </w:r>
    <w:r>
      <w:rPr>
        <w:noProof/>
      </w:rPr>
      <w:fldChar w:fldCharType="end"/>
    </w:r>
  </w:p>
  <w:p w14:paraId="142C2133" w14:textId="77777777" w:rsidR="009719FC" w:rsidRDefault="009719F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6A53" w14:textId="77777777" w:rsidR="009719FC" w:rsidRDefault="009719FC" w:rsidP="006650EF">
    <w:pPr>
      <w:pStyle w:val="Footer"/>
    </w:pPr>
    <w:r w:rsidRPr="006650EF">
      <w:rPr>
        <w:sz w:val="18"/>
      </w:rPr>
      <w:fldChar w:fldCharType="begin"/>
    </w:r>
    <w:r>
      <w:instrText xml:space="preserve"> IF </w:instrText>
    </w:r>
    <w:r w:rsidR="00B47FE6">
      <w:fldChar w:fldCharType="begin"/>
    </w:r>
    <w:r w:rsidR="00B47FE6">
      <w:instrText xml:space="preserve"> DOCPROPERTY "Mirror Margins" </w:instrText>
    </w:r>
    <w:r w:rsidR="00B47FE6">
      <w:fldChar w:fldCharType="separate"/>
    </w:r>
    <w:r>
      <w:instrText>N</w:instrText>
    </w:r>
    <w:r w:rsidR="00B47FE6">
      <w:fldChar w:fldCharType="end"/>
    </w:r>
    <w:r>
      <w:instrText xml:space="preserve"> = "N" "</w:instrText>
    </w:r>
    <w:r w:rsidR="00B47FE6">
      <w:fldChar w:fldCharType="begin"/>
    </w:r>
    <w:r w:rsidR="00B47FE6">
      <w:instrText xml:space="preserve"> STYLEREF "Cover title" </w:instrText>
    </w:r>
    <w:r w:rsidR="00B47FE6">
      <w:fldChar w:fldCharType="separate"/>
    </w:r>
    <w:r w:rsidR="00C35804">
      <w:rPr>
        <w:noProof/>
      </w:rPr>
      <w:instrText>Aboriginal Victoria</w:instrText>
    </w:r>
    <w:r w:rsidR="00B47FE6">
      <w:rPr>
        <w:noProof/>
      </w:rPr>
      <w:fldChar w:fldCharType="end"/>
    </w:r>
  </w:p>
  <w:p w14:paraId="1E88DE20" w14:textId="77777777" w:rsidR="009719FC" w:rsidRDefault="009719FC" w:rsidP="006650EF">
    <w:pPr>
      <w:pStyle w:val="Footer"/>
    </w:pPr>
    <w:r>
      <w:instrText>PwC</w:instrText>
    </w:r>
    <w:r>
      <w:ptab w:relativeTo="margin" w:alignment="right" w:leader="none"/>
    </w:r>
    <w:r>
      <w:fldChar w:fldCharType="begin"/>
    </w:r>
    <w:r>
      <w:instrText xml:space="preserve"> PAGE </w:instrText>
    </w:r>
    <w:r>
      <w:fldChar w:fldCharType="separate"/>
    </w:r>
    <w:r w:rsidR="00C35804">
      <w:rPr>
        <w:noProof/>
      </w:rPr>
      <w:instrText>3</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03BE41A7" w14:textId="77777777" w:rsidR="009719FC" w:rsidRDefault="009719FC"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14:paraId="34E956D8" w14:textId="77777777" w:rsidR="009719FC" w:rsidRDefault="009719FC" w:rsidP="006650EF">
    <w:pPr>
      <w:pStyle w:val="Footer-Even"/>
    </w:pPr>
    <w:r>
      <w:instrText>" "</w:instrText>
    </w:r>
    <w:r>
      <w:ptab w:relativeTo="margin" w:alignment="right" w:leader="none"/>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76B578A1" w14:textId="77777777" w:rsidR="009719FC" w:rsidRDefault="009719FC"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14:paraId="2AE1A25D" w14:textId="77777777" w:rsidR="009719FC" w:rsidRPr="006650EF" w:rsidRDefault="009719FC"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14:paraId="2D1E9697" w14:textId="77777777" w:rsidR="009719FC" w:rsidRPr="006650EF" w:rsidRDefault="009719FC"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14:paraId="612683D7" w14:textId="77777777" w:rsidR="00C35804" w:rsidRDefault="009719FC"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sidR="00C35804">
      <w:rPr>
        <w:noProof/>
      </w:rPr>
      <w:t>Aboriginal Victoria</w:t>
    </w:r>
  </w:p>
  <w:p w14:paraId="22342C87" w14:textId="77777777" w:rsidR="009719FC" w:rsidRPr="006650EF" w:rsidRDefault="00C35804" w:rsidP="006650EF">
    <w:pPr>
      <w:pStyle w:val="Footer"/>
      <w:rPr>
        <w:sz w:val="2"/>
      </w:rPr>
    </w:pPr>
    <w:r>
      <w:rPr>
        <w:noProof/>
      </w:rPr>
      <w:t>PwC</w:t>
    </w:r>
    <w:r>
      <w:rPr>
        <w:noProof/>
      </w:rPr>
      <w:ptab w:relativeTo="margin" w:alignment="right" w:leader="none"/>
    </w:r>
    <w:r>
      <w:rPr>
        <w:noProof/>
      </w:rPr>
      <w:t>3</w:t>
    </w:r>
    <w:r w:rsidR="009719FC" w:rsidRPr="006650EF">
      <w:rPr>
        <w:sz w:val="2"/>
      </w:rPr>
      <w:fldChar w:fldCharType="end"/>
    </w:r>
  </w:p>
  <w:p w14:paraId="48C99B3A" w14:textId="77777777" w:rsidR="009719FC" w:rsidRDefault="009719F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7B3A" w14:textId="77777777" w:rsidR="009719FC" w:rsidRDefault="00B47FE6" w:rsidP="00C54A4F">
    <w:pPr>
      <w:pStyle w:val="Footer-ToCEven"/>
    </w:pPr>
    <w:r>
      <w:fldChar w:fldCharType="begin"/>
    </w:r>
    <w:r>
      <w:instrText xml:space="preserve"> STYLEREF "Cover Title" </w:instrText>
    </w:r>
    <w:r>
      <w:fldChar w:fldCharType="separate"/>
    </w:r>
    <w:r w:rsidR="00C35804">
      <w:rPr>
        <w:noProof/>
      </w:rPr>
      <w:t>Aboriginal Victoria</w:t>
    </w:r>
    <w:r>
      <w:rPr>
        <w:noProof/>
      </w:rPr>
      <w:fldChar w:fldCharType="end"/>
    </w:r>
  </w:p>
  <w:p w14:paraId="67B63F27" w14:textId="77777777" w:rsidR="009719FC" w:rsidRPr="002628D1" w:rsidRDefault="009719FC" w:rsidP="00C54A4F">
    <w:pPr>
      <w:pStyle w:val="Footer-ToCEven"/>
    </w:pPr>
    <w:r>
      <w:t>PwC</w:t>
    </w:r>
    <w:r>
      <w:tab/>
    </w:r>
    <w:r>
      <w:fldChar w:fldCharType="begin"/>
    </w:r>
    <w:r>
      <w:instrText xml:space="preserve"> PAGE  \* MERGEFORMAT </w:instrText>
    </w:r>
    <w:r>
      <w:fldChar w:fldCharType="separate"/>
    </w:r>
    <w:r w:rsidR="00C35804">
      <w:rPr>
        <w:noProof/>
      </w:rPr>
      <w:t>94</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0FE2A" w14:textId="77777777" w:rsidR="009719FC" w:rsidRPr="008C6722" w:rsidRDefault="00B47FE6" w:rsidP="00C54A4F">
    <w:pPr>
      <w:pStyle w:val="Footer-ToC"/>
    </w:pPr>
    <w:r>
      <w:fldChar w:fldCharType="begin"/>
    </w:r>
    <w:r>
      <w:instrText xml:space="preserve"> STYLEREF "Cover Title" </w:instrText>
    </w:r>
    <w:r>
      <w:fldChar w:fldCharType="separate"/>
    </w:r>
    <w:r w:rsidR="00C35804">
      <w:rPr>
        <w:noProof/>
      </w:rPr>
      <w:t>Aboriginal Victoria</w:t>
    </w:r>
    <w:r>
      <w:rPr>
        <w:noProof/>
      </w:rPr>
      <w:fldChar w:fldCharType="end"/>
    </w:r>
  </w:p>
  <w:p w14:paraId="47E35358" w14:textId="77777777" w:rsidR="009719FC" w:rsidRPr="008C6722" w:rsidRDefault="009719FC" w:rsidP="00C54A4F">
    <w:pPr>
      <w:pStyle w:val="Footer-ToC"/>
    </w:pPr>
    <w:r w:rsidRPr="008C6722">
      <w:t>PwC</w:t>
    </w:r>
    <w:r w:rsidRPr="008C6722">
      <w:tab/>
    </w:r>
    <w:r>
      <w:fldChar w:fldCharType="begin"/>
    </w:r>
    <w:r>
      <w:instrText xml:space="preserve"> PAGE  \* MERGEFORMAT </w:instrText>
    </w:r>
    <w:r>
      <w:fldChar w:fldCharType="separate"/>
    </w:r>
    <w:r w:rsidR="00C35804">
      <w:rPr>
        <w:noProof/>
      </w:rPr>
      <w:t>93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99DCE" w14:textId="77777777" w:rsidR="009719FC" w:rsidRDefault="009719FC" w:rsidP="00C54A4F">
    <w:pPr>
      <w:pStyle w:val="Footer-ToC"/>
    </w:pPr>
    <w:r w:rsidRPr="00C54A4F">
      <w:rPr>
        <w:sz w:val="18"/>
      </w:rPr>
      <w:fldChar w:fldCharType="begin"/>
    </w:r>
    <w:r>
      <w:instrText xml:space="preserve"> IF </w:instrText>
    </w:r>
    <w:r w:rsidR="00B47FE6">
      <w:fldChar w:fldCharType="begin"/>
    </w:r>
    <w:r w:rsidR="00B47FE6">
      <w:instrText xml:space="preserve"> DOCPROPERTY "Mirror Margins" </w:instrText>
    </w:r>
    <w:r w:rsidR="00B47FE6">
      <w:fldChar w:fldCharType="separate"/>
    </w:r>
    <w:r>
      <w:instrText>N</w:instrText>
    </w:r>
    <w:r w:rsidR="00B47FE6">
      <w:fldChar w:fldCharType="end"/>
    </w:r>
    <w:r>
      <w:instrText xml:space="preserve"> = "N" "</w:instrText>
    </w:r>
    <w:r w:rsidR="00B47FE6">
      <w:fldChar w:fldCharType="begin"/>
    </w:r>
    <w:r w:rsidR="00B47FE6">
      <w:instrText xml:space="preserve"> STYLEREF "Cover title" </w:instrText>
    </w:r>
    <w:r w:rsidR="00B47FE6">
      <w:fldChar w:fldCharType="separate"/>
    </w:r>
    <w:r w:rsidR="00C35804">
      <w:rPr>
        <w:noProof/>
      </w:rPr>
      <w:instrText>Aboriginal Victoria</w:instrText>
    </w:r>
    <w:r w:rsidR="00B47FE6">
      <w:rPr>
        <w:noProof/>
      </w:rPr>
      <w:fldChar w:fldCharType="end"/>
    </w:r>
  </w:p>
  <w:p w14:paraId="1F57DCBA" w14:textId="77777777" w:rsidR="009719FC" w:rsidRDefault="009719FC" w:rsidP="00C54A4F">
    <w:pPr>
      <w:pStyle w:val="Footer-ToC"/>
    </w:pPr>
    <w:r>
      <w:instrText>PwC</w:instrText>
    </w:r>
    <w:r>
      <w:ptab w:relativeTo="margin" w:alignment="right" w:leader="none"/>
    </w:r>
    <w:r>
      <w:fldChar w:fldCharType="begin"/>
    </w:r>
    <w:r>
      <w:instrText xml:space="preserve"> PAGE </w:instrText>
    </w:r>
    <w:r>
      <w:fldChar w:fldCharType="separate"/>
    </w:r>
    <w:r w:rsidR="00C35804">
      <w:rPr>
        <w:noProof/>
      </w:rPr>
      <w:instrText>80</w:instrText>
    </w:r>
    <w:r>
      <w:rPr>
        <w:noProof/>
      </w:rPr>
      <w:fldChar w:fldCharType="end"/>
    </w:r>
    <w:r>
      <w:instrText xml:space="preserve">" </w:instrText>
    </w:r>
    <w:r w:rsidRPr="00C54A4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08BB8CD6" w14:textId="77777777" w:rsidR="009719FC" w:rsidRDefault="009719FC" w:rsidP="00C54A4F">
    <w:pPr>
      <w:pStyle w:val="Footer-ToC"/>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14:paraId="1E16A93D" w14:textId="77777777" w:rsidR="009719FC" w:rsidRDefault="009719FC" w:rsidP="00C54A4F">
    <w:pPr>
      <w:pStyle w:val="Footer-ToC"/>
    </w:pPr>
    <w:r>
      <w:instrText>" "</w:instrText>
    </w:r>
    <w:r>
      <w:ptab w:relativeTo="margin" w:alignment="right" w:leader="none"/>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6667452D" w14:textId="77777777" w:rsidR="009719FC" w:rsidRDefault="009719FC" w:rsidP="00C54A4F">
    <w:pPr>
      <w:pStyle w:val="Footer-ToC"/>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14:paraId="22D5BC25" w14:textId="77777777" w:rsidR="009719FC" w:rsidRPr="00C54A4F" w:rsidRDefault="009719FC" w:rsidP="00C54A4F">
    <w:pPr>
      <w:pStyle w:val="Footer-ToC"/>
      <w:rPr>
        <w:noProof/>
        <w:sz w:val="2"/>
      </w:rPr>
    </w:pPr>
    <w:r w:rsidRPr="00C54A4F">
      <w:rPr>
        <w:sz w:val="2"/>
      </w:rPr>
      <w:instrText xml:space="preserve">" </w:instrText>
    </w:r>
    <w:r w:rsidRPr="00C54A4F">
      <w:rPr>
        <w:sz w:val="2"/>
      </w:rPr>
      <w:fldChar w:fldCharType="separate"/>
    </w:r>
    <w:r w:rsidRPr="00C54A4F">
      <w:rPr>
        <w:noProof/>
        <w:sz w:val="2"/>
      </w:rPr>
      <w:instrText>Prospect name</w:instrText>
    </w:r>
  </w:p>
  <w:p w14:paraId="7C9FA763" w14:textId="77777777" w:rsidR="009719FC" w:rsidRPr="00C54A4F" w:rsidRDefault="009719FC" w:rsidP="00C54A4F">
    <w:pPr>
      <w:pStyle w:val="Footer-ToC"/>
      <w:rPr>
        <w:noProof/>
        <w:sz w:val="2"/>
      </w:rPr>
    </w:pPr>
    <w:r w:rsidRPr="00C54A4F">
      <w:rPr>
        <w:noProof/>
        <w:sz w:val="2"/>
      </w:rPr>
      <w:instrText>PwC</w:instrText>
    </w:r>
    <w:r w:rsidRPr="00C54A4F">
      <w:rPr>
        <w:noProof/>
        <w:sz w:val="2"/>
      </w:rPr>
      <w:tab/>
      <w:instrText>5</w:instrText>
    </w:r>
    <w:r w:rsidRPr="00C54A4F">
      <w:rPr>
        <w:noProof/>
        <w:sz w:val="2"/>
      </w:rPr>
      <w:tab/>
      <w:instrText>WWYLTG?</w:instrText>
    </w:r>
  </w:p>
  <w:p w14:paraId="09887B87" w14:textId="77777777" w:rsidR="00C35804" w:rsidRDefault="009719FC" w:rsidP="00C54A4F">
    <w:pPr>
      <w:pStyle w:val="Footer-ToC"/>
      <w:rPr>
        <w:noProof/>
      </w:rPr>
    </w:pPr>
    <w:r w:rsidRPr="00C54A4F">
      <w:rPr>
        <w:sz w:val="2"/>
      </w:rPr>
      <w:fldChar w:fldCharType="end"/>
    </w:r>
    <w:r w:rsidRPr="00C54A4F">
      <w:rPr>
        <w:sz w:val="2"/>
      </w:rPr>
      <w:instrText xml:space="preserve"> </w:instrText>
    </w:r>
    <w:r w:rsidRPr="00C54A4F">
      <w:rPr>
        <w:sz w:val="2"/>
      </w:rPr>
      <w:fldChar w:fldCharType="separate"/>
    </w:r>
    <w:r w:rsidR="00C35804">
      <w:rPr>
        <w:noProof/>
      </w:rPr>
      <w:t>Aboriginal Victoria</w:t>
    </w:r>
  </w:p>
  <w:p w14:paraId="65824CFC" w14:textId="77777777" w:rsidR="009719FC" w:rsidRPr="00C54A4F" w:rsidRDefault="00C35804" w:rsidP="00C54A4F">
    <w:pPr>
      <w:pStyle w:val="Footer-ToC"/>
      <w:rPr>
        <w:sz w:val="2"/>
      </w:rPr>
    </w:pPr>
    <w:r>
      <w:rPr>
        <w:noProof/>
      </w:rPr>
      <w:t>PwC</w:t>
    </w:r>
    <w:r>
      <w:rPr>
        <w:noProof/>
      </w:rPr>
      <w:ptab w:relativeTo="margin" w:alignment="right" w:leader="none"/>
    </w:r>
    <w:r>
      <w:rPr>
        <w:noProof/>
      </w:rPr>
      <w:t>80</w:t>
    </w:r>
    <w:r w:rsidR="009719FC" w:rsidRPr="00C54A4F">
      <w:rPr>
        <w:sz w:val="2"/>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905B" w14:textId="77777777" w:rsidR="009719FC" w:rsidRDefault="009719FC" w:rsidP="00C54A4F">
    <w:pPr>
      <w:pStyle w:val="URL"/>
      <w:framePr w:wrap="around"/>
    </w:pPr>
    <w:bookmarkStart w:id="147" w:name="URLEven"/>
    <w:r>
      <w:t>www.pwc.com.au</w:t>
    </w:r>
  </w:p>
  <w:p w14:paraId="41CCCD33" w14:textId="77777777" w:rsidR="009719FC" w:rsidRDefault="009719FC" w:rsidP="00C54A4F">
    <w:pPr>
      <w:pStyle w:val="Copyright"/>
      <w:framePr w:wrap="around"/>
    </w:pPr>
    <w:bookmarkStart w:id="148" w:name="DisclaimerEven"/>
    <w:bookmarkEnd w:id="147"/>
    <w:r>
      <w:t>© 2017 PricewaterhouseCoopers Consulting (Australia) Pty Limited. All rights reserved.</w:t>
    </w:r>
  </w:p>
  <w:p w14:paraId="68E8E4B5" w14:textId="77777777" w:rsidR="009719FC" w:rsidRDefault="009719FC" w:rsidP="00C54A4F">
    <w:pPr>
      <w:pStyle w:val="Copyright"/>
      <w:framePr w:wrap="around"/>
    </w:pPr>
    <w:r>
      <w:t>PwC refers to PricewaterhouseCoopers Consulting (Australia) Pty Limited, and may sometimes refer to the PwC network.</w:t>
    </w:r>
  </w:p>
  <w:p w14:paraId="499AE306" w14:textId="77777777" w:rsidR="009719FC" w:rsidRDefault="009719FC" w:rsidP="00C54A4F">
    <w:pPr>
      <w:pStyle w:val="Copyright"/>
      <w:framePr w:wrap="around"/>
    </w:pPr>
    <w:r>
      <w:t>Each member firm is a separate legal entity. Please see www.pwc.com/structure for further details.</w:t>
    </w:r>
  </w:p>
  <w:p w14:paraId="56042CE7" w14:textId="77777777" w:rsidR="009719FC" w:rsidRDefault="009719FC" w:rsidP="00C54A4F">
    <w:pPr>
      <w:pStyle w:val="Copyright"/>
      <w:framePr w:wrap="around"/>
    </w:pPr>
  </w:p>
  <w:p w14:paraId="793B7DF2" w14:textId="77777777" w:rsidR="009719FC" w:rsidRPr="00A84ADF" w:rsidRDefault="009719FC" w:rsidP="00C54A4F">
    <w:pPr>
      <w:pStyle w:val="Copyright"/>
      <w:framePr w:wrap="around"/>
    </w:pPr>
    <w:r>
      <w:t>Liability limited by a scheme approved under Professional Standards Legislation</w:t>
    </w:r>
    <w:bookmarkEnd w:id="148"/>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EEB7A" w14:textId="77777777" w:rsidR="009719FC" w:rsidRDefault="009719FC" w:rsidP="00C54A4F">
    <w:pPr>
      <w:pStyle w:val="URL"/>
      <w:framePr w:wrap="around"/>
    </w:pPr>
    <w:bookmarkStart w:id="149" w:name="URLOdd"/>
    <w:r>
      <w:t>www.pwc.com.au</w:t>
    </w:r>
  </w:p>
  <w:p w14:paraId="683C69C8" w14:textId="77777777" w:rsidR="009719FC" w:rsidRDefault="009719FC" w:rsidP="00C54A4F">
    <w:pPr>
      <w:pStyle w:val="Copyright"/>
      <w:framePr w:wrap="around"/>
    </w:pPr>
    <w:bookmarkStart w:id="150" w:name="DisclaimerOdd"/>
    <w:bookmarkEnd w:id="149"/>
    <w:r>
      <w:t>© 2017 PricewaterhouseCoopers Consulting (Australia) Pty Limited. All rights reserved.</w:t>
    </w:r>
  </w:p>
  <w:p w14:paraId="70B2FBEA" w14:textId="77777777" w:rsidR="009719FC" w:rsidRDefault="009719FC" w:rsidP="00C54A4F">
    <w:pPr>
      <w:pStyle w:val="Copyright"/>
      <w:framePr w:wrap="around"/>
    </w:pPr>
    <w:r>
      <w:t>PwC refers to PricewaterhouseCoopers Consulting (Australia) Pty Limited, and may sometimes refer to the PwC network.</w:t>
    </w:r>
  </w:p>
  <w:p w14:paraId="1D772D2E" w14:textId="77777777" w:rsidR="009719FC" w:rsidRDefault="009719FC" w:rsidP="00C54A4F">
    <w:pPr>
      <w:pStyle w:val="Copyright"/>
      <w:framePr w:wrap="around"/>
    </w:pPr>
    <w:r>
      <w:t>Each member firm is a separate legal entity. Please see www.pwc.com/structure for further details.</w:t>
    </w:r>
  </w:p>
  <w:p w14:paraId="000D0A38" w14:textId="77777777" w:rsidR="009719FC" w:rsidRDefault="009719FC" w:rsidP="00C54A4F">
    <w:pPr>
      <w:pStyle w:val="Copyright"/>
      <w:framePr w:wrap="around"/>
    </w:pPr>
  </w:p>
  <w:p w14:paraId="0F4DA4EB" w14:textId="77777777" w:rsidR="009719FC" w:rsidRPr="00A84ADF" w:rsidRDefault="009719FC" w:rsidP="00C54A4F">
    <w:pPr>
      <w:pStyle w:val="Copyright"/>
      <w:framePr w:wrap="around"/>
    </w:pPr>
    <w:r>
      <w:t>Liability limited by a scheme approved under Professional Standards Legislation</w:t>
    </w:r>
    <w:bookmarkEnd w:id="15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846BC" w14:textId="77777777" w:rsidR="009719FC" w:rsidRDefault="00971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6A3D" w14:textId="77777777" w:rsidR="009719FC" w:rsidRDefault="009719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0EC1A" w14:textId="79858BF9" w:rsidR="009719FC" w:rsidRDefault="00B47FE6" w:rsidP="00C54A4F">
    <w:pPr>
      <w:pStyle w:val="Footer-Even"/>
    </w:pPr>
    <w:r>
      <w:fldChar w:fldCharType="begin"/>
    </w:r>
    <w:r>
      <w:instrText xml:space="preserve"> STYLEREF "Cover Title" </w:instrText>
    </w:r>
    <w:r>
      <w:fldChar w:fldCharType="separate"/>
    </w:r>
    <w:r>
      <w:rPr>
        <w:noProof/>
      </w:rPr>
      <w:t>Aboriginal Victoria</w:t>
    </w:r>
    <w:r>
      <w:rPr>
        <w:noProof/>
      </w:rPr>
      <w:fldChar w:fldCharType="end"/>
    </w:r>
  </w:p>
  <w:p w14:paraId="102EA792" w14:textId="77777777" w:rsidR="009719FC" w:rsidRPr="006650EF" w:rsidRDefault="009719FC" w:rsidP="00C54A4F">
    <w:pPr>
      <w:pStyle w:val="Footer-Even"/>
    </w:pPr>
    <w:r>
      <w:t>PwC</w:t>
    </w:r>
    <w:r>
      <w:tab/>
    </w:r>
    <w:r>
      <w:fldChar w:fldCharType="begin"/>
    </w:r>
    <w:r>
      <w:instrText xml:space="preserve"> PAGE  \* MERGEFORMAT </w:instrText>
    </w:r>
    <w:r>
      <w:fldChar w:fldCharType="separate"/>
    </w:r>
    <w:r w:rsidR="00C35804">
      <w:rPr>
        <w:noProof/>
      </w:rPr>
      <w:t>xviii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37350" w14:textId="5586E1AD" w:rsidR="009719FC" w:rsidRDefault="00B47FE6" w:rsidP="00C54A4F">
    <w:pPr>
      <w:pStyle w:val="Footer"/>
    </w:pPr>
    <w:r>
      <w:fldChar w:fldCharType="begin"/>
    </w:r>
    <w:r>
      <w:instrText xml:space="preserve"> STYLEREF "Cover Title" </w:instrText>
    </w:r>
    <w:r>
      <w:fldChar w:fldCharType="separate"/>
    </w:r>
    <w:r>
      <w:rPr>
        <w:noProof/>
      </w:rPr>
      <w:t>Aboriginal Victoria</w:t>
    </w:r>
    <w:r>
      <w:rPr>
        <w:noProof/>
      </w:rPr>
      <w:fldChar w:fldCharType="end"/>
    </w:r>
  </w:p>
  <w:p w14:paraId="7A4BA7A4" w14:textId="77777777" w:rsidR="009719FC" w:rsidRPr="00A84ADF" w:rsidRDefault="009719FC" w:rsidP="00C54A4F">
    <w:pPr>
      <w:pStyle w:val="Footer"/>
    </w:pPr>
    <w:r>
      <w:t>PwC</w:t>
    </w:r>
    <w:r>
      <w:tab/>
    </w:r>
    <w:r>
      <w:fldChar w:fldCharType="begin"/>
    </w:r>
    <w:r>
      <w:instrText xml:space="preserve"> PAGE  \* MERGEFORMAT </w:instrText>
    </w:r>
    <w:r>
      <w:fldChar w:fldCharType="separate"/>
    </w:r>
    <w:r w:rsidR="00C35804">
      <w:rPr>
        <w:noProof/>
      </w:rPr>
      <w:t>xix</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58743" w14:textId="3B3308A8" w:rsidR="009719FC" w:rsidRDefault="009719FC" w:rsidP="006650EF">
    <w:pPr>
      <w:pStyle w:val="Footer"/>
    </w:pPr>
    <w:r w:rsidRPr="006650EF">
      <w:rPr>
        <w:sz w:val="18"/>
      </w:rPr>
      <w:fldChar w:fldCharType="begin"/>
    </w:r>
    <w:r>
      <w:instrText xml:space="preserve"> IF </w:instrText>
    </w:r>
    <w:r w:rsidR="00B47FE6">
      <w:fldChar w:fldCharType="begin"/>
    </w:r>
    <w:r w:rsidR="00B47FE6">
      <w:instrText xml:space="preserve"> DOCPROPERTY "Mirror Margins" </w:instrText>
    </w:r>
    <w:r w:rsidR="00B47FE6">
      <w:fldChar w:fldCharType="separate"/>
    </w:r>
    <w:r>
      <w:instrText>N</w:instrText>
    </w:r>
    <w:r w:rsidR="00B47FE6">
      <w:fldChar w:fldCharType="end"/>
    </w:r>
    <w:r>
      <w:instrText xml:space="preserve"> = "N" "</w:instrText>
    </w:r>
    <w:r w:rsidR="00B47FE6">
      <w:fldChar w:fldCharType="begin"/>
    </w:r>
    <w:r w:rsidR="00B47FE6">
      <w:instrText xml:space="preserve"> STYLEREF "Cover title" </w:instrText>
    </w:r>
    <w:r w:rsidR="00B47FE6">
      <w:fldChar w:fldCharType="separate"/>
    </w:r>
    <w:r w:rsidR="00B47FE6">
      <w:rPr>
        <w:noProof/>
      </w:rPr>
      <w:instrText>Aboriginal Victoria</w:instrText>
    </w:r>
    <w:r w:rsidR="00B47FE6">
      <w:rPr>
        <w:noProof/>
      </w:rPr>
      <w:fldChar w:fldCharType="end"/>
    </w:r>
  </w:p>
  <w:p w14:paraId="5B42CD4F" w14:textId="3B3245D3" w:rsidR="009719FC" w:rsidRDefault="009719FC" w:rsidP="006650EF">
    <w:pPr>
      <w:pStyle w:val="Footer"/>
    </w:pPr>
    <w:r>
      <w:instrText>PwC</w:instrText>
    </w:r>
    <w:r>
      <w:ptab w:relativeTo="margin" w:alignment="right" w:leader="none"/>
    </w:r>
    <w:r>
      <w:fldChar w:fldCharType="begin"/>
    </w:r>
    <w:r>
      <w:instrText xml:space="preserve"> PAGE </w:instrText>
    </w:r>
    <w:r>
      <w:fldChar w:fldCharType="separate"/>
    </w:r>
    <w:r w:rsidR="00B47FE6">
      <w:rPr>
        <w:noProof/>
      </w:rPr>
      <w:instrText>i</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2CCB43D7" w14:textId="77777777" w:rsidR="009719FC" w:rsidRDefault="009719FC"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14:paraId="0CF6576A" w14:textId="77777777" w:rsidR="009719FC" w:rsidRDefault="009719FC" w:rsidP="006650EF">
    <w:pPr>
      <w:pStyle w:val="Footer-Even"/>
    </w:pPr>
    <w:r>
      <w:instrText>" "</w:instrText>
    </w:r>
    <w:r>
      <w:ptab w:relativeTo="margin" w:alignment="right" w:leader="none"/>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61843BD9" w14:textId="77777777" w:rsidR="009719FC" w:rsidRDefault="009719FC"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14:paraId="28F8D278" w14:textId="77777777" w:rsidR="009719FC" w:rsidRPr="006650EF" w:rsidRDefault="009719FC"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14:paraId="6CAF08E1" w14:textId="77777777" w:rsidR="009719FC" w:rsidRPr="006650EF" w:rsidRDefault="009719FC"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14:paraId="428B2F4D" w14:textId="22F27C8B" w:rsidR="00B47FE6" w:rsidRDefault="009719FC"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sidR="00B47FE6">
      <w:rPr>
        <w:noProof/>
      </w:rPr>
      <w:t>Aboriginal Victoria</w:t>
    </w:r>
  </w:p>
  <w:p w14:paraId="6B8FAD02" w14:textId="4BA0B35E" w:rsidR="009719FC" w:rsidRPr="006650EF" w:rsidRDefault="00B47FE6" w:rsidP="006650EF">
    <w:pPr>
      <w:pStyle w:val="Footer"/>
      <w:rPr>
        <w:sz w:val="2"/>
      </w:rPr>
    </w:pPr>
    <w:r>
      <w:rPr>
        <w:noProof/>
      </w:rPr>
      <w:t>PwC</w:t>
    </w:r>
    <w:r>
      <w:rPr>
        <w:noProof/>
      </w:rPr>
      <w:ptab w:relativeTo="margin" w:alignment="right" w:leader="none"/>
    </w:r>
    <w:r>
      <w:rPr>
        <w:noProof/>
      </w:rPr>
      <w:t>i</w:t>
    </w:r>
    <w:r w:rsidR="009719FC" w:rsidRPr="006650EF">
      <w:rPr>
        <w:sz w:val="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47EA" w14:textId="77777777" w:rsidR="009719FC" w:rsidRDefault="00B47FE6" w:rsidP="00C54A4F">
    <w:pPr>
      <w:pStyle w:val="Footer-ToCEven"/>
    </w:pPr>
    <w:r>
      <w:fldChar w:fldCharType="begin"/>
    </w:r>
    <w:r>
      <w:instrText xml:space="preserve"> STYLEREF "Cover Title" </w:instrText>
    </w:r>
    <w:r>
      <w:fldChar w:fldCharType="separate"/>
    </w:r>
    <w:r w:rsidR="009719FC">
      <w:rPr>
        <w:noProof/>
      </w:rPr>
      <w:t>Aboriginal Victoria</w:t>
    </w:r>
    <w:r>
      <w:rPr>
        <w:noProof/>
      </w:rPr>
      <w:fldChar w:fldCharType="end"/>
    </w:r>
  </w:p>
  <w:p w14:paraId="73EBE14D" w14:textId="77777777" w:rsidR="009719FC" w:rsidRPr="006650EF" w:rsidRDefault="009719FC" w:rsidP="00C54A4F">
    <w:pPr>
      <w:pStyle w:val="Footer-ToCEven"/>
    </w:pPr>
    <w:r>
      <w:t>PwC</w:t>
    </w:r>
    <w:r>
      <w:tab/>
    </w:r>
    <w:r>
      <w:fldChar w:fldCharType="begin"/>
    </w:r>
    <w:r>
      <w:instrText xml:space="preserve"> PAGE  \* MERGEFORMAT </w:instrText>
    </w:r>
    <w:r>
      <w:fldChar w:fldCharType="separate"/>
    </w:r>
    <w:r>
      <w:rPr>
        <w:noProof/>
      </w:rPr>
      <w:t>ii</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51C9" w14:textId="77777777" w:rsidR="009719FC" w:rsidRDefault="00B47FE6" w:rsidP="00C54A4F">
    <w:pPr>
      <w:pStyle w:val="Footer-ToC"/>
    </w:pPr>
    <w:r>
      <w:fldChar w:fldCharType="begin"/>
    </w:r>
    <w:r>
      <w:instrText xml:space="preserve"> STYLEREF "Cover Title" </w:instrText>
    </w:r>
    <w:r>
      <w:fldChar w:fldCharType="separate"/>
    </w:r>
    <w:r w:rsidR="009719FC">
      <w:rPr>
        <w:noProof/>
      </w:rPr>
      <w:t>Aboriginal Victoria</w:t>
    </w:r>
    <w:r>
      <w:rPr>
        <w:noProof/>
      </w:rPr>
      <w:fldChar w:fldCharType="end"/>
    </w:r>
  </w:p>
  <w:p w14:paraId="34E35035" w14:textId="77777777" w:rsidR="009719FC" w:rsidRPr="00A84ADF" w:rsidRDefault="009719FC" w:rsidP="00C54A4F">
    <w:pPr>
      <w:pStyle w:val="Footer-ToC"/>
    </w:pPr>
    <w:r>
      <w:t>PwC</w:t>
    </w:r>
    <w:r>
      <w:tab/>
    </w:r>
    <w:r>
      <w:fldChar w:fldCharType="begin"/>
    </w:r>
    <w:r>
      <w:instrText xml:space="preserve"> PAGE  \* MERGEFORMAT </w:instrText>
    </w:r>
    <w:r>
      <w:fldChar w:fldCharType="separate"/>
    </w:r>
    <w:r>
      <w:rPr>
        <w:noProof/>
      </w:rPr>
      <w:t>i</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549B7" w14:textId="77777777" w:rsidR="009719FC" w:rsidRDefault="009719FC" w:rsidP="00C54A4F">
    <w:pPr>
      <w:pStyle w:val="Footer-ToC"/>
    </w:pPr>
    <w:r w:rsidRPr="006650EF">
      <w:rPr>
        <w:sz w:val="18"/>
      </w:rPr>
      <w:fldChar w:fldCharType="begin"/>
    </w:r>
    <w:r>
      <w:instrText xml:space="preserve"> IF </w:instrText>
    </w:r>
    <w:r w:rsidR="00B47FE6">
      <w:fldChar w:fldCharType="begin"/>
    </w:r>
    <w:r w:rsidR="00B47FE6">
      <w:instrText xml:space="preserve"> DOCPROPERTY "Mirror Margins" </w:instrText>
    </w:r>
    <w:r w:rsidR="00B47FE6">
      <w:fldChar w:fldCharType="separate"/>
    </w:r>
    <w:r>
      <w:instrText>N</w:instrText>
    </w:r>
    <w:r w:rsidR="00B47FE6">
      <w:fldChar w:fldCharType="end"/>
    </w:r>
    <w:r>
      <w:instrText xml:space="preserve"> = "N" "</w:instrText>
    </w:r>
    <w:r w:rsidR="00B47FE6">
      <w:fldChar w:fldCharType="begin"/>
    </w:r>
    <w:r w:rsidR="00B47FE6">
      <w:instrText xml:space="preserve"> STYLEREF "Cover title" </w:instrText>
    </w:r>
    <w:r w:rsidR="00B47FE6">
      <w:fldChar w:fldCharType="separate"/>
    </w:r>
    <w:r w:rsidR="00C35804">
      <w:rPr>
        <w:noProof/>
      </w:rPr>
      <w:instrText>Aboriginal Victoria</w:instrText>
    </w:r>
    <w:r w:rsidR="00B47FE6">
      <w:rPr>
        <w:noProof/>
      </w:rPr>
      <w:fldChar w:fldCharType="end"/>
    </w:r>
  </w:p>
  <w:p w14:paraId="61A9CE17" w14:textId="77777777" w:rsidR="009719FC" w:rsidRDefault="009719FC" w:rsidP="00C54A4F">
    <w:pPr>
      <w:pStyle w:val="Footer-ToC"/>
    </w:pPr>
    <w:r>
      <w:instrText>PwC</w:instrText>
    </w:r>
    <w:r>
      <w:ptab w:relativeTo="margin" w:alignment="right" w:leader="none"/>
    </w:r>
    <w:r>
      <w:fldChar w:fldCharType="begin"/>
    </w:r>
    <w:r>
      <w:instrText xml:space="preserve"> PAGE </w:instrText>
    </w:r>
    <w:r>
      <w:fldChar w:fldCharType="separate"/>
    </w:r>
    <w:r w:rsidR="00C35804">
      <w:rPr>
        <w:noProof/>
      </w:rPr>
      <w:instrText>i</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B47FE6">
      <w:fldChar w:fldCharType="begin"/>
    </w:r>
    <w:r w:rsidR="00B47FE6">
      <w:instrText xml:space="preserve"> STYLEREF "Cover title" </w:instrText>
    </w:r>
    <w:r w:rsidR="00B47FE6">
      <w:fldChar w:fldCharType="separate"/>
    </w:r>
    <w:r>
      <w:rPr>
        <w:noProof/>
      </w:rPr>
      <w:instrText>Prospect name</w:instrText>
    </w:r>
    <w:r w:rsidR="00B47FE6">
      <w:rPr>
        <w:noProof/>
      </w:rPr>
      <w:fldChar w:fldCharType="end"/>
    </w:r>
  </w:p>
  <w:p w14:paraId="4A5435AD" w14:textId="77777777" w:rsidR="009719FC" w:rsidRDefault="009719FC" w:rsidP="00C54A4F">
    <w:pPr>
      <w:pStyle w:val="Footer-ToC"/>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14:paraId="1B9C0837" w14:textId="77777777" w:rsidR="009719FC" w:rsidRDefault="009719FC" w:rsidP="00C54A4F">
    <w:pPr>
      <w:pStyle w:val="Footer-ToC"/>
    </w:pPr>
    <w:r>
      <w:instrText>" "</w:instrText>
    </w:r>
    <w:r>
      <w:ptab w:relativeTo="margin" w:alignment="right" w:leader="none"/>
    </w:r>
    <w:r w:rsidR="00B47FE6">
      <w:fldChar w:fldCharType="begin"/>
    </w:r>
    <w:r w:rsidR="00B47FE6">
      <w:instrText xml:space="preserve"> STYLERE</w:instrText>
    </w:r>
    <w:r w:rsidR="00B47FE6">
      <w:instrText xml:space="preserve">F "Cover title" </w:instrText>
    </w:r>
    <w:r w:rsidR="00B47FE6">
      <w:fldChar w:fldCharType="separate"/>
    </w:r>
    <w:r>
      <w:rPr>
        <w:noProof/>
      </w:rPr>
      <w:instrText>Prospect name</w:instrText>
    </w:r>
    <w:r w:rsidR="00B47FE6">
      <w:rPr>
        <w:noProof/>
      </w:rPr>
      <w:fldChar w:fldCharType="end"/>
    </w:r>
  </w:p>
  <w:p w14:paraId="4BF3DBB4" w14:textId="77777777" w:rsidR="009719FC" w:rsidRDefault="009719FC" w:rsidP="00C54A4F">
    <w:pPr>
      <w:pStyle w:val="Footer-ToC"/>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14:paraId="65406B4B" w14:textId="77777777" w:rsidR="009719FC" w:rsidRPr="006650EF" w:rsidRDefault="009719FC" w:rsidP="00C54A4F">
    <w:pPr>
      <w:pStyle w:val="Footer-ToC"/>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14:paraId="73611374" w14:textId="77777777" w:rsidR="009719FC" w:rsidRPr="006650EF" w:rsidRDefault="009719FC" w:rsidP="00C54A4F">
    <w:pPr>
      <w:pStyle w:val="Footer-ToC"/>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14:paraId="4D3706C5" w14:textId="77777777" w:rsidR="00C35804" w:rsidRDefault="009719FC" w:rsidP="00C54A4F">
    <w:pPr>
      <w:pStyle w:val="Footer-ToC"/>
      <w:rPr>
        <w:noProof/>
      </w:rPr>
    </w:pPr>
    <w:r w:rsidRPr="006650EF">
      <w:rPr>
        <w:sz w:val="2"/>
      </w:rPr>
      <w:fldChar w:fldCharType="end"/>
    </w:r>
    <w:r w:rsidRPr="006650EF">
      <w:rPr>
        <w:sz w:val="2"/>
      </w:rPr>
      <w:instrText xml:space="preserve"> </w:instrText>
    </w:r>
    <w:r w:rsidRPr="006650EF">
      <w:rPr>
        <w:sz w:val="2"/>
      </w:rPr>
      <w:fldChar w:fldCharType="separate"/>
    </w:r>
    <w:r w:rsidR="00C35804">
      <w:rPr>
        <w:noProof/>
      </w:rPr>
      <w:t>Aboriginal Victoria</w:t>
    </w:r>
  </w:p>
  <w:p w14:paraId="66E0276F" w14:textId="77777777" w:rsidR="009719FC" w:rsidRPr="006650EF" w:rsidRDefault="00C35804" w:rsidP="00C54A4F">
    <w:pPr>
      <w:pStyle w:val="Footer-ToC"/>
      <w:rPr>
        <w:sz w:val="2"/>
      </w:rPr>
    </w:pPr>
    <w:r>
      <w:rPr>
        <w:noProof/>
      </w:rPr>
      <w:t>PwC</w:t>
    </w:r>
    <w:r>
      <w:rPr>
        <w:noProof/>
      </w:rPr>
      <w:ptab w:relativeTo="margin" w:alignment="right" w:leader="none"/>
    </w:r>
    <w:r>
      <w:rPr>
        <w:noProof/>
      </w:rPr>
      <w:t>i</w:t>
    </w:r>
    <w:r w:rsidR="009719FC" w:rsidRPr="006650EF">
      <w:rPr>
        <w:sz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241D7" w14:textId="77777777" w:rsidR="009719FC" w:rsidRDefault="009719FC" w:rsidP="004343B3">
      <w:pPr>
        <w:pStyle w:val="Separator"/>
      </w:pPr>
      <w:r>
        <w:separator/>
      </w:r>
    </w:p>
  </w:footnote>
  <w:footnote w:type="continuationSeparator" w:id="0">
    <w:p w14:paraId="3A3A8DF9" w14:textId="77777777" w:rsidR="009719FC" w:rsidRDefault="009719FC" w:rsidP="004343B3">
      <w:pPr>
        <w:pStyle w:val="Separator"/>
      </w:pPr>
      <w:r>
        <w:continuationSeparator/>
      </w:r>
    </w:p>
  </w:footnote>
  <w:footnote w:type="continuationNotice" w:id="1">
    <w:p w14:paraId="101B74C3" w14:textId="77777777" w:rsidR="009719FC" w:rsidRPr="00F20B7D" w:rsidRDefault="009719FC" w:rsidP="00F20B7D">
      <w:pPr>
        <w:pStyle w:val="Footer"/>
        <w:rPr>
          <w:sz w:val="2"/>
          <w:szCs w:val="2"/>
        </w:rPr>
      </w:pPr>
    </w:p>
    <w:p w14:paraId="085B27D9" w14:textId="77777777" w:rsidR="009719FC" w:rsidRDefault="009719FC"/>
  </w:footnote>
  <w:footnote w:id="2">
    <w:p w14:paraId="3D4F6CEE" w14:textId="3CEFBA17" w:rsidR="009719FC" w:rsidRDefault="009719FC">
      <w:pPr>
        <w:pStyle w:val="FootnoteText"/>
      </w:pPr>
      <w:r>
        <w:rPr>
          <w:rStyle w:val="FootnoteReference"/>
        </w:rPr>
        <w:footnoteRef/>
      </w:r>
      <w:r>
        <w:t xml:space="preserve"> </w:t>
      </w:r>
      <w:r>
        <w:tab/>
        <w:t>PwC analysis based on information provided by AV.</w:t>
      </w:r>
    </w:p>
  </w:footnote>
  <w:footnote w:id="3">
    <w:p w14:paraId="64BA86E1" w14:textId="77777777" w:rsidR="009719FC" w:rsidRDefault="009719FC" w:rsidP="00BF47FC">
      <w:pPr>
        <w:pStyle w:val="FootnoteText"/>
      </w:pPr>
      <w:r>
        <w:rPr>
          <w:rStyle w:val="FootnoteReference"/>
        </w:rPr>
        <w:footnoteRef/>
      </w:r>
      <w:r>
        <w:t xml:space="preserve"> </w:t>
      </w:r>
      <w:r>
        <w:tab/>
        <w:t xml:space="preserve">Based on analysis by PwC and AV using historical data and the results of the survey of heritage advisors.  </w:t>
      </w:r>
    </w:p>
  </w:footnote>
  <w:footnote w:id="4">
    <w:p w14:paraId="5DB34CD1" w14:textId="77777777" w:rsidR="009719FC" w:rsidRDefault="009719FC" w:rsidP="00BF47FC">
      <w:pPr>
        <w:pStyle w:val="FootnoteText"/>
      </w:pPr>
      <w:r>
        <w:rPr>
          <w:rStyle w:val="FootnoteReference"/>
        </w:rPr>
        <w:footnoteRef/>
      </w:r>
      <w:r>
        <w:t xml:space="preserve"> </w:t>
      </w:r>
      <w:r>
        <w:tab/>
        <w:t xml:space="preserve">Based on analysis by PwC and AV using historical data and the results of the survey of heritage advisors.  </w:t>
      </w:r>
    </w:p>
  </w:footnote>
  <w:footnote w:id="5">
    <w:p w14:paraId="2DC9F94A" w14:textId="7A5CC3D4" w:rsidR="009719FC" w:rsidRDefault="009719FC">
      <w:pPr>
        <w:pStyle w:val="FootnoteText"/>
      </w:pPr>
      <w:r>
        <w:rPr>
          <w:rStyle w:val="FootnoteReference"/>
        </w:rPr>
        <w:footnoteRef/>
      </w:r>
      <w:r>
        <w:t xml:space="preserve"> </w:t>
      </w:r>
      <w:r>
        <w:tab/>
      </w:r>
      <w:r>
        <w:rPr>
          <w:szCs w:val="14"/>
        </w:rPr>
        <w:t xml:space="preserve">John Rolfe and Jill Windle, ‘Valuing the protection of Aboriginal cultural heritage sites’, The Economic Record, Vol. 79, Special Issue, pp. 85-95. </w:t>
      </w:r>
    </w:p>
  </w:footnote>
  <w:footnote w:id="6">
    <w:p w14:paraId="29CAB475" w14:textId="523D59AD" w:rsidR="009719FC" w:rsidRDefault="009719FC">
      <w:pPr>
        <w:pStyle w:val="FootnoteText"/>
      </w:pPr>
      <w:r>
        <w:rPr>
          <w:rStyle w:val="FootnoteReference"/>
        </w:rPr>
        <w:footnoteRef/>
      </w:r>
      <w:r>
        <w:t xml:space="preserve"> </w:t>
      </w:r>
      <w:r>
        <w:tab/>
      </w:r>
      <w:r>
        <w:rPr>
          <w:szCs w:val="14"/>
        </w:rPr>
        <w:t xml:space="preserve">The Allen Consulting Group report prepared for the Heritage Chairs and Officials of Australia and New Zealand, ‘Valuing the priceless: The value of historic heritage in Australia’, Research Report 2, 2005. </w:t>
      </w:r>
      <w:r>
        <w:t xml:space="preserve"> </w:t>
      </w:r>
    </w:p>
  </w:footnote>
  <w:footnote w:id="7">
    <w:p w14:paraId="64995288" w14:textId="66B9A2BC" w:rsidR="009719FC" w:rsidRDefault="009719FC">
      <w:pPr>
        <w:pStyle w:val="FootnoteText"/>
      </w:pPr>
      <w:r>
        <w:rPr>
          <w:rStyle w:val="FootnoteReference"/>
        </w:rPr>
        <w:footnoteRef/>
      </w:r>
      <w:r>
        <w:t xml:space="preserve"> </w:t>
      </w:r>
      <w:r>
        <w:tab/>
      </w:r>
      <w:r>
        <w:rPr>
          <w:szCs w:val="14"/>
        </w:rPr>
        <w:t xml:space="preserve">NSW Parliamentary Library Research Service, ‘e-brief: Indigenous disadvantage: Can strengthening cultural attachment help to close the gap’, 2011, </w:t>
      </w:r>
      <w:r>
        <w:rPr>
          <w:color w:val="A21F1F"/>
          <w:szCs w:val="14"/>
        </w:rPr>
        <w:t xml:space="preserve">http://alc.org.au/media/74358/parliament%20e-brief%20aboriginal%20disadvantage[2].pdf </w:t>
      </w:r>
      <w:r>
        <w:t xml:space="preserve"> </w:t>
      </w:r>
    </w:p>
  </w:footnote>
  <w:footnote w:id="8">
    <w:p w14:paraId="0D7817D0" w14:textId="2A32D4C4" w:rsidR="009719FC" w:rsidRDefault="009719FC">
      <w:pPr>
        <w:pStyle w:val="FootnoteText"/>
      </w:pPr>
      <w:r>
        <w:rPr>
          <w:rStyle w:val="FootnoteReference"/>
        </w:rPr>
        <w:footnoteRef/>
      </w:r>
      <w:r>
        <w:t xml:space="preserve"> </w:t>
      </w:r>
      <w:r>
        <w:tab/>
      </w:r>
      <w:r w:rsidRPr="00D462E3">
        <w:t>The Allen Consulting Group report prepared for the Heritage Chairs and Officials of Australia and New Zealand, ‘Valuing the priceless: The value of historic heritage in Australia’, Research Report 2, 2005.</w:t>
      </w:r>
    </w:p>
  </w:footnote>
  <w:footnote w:id="9">
    <w:p w14:paraId="44D6E3E6" w14:textId="653D1986" w:rsidR="009719FC" w:rsidRDefault="009719FC" w:rsidP="009E25C9">
      <w:pPr>
        <w:pStyle w:val="FootnoteText"/>
      </w:pPr>
      <w:r>
        <w:rPr>
          <w:rStyle w:val="FootnoteReference"/>
        </w:rPr>
        <w:footnoteRef/>
      </w:r>
      <w:r>
        <w:t xml:space="preserve"> </w:t>
      </w:r>
      <w:r>
        <w:tab/>
        <w:t>Applicants do not incur all costs as the cost recovery percentage for each fee option are below 100 per cent.</w:t>
      </w:r>
    </w:p>
  </w:footnote>
  <w:footnote w:id="10">
    <w:p w14:paraId="39747367" w14:textId="4D7D7EB6" w:rsidR="009719FC" w:rsidRDefault="009719FC">
      <w:pPr>
        <w:pStyle w:val="FootnoteText"/>
      </w:pPr>
      <w:r>
        <w:rPr>
          <w:rStyle w:val="FootnoteReference"/>
        </w:rPr>
        <w:footnoteRef/>
      </w:r>
      <w:r>
        <w:t xml:space="preserve"> </w:t>
      </w:r>
      <w:r>
        <w:tab/>
        <w:t>As with government costs, applicants do not incur all costs as the cost recovery percentage for each fee option are below 100 per cent.</w:t>
      </w:r>
    </w:p>
  </w:footnote>
  <w:footnote w:id="11">
    <w:p w14:paraId="09D67DDD" w14:textId="77777777" w:rsidR="009719FC" w:rsidRDefault="009719FC" w:rsidP="00BE58D1">
      <w:pPr>
        <w:pStyle w:val="FootnoteText"/>
      </w:pPr>
      <w:r>
        <w:rPr>
          <w:rStyle w:val="FootnoteReference"/>
        </w:rPr>
        <w:footnoteRef/>
      </w:r>
      <w:r>
        <w:t xml:space="preserve"> </w:t>
      </w:r>
      <w:r>
        <w:tab/>
        <w:t>Information provided by AV.</w:t>
      </w:r>
    </w:p>
  </w:footnote>
  <w:footnote w:id="12">
    <w:p w14:paraId="030127C1" w14:textId="66945C04" w:rsidR="009719FC" w:rsidRDefault="009719FC">
      <w:pPr>
        <w:pStyle w:val="FootnoteText"/>
      </w:pPr>
      <w:r>
        <w:rPr>
          <w:rStyle w:val="FootnoteReference"/>
        </w:rPr>
        <w:footnoteRef/>
      </w:r>
      <w:r>
        <w:t xml:space="preserve"> </w:t>
      </w:r>
      <w:r>
        <w:tab/>
        <w:t>These CHMPs are generally those involving a complex assessment, as by definition, CHMPs with complex assessments are those that identify significant Aboriginal cultural heritage. However, it is important to note that CHMPs must progress through the desktop and standard assessment tiers in order to reach the complex assessment stage.</w:t>
      </w:r>
    </w:p>
  </w:footnote>
  <w:footnote w:id="13">
    <w:p w14:paraId="34ABE1A9" w14:textId="507BB22A" w:rsidR="009719FC" w:rsidRDefault="009719FC">
      <w:pPr>
        <w:pStyle w:val="FootnoteText"/>
      </w:pPr>
      <w:r>
        <w:rPr>
          <w:rStyle w:val="FootnoteReference"/>
        </w:rPr>
        <w:footnoteRef/>
      </w:r>
      <w:r>
        <w:t xml:space="preserve"> </w:t>
      </w:r>
      <w:r>
        <w:tab/>
        <w:t>PwC analysis based on information provided by AV.</w:t>
      </w:r>
    </w:p>
  </w:footnote>
  <w:footnote w:id="14">
    <w:p w14:paraId="43AF9306" w14:textId="77777777" w:rsidR="009719FC" w:rsidRDefault="009719FC" w:rsidP="006715B3">
      <w:pPr>
        <w:pStyle w:val="FootnoteText"/>
      </w:pPr>
      <w:r>
        <w:rPr>
          <w:rStyle w:val="FootnoteReference"/>
        </w:rPr>
        <w:footnoteRef/>
      </w:r>
      <w:r>
        <w:t xml:space="preserve"> </w:t>
      </w:r>
      <w:r>
        <w:tab/>
        <w:t>Information provided by AV (unless otherwise noted).</w:t>
      </w:r>
    </w:p>
  </w:footnote>
  <w:footnote w:id="15">
    <w:p w14:paraId="41A81C61" w14:textId="088BB2EE" w:rsidR="009719FC" w:rsidRDefault="009719FC" w:rsidP="006715B3">
      <w:pPr>
        <w:pStyle w:val="FootnoteText"/>
      </w:pPr>
      <w:r>
        <w:rPr>
          <w:rStyle w:val="FootnoteReference"/>
        </w:rPr>
        <w:footnoteRef/>
      </w:r>
      <w:r>
        <w:t xml:space="preserve"> </w:t>
      </w:r>
      <w:r>
        <w:tab/>
        <w:t>Estimates based on survey of RAPs (unless otherwise noted). Note that RAP evaluation hours are based on a weighted average of reported time to undertake an evaluation, weighted by the number of CHMPs completed in the previous year, and excluding one set of outlier responses that were over 10 times larger than other responses.</w:t>
      </w:r>
    </w:p>
  </w:footnote>
  <w:footnote w:id="16">
    <w:p w14:paraId="69558EDA" w14:textId="7FDFC35B" w:rsidR="009719FC" w:rsidRDefault="009719FC" w:rsidP="006715B3">
      <w:pPr>
        <w:pStyle w:val="FootnoteText"/>
      </w:pPr>
      <w:r>
        <w:rPr>
          <w:rStyle w:val="FootnoteReference"/>
        </w:rPr>
        <w:footnoteRef/>
      </w:r>
      <w:r>
        <w:t xml:space="preserve"> </w:t>
      </w:r>
      <w:r>
        <w:tab/>
        <w:t>Based on AV estimate due to insufficient data received from RAPs.</w:t>
      </w:r>
    </w:p>
  </w:footnote>
  <w:footnote w:id="17">
    <w:p w14:paraId="0CCD97C1" w14:textId="15D74F34" w:rsidR="009719FC" w:rsidRDefault="009719FC">
      <w:pPr>
        <w:pStyle w:val="FootnoteText"/>
      </w:pPr>
      <w:r>
        <w:rPr>
          <w:rStyle w:val="FootnoteReference"/>
        </w:rPr>
        <w:footnoteRef/>
      </w:r>
      <w:r>
        <w:t xml:space="preserve"> </w:t>
      </w:r>
      <w:r>
        <w:tab/>
        <w:t>Note that this is an approximate estimate only, as the actual fee revenue will depend on the numbers and types of CHPs, PAHTs, CHMPs and applications to the Register that occur.</w:t>
      </w:r>
    </w:p>
  </w:footnote>
  <w:footnote w:id="18">
    <w:p w14:paraId="47E53A09" w14:textId="0D0E0B5F" w:rsidR="009719FC" w:rsidRDefault="009719FC">
      <w:pPr>
        <w:pStyle w:val="FootnoteText"/>
      </w:pPr>
      <w:r>
        <w:rPr>
          <w:rStyle w:val="FootnoteReference"/>
        </w:rPr>
        <w:footnoteRef/>
      </w:r>
      <w:r>
        <w:t xml:space="preserve"> </w:t>
      </w:r>
      <w:r>
        <w:tab/>
        <w:t>T</w:t>
      </w:r>
      <w:r w:rsidRPr="001F1BE5">
        <w:t>he Commonwealth legislation is still in place, however, is not the primary legislative protection for Aboriginal cultural heritage in Victoria</w:t>
      </w:r>
      <w:r>
        <w:t>.</w:t>
      </w:r>
    </w:p>
  </w:footnote>
  <w:footnote w:id="19">
    <w:p w14:paraId="0751C4F3" w14:textId="08AB9100" w:rsidR="009719FC" w:rsidRDefault="009719FC">
      <w:pPr>
        <w:pStyle w:val="FootnoteText"/>
      </w:pPr>
      <w:r>
        <w:rPr>
          <w:rStyle w:val="FootnoteReference"/>
        </w:rPr>
        <w:footnoteRef/>
      </w:r>
      <w:r>
        <w:t xml:space="preserve"> </w:t>
      </w:r>
      <w:r>
        <w:tab/>
        <w:t>A full list of the construction and building works defined as high impact activities can be viewed in Division 5, Part 2 of the Regulations.</w:t>
      </w:r>
    </w:p>
  </w:footnote>
  <w:footnote w:id="20">
    <w:p w14:paraId="50F47BD8" w14:textId="22EE4D07" w:rsidR="009719FC" w:rsidRDefault="009719FC">
      <w:pPr>
        <w:pStyle w:val="FootnoteText"/>
      </w:pPr>
      <w:r>
        <w:rPr>
          <w:rStyle w:val="FootnoteReference"/>
        </w:rPr>
        <w:footnoteRef/>
      </w:r>
      <w:r>
        <w:t xml:space="preserve"> </w:t>
      </w:r>
      <w:r>
        <w:tab/>
      </w:r>
      <w:r>
        <w:rPr>
          <w:lang w:val="en-US"/>
        </w:rPr>
        <w:t>If the method to assess Aboriginal cultural heritage is not agreed, the RAP is not likely to approve the CHMP. Disputes in relation to CHMPs can be referred to the Chairperson of the VAHC for dispute resolution. Disputes are rare, and occur less than once a year.</w:t>
      </w:r>
    </w:p>
  </w:footnote>
  <w:footnote w:id="21">
    <w:p w14:paraId="0C761D33" w14:textId="37C515ED" w:rsidR="009719FC" w:rsidRDefault="009719FC">
      <w:pPr>
        <w:pStyle w:val="FootnoteText"/>
      </w:pPr>
      <w:r>
        <w:rPr>
          <w:rStyle w:val="FootnoteReference"/>
        </w:rPr>
        <w:footnoteRef/>
      </w:r>
      <w:r>
        <w:t xml:space="preserve"> </w:t>
      </w:r>
      <w:r>
        <w:tab/>
        <w:t>PwC analysis of data provided by AV.</w:t>
      </w:r>
    </w:p>
  </w:footnote>
  <w:footnote w:id="22">
    <w:p w14:paraId="5051F108" w14:textId="4FA22E16" w:rsidR="009719FC" w:rsidRDefault="009719FC">
      <w:pPr>
        <w:pStyle w:val="FootnoteText"/>
      </w:pPr>
      <w:r>
        <w:rPr>
          <w:rStyle w:val="FootnoteReference"/>
        </w:rPr>
        <w:footnoteRef/>
      </w:r>
      <w:r>
        <w:t xml:space="preserve"> </w:t>
      </w:r>
      <w:r>
        <w:tab/>
        <w:t>PwC analysis of data provided by AV.</w:t>
      </w:r>
    </w:p>
  </w:footnote>
  <w:footnote w:id="23">
    <w:p w14:paraId="3A378C20" w14:textId="07BDBF0E" w:rsidR="009719FC" w:rsidRPr="00561A30" w:rsidRDefault="009719FC" w:rsidP="008E24A1">
      <w:pPr>
        <w:pStyle w:val="FootnoteText"/>
        <w:ind w:left="0" w:firstLine="0"/>
        <w:rPr>
          <w:rFonts w:asciiTheme="majorHAnsi" w:hAnsiTheme="majorHAnsi"/>
        </w:rPr>
      </w:pPr>
      <w:r w:rsidRPr="00561A30">
        <w:rPr>
          <w:rStyle w:val="FootnoteReference"/>
          <w:rFonts w:asciiTheme="majorHAnsi" w:hAnsiTheme="majorHAnsi"/>
        </w:rPr>
        <w:footnoteRef/>
      </w:r>
      <w:r>
        <w:rPr>
          <w:rFonts w:asciiTheme="majorHAnsi" w:hAnsiTheme="majorHAnsi"/>
        </w:rPr>
        <w:t xml:space="preserve">     </w:t>
      </w:r>
      <w:r w:rsidRPr="00705BA8">
        <w:rPr>
          <w:rFonts w:asciiTheme="majorHAnsi" w:hAnsiTheme="majorHAnsi"/>
        </w:rPr>
        <w:t xml:space="preserve">The Allen Consulting Group, </w:t>
      </w:r>
      <w:r w:rsidRPr="00705BA8">
        <w:rPr>
          <w:rFonts w:asciiTheme="majorHAnsi" w:hAnsiTheme="majorHAnsi"/>
          <w:i/>
        </w:rPr>
        <w:t>Aboriginal Heritage Regulations 2007: Regulatory Impact Statement</w:t>
      </w:r>
      <w:r w:rsidRPr="00705BA8">
        <w:rPr>
          <w:rFonts w:asciiTheme="majorHAnsi" w:hAnsiTheme="majorHAnsi"/>
        </w:rPr>
        <w:t>, April 2007, page 9.</w:t>
      </w:r>
    </w:p>
  </w:footnote>
  <w:footnote w:id="24">
    <w:p w14:paraId="11C66F52" w14:textId="38EED420" w:rsidR="009719FC" w:rsidRDefault="009719FC">
      <w:pPr>
        <w:pStyle w:val="FootnoteText"/>
      </w:pPr>
      <w:r>
        <w:rPr>
          <w:rStyle w:val="FootnoteReference"/>
        </w:rPr>
        <w:footnoteRef/>
      </w:r>
      <w:r>
        <w:t xml:space="preserve"> </w:t>
      </w:r>
      <w:r>
        <w:tab/>
        <w:t>This likely reflects the reduced level of development activity in the growth areas of Melbourne.</w:t>
      </w:r>
    </w:p>
  </w:footnote>
  <w:footnote w:id="25">
    <w:p w14:paraId="3AC471BD" w14:textId="78B95111" w:rsidR="009719FC" w:rsidRDefault="009719FC">
      <w:pPr>
        <w:pStyle w:val="FootnoteText"/>
      </w:pPr>
      <w:r>
        <w:rPr>
          <w:rStyle w:val="FootnoteReference"/>
        </w:rPr>
        <w:footnoteRef/>
      </w:r>
      <w:r>
        <w:t xml:space="preserve"> </w:t>
      </w:r>
      <w:r>
        <w:tab/>
        <w:t xml:space="preserve">Department of Environment, Land, Water and Planning, ‘Planning Permit Activity Monthly Report’, </w:t>
      </w:r>
      <w:r w:rsidRPr="001910BF">
        <w:t>http://pparsreporting.dpcd.vic.gov.au/Reporting/MonthlyReport?ra=100&amp;date=1-2018</w:t>
      </w:r>
    </w:p>
  </w:footnote>
  <w:footnote w:id="26">
    <w:p w14:paraId="2E6FC0B9" w14:textId="1E739CF2" w:rsidR="009719FC" w:rsidRDefault="009719FC">
      <w:pPr>
        <w:pStyle w:val="FootnoteText"/>
      </w:pPr>
      <w:r>
        <w:rPr>
          <w:rStyle w:val="FootnoteReference"/>
        </w:rPr>
        <w:footnoteRef/>
      </w:r>
      <w:r>
        <w:t xml:space="preserve"> </w:t>
      </w:r>
      <w:r>
        <w:tab/>
        <w:t>PwC analysis of data provided by AV.</w:t>
      </w:r>
    </w:p>
  </w:footnote>
  <w:footnote w:id="27">
    <w:p w14:paraId="0C3C3123" w14:textId="77777777" w:rsidR="009719FC" w:rsidRDefault="009719FC" w:rsidP="007B5EA1">
      <w:pPr>
        <w:pStyle w:val="FootnoteText"/>
      </w:pPr>
      <w:r>
        <w:rPr>
          <w:rStyle w:val="FootnoteReference"/>
        </w:rPr>
        <w:footnoteRef/>
      </w:r>
      <w:r>
        <w:t xml:space="preserve"> </w:t>
      </w:r>
      <w:r>
        <w:tab/>
        <w:t>The Getty Conservation Institute, ‘Assessing values of cultural heritage’. Research report, 2002.</w:t>
      </w:r>
    </w:p>
  </w:footnote>
  <w:footnote w:id="28">
    <w:p w14:paraId="00078A29" w14:textId="77777777" w:rsidR="009719FC" w:rsidRDefault="009719FC">
      <w:pPr>
        <w:pStyle w:val="FootnoteText"/>
      </w:pPr>
      <w:r>
        <w:rPr>
          <w:rStyle w:val="FootnoteReference"/>
        </w:rPr>
        <w:footnoteRef/>
      </w:r>
      <w:r>
        <w:t xml:space="preserve"> </w:t>
      </w:r>
      <w:r>
        <w:tab/>
        <w:t>John Rolfe and Jill Windle, 2003, ‘Valuing the Protection of Aboriginal Cultural Heritage Sites’, Economic Record, Vol. 79, p85-95.</w:t>
      </w:r>
    </w:p>
  </w:footnote>
  <w:footnote w:id="29">
    <w:p w14:paraId="46D5C8CC" w14:textId="18781A55" w:rsidR="009719FC" w:rsidRDefault="009719FC">
      <w:pPr>
        <w:pStyle w:val="FootnoteText"/>
      </w:pPr>
      <w:r>
        <w:rPr>
          <w:rStyle w:val="FootnoteReference"/>
        </w:rPr>
        <w:footnoteRef/>
      </w:r>
      <w:r>
        <w:t xml:space="preserve"> </w:t>
      </w:r>
      <w:r>
        <w:tab/>
        <w:t>The Allen Consulting Group, ‘RIS on Aboriginal Heritage Regulations’, 2007.</w:t>
      </w:r>
    </w:p>
  </w:footnote>
  <w:footnote w:id="30">
    <w:p w14:paraId="4CF40105" w14:textId="1027855A" w:rsidR="009719FC" w:rsidRDefault="009719FC">
      <w:pPr>
        <w:pStyle w:val="FootnoteText"/>
      </w:pPr>
      <w:r>
        <w:rPr>
          <w:rStyle w:val="FootnoteReference"/>
        </w:rPr>
        <w:footnoteRef/>
      </w:r>
      <w:r>
        <w:t xml:space="preserve"> </w:t>
      </w:r>
      <w:r>
        <w:tab/>
        <w:t>The Allen Consulting Group, ‘RIS on Aboriginal Heritage Regulations’, 2007.</w:t>
      </w:r>
    </w:p>
  </w:footnote>
  <w:footnote w:id="31">
    <w:p w14:paraId="2DE1F5E2" w14:textId="7FBD8193" w:rsidR="009719FC" w:rsidRDefault="009719FC">
      <w:pPr>
        <w:pStyle w:val="FootnoteText"/>
      </w:pPr>
      <w:r>
        <w:rPr>
          <w:rStyle w:val="FootnoteReference"/>
        </w:rPr>
        <w:footnoteRef/>
      </w:r>
      <w:r>
        <w:t xml:space="preserve"> </w:t>
      </w:r>
      <w:r>
        <w:tab/>
        <w:t>ABC News, ‘</w:t>
      </w:r>
      <w:r w:rsidRPr="007F0DCC">
        <w:t>Budj Bim Cultural Landscape: Ancient Aboriginal site a step closer to UNESCO World Heritage status</w:t>
      </w:r>
      <w:r>
        <w:t xml:space="preserve">’, </w:t>
      </w:r>
      <w:r w:rsidRPr="007F0DCC">
        <w:t>http://www.abc.net.au/news/2017-01-20/budj-bim-ancient-aboriginal-site-closer-to-world-heritage-status/8197204</w:t>
      </w:r>
    </w:p>
  </w:footnote>
  <w:footnote w:id="32">
    <w:p w14:paraId="3C4BF4E7" w14:textId="77777777" w:rsidR="009719FC" w:rsidRDefault="009719FC">
      <w:pPr>
        <w:pStyle w:val="FootnoteText"/>
      </w:pPr>
      <w:r>
        <w:rPr>
          <w:rStyle w:val="FootnoteReference"/>
        </w:rPr>
        <w:footnoteRef/>
      </w:r>
      <w:r>
        <w:t xml:space="preserve"> </w:t>
      </w:r>
      <w:r>
        <w:tab/>
        <w:t>John Rolfe and Jill Windle, 2003, ‘Valuing the Protection of Aboriginal Cultural Heritage Sites’, Economic Record, Vol. 79, p85-95.</w:t>
      </w:r>
    </w:p>
  </w:footnote>
  <w:footnote w:id="33">
    <w:p w14:paraId="71D563D7" w14:textId="77777777" w:rsidR="009719FC" w:rsidRDefault="009719FC" w:rsidP="00F1519C">
      <w:pPr>
        <w:pStyle w:val="FootnoteText"/>
      </w:pPr>
      <w:r>
        <w:rPr>
          <w:rStyle w:val="FootnoteReference"/>
        </w:rPr>
        <w:footnoteRef/>
      </w:r>
      <w:r>
        <w:t xml:space="preserve"> </w:t>
      </w:r>
      <w:r>
        <w:tab/>
        <w:t>The 196 figure is calculated by dividing 21 per cent by 30 years to get 0.7 per cent, and then multiplying by 28,000 recorded sites.</w:t>
      </w:r>
    </w:p>
  </w:footnote>
  <w:footnote w:id="34">
    <w:p w14:paraId="29F667AC" w14:textId="202664FA" w:rsidR="009719FC" w:rsidRDefault="009719FC">
      <w:pPr>
        <w:pStyle w:val="FootnoteText"/>
      </w:pPr>
      <w:r>
        <w:rPr>
          <w:rStyle w:val="FootnoteReference"/>
        </w:rPr>
        <w:footnoteRef/>
      </w:r>
      <w:r>
        <w:t xml:space="preserve"> </w:t>
      </w:r>
      <w:r>
        <w:tab/>
        <w:t>The Allen Consulting Group, ‘RIS on Aboriginal Heritage Regulations’, 2007.</w:t>
      </w:r>
    </w:p>
  </w:footnote>
  <w:footnote w:id="35">
    <w:p w14:paraId="6D853BD0" w14:textId="105F81EC" w:rsidR="009719FC" w:rsidRDefault="009719FC">
      <w:pPr>
        <w:pStyle w:val="FootnoteText"/>
      </w:pPr>
      <w:r>
        <w:rPr>
          <w:rStyle w:val="FootnoteReference"/>
        </w:rPr>
        <w:footnoteRef/>
      </w:r>
      <w:r>
        <w:t xml:space="preserve"> </w:t>
      </w:r>
      <w:r>
        <w:tab/>
        <w:t>The Allen Consulting Group, ‘RIS on Aboriginal Heritage Regulations’, 2007.</w:t>
      </w:r>
    </w:p>
  </w:footnote>
  <w:footnote w:id="36">
    <w:p w14:paraId="51D8284D" w14:textId="3F04BE09" w:rsidR="009719FC" w:rsidRDefault="009719FC">
      <w:pPr>
        <w:pStyle w:val="FootnoteText"/>
      </w:pPr>
      <w:r>
        <w:rPr>
          <w:rStyle w:val="FootnoteReference"/>
        </w:rPr>
        <w:footnoteRef/>
      </w:r>
      <w:r>
        <w:t xml:space="preserve"> </w:t>
      </w:r>
      <w:r>
        <w:tab/>
        <w:t>Specified in the Commonwealth Aboriginal and Torres Strait Islander Heritage Protection Act 1984.</w:t>
      </w:r>
    </w:p>
  </w:footnote>
  <w:footnote w:id="37">
    <w:p w14:paraId="285F7656" w14:textId="508615A8" w:rsidR="009719FC" w:rsidRDefault="009719FC">
      <w:pPr>
        <w:pStyle w:val="FootnoteText"/>
      </w:pPr>
      <w:r>
        <w:rPr>
          <w:rStyle w:val="FootnoteReference"/>
        </w:rPr>
        <w:footnoteRef/>
      </w:r>
      <w:r>
        <w:t xml:space="preserve"> </w:t>
      </w:r>
      <w:r>
        <w:tab/>
        <w:t>Advice provided by AV.</w:t>
      </w:r>
    </w:p>
  </w:footnote>
  <w:footnote w:id="38">
    <w:p w14:paraId="078A4E52" w14:textId="77777777" w:rsidR="009719FC" w:rsidRDefault="009719FC" w:rsidP="00121923">
      <w:pPr>
        <w:pStyle w:val="FootnoteText"/>
      </w:pPr>
      <w:r>
        <w:rPr>
          <w:rStyle w:val="FootnoteReference"/>
        </w:rPr>
        <w:footnoteRef/>
      </w:r>
      <w:r>
        <w:t xml:space="preserve"> </w:t>
      </w:r>
      <w:r>
        <w:tab/>
        <w:t>The Allen Consulting Group, ‘RIS on Aboriginal Heritage Regulations’, 2007.</w:t>
      </w:r>
    </w:p>
  </w:footnote>
  <w:footnote w:id="39">
    <w:p w14:paraId="4C695988" w14:textId="2AEEB426" w:rsidR="009719FC" w:rsidRDefault="009719FC" w:rsidP="00353B95">
      <w:pPr>
        <w:pStyle w:val="FootnoteText"/>
      </w:pPr>
      <w:r>
        <w:rPr>
          <w:rStyle w:val="FootnoteReference"/>
        </w:rPr>
        <w:footnoteRef/>
      </w:r>
      <w:r>
        <w:t xml:space="preserve"> </w:t>
      </w:r>
      <w:r>
        <w:tab/>
        <w:t>Based on previous years’ data on triggers for CHMPs provided by AV.</w:t>
      </w:r>
    </w:p>
  </w:footnote>
  <w:footnote w:id="40">
    <w:p w14:paraId="5B5612F5" w14:textId="5F70ABB8" w:rsidR="009719FC" w:rsidRDefault="009719FC">
      <w:pPr>
        <w:pStyle w:val="FootnoteText"/>
      </w:pPr>
      <w:r>
        <w:rPr>
          <w:rStyle w:val="FootnoteReference"/>
        </w:rPr>
        <w:footnoteRef/>
      </w:r>
      <w:r>
        <w:t xml:space="preserve"> </w:t>
      </w:r>
      <w:r>
        <w:tab/>
        <w:t>Based on previous years’ data on triggers for CHMPs provided by AV.</w:t>
      </w:r>
    </w:p>
  </w:footnote>
  <w:footnote w:id="41">
    <w:p w14:paraId="4766D4A1" w14:textId="14AC7C08" w:rsidR="009719FC" w:rsidRDefault="009719FC">
      <w:pPr>
        <w:pStyle w:val="FootnoteText"/>
      </w:pPr>
      <w:r>
        <w:rPr>
          <w:rStyle w:val="FootnoteReference"/>
        </w:rPr>
        <w:footnoteRef/>
      </w:r>
      <w:r>
        <w:t xml:space="preserve"> </w:t>
      </w:r>
      <w:r>
        <w:tab/>
        <w:t>Based on previous years’ data on triggers for CHMPs provided by AV.</w:t>
      </w:r>
    </w:p>
  </w:footnote>
  <w:footnote w:id="42">
    <w:p w14:paraId="1566292A" w14:textId="49785596" w:rsidR="009719FC" w:rsidRDefault="009719FC">
      <w:pPr>
        <w:pStyle w:val="FootnoteText"/>
      </w:pPr>
      <w:r>
        <w:rPr>
          <w:rStyle w:val="FootnoteReference"/>
        </w:rPr>
        <w:footnoteRef/>
      </w:r>
      <w:r>
        <w:t xml:space="preserve"> </w:t>
      </w:r>
      <w:r>
        <w:tab/>
        <w:t>Based on previous years’ data on triggers for CHMPs provided by AV.</w:t>
      </w:r>
    </w:p>
  </w:footnote>
  <w:footnote w:id="43">
    <w:p w14:paraId="005D7DB6" w14:textId="0A3051F2" w:rsidR="009719FC" w:rsidRDefault="009719FC">
      <w:pPr>
        <w:pStyle w:val="FootnoteText"/>
      </w:pPr>
      <w:r>
        <w:rPr>
          <w:rStyle w:val="FootnoteReference"/>
        </w:rPr>
        <w:footnoteRef/>
      </w:r>
      <w:r>
        <w:t xml:space="preserve"> </w:t>
      </w:r>
      <w:r>
        <w:tab/>
        <w:t>PwC analysis based on data provided by AV.</w:t>
      </w:r>
    </w:p>
  </w:footnote>
  <w:footnote w:id="44">
    <w:p w14:paraId="04A52D35" w14:textId="77777777" w:rsidR="009719FC" w:rsidRDefault="009719FC" w:rsidP="009C4724">
      <w:pPr>
        <w:pStyle w:val="FootnoteText"/>
      </w:pPr>
      <w:r>
        <w:rPr>
          <w:rStyle w:val="FootnoteReference"/>
        </w:rPr>
        <w:footnoteRef/>
      </w:r>
      <w:r>
        <w:t xml:space="preserve"> </w:t>
      </w:r>
      <w:r>
        <w:tab/>
        <w:t>Based on information provided in the survey of heritage advisors (see Section 5). According to heritage advisors, 71 per cent of the cost of a CHMP is attributable to the standards in the Regulations.</w:t>
      </w:r>
    </w:p>
  </w:footnote>
  <w:footnote w:id="45">
    <w:p w14:paraId="4FC40333" w14:textId="77777777" w:rsidR="009719FC" w:rsidRDefault="009719FC" w:rsidP="009C4724">
      <w:pPr>
        <w:pStyle w:val="FootnoteText"/>
      </w:pPr>
      <w:r>
        <w:rPr>
          <w:rStyle w:val="FootnoteReference"/>
        </w:rPr>
        <w:footnoteRef/>
      </w:r>
      <w:r>
        <w:t xml:space="preserve"> </w:t>
      </w:r>
      <w:r>
        <w:tab/>
        <w:t>Based on information provided in the survey of heritage advisors (see Section 5).</w:t>
      </w:r>
    </w:p>
  </w:footnote>
  <w:footnote w:id="46">
    <w:p w14:paraId="0249B352" w14:textId="77777777" w:rsidR="009719FC" w:rsidRDefault="009719FC" w:rsidP="001910BF">
      <w:pPr>
        <w:pStyle w:val="FootnoteText"/>
      </w:pPr>
      <w:r>
        <w:rPr>
          <w:rStyle w:val="FootnoteReference"/>
        </w:rPr>
        <w:footnoteRef/>
      </w:r>
      <w:r>
        <w:t xml:space="preserve"> </w:t>
      </w:r>
      <w:r>
        <w:tab/>
        <w:t>Based on information provided by AV.</w:t>
      </w:r>
    </w:p>
  </w:footnote>
  <w:footnote w:id="47">
    <w:p w14:paraId="668CA0DE" w14:textId="44595764" w:rsidR="009719FC" w:rsidRDefault="009719FC" w:rsidP="00212405">
      <w:pPr>
        <w:pStyle w:val="FootnoteText"/>
      </w:pPr>
      <w:r>
        <w:rPr>
          <w:rStyle w:val="FootnoteReference"/>
        </w:rPr>
        <w:footnoteRef/>
      </w:r>
      <w:r>
        <w:t xml:space="preserve"> </w:t>
      </w:r>
      <w:r>
        <w:tab/>
        <w:t>Based on the regulation numbers in the proposed Regulations.</w:t>
      </w:r>
    </w:p>
  </w:footnote>
  <w:footnote w:id="48">
    <w:p w14:paraId="20E60184" w14:textId="73821616" w:rsidR="009719FC" w:rsidRDefault="009719FC" w:rsidP="00212405">
      <w:pPr>
        <w:pStyle w:val="FootnoteText"/>
      </w:pPr>
      <w:r>
        <w:rPr>
          <w:rStyle w:val="FootnoteReference"/>
        </w:rPr>
        <w:footnoteRef/>
      </w:r>
      <w:r>
        <w:t xml:space="preserve"> </w:t>
      </w:r>
      <w:r>
        <w:tab/>
        <w:t>Information provided by AV.</w:t>
      </w:r>
    </w:p>
  </w:footnote>
  <w:footnote w:id="49">
    <w:p w14:paraId="0AAE3CB9" w14:textId="77777777" w:rsidR="009719FC" w:rsidRDefault="009719FC" w:rsidP="00212405">
      <w:pPr>
        <w:pStyle w:val="FootnoteText"/>
      </w:pPr>
      <w:r>
        <w:rPr>
          <w:rStyle w:val="FootnoteReference"/>
        </w:rPr>
        <w:footnoteRef/>
      </w:r>
      <w:r>
        <w:t xml:space="preserve"> </w:t>
      </w:r>
      <w:r>
        <w:tab/>
        <w:t>Information provided by AV.</w:t>
      </w:r>
    </w:p>
  </w:footnote>
  <w:footnote w:id="50">
    <w:p w14:paraId="0F26A465" w14:textId="2F89C1A6" w:rsidR="009719FC" w:rsidRDefault="009719FC">
      <w:pPr>
        <w:pStyle w:val="FootnoteText"/>
      </w:pPr>
      <w:r>
        <w:rPr>
          <w:rStyle w:val="FootnoteReference"/>
        </w:rPr>
        <w:footnoteRef/>
      </w:r>
      <w:r>
        <w:t xml:space="preserve"> </w:t>
      </w:r>
      <w:r>
        <w:tab/>
        <w:t>Information provided by AV.</w:t>
      </w:r>
    </w:p>
  </w:footnote>
  <w:footnote w:id="51">
    <w:p w14:paraId="3BD6AE36" w14:textId="4C992E16" w:rsidR="009719FC" w:rsidRDefault="009719FC">
      <w:pPr>
        <w:pStyle w:val="FootnoteText"/>
      </w:pPr>
      <w:r>
        <w:rPr>
          <w:rStyle w:val="FootnoteReference"/>
        </w:rPr>
        <w:footnoteRef/>
      </w:r>
      <w:r>
        <w:t xml:space="preserve"> </w:t>
      </w:r>
      <w:r>
        <w:tab/>
        <w:t>PwC analysis based on advice and data from AV.</w:t>
      </w:r>
    </w:p>
  </w:footnote>
  <w:footnote w:id="52">
    <w:p w14:paraId="4A81D23A" w14:textId="1170D42F" w:rsidR="009719FC" w:rsidRDefault="009719FC">
      <w:pPr>
        <w:pStyle w:val="FootnoteText"/>
      </w:pPr>
      <w:r>
        <w:rPr>
          <w:rStyle w:val="FootnoteReference"/>
        </w:rPr>
        <w:footnoteRef/>
      </w:r>
      <w:r>
        <w:t xml:space="preserve"> </w:t>
      </w:r>
      <w:r>
        <w:tab/>
        <w:t>Based on surveys of heritage advisors and RAPs.</w:t>
      </w:r>
    </w:p>
  </w:footnote>
  <w:footnote w:id="53">
    <w:p w14:paraId="3E7844E9" w14:textId="2F051571" w:rsidR="009719FC" w:rsidRDefault="009719FC">
      <w:pPr>
        <w:pStyle w:val="FootnoteText"/>
      </w:pPr>
      <w:r>
        <w:rPr>
          <w:rStyle w:val="FootnoteReference"/>
        </w:rPr>
        <w:footnoteRef/>
      </w:r>
      <w:r>
        <w:t xml:space="preserve"> </w:t>
      </w:r>
      <w:r>
        <w:tab/>
        <w:t>John Rolfe and Jill Windle, ‘Valuing the protection of Aboriginal cultural heritage sites’, The Economic Record, Vol. 79, Special Issue, pp. 85-95. While this study is more than a decade old, given the scarcity of other studies examining the preferences of Victorians towards the value of Aboriginal cultural heritage, AV considers it is reasonable to consider the results of this study as a useful indication of the value of Aboriginal cultural heritage.</w:t>
      </w:r>
    </w:p>
  </w:footnote>
  <w:footnote w:id="54">
    <w:p w14:paraId="1DBB674C" w14:textId="77777777" w:rsidR="009719FC" w:rsidRDefault="009719FC">
      <w:pPr>
        <w:pStyle w:val="FootnoteText"/>
      </w:pPr>
      <w:r>
        <w:rPr>
          <w:rStyle w:val="FootnoteReference"/>
        </w:rPr>
        <w:footnoteRef/>
      </w:r>
      <w:r>
        <w:t xml:space="preserve"> </w:t>
      </w:r>
      <w:r>
        <w:tab/>
        <w:t>The Allen Consulting Group report prepared for the Heritage Chairs and Officials of Australia and New Zealand, ‘Valuing the priceless: The value of historic heritage in Australia’, Research Report 2, 2005.</w:t>
      </w:r>
    </w:p>
  </w:footnote>
  <w:footnote w:id="55">
    <w:p w14:paraId="7461ED6A" w14:textId="207B9C2A" w:rsidR="009719FC" w:rsidRDefault="009719FC">
      <w:pPr>
        <w:pStyle w:val="FootnoteText"/>
      </w:pPr>
      <w:r>
        <w:rPr>
          <w:rStyle w:val="FootnoteReference"/>
        </w:rPr>
        <w:footnoteRef/>
      </w:r>
      <w:r>
        <w:t xml:space="preserve"> </w:t>
      </w:r>
      <w:r>
        <w:tab/>
        <w:t>The stated value approach to quantifying benefits may capture some level of social, psychological, education and justice outcomes, however, these aspects were not directly mentioned by participants in Rolfe and Windle’s choice modelling exercise.</w:t>
      </w:r>
    </w:p>
  </w:footnote>
  <w:footnote w:id="56">
    <w:p w14:paraId="5F3892BC" w14:textId="77777777" w:rsidR="009719FC" w:rsidRDefault="009719FC">
      <w:pPr>
        <w:pStyle w:val="FootnoteText"/>
      </w:pPr>
      <w:r>
        <w:rPr>
          <w:rStyle w:val="FootnoteReference"/>
        </w:rPr>
        <w:footnoteRef/>
      </w:r>
      <w:r>
        <w:t xml:space="preserve"> </w:t>
      </w:r>
      <w:r>
        <w:tab/>
        <w:t xml:space="preserve">australia.gov.au, ‘Australia’s Indigenous cultural heritage’, </w:t>
      </w:r>
      <w:hyperlink r:id="rId1" w:history="1">
        <w:r w:rsidRPr="00D7587E">
          <w:rPr>
            <w:rStyle w:val="Hyperlink"/>
          </w:rPr>
          <w:t>http://www.australia.gov.au/about-australia/australian-story/austn-indigenous-cultural-heritage</w:t>
        </w:r>
      </w:hyperlink>
      <w:r>
        <w:t xml:space="preserve"> </w:t>
      </w:r>
    </w:p>
  </w:footnote>
  <w:footnote w:id="57">
    <w:p w14:paraId="18622D70" w14:textId="77777777" w:rsidR="009719FC" w:rsidRDefault="009719FC">
      <w:pPr>
        <w:pStyle w:val="FootnoteText"/>
      </w:pPr>
      <w:r>
        <w:rPr>
          <w:rStyle w:val="FootnoteReference"/>
        </w:rPr>
        <w:footnoteRef/>
      </w:r>
      <w:r>
        <w:t xml:space="preserve"> </w:t>
      </w:r>
      <w:r>
        <w:tab/>
        <w:t xml:space="preserve">Australian Human Rights Commission, ‘Submission – Ratification of 2003 UNESCO Convention for Safeguarding of Intangible Cultural Heritage’, 2008, </w:t>
      </w:r>
      <w:hyperlink r:id="rId2" w:history="1">
        <w:r w:rsidRPr="00D7587E">
          <w:rPr>
            <w:rStyle w:val="Hyperlink"/>
          </w:rPr>
          <w:t>https://www.humanrights.gov.au/submission-ratification-2003-unesco-convention-safeguarding-intangible-cultural-heritage-2008</w:t>
        </w:r>
      </w:hyperlink>
      <w:r>
        <w:t xml:space="preserve"> </w:t>
      </w:r>
    </w:p>
  </w:footnote>
  <w:footnote w:id="58">
    <w:p w14:paraId="0975CDD3" w14:textId="77777777" w:rsidR="009719FC" w:rsidRDefault="009719FC">
      <w:pPr>
        <w:pStyle w:val="FootnoteText"/>
      </w:pPr>
      <w:r>
        <w:rPr>
          <w:rStyle w:val="FootnoteReference"/>
        </w:rPr>
        <w:footnoteRef/>
      </w:r>
      <w:r>
        <w:t xml:space="preserve"> </w:t>
      </w:r>
      <w:r>
        <w:tab/>
        <w:t xml:space="preserve">NSW Parliamentary Library Research Service, ‘e-brief: Indigenous disadvantage: Can strengthening cultural attachment help to close the gap’, 2011, </w:t>
      </w:r>
      <w:hyperlink r:id="rId3" w:history="1">
        <w:r w:rsidRPr="00D7587E">
          <w:rPr>
            <w:rStyle w:val="Hyperlink"/>
          </w:rPr>
          <w:t>http://alc.org.au/media/74358/parliament%20e-brief%20aboriginal%20disadvantage[2].pdf</w:t>
        </w:r>
      </w:hyperlink>
      <w:r>
        <w:t xml:space="preserve"> </w:t>
      </w:r>
    </w:p>
  </w:footnote>
  <w:footnote w:id="59">
    <w:p w14:paraId="0765CA9B" w14:textId="77777777" w:rsidR="009719FC" w:rsidRDefault="009719FC" w:rsidP="00E423D4">
      <w:pPr>
        <w:pStyle w:val="FootnoteText"/>
      </w:pPr>
      <w:r>
        <w:rPr>
          <w:rStyle w:val="FootnoteReference"/>
        </w:rPr>
        <w:footnoteRef/>
      </w:r>
      <w:r>
        <w:t xml:space="preserve"> </w:t>
      </w:r>
      <w:r>
        <w:tab/>
        <w:t>ABS, ‘Aboriginal and Torres Strait Islander Wellbeing: A focus on children and youth', Cat. 4725.0, 2011</w:t>
      </w:r>
    </w:p>
  </w:footnote>
  <w:footnote w:id="60">
    <w:p w14:paraId="76DF1080" w14:textId="77777777" w:rsidR="009719FC" w:rsidRDefault="009719FC" w:rsidP="00C028C0">
      <w:pPr>
        <w:pStyle w:val="FootnoteText"/>
      </w:pPr>
      <w:r>
        <w:rPr>
          <w:rStyle w:val="FootnoteReference"/>
        </w:rPr>
        <w:footnoteRef/>
      </w:r>
      <w:r>
        <w:t xml:space="preserve"> </w:t>
      </w:r>
      <w:r>
        <w:tab/>
        <w:t>The Allen Consulting Group report prepared for the Heritage Chairs and Officials of Australia and New Zealand, ‘Valuing the priceless: The value of historic heritage in Australia’, Research Report 2, 2005.</w:t>
      </w:r>
    </w:p>
  </w:footnote>
  <w:footnote w:id="61">
    <w:p w14:paraId="6688FC4D" w14:textId="77777777" w:rsidR="009719FC" w:rsidRDefault="009719FC" w:rsidP="00C028C0">
      <w:pPr>
        <w:pStyle w:val="FootnoteText"/>
      </w:pPr>
      <w:r>
        <w:rPr>
          <w:rStyle w:val="FootnoteReference"/>
        </w:rPr>
        <w:footnoteRef/>
      </w:r>
      <w:r>
        <w:t xml:space="preserve"> </w:t>
      </w:r>
      <w:r>
        <w:tab/>
      </w:r>
      <w:r w:rsidRPr="00106BE1">
        <w:t>Tourism Victoria, Victorian Aboriginal Tourism Development Strategy 2013-2023</w:t>
      </w:r>
      <w:r>
        <w:t>.</w:t>
      </w:r>
    </w:p>
  </w:footnote>
  <w:footnote w:id="62">
    <w:p w14:paraId="30441547" w14:textId="77777777" w:rsidR="009719FC" w:rsidRDefault="009719FC" w:rsidP="00C028C0">
      <w:pPr>
        <w:pStyle w:val="FootnoteText"/>
      </w:pPr>
      <w:r>
        <w:rPr>
          <w:rStyle w:val="FootnoteReference"/>
        </w:rPr>
        <w:footnoteRef/>
      </w:r>
      <w:r>
        <w:t xml:space="preserve"> </w:t>
      </w:r>
      <w:r>
        <w:tab/>
      </w:r>
      <w:r w:rsidRPr="00A210B1">
        <w:t>Department of Economic Development, Jobs, Transport and Resources</w:t>
      </w:r>
      <w:r>
        <w:t xml:space="preserve">, ‘Victoria’s international tourism performance, </w:t>
      </w:r>
      <w:hyperlink r:id="rId4" w:history="1">
        <w:r w:rsidRPr="00D7587E">
          <w:rPr>
            <w:rStyle w:val="Hyperlink"/>
          </w:rPr>
          <w:t>http://www.business.vic.gov.au/__data/assets/pdf_file/0007/1597525/Tourism-International-Infographic-September-2017-FINAL.pdf</w:t>
        </w:r>
      </w:hyperlink>
      <w:r>
        <w:t xml:space="preserve"> </w:t>
      </w:r>
    </w:p>
  </w:footnote>
  <w:footnote w:id="63">
    <w:p w14:paraId="3EF10F92" w14:textId="77777777" w:rsidR="009719FC" w:rsidRDefault="009719FC" w:rsidP="00C028C0">
      <w:pPr>
        <w:pStyle w:val="FootnoteText"/>
      </w:pPr>
      <w:r>
        <w:rPr>
          <w:rStyle w:val="FootnoteReference"/>
        </w:rPr>
        <w:footnoteRef/>
      </w:r>
      <w:r>
        <w:t xml:space="preserve"> </w:t>
      </w:r>
      <w:r>
        <w:tab/>
      </w:r>
      <w:r w:rsidRPr="00A210B1">
        <w:t>Department of Economic Development, Jobs, Transport and Resources</w:t>
      </w:r>
      <w:r>
        <w:t xml:space="preserve">, ‘Victoria’s domestic tourism performance, </w:t>
      </w:r>
      <w:hyperlink r:id="rId5" w:history="1">
        <w:r w:rsidRPr="00D7587E">
          <w:rPr>
            <w:rStyle w:val="Hyperlink"/>
          </w:rPr>
          <w:t>http://www.business.vic.gov.au/__data/assets/pdf_file/0009/1551753/Tourism_Domestic_Infographic_YEJun17_FINAL.PDF</w:t>
        </w:r>
      </w:hyperlink>
      <w:r>
        <w:t xml:space="preserve"> </w:t>
      </w:r>
    </w:p>
  </w:footnote>
  <w:footnote w:id="64">
    <w:p w14:paraId="5F4EC6FA" w14:textId="180BAA47" w:rsidR="009719FC" w:rsidRDefault="009719FC">
      <w:pPr>
        <w:pStyle w:val="FootnoteText"/>
      </w:pPr>
      <w:r>
        <w:rPr>
          <w:rStyle w:val="FootnoteReference"/>
        </w:rPr>
        <w:footnoteRef/>
      </w:r>
      <w:r>
        <w:t xml:space="preserve"> </w:t>
      </w:r>
      <w:r>
        <w:tab/>
        <w:t>PwC analysis based on advice and data from AV.</w:t>
      </w:r>
    </w:p>
  </w:footnote>
  <w:footnote w:id="65">
    <w:p w14:paraId="671A6390" w14:textId="2604588B" w:rsidR="009719FC" w:rsidRDefault="009719FC">
      <w:pPr>
        <w:pStyle w:val="FootnoteText"/>
      </w:pPr>
      <w:r>
        <w:rPr>
          <w:rStyle w:val="FootnoteReference"/>
        </w:rPr>
        <w:footnoteRef/>
      </w:r>
      <w:r>
        <w:t xml:space="preserve"> </w:t>
      </w:r>
      <w:r>
        <w:tab/>
        <w:t>PwC analysis of advice and data from AV. Note that CHMPs can be conducted voluntarily, and the costs of these CHMPs have not been attributed to the Regulations. Numbers are rounded.</w:t>
      </w:r>
    </w:p>
  </w:footnote>
  <w:footnote w:id="66">
    <w:p w14:paraId="7A6A818C" w14:textId="3BF848B4" w:rsidR="009719FC" w:rsidRDefault="009719FC">
      <w:pPr>
        <w:pStyle w:val="FootnoteText"/>
      </w:pPr>
      <w:r>
        <w:rPr>
          <w:rStyle w:val="FootnoteReference"/>
        </w:rPr>
        <w:footnoteRef/>
      </w:r>
      <w:r>
        <w:t xml:space="preserve"> </w:t>
      </w:r>
      <w:r>
        <w:tab/>
        <w:t>Estimate based on surveys of heritage advisors and sponsors. Note that these costs do not include government or RAP fees.</w:t>
      </w:r>
    </w:p>
  </w:footnote>
  <w:footnote w:id="67">
    <w:p w14:paraId="62F8C9D3" w14:textId="66C99787" w:rsidR="009719FC" w:rsidRDefault="009719FC">
      <w:pPr>
        <w:pStyle w:val="FootnoteText"/>
      </w:pPr>
      <w:r>
        <w:rPr>
          <w:rStyle w:val="FootnoteReference"/>
        </w:rPr>
        <w:footnoteRef/>
      </w:r>
      <w:r>
        <w:t xml:space="preserve"> </w:t>
      </w:r>
      <w:r>
        <w:tab/>
        <w:t>Estimate based on surveys of heritage advisors and sponsors. Sponsor time for CHMPs with standard assessments and complex assessments includes time taken for desktop assessments (and standard assessments as applicable).</w:t>
      </w:r>
    </w:p>
  </w:footnote>
  <w:footnote w:id="68">
    <w:p w14:paraId="7D638821" w14:textId="77777777" w:rsidR="009719FC" w:rsidRDefault="009719FC">
      <w:pPr>
        <w:pStyle w:val="FootnoteText"/>
      </w:pPr>
      <w:r>
        <w:rPr>
          <w:rStyle w:val="FootnoteReference"/>
        </w:rPr>
        <w:footnoteRef/>
      </w:r>
      <w:r>
        <w:t xml:space="preserve"> </w:t>
      </w:r>
      <w:r>
        <w:tab/>
        <w:t>Estimate based on surveys of heritage advisors and sponsors.</w:t>
      </w:r>
    </w:p>
  </w:footnote>
  <w:footnote w:id="69">
    <w:p w14:paraId="0B1088FD" w14:textId="2D55DC41" w:rsidR="009719FC" w:rsidRDefault="009719FC">
      <w:pPr>
        <w:pStyle w:val="FootnoteText"/>
      </w:pPr>
      <w:r>
        <w:rPr>
          <w:rStyle w:val="FootnoteReference"/>
        </w:rPr>
        <w:footnoteRef/>
      </w:r>
      <w:r>
        <w:t xml:space="preserve"> </w:t>
      </w:r>
      <w:r>
        <w:tab/>
        <w:t>Based on the number that have been amended since the introduction of these provisions.</w:t>
      </w:r>
    </w:p>
  </w:footnote>
  <w:footnote w:id="70">
    <w:p w14:paraId="52B900B2" w14:textId="45CE1583" w:rsidR="009719FC" w:rsidRDefault="009719FC">
      <w:pPr>
        <w:pStyle w:val="FootnoteText"/>
      </w:pPr>
      <w:r>
        <w:rPr>
          <w:rStyle w:val="FootnoteReference"/>
        </w:rPr>
        <w:footnoteRef/>
      </w:r>
      <w:r>
        <w:t xml:space="preserve"> </w:t>
      </w:r>
      <w:r>
        <w:tab/>
        <w:t>Estimate based on surveys of heritage advisors and sponsors.</w:t>
      </w:r>
    </w:p>
  </w:footnote>
  <w:footnote w:id="71">
    <w:p w14:paraId="6E6A4A14" w14:textId="77777777" w:rsidR="009719FC" w:rsidRDefault="009719FC">
      <w:pPr>
        <w:pStyle w:val="FootnoteText"/>
      </w:pPr>
      <w:r>
        <w:rPr>
          <w:rStyle w:val="FootnoteReference"/>
        </w:rPr>
        <w:footnoteRef/>
      </w:r>
      <w:r>
        <w:t xml:space="preserve"> </w:t>
      </w:r>
      <w:r>
        <w:tab/>
        <w:t>Calculation based on weighting the attributable cost of a CHMP by the proportion of CHMPs that are desktop, standard or complex assessments.</w:t>
      </w:r>
    </w:p>
  </w:footnote>
  <w:footnote w:id="72">
    <w:p w14:paraId="576AEFCB" w14:textId="77777777" w:rsidR="009719FC" w:rsidRDefault="009719FC" w:rsidP="00595EF1">
      <w:pPr>
        <w:pStyle w:val="FootnoteText"/>
      </w:pPr>
      <w:r>
        <w:rPr>
          <w:rStyle w:val="FootnoteReference"/>
        </w:rPr>
        <w:footnoteRef/>
      </w:r>
      <w:r>
        <w:t xml:space="preserve"> </w:t>
      </w:r>
      <w:r>
        <w:tab/>
        <w:t>Estimate based on survey of heritage advisors.</w:t>
      </w:r>
    </w:p>
  </w:footnote>
  <w:footnote w:id="73">
    <w:p w14:paraId="43FC7340" w14:textId="53FB0A4E" w:rsidR="009719FC" w:rsidRDefault="009719FC">
      <w:pPr>
        <w:pStyle w:val="FootnoteText"/>
      </w:pPr>
      <w:r>
        <w:rPr>
          <w:rStyle w:val="FootnoteReference"/>
        </w:rPr>
        <w:footnoteRef/>
      </w:r>
      <w:r>
        <w:t xml:space="preserve"> </w:t>
      </w:r>
      <w:r>
        <w:tab/>
        <w:t xml:space="preserve">This is a conservative assumption as it is possible that most incomplete CHMPs would end at the desktop assessment stage. It is unlikely that they would progress past the standard assessment stage, as this involves costly disturbance or salvage of the activity area. </w:t>
      </w:r>
      <w:r w:rsidRPr="004D7BC5">
        <w:t xml:space="preserve">If a CHMP is discontinued but an assessment (desktop, standard or complex) has been carried out, the incomplete CHMP must be submitted to the Register. </w:t>
      </w:r>
    </w:p>
  </w:footnote>
  <w:footnote w:id="74">
    <w:p w14:paraId="7EA8D746" w14:textId="77777777" w:rsidR="009719FC" w:rsidRDefault="009719FC">
      <w:pPr>
        <w:pStyle w:val="FootnoteText"/>
      </w:pPr>
      <w:r>
        <w:rPr>
          <w:rStyle w:val="FootnoteReference"/>
        </w:rPr>
        <w:footnoteRef/>
      </w:r>
      <w:r>
        <w:t xml:space="preserve"> </w:t>
      </w:r>
      <w:r>
        <w:tab/>
        <w:t>PwC analysis based on information provided by AV.</w:t>
      </w:r>
    </w:p>
  </w:footnote>
  <w:footnote w:id="75">
    <w:p w14:paraId="2E579BEE" w14:textId="11DB23C4" w:rsidR="009719FC" w:rsidRDefault="009719FC">
      <w:pPr>
        <w:pStyle w:val="FootnoteText"/>
      </w:pPr>
      <w:r>
        <w:rPr>
          <w:rStyle w:val="FootnoteReference"/>
        </w:rPr>
        <w:footnoteRef/>
      </w:r>
      <w:r>
        <w:t xml:space="preserve"> </w:t>
      </w:r>
      <w:r>
        <w:tab/>
        <w:t xml:space="preserve">Estimate based on surveys of heritage advisors and sponsors. </w:t>
      </w:r>
    </w:p>
  </w:footnote>
  <w:footnote w:id="76">
    <w:p w14:paraId="3E0C5071" w14:textId="5759643A" w:rsidR="009719FC" w:rsidRDefault="009719FC">
      <w:pPr>
        <w:pStyle w:val="FootnoteText"/>
      </w:pPr>
      <w:r>
        <w:rPr>
          <w:rStyle w:val="FootnoteReference"/>
        </w:rPr>
        <w:footnoteRef/>
      </w:r>
      <w:r>
        <w:t xml:space="preserve"> </w:t>
      </w:r>
      <w:r>
        <w:tab/>
        <w:t>Management conditions are not relevant for desktop assessments, as this level of assessment indicates that Aboriginal cultural heritage is unlikely to be found in the activity area.</w:t>
      </w:r>
    </w:p>
  </w:footnote>
  <w:footnote w:id="77">
    <w:p w14:paraId="7205CAE8" w14:textId="77777777" w:rsidR="009719FC" w:rsidRDefault="009719FC">
      <w:pPr>
        <w:pStyle w:val="FootnoteText"/>
      </w:pPr>
      <w:r>
        <w:rPr>
          <w:rStyle w:val="FootnoteReference"/>
        </w:rPr>
        <w:footnoteRef/>
      </w:r>
      <w:r>
        <w:t xml:space="preserve"> </w:t>
      </w:r>
      <w:r>
        <w:tab/>
        <w:t>Calculation based on weighting how often each management condition type occurs.</w:t>
      </w:r>
    </w:p>
  </w:footnote>
  <w:footnote w:id="78">
    <w:p w14:paraId="63461121" w14:textId="77777777" w:rsidR="009719FC" w:rsidRDefault="009719FC">
      <w:pPr>
        <w:pStyle w:val="FootnoteText"/>
      </w:pPr>
      <w:r>
        <w:rPr>
          <w:rStyle w:val="FootnoteReference"/>
        </w:rPr>
        <w:footnoteRef/>
      </w:r>
      <w:r>
        <w:t xml:space="preserve"> </w:t>
      </w:r>
      <w:r>
        <w:tab/>
        <w:t>PwC analysis based on information provided by AV.</w:t>
      </w:r>
    </w:p>
  </w:footnote>
  <w:footnote w:id="79">
    <w:p w14:paraId="5C509FB6" w14:textId="48999969" w:rsidR="009719FC" w:rsidRDefault="009719FC">
      <w:pPr>
        <w:pStyle w:val="FootnoteText"/>
      </w:pPr>
      <w:r>
        <w:rPr>
          <w:rStyle w:val="FootnoteReference"/>
        </w:rPr>
        <w:footnoteRef/>
      </w:r>
      <w:r>
        <w:t xml:space="preserve"> </w:t>
      </w:r>
      <w:r>
        <w:tab/>
        <w:t>Urban Development Institute of Australia submission to the AV discussion paper, September 2017.</w:t>
      </w:r>
    </w:p>
  </w:footnote>
  <w:footnote w:id="80">
    <w:p w14:paraId="630B0ACC" w14:textId="284F6666" w:rsidR="009719FC" w:rsidRDefault="009719FC">
      <w:pPr>
        <w:pStyle w:val="FootnoteText"/>
      </w:pPr>
      <w:r>
        <w:rPr>
          <w:rStyle w:val="FootnoteReference"/>
        </w:rPr>
        <w:footnoteRef/>
      </w:r>
      <w:r>
        <w:t xml:space="preserve"> </w:t>
      </w:r>
      <w:r>
        <w:tab/>
        <w:t>CHMPs relating to pipelines, roads and the NBN make up eight, seven and less than one per cent of all CHMPs respectively.</w:t>
      </w:r>
    </w:p>
  </w:footnote>
  <w:footnote w:id="81">
    <w:p w14:paraId="79938E3D" w14:textId="77777777" w:rsidR="009719FC" w:rsidRDefault="009719FC" w:rsidP="00212405">
      <w:pPr>
        <w:pStyle w:val="FootnoteText"/>
      </w:pPr>
      <w:r>
        <w:rPr>
          <w:rStyle w:val="FootnoteReference"/>
        </w:rPr>
        <w:footnoteRef/>
      </w:r>
      <w:r>
        <w:t xml:space="preserve"> </w:t>
      </w:r>
      <w:r>
        <w:tab/>
        <w:t>Based on the regulation numbers in the proposed Regulations.</w:t>
      </w:r>
    </w:p>
  </w:footnote>
  <w:footnote w:id="82">
    <w:p w14:paraId="0ED86AC4" w14:textId="590613BF" w:rsidR="009719FC" w:rsidRDefault="009719FC">
      <w:pPr>
        <w:pStyle w:val="FootnoteText"/>
      </w:pPr>
      <w:r>
        <w:rPr>
          <w:rStyle w:val="FootnoteReference"/>
        </w:rPr>
        <w:footnoteRef/>
      </w:r>
      <w:r>
        <w:t xml:space="preserve"> </w:t>
      </w:r>
      <w:r>
        <w:tab/>
        <w:t>Based on analysis of historical development activity data by AV.</w:t>
      </w:r>
    </w:p>
  </w:footnote>
  <w:footnote w:id="83">
    <w:p w14:paraId="3FBB4D1E" w14:textId="198D73A8" w:rsidR="009719FC" w:rsidRDefault="009719FC">
      <w:pPr>
        <w:pStyle w:val="FootnoteText"/>
      </w:pPr>
      <w:r>
        <w:rPr>
          <w:rStyle w:val="FootnoteReference"/>
        </w:rPr>
        <w:footnoteRef/>
      </w:r>
      <w:r>
        <w:t xml:space="preserve"> </w:t>
      </w:r>
      <w:r>
        <w:tab/>
        <w:t>This is a conservative assumption due to a lack of data. Based on analysis of heritage advisor survey responses, it is probable that there would be a reduction in time required, but the quantum of time reduction is difficult to estimate.</w:t>
      </w:r>
    </w:p>
  </w:footnote>
  <w:footnote w:id="84">
    <w:p w14:paraId="344E9F07" w14:textId="61F64523" w:rsidR="009719FC" w:rsidRDefault="009719FC">
      <w:pPr>
        <w:pStyle w:val="FootnoteText"/>
      </w:pPr>
      <w:r>
        <w:rPr>
          <w:rStyle w:val="FootnoteReference"/>
        </w:rPr>
        <w:footnoteRef/>
      </w:r>
      <w:r>
        <w:t xml:space="preserve"> </w:t>
      </w:r>
      <w:r>
        <w:tab/>
        <w:t>Based on analysis of geospatial and geographic data by AV.</w:t>
      </w:r>
    </w:p>
  </w:footnote>
  <w:footnote w:id="85">
    <w:p w14:paraId="5AE78C56" w14:textId="47629E27" w:rsidR="009719FC" w:rsidRDefault="009719FC">
      <w:pPr>
        <w:pStyle w:val="FootnoteText"/>
      </w:pPr>
      <w:r>
        <w:rPr>
          <w:rStyle w:val="FootnoteReference"/>
        </w:rPr>
        <w:footnoteRef/>
      </w:r>
      <w:r>
        <w:t xml:space="preserve"> </w:t>
      </w:r>
      <w:r>
        <w:tab/>
        <w:t>Based on analysis of historical development activity data by AV.</w:t>
      </w:r>
    </w:p>
  </w:footnote>
  <w:footnote w:id="86">
    <w:p w14:paraId="317C7CBC" w14:textId="2DE50E4E" w:rsidR="009719FC" w:rsidRDefault="009719FC">
      <w:pPr>
        <w:pStyle w:val="FootnoteText"/>
      </w:pPr>
      <w:r>
        <w:rPr>
          <w:rStyle w:val="FootnoteReference"/>
        </w:rPr>
        <w:footnoteRef/>
      </w:r>
      <w:r>
        <w:t xml:space="preserve"> </w:t>
      </w:r>
      <w:r>
        <w:tab/>
        <w:t>Based on analysis of historical development activity data by AV.</w:t>
      </w:r>
    </w:p>
  </w:footnote>
  <w:footnote w:id="87">
    <w:p w14:paraId="01A9AE95" w14:textId="233B1D70" w:rsidR="009719FC" w:rsidRDefault="009719FC">
      <w:pPr>
        <w:pStyle w:val="FootnoteText"/>
      </w:pPr>
      <w:r>
        <w:rPr>
          <w:rStyle w:val="FootnoteReference"/>
        </w:rPr>
        <w:footnoteRef/>
      </w:r>
      <w:r>
        <w:t xml:space="preserve"> </w:t>
      </w:r>
      <w:r>
        <w:tab/>
        <w:t>Based on analysis of historical development activity data by AV.</w:t>
      </w:r>
    </w:p>
  </w:footnote>
  <w:footnote w:id="88">
    <w:p w14:paraId="2FAEE554" w14:textId="64BCFB75" w:rsidR="009719FC" w:rsidRDefault="009719FC">
      <w:pPr>
        <w:pStyle w:val="FootnoteText"/>
      </w:pPr>
      <w:r>
        <w:rPr>
          <w:rStyle w:val="FootnoteReference"/>
        </w:rPr>
        <w:footnoteRef/>
      </w:r>
      <w:r>
        <w:t xml:space="preserve"> </w:t>
      </w:r>
      <w:r>
        <w:tab/>
        <w:t>Based on analysis of historical development activity by AV.</w:t>
      </w:r>
    </w:p>
  </w:footnote>
  <w:footnote w:id="89">
    <w:p w14:paraId="0E4A9BBE" w14:textId="4085B2B8" w:rsidR="009719FC" w:rsidRDefault="009719FC">
      <w:pPr>
        <w:pStyle w:val="FootnoteText"/>
      </w:pPr>
      <w:r>
        <w:rPr>
          <w:rStyle w:val="FootnoteReference"/>
        </w:rPr>
        <w:footnoteRef/>
      </w:r>
      <w:r>
        <w:t xml:space="preserve"> </w:t>
      </w:r>
      <w:r>
        <w:tab/>
        <w:t>Based on analysis by PwC and AV using historical data and geospatial mapping.</w:t>
      </w:r>
    </w:p>
  </w:footnote>
  <w:footnote w:id="90">
    <w:p w14:paraId="1D474E01" w14:textId="0A91DE29" w:rsidR="009719FC" w:rsidRDefault="009719FC">
      <w:pPr>
        <w:pStyle w:val="FootnoteText"/>
      </w:pPr>
      <w:r>
        <w:rPr>
          <w:rStyle w:val="FootnoteReference"/>
        </w:rPr>
        <w:footnoteRef/>
      </w:r>
      <w:r>
        <w:t xml:space="preserve"> </w:t>
      </w:r>
      <w:r>
        <w:tab/>
        <w:t>Based on analysis of heritage advisor survey responses and historical CHMP data by PwC and AV.</w:t>
      </w:r>
    </w:p>
  </w:footnote>
  <w:footnote w:id="91">
    <w:p w14:paraId="0EA7B656" w14:textId="77777777" w:rsidR="009719FC" w:rsidRDefault="009719FC" w:rsidP="004A6198">
      <w:pPr>
        <w:pStyle w:val="FootnoteText"/>
      </w:pPr>
      <w:r>
        <w:rPr>
          <w:rStyle w:val="FootnoteReference"/>
        </w:rPr>
        <w:footnoteRef/>
      </w:r>
      <w:r>
        <w:t xml:space="preserve"> </w:t>
      </w:r>
      <w:r>
        <w:tab/>
        <w:t>PwC analysis of advice and data from AV. Note that CHMPs can be conducted voluntarily, and the costs of these CHMPs have not been attributed to the Regulations. Numbers are rounded.</w:t>
      </w:r>
    </w:p>
  </w:footnote>
  <w:footnote w:id="92">
    <w:p w14:paraId="69CE7D56" w14:textId="77777777" w:rsidR="009719FC" w:rsidRDefault="009719FC" w:rsidP="004A6198">
      <w:pPr>
        <w:pStyle w:val="FootnoteText"/>
      </w:pPr>
      <w:r>
        <w:rPr>
          <w:rStyle w:val="FootnoteReference"/>
        </w:rPr>
        <w:footnoteRef/>
      </w:r>
      <w:r>
        <w:t xml:space="preserve"> </w:t>
      </w:r>
      <w:r>
        <w:tab/>
        <w:t>Calculation based on weighting the attributable cost of a CHMP by the proportion of CHMPs that are desktop, standard or complex assessments.</w:t>
      </w:r>
    </w:p>
  </w:footnote>
  <w:footnote w:id="93">
    <w:p w14:paraId="345E17E6" w14:textId="7E015C57" w:rsidR="009719FC" w:rsidRDefault="009719FC">
      <w:pPr>
        <w:pStyle w:val="FootnoteText"/>
      </w:pPr>
      <w:r>
        <w:rPr>
          <w:rStyle w:val="FootnoteReference"/>
        </w:rPr>
        <w:footnoteRef/>
      </w:r>
      <w:r>
        <w:t xml:space="preserve"> </w:t>
      </w:r>
      <w:r>
        <w:tab/>
        <w:t xml:space="preserve">This is based on the assumption that the same proportion of CHMPs will be abandoned before completion each year as currently, combined with the updated number of CHMPs undertaken each year (see the start of Section </w:t>
      </w:r>
      <w:r>
        <w:fldChar w:fldCharType="begin"/>
      </w:r>
      <w:r>
        <w:instrText xml:space="preserve"> REF _Ref506999149 \n \h </w:instrText>
      </w:r>
      <w:r>
        <w:fldChar w:fldCharType="separate"/>
      </w:r>
      <w:r>
        <w:t>6.3.2</w:t>
      </w:r>
      <w:r>
        <w:fldChar w:fldCharType="end"/>
      </w:r>
      <w:r>
        <w:t>).</w:t>
      </w:r>
    </w:p>
  </w:footnote>
  <w:footnote w:id="94">
    <w:p w14:paraId="6CB701F1" w14:textId="77777777" w:rsidR="009719FC" w:rsidRDefault="009719FC" w:rsidP="00660A78">
      <w:pPr>
        <w:pStyle w:val="FootnoteText"/>
      </w:pPr>
      <w:r>
        <w:rPr>
          <w:rStyle w:val="FootnoteReference"/>
        </w:rPr>
        <w:footnoteRef/>
      </w:r>
      <w:r>
        <w:t xml:space="preserve"> </w:t>
      </w:r>
      <w:r>
        <w:tab/>
        <w:t>Based on PwC analysis of survey results and AV analysis of historical data.</w:t>
      </w:r>
    </w:p>
  </w:footnote>
  <w:footnote w:id="95">
    <w:p w14:paraId="1FDD5FA3" w14:textId="2A1B4DF8" w:rsidR="009719FC" w:rsidRDefault="009719FC">
      <w:pPr>
        <w:pStyle w:val="FootnoteText"/>
      </w:pPr>
      <w:r>
        <w:rPr>
          <w:rStyle w:val="FootnoteReference"/>
        </w:rPr>
        <w:footnoteRef/>
      </w:r>
      <w:r>
        <w:t xml:space="preserve"> </w:t>
      </w:r>
      <w:r>
        <w:tab/>
        <w:t>There is likely to be a reduction of around 30 minutes per desktop assessment for a proportion of CHMPs, however, as the quantitative impact is uncertain, the conservative assumption has been made that there is no impact.</w:t>
      </w:r>
    </w:p>
  </w:footnote>
  <w:footnote w:id="96">
    <w:p w14:paraId="797D554F" w14:textId="77777777" w:rsidR="009719FC" w:rsidRDefault="009719FC" w:rsidP="00660A78">
      <w:pPr>
        <w:pStyle w:val="FootnoteText"/>
      </w:pPr>
      <w:r>
        <w:rPr>
          <w:rStyle w:val="FootnoteReference"/>
        </w:rPr>
        <w:footnoteRef/>
      </w:r>
      <w:r>
        <w:t xml:space="preserve"> </w:t>
      </w:r>
      <w:r>
        <w:tab/>
        <w:t>Based on PwC analysis of the results of the survey of heritage advisors, historical data provided by AV, and submissions from stakeholders.</w:t>
      </w:r>
    </w:p>
  </w:footnote>
  <w:footnote w:id="97">
    <w:p w14:paraId="62C1C999" w14:textId="5E2D8152" w:rsidR="009719FC" w:rsidRDefault="009719FC" w:rsidP="00376F53">
      <w:pPr>
        <w:pStyle w:val="FootnoteText"/>
      </w:pPr>
      <w:r>
        <w:rPr>
          <w:rStyle w:val="FootnoteReference"/>
        </w:rPr>
        <w:footnoteRef/>
      </w:r>
      <w:r>
        <w:t xml:space="preserve"> </w:t>
      </w:r>
      <w:r>
        <w:tab/>
        <w:t xml:space="preserve">Based on analysis by PwC and AV using historical data of CHMPs assessed by RAPs and the results of the survey of heritage advisors. The issue of inconsistent recommendations relates to those CHMPs assessed by certain assessors. </w:t>
      </w:r>
    </w:p>
  </w:footnote>
  <w:footnote w:id="98">
    <w:p w14:paraId="679DF84E" w14:textId="77777777" w:rsidR="009719FC" w:rsidRDefault="009719FC" w:rsidP="00CE1A10">
      <w:pPr>
        <w:pStyle w:val="FootnoteText"/>
      </w:pPr>
      <w:r>
        <w:rPr>
          <w:rStyle w:val="FootnoteReference"/>
        </w:rPr>
        <w:footnoteRef/>
      </w:r>
      <w:r>
        <w:t xml:space="preserve"> </w:t>
      </w:r>
      <w:r>
        <w:tab/>
        <w:t>PwC analysis of advice and data from AV. Note that CHMPs can be conducted voluntarily, and the costs of these CHMPs have not been attributed to the Regulations. Numbers are rounded.</w:t>
      </w:r>
    </w:p>
  </w:footnote>
  <w:footnote w:id="99">
    <w:p w14:paraId="00E2D1B9" w14:textId="799C073B" w:rsidR="009719FC" w:rsidRDefault="009719FC">
      <w:pPr>
        <w:pStyle w:val="FootnoteText"/>
      </w:pPr>
      <w:r>
        <w:rPr>
          <w:rStyle w:val="FootnoteReference"/>
        </w:rPr>
        <w:footnoteRef/>
      </w:r>
      <w:r>
        <w:t xml:space="preserve"> </w:t>
      </w:r>
      <w:r>
        <w:tab/>
        <w:t>It is likely that the number of incomplete CHMPs will fall, however, as the impact is uncertain, a conservative assumption has been made that there is no material change.</w:t>
      </w:r>
    </w:p>
  </w:footnote>
  <w:footnote w:id="100">
    <w:p w14:paraId="7AD96034" w14:textId="2C6CCB42" w:rsidR="009719FC" w:rsidRDefault="009719FC">
      <w:pPr>
        <w:pStyle w:val="FootnoteText"/>
      </w:pPr>
      <w:r>
        <w:rPr>
          <w:rStyle w:val="FootnoteReference"/>
        </w:rPr>
        <w:footnoteRef/>
      </w:r>
      <w:r>
        <w:t xml:space="preserve"> </w:t>
      </w:r>
      <w:r>
        <w:tab/>
        <w:t xml:space="preserve">See </w:t>
      </w:r>
      <w:r>
        <w:fldChar w:fldCharType="begin"/>
      </w:r>
      <w:r>
        <w:instrText xml:space="preserve"> REF _Ref507659125 \h </w:instrText>
      </w:r>
      <w:r>
        <w:fldChar w:fldCharType="separate"/>
      </w:r>
      <w:r>
        <w:t xml:space="preserve">Table </w:t>
      </w:r>
      <w:r>
        <w:rPr>
          <w:noProof/>
        </w:rPr>
        <w:t>16</w:t>
      </w:r>
      <w:r>
        <w:fldChar w:fldCharType="end"/>
      </w:r>
      <w:r>
        <w:t>.</w:t>
      </w:r>
    </w:p>
  </w:footnote>
  <w:footnote w:id="101">
    <w:p w14:paraId="53CA8FD7" w14:textId="0BA1AE7F" w:rsidR="009719FC" w:rsidRDefault="009719FC">
      <w:pPr>
        <w:pStyle w:val="FootnoteText"/>
      </w:pPr>
      <w:r>
        <w:rPr>
          <w:rStyle w:val="FootnoteReference"/>
        </w:rPr>
        <w:footnoteRef/>
      </w:r>
      <w:r>
        <w:t xml:space="preserve"> </w:t>
      </w:r>
      <w:r>
        <w:tab/>
        <w:t xml:space="preserve">See </w:t>
      </w:r>
      <w:r>
        <w:fldChar w:fldCharType="begin"/>
      </w:r>
      <w:r>
        <w:instrText xml:space="preserve"> REF _Ref507694201 \h </w:instrText>
      </w:r>
      <w:r>
        <w:fldChar w:fldCharType="separate"/>
      </w:r>
      <w:r>
        <w:t xml:space="preserve">Table </w:t>
      </w:r>
      <w:r>
        <w:rPr>
          <w:noProof/>
        </w:rPr>
        <w:t>18</w:t>
      </w:r>
      <w:r>
        <w:fldChar w:fldCharType="end"/>
      </w:r>
      <w:r>
        <w:t>.</w:t>
      </w:r>
    </w:p>
  </w:footnote>
  <w:footnote w:id="102">
    <w:p w14:paraId="120BF9BB" w14:textId="46A20F63" w:rsidR="009719FC" w:rsidRDefault="009719FC">
      <w:pPr>
        <w:pStyle w:val="FootnoteText"/>
      </w:pPr>
      <w:r>
        <w:rPr>
          <w:rStyle w:val="FootnoteReference"/>
        </w:rPr>
        <w:footnoteRef/>
      </w:r>
      <w:r>
        <w:t xml:space="preserve"> </w:t>
      </w:r>
      <w:r>
        <w:tab/>
        <w:t xml:space="preserve">AV discussion paper: Review of the Aboriginal Heritage Regulations 2007. </w:t>
      </w:r>
    </w:p>
  </w:footnote>
  <w:footnote w:id="103">
    <w:p w14:paraId="44812866" w14:textId="153D1E5F" w:rsidR="009719FC" w:rsidRDefault="009719FC">
      <w:pPr>
        <w:pStyle w:val="FootnoteText"/>
      </w:pPr>
      <w:r>
        <w:rPr>
          <w:rStyle w:val="FootnoteReference"/>
        </w:rPr>
        <w:footnoteRef/>
      </w:r>
      <w:r>
        <w:t xml:space="preserve"> </w:t>
      </w:r>
      <w:r>
        <w:tab/>
        <w:t>Parks Victoria, ‘Submission to AV Discussion Paper’, 2017.</w:t>
      </w:r>
    </w:p>
  </w:footnote>
  <w:footnote w:id="104">
    <w:p w14:paraId="6AD6DE8C" w14:textId="1EF7E0C2" w:rsidR="009719FC" w:rsidRDefault="009719FC">
      <w:pPr>
        <w:pStyle w:val="FootnoteText"/>
      </w:pPr>
      <w:r>
        <w:rPr>
          <w:rStyle w:val="FootnoteReference"/>
        </w:rPr>
        <w:footnoteRef/>
      </w:r>
      <w:r>
        <w:t xml:space="preserve"> </w:t>
      </w:r>
      <w:r>
        <w:tab/>
        <w:t>Based on information provided by AV.</w:t>
      </w:r>
    </w:p>
  </w:footnote>
  <w:footnote w:id="105">
    <w:p w14:paraId="66159872" w14:textId="39F149C7" w:rsidR="009719FC" w:rsidRDefault="009719FC">
      <w:pPr>
        <w:pStyle w:val="FootnoteText"/>
      </w:pPr>
      <w:r>
        <w:rPr>
          <w:rStyle w:val="FootnoteReference"/>
        </w:rPr>
        <w:footnoteRef/>
      </w:r>
      <w:r>
        <w:t xml:space="preserve"> </w:t>
      </w:r>
      <w:r>
        <w:tab/>
        <w:t>The impact of Option 2 on the likelihood of the preparation of a CHMP resulting in the identification and preservation of Aboriginal cultural heritage is uncertain, as Aboriginal cultural heritage relating to the new triggers has not previously been examined. As such, the likelihood has assumed to be the same as Option 1.</w:t>
      </w:r>
    </w:p>
  </w:footnote>
  <w:footnote w:id="106">
    <w:p w14:paraId="17D33494" w14:textId="01E9E8B8" w:rsidR="009719FC" w:rsidRDefault="009719FC">
      <w:pPr>
        <w:pStyle w:val="FootnoteText"/>
      </w:pPr>
      <w:r>
        <w:rPr>
          <w:rStyle w:val="FootnoteReference"/>
        </w:rPr>
        <w:footnoteRef/>
      </w:r>
      <w:r>
        <w:t xml:space="preserve"> </w:t>
      </w:r>
      <w:r>
        <w:tab/>
        <w:t>It is probable that Option 3 will improve the likelihood of the preparation of a CHMP resulting in the identification and preservation of Aboriginal cultural heritage due to the increase in clarity of the Standards. However, to be conservative, the likelihood has been assumed to be the same as Option 1.</w:t>
      </w:r>
    </w:p>
  </w:footnote>
  <w:footnote w:id="107">
    <w:p w14:paraId="3F2B352B" w14:textId="7CADAC41" w:rsidR="009719FC" w:rsidRDefault="009719FC">
      <w:pPr>
        <w:pStyle w:val="FootnoteText"/>
      </w:pPr>
      <w:r>
        <w:rPr>
          <w:rStyle w:val="FootnoteReference"/>
        </w:rPr>
        <w:footnoteRef/>
      </w:r>
      <w:r>
        <w:t xml:space="preserve"> </w:t>
      </w:r>
      <w:r>
        <w:tab/>
        <w:t>This assumes that the same proportion of CHMPs prepared identify and preserve Aboriginal cultural heritage as in Option 1. Given the increased clarity of the CHMPs standards in Option 3, it is possible that there will be a higher likelihood of identification and preservation of Aboriginal cultural heritage, however, the conservative assumption has been made that it will stay the same as Option 1.</w:t>
      </w:r>
    </w:p>
  </w:footnote>
  <w:footnote w:id="108">
    <w:p w14:paraId="269DC006" w14:textId="77777777" w:rsidR="009719FC" w:rsidRDefault="009719FC" w:rsidP="00A9212E">
      <w:pPr>
        <w:pStyle w:val="FootnoteText"/>
      </w:pPr>
      <w:r>
        <w:rPr>
          <w:rStyle w:val="FootnoteReference"/>
        </w:rPr>
        <w:footnoteRef/>
      </w:r>
      <w:r>
        <w:t xml:space="preserve"> </w:t>
      </w:r>
      <w:r>
        <w:tab/>
        <w:t>Information provided by AV.</w:t>
      </w:r>
    </w:p>
  </w:footnote>
  <w:footnote w:id="109">
    <w:p w14:paraId="714535CD" w14:textId="52351624" w:rsidR="009719FC" w:rsidRDefault="009719FC" w:rsidP="00FE0C78">
      <w:pPr>
        <w:pStyle w:val="FootnoteText"/>
      </w:pPr>
      <w:r>
        <w:rPr>
          <w:rStyle w:val="FootnoteReference"/>
        </w:rPr>
        <w:footnoteRef/>
      </w:r>
      <w:r>
        <w:t xml:space="preserve"> </w:t>
      </w:r>
      <w:r>
        <w:tab/>
        <w:t>Department of Treasury and Finance ‘Cost recovery guidelines’, 2013.</w:t>
      </w:r>
    </w:p>
  </w:footnote>
  <w:footnote w:id="110">
    <w:p w14:paraId="72DA57AC" w14:textId="2FC800A1" w:rsidR="009719FC" w:rsidRDefault="009719FC">
      <w:pPr>
        <w:pStyle w:val="FootnoteText"/>
      </w:pPr>
      <w:r>
        <w:rPr>
          <w:rStyle w:val="FootnoteReference"/>
        </w:rPr>
        <w:footnoteRef/>
      </w:r>
      <w:r>
        <w:t xml:space="preserve"> </w:t>
      </w:r>
      <w:r>
        <w:tab/>
        <w:t xml:space="preserve">For example, a drop in the number of CHMPs not approved, the introduction of amendments to CHMPs and an increase in the number of CHMPs being assessed by RAPs. </w:t>
      </w:r>
    </w:p>
  </w:footnote>
  <w:footnote w:id="111">
    <w:p w14:paraId="2D5079CD" w14:textId="77777777" w:rsidR="009719FC" w:rsidRDefault="009719FC" w:rsidP="002B6B28">
      <w:pPr>
        <w:pStyle w:val="FootnoteText"/>
      </w:pPr>
      <w:r>
        <w:rPr>
          <w:rStyle w:val="FootnoteReference"/>
        </w:rPr>
        <w:footnoteRef/>
      </w:r>
      <w:r>
        <w:t xml:space="preserve"> </w:t>
      </w:r>
      <w:r>
        <w:tab/>
        <w:t>PwC analysis based on information provided by AV.</w:t>
      </w:r>
    </w:p>
  </w:footnote>
  <w:footnote w:id="112">
    <w:p w14:paraId="035D7509" w14:textId="77777777" w:rsidR="009719FC" w:rsidRDefault="009719FC" w:rsidP="002B6B28">
      <w:pPr>
        <w:pStyle w:val="FootnoteText"/>
      </w:pPr>
      <w:r>
        <w:rPr>
          <w:rStyle w:val="FootnoteReference"/>
        </w:rPr>
        <w:footnoteRef/>
      </w:r>
      <w:r>
        <w:t xml:space="preserve"> </w:t>
      </w:r>
      <w:r>
        <w:tab/>
        <w:t>Estimates based on survey of RAPs.</w:t>
      </w:r>
    </w:p>
  </w:footnote>
  <w:footnote w:id="113">
    <w:p w14:paraId="335F794A" w14:textId="77777777" w:rsidR="009719FC" w:rsidRDefault="009719FC" w:rsidP="002B6B28">
      <w:pPr>
        <w:pStyle w:val="FootnoteText"/>
      </w:pPr>
      <w:r>
        <w:rPr>
          <w:rStyle w:val="FootnoteReference"/>
        </w:rPr>
        <w:footnoteRef/>
      </w:r>
      <w:r>
        <w:t xml:space="preserve"> </w:t>
      </w:r>
      <w:r>
        <w:tab/>
        <w:t>PwC analysis based on information provided by AV.</w:t>
      </w:r>
    </w:p>
  </w:footnote>
  <w:footnote w:id="114">
    <w:p w14:paraId="70BCED5D" w14:textId="77777777" w:rsidR="009719FC" w:rsidRDefault="009719FC" w:rsidP="002B6B28">
      <w:pPr>
        <w:pStyle w:val="FootnoteText"/>
      </w:pPr>
      <w:r>
        <w:rPr>
          <w:rStyle w:val="FootnoteReference"/>
        </w:rPr>
        <w:footnoteRef/>
      </w:r>
      <w:r>
        <w:t xml:space="preserve"> </w:t>
      </w:r>
      <w:r>
        <w:tab/>
        <w:t>Based on information provided by AV.</w:t>
      </w:r>
    </w:p>
  </w:footnote>
  <w:footnote w:id="115">
    <w:p w14:paraId="1AEAEEB1" w14:textId="77777777" w:rsidR="009719FC" w:rsidRDefault="009719FC" w:rsidP="002B6B28">
      <w:pPr>
        <w:pStyle w:val="FootnoteText"/>
      </w:pPr>
      <w:r>
        <w:rPr>
          <w:rStyle w:val="FootnoteReference"/>
        </w:rPr>
        <w:footnoteRef/>
      </w:r>
      <w:r>
        <w:t xml:space="preserve"> </w:t>
      </w:r>
      <w:r>
        <w:tab/>
        <w:t>Based on the Victorian Guide to Regulation</w:t>
      </w:r>
    </w:p>
  </w:footnote>
  <w:footnote w:id="116">
    <w:p w14:paraId="41D3B0FA" w14:textId="77777777" w:rsidR="009719FC" w:rsidRDefault="009719FC" w:rsidP="002B6B28">
      <w:pPr>
        <w:pStyle w:val="FootnoteText"/>
      </w:pPr>
      <w:r>
        <w:rPr>
          <w:rStyle w:val="FootnoteReference"/>
        </w:rPr>
        <w:footnoteRef/>
      </w:r>
      <w:r>
        <w:t xml:space="preserve"> </w:t>
      </w:r>
      <w:r>
        <w:tab/>
        <w:t>Based on the Victorian Guide to Regulation</w:t>
      </w:r>
    </w:p>
  </w:footnote>
  <w:footnote w:id="117">
    <w:p w14:paraId="713934E5" w14:textId="77777777" w:rsidR="009719FC" w:rsidRDefault="009719FC" w:rsidP="002B6B28">
      <w:pPr>
        <w:pStyle w:val="FootnoteText"/>
      </w:pPr>
      <w:r>
        <w:rPr>
          <w:rStyle w:val="FootnoteReference"/>
        </w:rPr>
        <w:footnoteRef/>
      </w:r>
      <w:r>
        <w:t xml:space="preserve"> </w:t>
      </w:r>
      <w:r>
        <w:tab/>
        <w:t>Estimate based on survey of RAPs.</w:t>
      </w:r>
    </w:p>
  </w:footnote>
  <w:footnote w:id="118">
    <w:p w14:paraId="3AAF195F" w14:textId="77777777" w:rsidR="009719FC" w:rsidRDefault="009719FC" w:rsidP="002B6B28">
      <w:pPr>
        <w:pStyle w:val="FootnoteText"/>
      </w:pPr>
      <w:r>
        <w:rPr>
          <w:rStyle w:val="FootnoteReference"/>
        </w:rPr>
        <w:footnoteRef/>
      </w:r>
      <w:r>
        <w:t xml:space="preserve"> </w:t>
      </w:r>
      <w:r>
        <w:tab/>
        <w:t>Information provided by AV (unless otherwise noted).</w:t>
      </w:r>
    </w:p>
  </w:footnote>
  <w:footnote w:id="119">
    <w:p w14:paraId="1F661458" w14:textId="5AD60174" w:rsidR="009719FC" w:rsidRDefault="009719FC" w:rsidP="00C661E4">
      <w:pPr>
        <w:pStyle w:val="FootnoteText"/>
      </w:pPr>
      <w:r>
        <w:rPr>
          <w:rStyle w:val="FootnoteReference"/>
        </w:rPr>
        <w:footnoteRef/>
      </w:r>
      <w:r>
        <w:t xml:space="preserve"> </w:t>
      </w:r>
      <w:r>
        <w:tab/>
        <w:t>In addition to the direct staff time cost of $13, this figure also includes $245 of overhead costs per application. This is based on cost recovery for the IT infrastructure (based on annual costs of $150,000) and the staff cost of maintaining the Register (four full-time-equivalent VPS staff, which equates to $675,729 per year). These fixed costs are spread across the 3,370 applications to access or obtain advice from the Register.</w:t>
      </w:r>
    </w:p>
  </w:footnote>
  <w:footnote w:id="120">
    <w:p w14:paraId="017FE930" w14:textId="075D2881" w:rsidR="009719FC" w:rsidRDefault="009719FC" w:rsidP="00C661E4">
      <w:pPr>
        <w:pStyle w:val="FootnoteText"/>
      </w:pPr>
      <w:r>
        <w:rPr>
          <w:rStyle w:val="FootnoteReference"/>
        </w:rPr>
        <w:footnoteRef/>
      </w:r>
      <w:r>
        <w:t xml:space="preserve"> </w:t>
      </w:r>
      <w:r>
        <w:tab/>
        <w:t>In addition to the direct staff cost of $52, this figure also includes $245 of overhead costs per application, as stated above.</w:t>
      </w:r>
    </w:p>
  </w:footnote>
  <w:footnote w:id="121">
    <w:p w14:paraId="38586CA1" w14:textId="4D750F18" w:rsidR="009719FC" w:rsidRDefault="009719FC" w:rsidP="002B6B28">
      <w:pPr>
        <w:pStyle w:val="FootnoteText"/>
      </w:pPr>
      <w:r>
        <w:rPr>
          <w:rStyle w:val="FootnoteReference"/>
        </w:rPr>
        <w:footnoteRef/>
      </w:r>
      <w:r>
        <w:t xml:space="preserve"> </w:t>
      </w:r>
      <w:r>
        <w:tab/>
        <w:t xml:space="preserve">Estimates based on survey of RAPs (unless otherwise noted). Note that RAP evaluation hours is based on a weighted average of reported time to undertake an evaluation, weighted by the number of CHMPs completed in the previous year, and excluding one set of outlier responses that were over 10 times larger than other responses. The survey captured results from 10 of 11 RAPs so the results can be seen as representative. </w:t>
      </w:r>
    </w:p>
  </w:footnote>
  <w:footnote w:id="122">
    <w:p w14:paraId="334C356E" w14:textId="77777777" w:rsidR="009719FC" w:rsidRDefault="009719FC" w:rsidP="00CF58B5">
      <w:pPr>
        <w:pStyle w:val="FootnoteText"/>
      </w:pPr>
      <w:r>
        <w:rPr>
          <w:rStyle w:val="FootnoteReference"/>
        </w:rPr>
        <w:footnoteRef/>
      </w:r>
      <w:r>
        <w:t xml:space="preserve"> </w:t>
      </w:r>
      <w:r>
        <w:tab/>
        <w:t>Based on AV estimate due to insufficient data from RAPs.</w:t>
      </w:r>
    </w:p>
  </w:footnote>
  <w:footnote w:id="123">
    <w:p w14:paraId="0DAA87BE" w14:textId="77777777" w:rsidR="009719FC" w:rsidRDefault="009719FC" w:rsidP="002B6B28">
      <w:pPr>
        <w:pStyle w:val="FootnoteText"/>
      </w:pPr>
      <w:r>
        <w:rPr>
          <w:rStyle w:val="FootnoteReference"/>
        </w:rPr>
        <w:footnoteRef/>
      </w:r>
      <w:r>
        <w:t xml:space="preserve"> </w:t>
      </w:r>
      <w:r>
        <w:tab/>
        <w:t xml:space="preserve">Department of Treasury and Finance, ‘Fees and fines factsheet’, </w:t>
      </w:r>
      <w:hyperlink r:id="rId6" w:history="1">
        <w:r w:rsidRPr="00FE7967">
          <w:rPr>
            <w:rStyle w:val="Hyperlink"/>
          </w:rPr>
          <w:t>http://www.dtf.vic.gov.au/Publications/Victoria-Economy-publications/Fees-and-fines-fact-sheet</w:t>
        </w:r>
      </w:hyperlink>
      <w:r>
        <w:t xml:space="preserve"> </w:t>
      </w:r>
    </w:p>
  </w:footnote>
  <w:footnote w:id="124">
    <w:p w14:paraId="13A82352" w14:textId="64F9CEB4" w:rsidR="00A1550E" w:rsidRDefault="00A1550E">
      <w:pPr>
        <w:pStyle w:val="FootnoteText"/>
      </w:pPr>
      <w:r>
        <w:rPr>
          <w:rStyle w:val="FootnoteReference"/>
        </w:rPr>
        <w:footnoteRef/>
      </w:r>
      <w:r>
        <w:t xml:space="preserve"> </w:t>
      </w:r>
      <w:r>
        <w:tab/>
        <w:t xml:space="preserve">The ability to charge fees for of CHPsevaluation of CHP applications to inter Aboriginal Ancestral Remains and to rehabilitate land at an Aboriginal place exists in the Regulations, but is currently set at nil. This is proposed to continue under all fee options as any fee would adversely discourage this activity from occurring. </w:t>
      </w:r>
    </w:p>
  </w:footnote>
  <w:footnote w:id="125">
    <w:p w14:paraId="7395A6F7" w14:textId="289A8E96" w:rsidR="009719FC" w:rsidRDefault="009719FC">
      <w:pPr>
        <w:pStyle w:val="FootnoteText"/>
      </w:pPr>
      <w:r>
        <w:rPr>
          <w:rStyle w:val="FootnoteReference"/>
        </w:rPr>
        <w:footnoteRef/>
      </w:r>
      <w:r>
        <w:t xml:space="preserve"> </w:t>
      </w:r>
      <w:r>
        <w:tab/>
        <w:t>Stakeholders were not able to provide sufficiently detailed level of data to estimate the precise relativities for CHMPs with small, medium and large activities and those assessed by two authorities and three or more authorities. However, these relativities are nonetheless important to reflect the varying levels of effort involved in assessment, and as such the relativities from the current fee regime have been used. Larger activity areas involve a greater level of time to evaluate as the geographic mapping may be over a larger area, and the CHMPs themselves will be longer in length with more content.</w:t>
      </w:r>
    </w:p>
  </w:footnote>
  <w:footnote w:id="126">
    <w:p w14:paraId="50B02969" w14:textId="4178637F" w:rsidR="009719FC" w:rsidRDefault="009719FC">
      <w:pPr>
        <w:pStyle w:val="FootnoteText"/>
      </w:pPr>
      <w:r>
        <w:rPr>
          <w:rStyle w:val="FootnoteReference"/>
        </w:rPr>
        <w:footnoteRef/>
      </w:r>
      <w:r>
        <w:t xml:space="preserve"> </w:t>
      </w:r>
      <w:r>
        <w:tab/>
        <w:t xml:space="preserve">Information provided by AV. Based on prior stakeholder feedback, AV is concerned that any rise in the fee levels for CHPs would result in a material increase in non-compliance. </w:t>
      </w:r>
    </w:p>
  </w:footnote>
  <w:footnote w:id="127">
    <w:p w14:paraId="05842AF3" w14:textId="1ED0E75C" w:rsidR="005041BC" w:rsidRDefault="005041BC" w:rsidP="00AC7EE5">
      <w:pPr>
        <w:pStyle w:val="FootnoteText"/>
      </w:pPr>
      <w:r>
        <w:rPr>
          <w:rStyle w:val="FootnoteReference"/>
        </w:rPr>
        <w:footnoteRef/>
      </w:r>
      <w:r>
        <w:t xml:space="preserve"> </w:t>
      </w:r>
      <w:r>
        <w:tab/>
        <w:t>The ability to charge fees for evaluation of CHPs applications to inter Aboriginal Ancestral Remains and to rehabilitate land at an Aboriginal place exists in the Regulations, but is currently set at nil. This is proposed to continue under all fee options as any fee would adversely discourage this activity from occurring.</w:t>
      </w:r>
    </w:p>
  </w:footnote>
  <w:footnote w:id="128">
    <w:p w14:paraId="5207CC5C" w14:textId="1D9ED2A2" w:rsidR="005041BC" w:rsidRDefault="005041BC" w:rsidP="00AC7EE5">
      <w:pPr>
        <w:pStyle w:val="FootnoteText"/>
      </w:pPr>
      <w:r>
        <w:rPr>
          <w:rStyle w:val="FootnoteReference"/>
        </w:rPr>
        <w:footnoteRef/>
      </w:r>
      <w:r>
        <w:t xml:space="preserve"> </w:t>
      </w:r>
      <w:r>
        <w:tab/>
        <w:t>The current fee levels for CHPs have been maintained as previously noted.</w:t>
      </w:r>
    </w:p>
  </w:footnote>
  <w:footnote w:id="129">
    <w:p w14:paraId="37F3C756" w14:textId="37A5DB4C" w:rsidR="009719FC" w:rsidRDefault="009719FC">
      <w:pPr>
        <w:pStyle w:val="FootnoteText"/>
      </w:pPr>
      <w:r>
        <w:rPr>
          <w:rStyle w:val="FootnoteReference"/>
        </w:rPr>
        <w:footnoteRef/>
      </w:r>
      <w:r>
        <w:t xml:space="preserve"> </w:t>
      </w:r>
      <w:r>
        <w:tab/>
        <w:t>See Option 2 explanation.</w:t>
      </w:r>
    </w:p>
  </w:footnote>
  <w:footnote w:id="130">
    <w:p w14:paraId="3ED30E8A" w14:textId="2A3610A5" w:rsidR="005041BC" w:rsidRDefault="005041BC">
      <w:pPr>
        <w:pStyle w:val="FootnoteText"/>
      </w:pPr>
      <w:r>
        <w:rPr>
          <w:rStyle w:val="FootnoteReference"/>
        </w:rPr>
        <w:footnoteRef/>
      </w:r>
      <w:r>
        <w:t xml:space="preserve"> </w:t>
      </w:r>
      <w:r>
        <w:tab/>
        <w:t>The ability to charge fees for of CHPsevaluations of CHP application to inter Aboriginal Ancestral Remains and to rehabilitate land at an Aboriginal place exists in the Regulations, but is currently set at nil. This is proposed to continue under all fee options as AV considers that any fee would adversely discourage this activity from occurring.</w:t>
      </w:r>
    </w:p>
  </w:footnote>
  <w:footnote w:id="131">
    <w:p w14:paraId="0C643917" w14:textId="7E459EAD" w:rsidR="005041BC" w:rsidRDefault="005041BC">
      <w:pPr>
        <w:pStyle w:val="FootnoteText"/>
      </w:pPr>
      <w:r>
        <w:rPr>
          <w:rStyle w:val="FootnoteReference"/>
        </w:rPr>
        <w:footnoteRef/>
      </w:r>
      <w:r>
        <w:t xml:space="preserve"> </w:t>
      </w:r>
      <w:r>
        <w:tab/>
        <w:t>The current fee levels for CHPs have been maintained as previously noted.</w:t>
      </w:r>
    </w:p>
  </w:footnote>
  <w:footnote w:id="132">
    <w:p w14:paraId="1BC0785A" w14:textId="77777777" w:rsidR="009719FC" w:rsidRDefault="009719FC" w:rsidP="00F36329">
      <w:pPr>
        <w:pStyle w:val="FootnoteText"/>
      </w:pPr>
      <w:r>
        <w:rPr>
          <w:rStyle w:val="FootnoteReference"/>
        </w:rPr>
        <w:footnoteRef/>
      </w:r>
      <w:r>
        <w:t xml:space="preserve"> </w:t>
      </w:r>
      <w:r>
        <w:tab/>
        <w:t>Note that this is the same proportion as for fee option 2 as the fee levels in fee option 2 are based on a weighted average of the disaggregated fees used in fee option 3.</w:t>
      </w:r>
    </w:p>
  </w:footnote>
  <w:footnote w:id="133">
    <w:p w14:paraId="41D5E5B1" w14:textId="77777777" w:rsidR="009719FC" w:rsidRDefault="009719FC" w:rsidP="00F36329">
      <w:pPr>
        <w:pStyle w:val="FootnoteText"/>
      </w:pPr>
      <w:r>
        <w:rPr>
          <w:rStyle w:val="FootnoteReference"/>
        </w:rPr>
        <w:footnoteRef/>
      </w:r>
      <w:r>
        <w:t xml:space="preserve"> </w:t>
      </w:r>
      <w:r>
        <w:tab/>
        <w:t>This is as both fee options are based on the same cost data. Fee option 2 is merely a weighted average of the fees levels in fee option 3.</w:t>
      </w:r>
    </w:p>
  </w:footnote>
  <w:footnote w:id="134">
    <w:p w14:paraId="2F9DC8AC" w14:textId="77777777" w:rsidR="009719FC" w:rsidRDefault="009719FC" w:rsidP="00F36329">
      <w:pPr>
        <w:pStyle w:val="FootnoteText"/>
      </w:pPr>
      <w:r>
        <w:rPr>
          <w:rStyle w:val="FootnoteReference"/>
        </w:rPr>
        <w:footnoteRef/>
      </w:r>
      <w:r>
        <w:t xml:space="preserve"> </w:t>
      </w:r>
      <w:r>
        <w:tab/>
        <w:t>A CHMP sponsor could only attempt to switch assessor by submitting an application to RAPs when they know a RAP is unable to assess it, in which case it would be assessed by Government.</w:t>
      </w:r>
    </w:p>
  </w:footnote>
  <w:footnote w:id="135">
    <w:p w14:paraId="496AA7A0" w14:textId="3E2B0A2E" w:rsidR="009719FC" w:rsidRDefault="009719FC">
      <w:pPr>
        <w:pStyle w:val="FootnoteText"/>
      </w:pPr>
      <w:r>
        <w:rPr>
          <w:rStyle w:val="FootnoteReference"/>
        </w:rPr>
        <w:footnoteRef/>
      </w:r>
      <w:r>
        <w:t xml:space="preserve"> </w:t>
      </w:r>
      <w:r>
        <w:tab/>
        <w:t>Based on PwC analysis of diagnostic data provided by the survey tool.</w:t>
      </w:r>
    </w:p>
  </w:footnote>
  <w:footnote w:id="136">
    <w:p w14:paraId="6E229F21" w14:textId="5CA12851" w:rsidR="009719FC" w:rsidRDefault="009719FC">
      <w:pPr>
        <w:pStyle w:val="FootnoteText"/>
      </w:pPr>
      <w:r>
        <w:rPr>
          <w:rStyle w:val="FootnoteReference"/>
        </w:rPr>
        <w:footnoteRef/>
      </w:r>
      <w:r>
        <w:t xml:space="preserve"> </w:t>
      </w:r>
      <w:r>
        <w:tab/>
        <w:t>Including the number of CHMPs they conducted the year previously, the cost they charged to undertake a CHMP, the estimate of the cost of management conditions.</w:t>
      </w:r>
    </w:p>
  </w:footnote>
  <w:footnote w:id="137">
    <w:p w14:paraId="1BD7E15B" w14:textId="20F35CAB" w:rsidR="009719FC" w:rsidRDefault="009719FC">
      <w:pPr>
        <w:pStyle w:val="FootnoteText"/>
      </w:pPr>
      <w:r>
        <w:rPr>
          <w:rStyle w:val="FootnoteReference"/>
        </w:rPr>
        <w:footnoteRef/>
      </w:r>
      <w:r>
        <w:t xml:space="preserve"> </w:t>
      </w:r>
      <w:r>
        <w:tab/>
        <w:t>Based on PwC analysis of diagnostic data provided by the survey tool.</w:t>
      </w:r>
    </w:p>
  </w:footnote>
  <w:footnote w:id="138">
    <w:p w14:paraId="5B222E7E" w14:textId="6D784B9D" w:rsidR="009719FC" w:rsidRDefault="009719FC">
      <w:pPr>
        <w:pStyle w:val="FootnoteText"/>
      </w:pPr>
      <w:r>
        <w:rPr>
          <w:rStyle w:val="FootnoteReference"/>
        </w:rPr>
        <w:footnoteRef/>
      </w:r>
      <w:r>
        <w:t xml:space="preserve"> T</w:t>
      </w:r>
      <w:r w:rsidRPr="0070033E">
        <w:t xml:space="preserve">here is a </w:t>
      </w:r>
      <w:r>
        <w:t xml:space="preserve">significant </w:t>
      </w:r>
      <w:r w:rsidRPr="0070033E">
        <w:t>amount of literature</w:t>
      </w:r>
      <w:r>
        <w:t xml:space="preserve"> (for examples, see </w:t>
      </w:r>
      <w:hyperlink r:id="rId7" w:history="1">
        <w:r w:rsidRPr="00F95AD7">
          <w:rPr>
            <w:rStyle w:val="Hyperlink"/>
          </w:rPr>
          <w:t>https://www.bkd.com/docs/pdf/wp_outcome_measures.pdf</w:t>
        </w:r>
      </w:hyperlink>
      <w:r>
        <w:t xml:space="preserve">, </w:t>
      </w:r>
      <w:hyperlink r:id="rId8" w:history="1">
        <w:r w:rsidRPr="00F95AD7">
          <w:rPr>
            <w:rStyle w:val="Hyperlink"/>
          </w:rPr>
          <w:t>https://www.mckinsey.com/industries/social-sector/our-insights/measuring-what-matters-in-nonprofits</w:t>
        </w:r>
      </w:hyperlink>
      <w:r>
        <w:t xml:space="preserve">, </w:t>
      </w:r>
      <w:r w:rsidRPr="0070033E">
        <w:t>https://kuscholarworks.ku.edu/bitstream/handle/1808/22474/Myser_ku_0099D_14901_DATA_1.pdf?sequence=1</w:t>
      </w:r>
      <w:r>
        <w:t>)</w:t>
      </w:r>
      <w:r w:rsidRPr="0070033E">
        <w:t xml:space="preserve"> that indicates that many organisations, </w:t>
      </w:r>
      <w:r>
        <w:t>in particular,</w:t>
      </w:r>
      <w:r w:rsidRPr="0070033E">
        <w:t xml:space="preserve"> </w:t>
      </w:r>
      <w:r>
        <w:t>community organisations</w:t>
      </w:r>
      <w:r w:rsidRPr="0070033E">
        <w:t>, often measure success in terms of revenue (which is related to other, non-financial goals such as exposure and impact), even when ‘profit’ stays the same</w:t>
      </w:r>
    </w:p>
  </w:footnote>
  <w:footnote w:id="139">
    <w:p w14:paraId="6BAB7145" w14:textId="1B2B2B57" w:rsidR="009719FC" w:rsidRDefault="009719FC">
      <w:pPr>
        <w:pStyle w:val="FootnoteText"/>
      </w:pPr>
      <w:r>
        <w:rPr>
          <w:rStyle w:val="FootnoteReference"/>
        </w:rPr>
        <w:footnoteRef/>
      </w:r>
      <w:r>
        <w:t xml:space="preserve"> </w:t>
      </w:r>
      <w:r w:rsidRPr="002E22D7">
        <w:t>This is a voluntary activity, and is not part of the legislative framework. The funds provided to RAPs by AV help to recover some of this cost</w:t>
      </w:r>
      <w:r>
        <w:t>.</w:t>
      </w:r>
    </w:p>
  </w:footnote>
  <w:footnote w:id="140">
    <w:p w14:paraId="0C1758F2" w14:textId="02A89655" w:rsidR="009719FC" w:rsidRDefault="009719FC">
      <w:pPr>
        <w:pStyle w:val="FootnoteText"/>
      </w:pPr>
      <w:r>
        <w:rPr>
          <w:rStyle w:val="FootnoteReference"/>
        </w:rPr>
        <w:footnoteRef/>
      </w:r>
      <w:r>
        <w:t xml:space="preserve"> </w:t>
      </w:r>
      <w:r>
        <w:tab/>
        <w:t>Likely due to the increase in the number of CHMPs following the 2016 amendments to the Act, and the increase in development activity in Victoria in recent years.</w:t>
      </w:r>
    </w:p>
  </w:footnote>
  <w:footnote w:id="141">
    <w:p w14:paraId="3E39C35C" w14:textId="77777777" w:rsidR="009719FC" w:rsidRDefault="009719FC" w:rsidP="00D36CE5">
      <w:pPr>
        <w:pStyle w:val="FootnoteText"/>
      </w:pPr>
      <w:r>
        <w:rPr>
          <w:rStyle w:val="FootnoteReference"/>
        </w:rPr>
        <w:footnoteRef/>
      </w:r>
      <w:r>
        <w:t xml:space="preserve"> </w:t>
      </w:r>
      <w:r>
        <w:tab/>
        <w:t xml:space="preserve">Victorian Government, Budget files, </w:t>
      </w:r>
      <w:hyperlink r:id="rId9" w:history="1">
        <w:r w:rsidRPr="008B4C80">
          <w:rPr>
            <w:rStyle w:val="Hyperlink"/>
          </w:rPr>
          <w:t>www.budget.vic.gov.au</w:t>
        </w:r>
      </w:hyperlink>
      <w:r>
        <w:t xml:space="preserve"> </w:t>
      </w:r>
    </w:p>
  </w:footnote>
  <w:footnote w:id="142">
    <w:p w14:paraId="4512866D" w14:textId="7673BB46" w:rsidR="009719FC" w:rsidRDefault="009719FC">
      <w:pPr>
        <w:pStyle w:val="FootnoteText"/>
      </w:pPr>
      <w:r>
        <w:rPr>
          <w:rStyle w:val="FootnoteReference"/>
        </w:rPr>
        <w:footnoteRef/>
      </w:r>
      <w:r>
        <w:t xml:space="preserve"> </w:t>
      </w:r>
      <w:r>
        <w:tab/>
        <w:t>The Getty Conservation Institute, ‘Assessing values of cultural heritage’. Research report, 2002.</w:t>
      </w:r>
    </w:p>
  </w:footnote>
  <w:footnote w:id="143">
    <w:p w14:paraId="75DAB58F" w14:textId="77777777" w:rsidR="009719FC" w:rsidRDefault="009719FC" w:rsidP="001369C3">
      <w:pPr>
        <w:pStyle w:val="FootnoteText"/>
      </w:pPr>
      <w:r>
        <w:rPr>
          <w:rStyle w:val="FootnoteReference"/>
        </w:rPr>
        <w:footnoteRef/>
      </w:r>
      <w:r>
        <w:t xml:space="preserve"> </w:t>
      </w:r>
      <w:r>
        <w:tab/>
        <w:t>John Rolfe and Jill Windle, ‘Valuing the protection of Aboriginal cultural heritage sites’, The Economic Record, Vol. 79, Special Issue, pp. 85-95.</w:t>
      </w:r>
    </w:p>
  </w:footnote>
  <w:footnote w:id="144">
    <w:p w14:paraId="62742E40" w14:textId="77777777" w:rsidR="009719FC" w:rsidRDefault="009719FC" w:rsidP="001369C3">
      <w:pPr>
        <w:pStyle w:val="FootnoteText"/>
      </w:pPr>
      <w:r>
        <w:rPr>
          <w:rStyle w:val="FootnoteReference"/>
        </w:rPr>
        <w:footnoteRef/>
      </w:r>
      <w:r>
        <w:t xml:space="preserve"> </w:t>
      </w:r>
      <w:r>
        <w:tab/>
      </w:r>
      <w:r w:rsidRPr="00106BE1">
        <w:t>This figure was determined as the ratio of cultural heritage beta and the (absolute) value of the negative beta for the linear coded cost function (a negative beta is generally expected for cost parameters, as people generally prefer options or products less as the price increases). These estimates were obtained</w:t>
      </w:r>
      <w:r>
        <w:t xml:space="preserve"> from the Indigenous respondent</w:t>
      </w:r>
      <w:r w:rsidRPr="00106BE1">
        <w:t>s</w:t>
      </w:r>
      <w:r>
        <w:t>’</w:t>
      </w:r>
      <w:r w:rsidRPr="00106BE1">
        <w:t xml:space="preserve"> multinomial logit model in </w:t>
      </w:r>
      <w:r>
        <w:t>the study.</w:t>
      </w:r>
    </w:p>
  </w:footnote>
  <w:footnote w:id="145">
    <w:p w14:paraId="1E1F3E78" w14:textId="77777777" w:rsidR="009719FC" w:rsidRDefault="009719FC" w:rsidP="001369C3">
      <w:pPr>
        <w:pStyle w:val="FootnoteText"/>
      </w:pPr>
      <w:r>
        <w:rPr>
          <w:rStyle w:val="FootnoteReference"/>
        </w:rPr>
        <w:footnoteRef/>
      </w:r>
      <w:r>
        <w:t xml:space="preserve"> </w:t>
      </w:r>
      <w:r>
        <w:tab/>
        <w:t>This is calculated by multiplying $3.40 by four, representing the four increments of 10 per cent from 15 per cent (the current level of Aboriginal cultural heritage protection) to 55 per cent (the maximum level of Aboriginal cultural heritage protection modelled).</w:t>
      </w:r>
    </w:p>
  </w:footnote>
  <w:footnote w:id="146">
    <w:p w14:paraId="2FAC46AE" w14:textId="77777777" w:rsidR="009719FC" w:rsidRDefault="009719FC" w:rsidP="001369C3">
      <w:pPr>
        <w:pStyle w:val="FootnoteText"/>
      </w:pPr>
      <w:r>
        <w:rPr>
          <w:rStyle w:val="FootnoteReference"/>
        </w:rPr>
        <w:footnoteRef/>
      </w:r>
      <w:r>
        <w:t xml:space="preserve"> </w:t>
      </w:r>
      <w:r>
        <w:tab/>
        <w:t xml:space="preserve">ABS, </w:t>
      </w:r>
      <w:r w:rsidRPr="00F11EB7">
        <w:t>2071.0 - Census of Population and Housing</w:t>
      </w:r>
      <w:r>
        <w:t xml:space="preserve">, </w:t>
      </w:r>
      <w:hyperlink r:id="rId10" w:history="1">
        <w:r w:rsidRPr="00173770">
          <w:rPr>
            <w:rStyle w:val="Hyperlink"/>
          </w:rPr>
          <w:t>http://www.abs.gov.au/AUSSTATS/abs@.nsf/Lookup/2071.0Main+Features852016?OpenDocument</w:t>
        </w:r>
      </w:hyperlink>
      <w:r>
        <w:t xml:space="preserve"> </w:t>
      </w:r>
    </w:p>
  </w:footnote>
  <w:footnote w:id="147">
    <w:p w14:paraId="7F2046D1" w14:textId="77777777" w:rsidR="009719FC" w:rsidRDefault="009719FC" w:rsidP="001369C3">
      <w:pPr>
        <w:pStyle w:val="FootnoteText"/>
      </w:pPr>
      <w:r>
        <w:rPr>
          <w:rStyle w:val="FootnoteReference"/>
        </w:rPr>
        <w:footnoteRef/>
      </w:r>
      <w:r>
        <w:t xml:space="preserve"> </w:t>
      </w:r>
      <w:r>
        <w:tab/>
        <w:t>The Allen Consulting Group report prepared for the Heritage Chairs and Officials of Australia and New Zealand, ‘Valuing the priceless: The value of historic heritage in Australia’, Research Report 2, 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223FA" w14:textId="29A81E33" w:rsidR="009719FC" w:rsidRPr="008F0566" w:rsidRDefault="009719FC" w:rsidP="008F0566">
    <w:pPr>
      <w:pStyle w:val="Header"/>
    </w:pPr>
    <w:r>
      <w:rPr>
        <w:noProof/>
        <w:snapToGrid/>
        <w:lang w:eastAsia="en-AU"/>
      </w:rPr>
      <mc:AlternateContent>
        <mc:Choice Requires="wpg">
          <w:drawing>
            <wp:anchor distT="0" distB="0" distL="114300" distR="114300" simplePos="0" relativeHeight="251657728" behindDoc="0" locked="0" layoutInCell="1" allowOverlap="1" wp14:anchorId="3192C801" wp14:editId="670FA19C">
              <wp:simplePos x="0" y="0"/>
              <wp:positionH relativeFrom="page">
                <wp:posOffset>0</wp:posOffset>
              </wp:positionH>
              <wp:positionV relativeFrom="page">
                <wp:posOffset>0</wp:posOffset>
              </wp:positionV>
              <wp:extent cx="6912610" cy="10692130"/>
              <wp:effectExtent l="9525" t="9525" r="12065" b="13970"/>
              <wp:wrapNone/>
              <wp:docPr id="71" name="EvenGrid" descr="Gr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610" cy="10692130"/>
                        <a:chOff x="0" y="0"/>
                        <a:chExt cx="10886" cy="16838"/>
                      </a:xfrm>
                    </wpg:grpSpPr>
                    <wpg:grpSp>
                      <wpg:cNvPr id="72" name="Group 2851"/>
                      <wpg:cNvGrpSpPr>
                        <a:grpSpLocks/>
                      </wpg:cNvGrpSpPr>
                      <wpg:grpSpPr bwMode="auto">
                        <a:xfrm>
                          <a:off x="1021" y="567"/>
                          <a:ext cx="9251" cy="15704"/>
                          <a:chOff x="1021" y="567"/>
                          <a:chExt cx="9251" cy="15704"/>
                        </a:xfrm>
                      </wpg:grpSpPr>
                      <wps:wsp>
                        <wps:cNvPr id="73" name="AutoShape 2852"/>
                        <wps:cNvCnPr>
                          <a:cxnSpLocks noChangeShapeType="1"/>
                        </wps:cNvCnPr>
                        <wps:spPr bwMode="auto">
                          <a:xfrm>
                            <a:off x="1021"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74" name="AutoShape 2853"/>
                        <wps:cNvCnPr>
                          <a:cxnSpLocks noChangeShapeType="1"/>
                        </wps:cNvCnPr>
                        <wps:spPr bwMode="auto">
                          <a:xfrm>
                            <a:off x="186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5" name="AutoShape 2854"/>
                        <wps:cNvCnPr>
                          <a:cxnSpLocks noChangeShapeType="1"/>
                        </wps:cNvCnPr>
                        <wps:spPr bwMode="auto">
                          <a:xfrm>
                            <a:off x="2703"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6" name="AutoShape 2855"/>
                        <wps:cNvCnPr>
                          <a:cxnSpLocks noChangeShapeType="1"/>
                        </wps:cNvCnPr>
                        <wps:spPr bwMode="auto">
                          <a:xfrm>
                            <a:off x="3544"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77" name="AutoShape 2856"/>
                        <wps:cNvCnPr>
                          <a:cxnSpLocks noChangeShapeType="1"/>
                        </wps:cNvCnPr>
                        <wps:spPr bwMode="auto">
                          <a:xfrm>
                            <a:off x="438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8" name="AutoShape 2857"/>
                        <wps:cNvCnPr>
                          <a:cxnSpLocks noChangeShapeType="1"/>
                        </wps:cNvCnPr>
                        <wps:spPr bwMode="auto">
                          <a:xfrm>
                            <a:off x="522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9" name="AutoShape 2858"/>
                        <wps:cNvCnPr>
                          <a:cxnSpLocks noChangeShapeType="1"/>
                        </wps:cNvCnPr>
                        <wps:spPr bwMode="auto">
                          <a:xfrm>
                            <a:off x="606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0" name="AutoShape 2859"/>
                        <wps:cNvCnPr>
                          <a:cxnSpLocks noChangeShapeType="1"/>
                        </wps:cNvCnPr>
                        <wps:spPr bwMode="auto">
                          <a:xfrm>
                            <a:off x="690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1" name="AutoShape 2860"/>
                        <wps:cNvCnPr>
                          <a:cxnSpLocks noChangeShapeType="1"/>
                        </wps:cNvCnPr>
                        <wps:spPr bwMode="auto">
                          <a:xfrm>
                            <a:off x="774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2" name="AutoShape 2861"/>
                        <wps:cNvCnPr>
                          <a:cxnSpLocks noChangeShapeType="1"/>
                        </wps:cNvCnPr>
                        <wps:spPr bwMode="auto">
                          <a:xfrm>
                            <a:off x="859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3" name="AutoShape 2862"/>
                        <wps:cNvCnPr>
                          <a:cxnSpLocks noChangeShapeType="1"/>
                        </wps:cNvCnPr>
                        <wps:spPr bwMode="auto">
                          <a:xfrm>
                            <a:off x="943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4" name="AutoShape 2863"/>
                        <wps:cNvCnPr>
                          <a:cxnSpLocks noChangeShapeType="1"/>
                        </wps:cNvCnPr>
                        <wps:spPr bwMode="auto">
                          <a:xfrm>
                            <a:off x="1027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s:wsp>
                      <wps:cNvPr id="85" name="AutoShape 2864"/>
                      <wps:cNvCnPr>
                        <a:cxnSpLocks noChangeShapeType="1"/>
                      </wps:cNvCnPr>
                      <wps:spPr bwMode="auto">
                        <a:xfrm>
                          <a:off x="0"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s:wsp>
                      <wps:cNvPr id="86" name="AutoShape 2865"/>
                      <wps:cNvCnPr>
                        <a:cxnSpLocks noChangeShapeType="1"/>
                      </wps:cNvCnPr>
                      <wps:spPr bwMode="auto">
                        <a:xfrm>
                          <a:off x="794"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g:grpSp>
                      <wpg:cNvPr id="87" name="Group 2866"/>
                      <wpg:cNvGrpSpPr>
                        <a:grpSpLocks/>
                      </wpg:cNvGrpSpPr>
                      <wpg:grpSpPr bwMode="auto">
                        <a:xfrm>
                          <a:off x="1021" y="567"/>
                          <a:ext cx="9865" cy="15706"/>
                          <a:chOff x="907" y="567"/>
                          <a:chExt cx="9865" cy="15706"/>
                        </a:xfrm>
                      </wpg:grpSpPr>
                      <wps:wsp>
                        <wps:cNvPr id="88" name="AutoShape 2867"/>
                        <wps:cNvCnPr>
                          <a:cxnSpLocks noChangeShapeType="1"/>
                        </wps:cNvCnPr>
                        <wps:spPr bwMode="auto">
                          <a:xfrm>
                            <a:off x="907" y="16273"/>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9" name="AutoShape 2868"/>
                        <wps:cNvCnPr>
                          <a:cxnSpLocks noChangeShapeType="1"/>
                        </wps:cNvCnPr>
                        <wps:spPr bwMode="auto">
                          <a:xfrm>
                            <a:off x="907" y="1452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0" name="AutoShape 2869"/>
                        <wps:cNvCnPr>
                          <a:cxnSpLocks noChangeShapeType="1"/>
                        </wps:cNvCnPr>
                        <wps:spPr bwMode="auto">
                          <a:xfrm>
                            <a:off x="907" y="567"/>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91" name="AutoShape 2870"/>
                        <wps:cNvCnPr>
                          <a:cxnSpLocks noChangeShapeType="1"/>
                        </wps:cNvCnPr>
                        <wps:spPr bwMode="auto">
                          <a:xfrm>
                            <a:off x="907" y="143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2" name="AutoShape 2871"/>
                        <wps:cNvCnPr>
                          <a:cxnSpLocks noChangeShapeType="1"/>
                        </wps:cNvCnPr>
                        <wps:spPr bwMode="auto">
                          <a:xfrm>
                            <a:off x="907" y="231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3" name="AutoShape 2872"/>
                        <wps:cNvCnPr>
                          <a:cxnSpLocks noChangeShapeType="1"/>
                        </wps:cNvCnPr>
                        <wps:spPr bwMode="auto">
                          <a:xfrm>
                            <a:off x="907" y="318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4" name="AutoShape 2873"/>
                        <wps:cNvCnPr>
                          <a:cxnSpLocks noChangeShapeType="1"/>
                        </wps:cNvCnPr>
                        <wps:spPr bwMode="auto">
                          <a:xfrm>
                            <a:off x="907" y="405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5" name="AutoShape 2874"/>
                        <wps:cNvCnPr>
                          <a:cxnSpLocks noChangeShapeType="1"/>
                        </wps:cNvCnPr>
                        <wps:spPr bwMode="auto">
                          <a:xfrm>
                            <a:off x="907" y="492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6" name="AutoShape 2875"/>
                        <wps:cNvCnPr>
                          <a:cxnSpLocks noChangeShapeType="1"/>
                        </wps:cNvCnPr>
                        <wps:spPr bwMode="auto">
                          <a:xfrm>
                            <a:off x="907" y="580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7" name="AutoShape 2876"/>
                        <wps:cNvCnPr>
                          <a:cxnSpLocks noChangeShapeType="1"/>
                        </wps:cNvCnPr>
                        <wps:spPr bwMode="auto">
                          <a:xfrm>
                            <a:off x="907" y="667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8" name="AutoShape 2877"/>
                        <wps:cNvCnPr>
                          <a:cxnSpLocks noChangeShapeType="1"/>
                        </wps:cNvCnPr>
                        <wps:spPr bwMode="auto">
                          <a:xfrm>
                            <a:off x="907" y="754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9" name="AutoShape 2878"/>
                        <wps:cNvCnPr>
                          <a:cxnSpLocks noChangeShapeType="1"/>
                        </wps:cNvCnPr>
                        <wps:spPr bwMode="auto">
                          <a:xfrm>
                            <a:off x="907" y="842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0" name="AutoShape 2879"/>
                        <wps:cNvCnPr>
                          <a:cxnSpLocks noChangeShapeType="1"/>
                        </wps:cNvCnPr>
                        <wps:spPr bwMode="auto">
                          <a:xfrm>
                            <a:off x="907" y="929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1" name="AutoShape 2880"/>
                        <wps:cNvCnPr>
                          <a:cxnSpLocks noChangeShapeType="1"/>
                        </wps:cNvCnPr>
                        <wps:spPr bwMode="auto">
                          <a:xfrm>
                            <a:off x="907" y="1016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2" name="AutoShape 2881"/>
                        <wps:cNvCnPr>
                          <a:cxnSpLocks noChangeShapeType="1"/>
                        </wps:cNvCnPr>
                        <wps:spPr bwMode="auto">
                          <a:xfrm>
                            <a:off x="907" y="1103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3" name="AutoShape 2882"/>
                        <wps:cNvCnPr>
                          <a:cxnSpLocks noChangeShapeType="1"/>
                        </wps:cNvCnPr>
                        <wps:spPr bwMode="auto">
                          <a:xfrm>
                            <a:off x="907" y="1191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4" name="AutoShape 2883"/>
                        <wps:cNvCnPr>
                          <a:cxnSpLocks noChangeShapeType="1"/>
                        </wps:cNvCnPr>
                        <wps:spPr bwMode="auto">
                          <a:xfrm>
                            <a:off x="907" y="1278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5" name="AutoShape 2884"/>
                        <wps:cNvCnPr>
                          <a:cxnSpLocks noChangeShapeType="1"/>
                        </wps:cNvCnPr>
                        <wps:spPr bwMode="auto">
                          <a:xfrm>
                            <a:off x="907" y="1365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6" name="AutoShape 2885"/>
                        <wps:cNvCnPr>
                          <a:cxnSpLocks noChangeShapeType="1"/>
                        </wps:cNvCnPr>
                        <wps:spPr bwMode="auto">
                          <a:xfrm>
                            <a:off x="907" y="1540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g:grpSp>
                      <wpg:cNvPr id="107" name="Group 2886"/>
                      <wpg:cNvGrpSpPr>
                        <a:grpSpLocks/>
                      </wpg:cNvGrpSpPr>
                      <wpg:grpSpPr bwMode="auto">
                        <a:xfrm>
                          <a:off x="1633" y="567"/>
                          <a:ext cx="9251" cy="15704"/>
                          <a:chOff x="1635" y="567"/>
                          <a:chExt cx="9251" cy="15704"/>
                        </a:xfrm>
                      </wpg:grpSpPr>
                      <wps:wsp>
                        <wps:cNvPr id="108" name="AutoShape 2887"/>
                        <wps:cNvCnPr>
                          <a:cxnSpLocks noChangeShapeType="1"/>
                        </wps:cNvCnPr>
                        <wps:spPr bwMode="auto">
                          <a:xfrm>
                            <a:off x="163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9" name="AutoShape 2888"/>
                        <wps:cNvCnPr>
                          <a:cxnSpLocks noChangeShapeType="1"/>
                        </wps:cNvCnPr>
                        <wps:spPr bwMode="auto">
                          <a:xfrm>
                            <a:off x="247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0" name="AutoShape 2889"/>
                        <wps:cNvCnPr>
                          <a:cxnSpLocks noChangeShapeType="1"/>
                        </wps:cNvCnPr>
                        <wps:spPr bwMode="auto">
                          <a:xfrm>
                            <a:off x="331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1" name="AutoShape 2890"/>
                        <wps:cNvCnPr>
                          <a:cxnSpLocks noChangeShapeType="1"/>
                        </wps:cNvCnPr>
                        <wps:spPr bwMode="auto">
                          <a:xfrm>
                            <a:off x="415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2" name="AutoShape 2891"/>
                        <wps:cNvCnPr>
                          <a:cxnSpLocks noChangeShapeType="1"/>
                        </wps:cNvCnPr>
                        <wps:spPr bwMode="auto">
                          <a:xfrm>
                            <a:off x="499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3" name="AutoShape 2892"/>
                        <wps:cNvCnPr>
                          <a:cxnSpLocks noChangeShapeType="1"/>
                        </wps:cNvCnPr>
                        <wps:spPr bwMode="auto">
                          <a:xfrm>
                            <a:off x="584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4" name="AutoShape 2893"/>
                        <wps:cNvCnPr>
                          <a:cxnSpLocks noChangeShapeType="1"/>
                        </wps:cNvCnPr>
                        <wps:spPr bwMode="auto">
                          <a:xfrm>
                            <a:off x="668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5" name="AutoShape 2894"/>
                        <wps:cNvCnPr>
                          <a:cxnSpLocks noChangeShapeType="1"/>
                        </wps:cNvCnPr>
                        <wps:spPr bwMode="auto">
                          <a:xfrm>
                            <a:off x="752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6" name="AutoShape 2895"/>
                        <wps:cNvCnPr>
                          <a:cxnSpLocks noChangeShapeType="1"/>
                        </wps:cNvCnPr>
                        <wps:spPr bwMode="auto">
                          <a:xfrm>
                            <a:off x="8363"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7" name="AutoShape 2896"/>
                        <wps:cNvCnPr>
                          <a:cxnSpLocks noChangeShapeType="1"/>
                        </wps:cNvCnPr>
                        <wps:spPr bwMode="auto">
                          <a:xfrm>
                            <a:off x="9204"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8" name="AutoShape 2897"/>
                        <wps:cNvCnPr>
                          <a:cxnSpLocks noChangeShapeType="1"/>
                        </wps:cNvCnPr>
                        <wps:spPr bwMode="auto">
                          <a:xfrm>
                            <a:off x="1004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9" name="AutoShape 2898"/>
                        <wps:cNvCnPr>
                          <a:cxnSpLocks noChangeShapeType="1"/>
                        </wps:cNvCnPr>
                        <wps:spPr bwMode="auto">
                          <a:xfrm>
                            <a:off x="10886"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40A8389" id="EvenGrid" o:spid="_x0000_s1026" alt="Grid" style="position:absolute;margin-left:0;margin-top:0;width:544.3pt;height:841.9pt;z-index:251657728;mso-position-horizontal-relative:page;mso-position-vertical-relative:page" coordsize="1088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">
              <v:group id="Group 2851" o:spid="_x0000_s1027" style="position:absolute;left:1021;top:567;width:9251;height:15704" coordorigin="1021,567" coordsize="9251,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32" coordsize="21600,21600" o:spt="32" o:oned="t" path="m,l21600,21600e" filled="f">
                  <v:path arrowok="t" fillok="f" o:connecttype="none"/>
                  <o:lock v:ext="edit" shapetype="t"/>
                </v:shapetype>
                <v:shape id="AutoShape 2852" o:spid="_x0000_s1028" type="#_x0000_t32" style="position:absolute;left:102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" strokecolor="#002060"/>
                <v:shape id="AutoShape 2853" o:spid="_x0000_s1029" type="#_x0000_t32" style="position:absolute;left:186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" strokecolor="#00b0f0"/>
                <v:shape id="AutoShape 2854" o:spid="_x0000_s1030" type="#_x0000_t32" style="position:absolute;left:2703;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" strokecolor="#00b0f0"/>
                <v:shape id="AutoShape 2855" o:spid="_x0000_s1031" type="#_x0000_t32" style="position:absolute;left:3544;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" strokecolor="#002060"/>
                <v:shape id="AutoShape 2856" o:spid="_x0000_s1032" type="#_x0000_t32" style="position:absolute;left:438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" strokecolor="#00b0f0"/>
                <v:shape id="AutoShape 2857" o:spid="_x0000_s1033" type="#_x0000_t32" style="position:absolute;left:522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" strokecolor="#00b0f0"/>
                <v:shape id="AutoShape 2858" o:spid="_x0000_s1034" type="#_x0000_t32" style="position:absolute;left:6067;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" strokecolor="#002060"/>
                <v:shape id="AutoShape 2859" o:spid="_x0000_s1035" type="#_x0000_t32" style="position:absolute;left:6908;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" strokecolor="#00b0f0"/>
                <v:shape id="AutoShape 2860" o:spid="_x0000_s1036" type="#_x0000_t32" style="position:absolute;left:7749;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" strokecolor="#00b0f0"/>
                <v:shape id="AutoShape 2861" o:spid="_x0000_s1037" type="#_x0000_t32" style="position:absolute;left:8590;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" strokecolor="#002060"/>
                <v:shape id="AutoShape 2862" o:spid="_x0000_s1038" type="#_x0000_t32" style="position:absolute;left:943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" strokecolor="#00b0f0"/>
                <v:shape id="AutoShape 2863" o:spid="_x0000_s1039" type="#_x0000_t32" style="position:absolute;left:1027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" strokecolor="#00b0f0"/>
              </v:group>
              <v:shape id="AutoShape 2864" o:spid="_x0000_s1040" type="#_x0000_t32" style="position:absolute;width:0;height:16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" strokecolor="#f6f"/>
              <v:shape id="AutoShape 2865" o:spid="_x0000_s1041" type="#_x0000_t32" style="position:absolute;left:794;width:0;height:16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" strokecolor="#f6f"/>
              <v:group id="Group 2866" o:spid="_x0000_s1042" style="position:absolute;left:1021;top:567;width:9865;height:15706" coordorigin="907,567" coordsize="9865,1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AutoShape 2867" o:spid="_x0000_s1043" type="#_x0000_t32" style="position:absolute;left:907;top:16273;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" strokecolor="#002060"/>
                <v:shape id="AutoShape 2868" o:spid="_x0000_s1044" type="#_x0000_t32" style="position:absolute;left:907;top:1452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" strokecolor="#00b0f0"/>
                <v:shape id="AutoShape 2869" o:spid="_x0000_s1045" type="#_x0000_t32" style="position:absolute;left:907;top:56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" strokecolor="#002060"/>
                <v:shape id="AutoShape 2870" o:spid="_x0000_s1046" type="#_x0000_t32" style="position:absolute;left:907;top:1439;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" strokecolor="#00b0f0"/>
                <v:shape id="AutoShape 2871" o:spid="_x0000_s1047" type="#_x0000_t32" style="position:absolute;left:907;top:231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" strokecolor="#00b0f0"/>
                <v:shape id="AutoShape 2872" o:spid="_x0000_s1048" type="#_x0000_t32" style="position:absolute;left:907;top:3184;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" strokecolor="#00b0f0"/>
                <v:shape id="AutoShape 2873" o:spid="_x0000_s1049" type="#_x0000_t32" style="position:absolute;left:907;top:405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" strokecolor="#00b0f0"/>
                <v:shape id="AutoShape 2874" o:spid="_x0000_s1050" type="#_x0000_t32" style="position:absolute;left:907;top:4929;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" strokecolor="#00b0f0"/>
                <v:shape id="AutoShape 2875" o:spid="_x0000_s1051" type="#_x0000_t32" style="position:absolute;left:907;top:580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" strokecolor="#00b0f0"/>
                <v:shape id="AutoShape 2876" o:spid="_x0000_s1052" type="#_x0000_t32" style="position:absolute;left:907;top:6674;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" strokecolor="#00b0f0"/>
                <v:shape id="AutoShape 2877" o:spid="_x0000_s1053" type="#_x0000_t32" style="position:absolute;left:907;top:754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" strokecolor="#00b0f0"/>
                <v:shape id="AutoShape 2878" o:spid="_x0000_s1054" type="#_x0000_t32" style="position:absolute;left:907;top:842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" strokecolor="#00b0f0"/>
                <v:shape id="AutoShape 2879" o:spid="_x0000_s1055" type="#_x0000_t32" style="position:absolute;left:907;top:929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" strokecolor="#00b0f0"/>
                <v:shape id="AutoShape 2880" o:spid="_x0000_s1056" type="#_x0000_t32" style="position:absolute;left:907;top:10165;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" strokecolor="#00b0f0"/>
                <v:shape id="AutoShape 2881" o:spid="_x0000_s1057" type="#_x0000_t32" style="position:absolute;left:907;top:1103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" strokecolor="#00b0f0"/>
                <v:shape id="AutoShape 2882" o:spid="_x0000_s1058" type="#_x0000_t32" style="position:absolute;left:907;top:1191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" strokecolor="#00b0f0"/>
                <v:shape id="AutoShape 2883" o:spid="_x0000_s1059" type="#_x0000_t32" style="position:absolute;left:907;top:1278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" strokecolor="#00b0f0"/>
                <v:shape id="AutoShape 2884" o:spid="_x0000_s1060" type="#_x0000_t32" style="position:absolute;left:907;top:13655;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" strokecolor="#00b0f0"/>
                <v:shape id="AutoShape 2885" o:spid="_x0000_s1061" type="#_x0000_t32" style="position:absolute;left:907;top:1540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" strokecolor="#00b0f0"/>
              </v:group>
              <v:group id="Group 2886" o:spid="_x0000_s1062" style="position:absolute;left:1633;top:567;width:9251;height:15704" coordorigin="1635,567" coordsize="9251,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AutoShape 2887" o:spid="_x0000_s1063" type="#_x0000_t32" style="position:absolute;left:163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" strokecolor="#00b0f0"/>
                <v:shape id="AutoShape 2888" o:spid="_x0000_s1064" type="#_x0000_t32" style="position:absolute;left:247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" strokecolor="#00b0f0"/>
                <v:shape id="AutoShape 2889" o:spid="_x0000_s1065" type="#_x0000_t32" style="position:absolute;left:3317;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" strokecolor="#002060"/>
                <v:shape id="AutoShape 2890" o:spid="_x0000_s1066" type="#_x0000_t32" style="position:absolute;left:4158;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" strokecolor="#00b0f0"/>
                <v:shape id="AutoShape 2891" o:spid="_x0000_s1067" type="#_x0000_t32" style="position:absolute;left:4999;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" strokecolor="#00b0f0"/>
                <v:shape id="AutoShape 2892" o:spid="_x0000_s1068" type="#_x0000_t32" style="position:absolute;left:5840;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" strokecolor="#002060"/>
                <v:shape id="AutoShape 2893" o:spid="_x0000_s1069" type="#_x0000_t32" style="position:absolute;left:668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" strokecolor="#00b0f0"/>
                <v:shape id="AutoShape 2894" o:spid="_x0000_s1070" type="#_x0000_t32" style="position:absolute;left:752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" strokecolor="#00b0f0"/>
                <v:shape id="AutoShape 2895" o:spid="_x0000_s1071" type="#_x0000_t32" style="position:absolute;left:8363;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" strokecolor="#002060"/>
                <v:shape id="AutoShape 2896" o:spid="_x0000_s1072" type="#_x0000_t32" style="position:absolute;left:9204;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" strokecolor="#00b0f0"/>
                <v:shape id="AutoShape 2897" o:spid="_x0000_s1073" type="#_x0000_t32" style="position:absolute;left:1004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" strokecolor="#00b0f0"/>
                <v:shape id="AutoShape 2898" o:spid="_x0000_s1074" type="#_x0000_t32" style="position:absolute;left:1088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" strokecolor="#002060"/>
              </v:group>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64EFC" w14:textId="2AA6BF82" w:rsidR="009719FC" w:rsidRPr="00C54A4F" w:rsidRDefault="009719FC" w:rsidP="00C54A4F">
    <w:pPr>
      <w:pStyle w:val="Header-Even"/>
    </w:pPr>
    <w:r>
      <w:rPr>
        <w:noProof/>
        <w:snapToGrid/>
        <w:lang w:eastAsia="en-AU"/>
      </w:rPr>
      <w:fldChar w:fldCharType="begin"/>
    </w:r>
    <w:r>
      <w:rPr>
        <w:noProof/>
        <w:snapToGrid/>
        <w:lang w:eastAsia="en-AU"/>
      </w:rPr>
      <w:instrText xml:space="preserve"> STYLEREF "Heading 2" </w:instrText>
    </w:r>
    <w:r>
      <w:rPr>
        <w:noProof/>
        <w:snapToGrid/>
        <w:lang w:eastAsia="en-AU"/>
      </w:rPr>
      <w:fldChar w:fldCharType="separate"/>
    </w:r>
    <w:r w:rsidR="00C35804">
      <w:rPr>
        <w:noProof/>
        <w:snapToGrid/>
        <w:lang w:eastAsia="en-AU"/>
      </w:rPr>
      <w:t>Analysis of fees</w:t>
    </w:r>
    <w:r>
      <w:rPr>
        <w:noProof/>
        <w:snapToGrid/>
        <w:lang w:eastAsia="en-AU"/>
      </w:rPr>
      <w:fldChar w:fldCharType="end"/>
    </w:r>
  </w:p>
  <w:p w14:paraId="7D7D3E97" w14:textId="77777777" w:rsidR="009719FC" w:rsidRDefault="009719F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F3DF" w14:textId="5A0DB704" w:rsidR="009719FC" w:rsidRPr="00C54A4F" w:rsidRDefault="009719FC" w:rsidP="00C54A4F">
    <w:pPr>
      <w:pStyle w:val="Header"/>
    </w:pPr>
    <w:r>
      <w:rPr>
        <w:noProof/>
        <w:snapToGrid/>
        <w:lang w:eastAsia="en-AU"/>
      </w:rPr>
      <w:fldChar w:fldCharType="begin"/>
    </w:r>
    <w:r>
      <w:rPr>
        <w:noProof/>
        <w:snapToGrid/>
        <w:lang w:eastAsia="en-AU"/>
      </w:rPr>
      <w:instrText xml:space="preserve"> STYLEREF "Heading 2" </w:instrText>
    </w:r>
    <w:r>
      <w:rPr>
        <w:noProof/>
        <w:snapToGrid/>
        <w:lang w:eastAsia="en-AU"/>
      </w:rPr>
      <w:fldChar w:fldCharType="separate"/>
    </w:r>
    <w:r w:rsidR="00C35804">
      <w:rPr>
        <w:noProof/>
        <w:snapToGrid/>
        <w:lang w:eastAsia="en-AU"/>
      </w:rPr>
      <w:t>Analysis of fees</w:t>
    </w:r>
    <w:r>
      <w:rPr>
        <w:noProof/>
        <w:snapToGrid/>
        <w:lang w:eastAsia="en-AU"/>
      </w:rPr>
      <w:fldChar w:fldCharType="end"/>
    </w:r>
  </w:p>
  <w:p w14:paraId="3E433C43" w14:textId="77777777" w:rsidR="009719FC" w:rsidRDefault="009719F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4A6D" w14:textId="2268D457" w:rsidR="009719FC" w:rsidRDefault="009719FC" w:rsidP="0091050E">
    <w:pPr>
      <w:pStyle w:val="Header-FirstPage"/>
    </w:pPr>
  </w:p>
  <w:p w14:paraId="0FDB0FB7" w14:textId="77777777" w:rsidR="009719FC" w:rsidRPr="00460052" w:rsidRDefault="009719FC" w:rsidP="00460052">
    <w:pPr>
      <w:pStyle w:val="FirstPagePanelFrame"/>
      <w:framePr w:wrap="notBesid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E21F" w14:textId="4D53D4C0" w:rsidR="009719FC" w:rsidRPr="009B05E3" w:rsidRDefault="00B47FE6" w:rsidP="00574287">
    <w:pPr>
      <w:pStyle w:val="Header-Even"/>
    </w:pPr>
    <w:r>
      <w:fldChar w:fldCharType="begin"/>
    </w:r>
    <w:r>
      <w:instrText xml:space="preserve"> STYLEREF "Heading 4" </w:instrText>
    </w:r>
    <w:r>
      <w:fldChar w:fldCharType="separate"/>
    </w:r>
    <w:r w:rsidR="009719FC">
      <w:rPr>
        <w:noProof/>
      </w:rPr>
      <w:t>Consultation summary</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867FF" w14:textId="2415B918" w:rsidR="009719FC" w:rsidRPr="009B05E3" w:rsidRDefault="00B47FE6" w:rsidP="009B05E3">
    <w:pPr>
      <w:pStyle w:val="Header"/>
    </w:pPr>
    <w:r>
      <w:fldChar w:fldCharType="begin"/>
    </w:r>
    <w:r>
      <w:instrText xml:space="preserve"> STYLEREF "Heading 4" </w:instrText>
    </w:r>
    <w:r>
      <w:fldChar w:fldCharType="separate"/>
    </w:r>
    <w:r w:rsidR="009719FC">
      <w:rPr>
        <w:noProof/>
      </w:rPr>
      <w:t>Consultation summary</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F92B" w14:textId="5B32F7A8" w:rsidR="009719FC" w:rsidRDefault="009719FC" w:rsidP="0091050E">
    <w:pPr>
      <w:pStyle w:val="Header-FirstPage"/>
    </w:pPr>
  </w:p>
  <w:p w14:paraId="45658AD0" w14:textId="77777777" w:rsidR="009719FC" w:rsidRPr="007E5215" w:rsidRDefault="009719FC" w:rsidP="007E5215">
    <w:pPr>
      <w:pStyle w:val="FirstPagePanelFrame-Contents"/>
      <w:framePr w:wrap="notBeside"/>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4993" w14:textId="4632300D" w:rsidR="009719FC" w:rsidRDefault="009719F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63587" w14:textId="0E6A4FBF" w:rsidR="009719FC" w:rsidRDefault="009719F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5C98E" w14:textId="706AA468" w:rsidR="009719FC" w:rsidRPr="0097760A" w:rsidRDefault="009719FC" w:rsidP="0059630D">
    <w:pPr>
      <w:pStyle w:val="FirstPagePanelFrame"/>
      <w:framePr w:wrap="notBesid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C72A1" w14:textId="5BCE4DF2" w:rsidR="009719FC" w:rsidRPr="005B4BF3" w:rsidRDefault="009719FC" w:rsidP="005B4B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E3CC" w14:textId="319B4306" w:rsidR="009719FC" w:rsidRPr="008F0566" w:rsidRDefault="009719FC" w:rsidP="008F0566">
    <w:pPr>
      <w:pStyle w:val="Header"/>
    </w:pPr>
    <w:r>
      <w:rPr>
        <w:noProof/>
        <w:snapToGrid/>
        <w:lang w:eastAsia="en-AU"/>
      </w:rPr>
      <mc:AlternateContent>
        <mc:Choice Requires="wpg">
          <w:drawing>
            <wp:anchor distT="0" distB="0" distL="114300" distR="114300" simplePos="0" relativeHeight="251653632" behindDoc="0" locked="0" layoutInCell="1" allowOverlap="1" wp14:anchorId="5DB7BE54" wp14:editId="6D0D827E">
              <wp:simplePos x="0" y="0"/>
              <wp:positionH relativeFrom="page">
                <wp:posOffset>0</wp:posOffset>
              </wp:positionH>
              <wp:positionV relativeFrom="page">
                <wp:posOffset>0</wp:posOffset>
              </wp:positionV>
              <wp:extent cx="6912610" cy="10692130"/>
              <wp:effectExtent l="9525" t="9525" r="12065" b="13970"/>
              <wp:wrapNone/>
              <wp:docPr id="17" name="OddGrid" descr="Gr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610" cy="10692130"/>
                        <a:chOff x="0" y="0"/>
                        <a:chExt cx="10886" cy="16838"/>
                      </a:xfrm>
                    </wpg:grpSpPr>
                    <wpg:grpSp>
                      <wpg:cNvPr id="18" name="Group 2018"/>
                      <wpg:cNvGrpSpPr>
                        <a:grpSpLocks/>
                      </wpg:cNvGrpSpPr>
                      <wpg:grpSpPr bwMode="auto">
                        <a:xfrm>
                          <a:off x="1021" y="567"/>
                          <a:ext cx="9251" cy="15704"/>
                          <a:chOff x="1021" y="567"/>
                          <a:chExt cx="9251" cy="15704"/>
                        </a:xfrm>
                      </wpg:grpSpPr>
                      <wps:wsp>
                        <wps:cNvPr id="21" name="AutoShape 2019"/>
                        <wps:cNvCnPr>
                          <a:cxnSpLocks noChangeShapeType="1"/>
                        </wps:cNvCnPr>
                        <wps:spPr bwMode="auto">
                          <a:xfrm>
                            <a:off x="1021"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2" name="AutoShape 2020"/>
                        <wps:cNvCnPr>
                          <a:cxnSpLocks noChangeShapeType="1"/>
                        </wps:cNvCnPr>
                        <wps:spPr bwMode="auto">
                          <a:xfrm>
                            <a:off x="186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3" name="AutoShape 2021"/>
                        <wps:cNvCnPr>
                          <a:cxnSpLocks noChangeShapeType="1"/>
                        </wps:cNvCnPr>
                        <wps:spPr bwMode="auto">
                          <a:xfrm>
                            <a:off x="2703"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4" name="AutoShape 2022"/>
                        <wps:cNvCnPr>
                          <a:cxnSpLocks noChangeShapeType="1"/>
                        </wps:cNvCnPr>
                        <wps:spPr bwMode="auto">
                          <a:xfrm>
                            <a:off x="3544"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5" name="AutoShape 2023"/>
                        <wps:cNvCnPr>
                          <a:cxnSpLocks noChangeShapeType="1"/>
                        </wps:cNvCnPr>
                        <wps:spPr bwMode="auto">
                          <a:xfrm>
                            <a:off x="438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6" name="AutoShape 2024"/>
                        <wps:cNvCnPr>
                          <a:cxnSpLocks noChangeShapeType="1"/>
                        </wps:cNvCnPr>
                        <wps:spPr bwMode="auto">
                          <a:xfrm>
                            <a:off x="522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7" name="AutoShape 2025"/>
                        <wps:cNvCnPr>
                          <a:cxnSpLocks noChangeShapeType="1"/>
                        </wps:cNvCnPr>
                        <wps:spPr bwMode="auto">
                          <a:xfrm>
                            <a:off x="606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8" name="AutoShape 2026"/>
                        <wps:cNvCnPr>
                          <a:cxnSpLocks noChangeShapeType="1"/>
                        </wps:cNvCnPr>
                        <wps:spPr bwMode="auto">
                          <a:xfrm>
                            <a:off x="690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9" name="AutoShape 2027"/>
                        <wps:cNvCnPr>
                          <a:cxnSpLocks noChangeShapeType="1"/>
                        </wps:cNvCnPr>
                        <wps:spPr bwMode="auto">
                          <a:xfrm>
                            <a:off x="774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0" name="AutoShape 2028"/>
                        <wps:cNvCnPr>
                          <a:cxnSpLocks noChangeShapeType="1"/>
                        </wps:cNvCnPr>
                        <wps:spPr bwMode="auto">
                          <a:xfrm>
                            <a:off x="859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1" name="AutoShape 2029"/>
                        <wps:cNvCnPr>
                          <a:cxnSpLocks noChangeShapeType="1"/>
                        </wps:cNvCnPr>
                        <wps:spPr bwMode="auto">
                          <a:xfrm>
                            <a:off x="943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2" name="AutoShape 2030"/>
                        <wps:cNvCnPr>
                          <a:cxnSpLocks noChangeShapeType="1"/>
                        </wps:cNvCnPr>
                        <wps:spPr bwMode="auto">
                          <a:xfrm>
                            <a:off x="1027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s:wsp>
                      <wps:cNvPr id="33" name="AutoShape 2031"/>
                      <wps:cNvCnPr>
                        <a:cxnSpLocks noChangeShapeType="1"/>
                      </wps:cNvCnPr>
                      <wps:spPr bwMode="auto">
                        <a:xfrm>
                          <a:off x="0"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s:wsp>
                      <wps:cNvPr id="34" name="AutoShape 2032"/>
                      <wps:cNvCnPr>
                        <a:cxnSpLocks noChangeShapeType="1"/>
                      </wps:cNvCnPr>
                      <wps:spPr bwMode="auto">
                        <a:xfrm>
                          <a:off x="794"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g:grpSp>
                      <wpg:cNvPr id="35" name="Group 2033"/>
                      <wpg:cNvGrpSpPr>
                        <a:grpSpLocks/>
                      </wpg:cNvGrpSpPr>
                      <wpg:grpSpPr bwMode="auto">
                        <a:xfrm>
                          <a:off x="1021" y="567"/>
                          <a:ext cx="9865" cy="15706"/>
                          <a:chOff x="907" y="567"/>
                          <a:chExt cx="9865" cy="15706"/>
                        </a:xfrm>
                      </wpg:grpSpPr>
                      <wps:wsp>
                        <wps:cNvPr id="36" name="AutoShape 2034"/>
                        <wps:cNvCnPr>
                          <a:cxnSpLocks noChangeShapeType="1"/>
                        </wps:cNvCnPr>
                        <wps:spPr bwMode="auto">
                          <a:xfrm>
                            <a:off x="907" y="16273"/>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7" name="AutoShape 2035"/>
                        <wps:cNvCnPr>
                          <a:cxnSpLocks noChangeShapeType="1"/>
                        </wps:cNvCnPr>
                        <wps:spPr bwMode="auto">
                          <a:xfrm>
                            <a:off x="907" y="1452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8" name="AutoShape 2036"/>
                        <wps:cNvCnPr>
                          <a:cxnSpLocks noChangeShapeType="1"/>
                        </wps:cNvCnPr>
                        <wps:spPr bwMode="auto">
                          <a:xfrm>
                            <a:off x="907" y="567"/>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9" name="AutoShape 2037"/>
                        <wps:cNvCnPr>
                          <a:cxnSpLocks noChangeShapeType="1"/>
                        </wps:cNvCnPr>
                        <wps:spPr bwMode="auto">
                          <a:xfrm>
                            <a:off x="907" y="143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0" name="AutoShape 2038"/>
                        <wps:cNvCnPr>
                          <a:cxnSpLocks noChangeShapeType="1"/>
                        </wps:cNvCnPr>
                        <wps:spPr bwMode="auto">
                          <a:xfrm>
                            <a:off x="907" y="231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1" name="AutoShape 2039"/>
                        <wps:cNvCnPr>
                          <a:cxnSpLocks noChangeShapeType="1"/>
                        </wps:cNvCnPr>
                        <wps:spPr bwMode="auto">
                          <a:xfrm>
                            <a:off x="907" y="318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2" name="AutoShape 2040"/>
                        <wps:cNvCnPr>
                          <a:cxnSpLocks noChangeShapeType="1"/>
                        </wps:cNvCnPr>
                        <wps:spPr bwMode="auto">
                          <a:xfrm>
                            <a:off x="907" y="405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3" name="AutoShape 2041"/>
                        <wps:cNvCnPr>
                          <a:cxnSpLocks noChangeShapeType="1"/>
                        </wps:cNvCnPr>
                        <wps:spPr bwMode="auto">
                          <a:xfrm>
                            <a:off x="907" y="492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4" name="AutoShape 2042"/>
                        <wps:cNvCnPr>
                          <a:cxnSpLocks noChangeShapeType="1"/>
                        </wps:cNvCnPr>
                        <wps:spPr bwMode="auto">
                          <a:xfrm>
                            <a:off x="907" y="580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5" name="AutoShape 2043"/>
                        <wps:cNvCnPr>
                          <a:cxnSpLocks noChangeShapeType="1"/>
                        </wps:cNvCnPr>
                        <wps:spPr bwMode="auto">
                          <a:xfrm>
                            <a:off x="907" y="667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6" name="AutoShape 2044"/>
                        <wps:cNvCnPr>
                          <a:cxnSpLocks noChangeShapeType="1"/>
                        </wps:cNvCnPr>
                        <wps:spPr bwMode="auto">
                          <a:xfrm>
                            <a:off x="907" y="754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7" name="AutoShape 2045"/>
                        <wps:cNvCnPr>
                          <a:cxnSpLocks noChangeShapeType="1"/>
                        </wps:cNvCnPr>
                        <wps:spPr bwMode="auto">
                          <a:xfrm>
                            <a:off x="907" y="842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8" name="AutoShape 2046"/>
                        <wps:cNvCnPr>
                          <a:cxnSpLocks noChangeShapeType="1"/>
                        </wps:cNvCnPr>
                        <wps:spPr bwMode="auto">
                          <a:xfrm>
                            <a:off x="907" y="929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9" name="AutoShape 2047"/>
                        <wps:cNvCnPr>
                          <a:cxnSpLocks noChangeShapeType="1"/>
                        </wps:cNvCnPr>
                        <wps:spPr bwMode="auto">
                          <a:xfrm>
                            <a:off x="907" y="1016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0" name="AutoShape 2048"/>
                        <wps:cNvCnPr>
                          <a:cxnSpLocks noChangeShapeType="1"/>
                        </wps:cNvCnPr>
                        <wps:spPr bwMode="auto">
                          <a:xfrm>
                            <a:off x="907" y="1103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1" name="AutoShape 2049"/>
                        <wps:cNvCnPr>
                          <a:cxnSpLocks noChangeShapeType="1"/>
                        </wps:cNvCnPr>
                        <wps:spPr bwMode="auto">
                          <a:xfrm>
                            <a:off x="907" y="1191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2" name="AutoShape 2050"/>
                        <wps:cNvCnPr>
                          <a:cxnSpLocks noChangeShapeType="1"/>
                        </wps:cNvCnPr>
                        <wps:spPr bwMode="auto">
                          <a:xfrm>
                            <a:off x="907" y="1278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3" name="AutoShape 2051"/>
                        <wps:cNvCnPr>
                          <a:cxnSpLocks noChangeShapeType="1"/>
                        </wps:cNvCnPr>
                        <wps:spPr bwMode="auto">
                          <a:xfrm>
                            <a:off x="907" y="1365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4" name="AutoShape 2052"/>
                        <wps:cNvCnPr>
                          <a:cxnSpLocks noChangeShapeType="1"/>
                        </wps:cNvCnPr>
                        <wps:spPr bwMode="auto">
                          <a:xfrm>
                            <a:off x="907" y="1540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g:grpSp>
                      <wpg:cNvPr id="58" name="Group 2053"/>
                      <wpg:cNvGrpSpPr>
                        <a:grpSpLocks/>
                      </wpg:cNvGrpSpPr>
                      <wpg:grpSpPr bwMode="auto">
                        <a:xfrm>
                          <a:off x="1633" y="567"/>
                          <a:ext cx="9251" cy="15704"/>
                          <a:chOff x="1635" y="567"/>
                          <a:chExt cx="9251" cy="15704"/>
                        </a:xfrm>
                      </wpg:grpSpPr>
                      <wps:wsp>
                        <wps:cNvPr id="59" name="AutoShape 2054"/>
                        <wps:cNvCnPr>
                          <a:cxnSpLocks noChangeShapeType="1"/>
                        </wps:cNvCnPr>
                        <wps:spPr bwMode="auto">
                          <a:xfrm>
                            <a:off x="163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0" name="AutoShape 2055"/>
                        <wps:cNvCnPr>
                          <a:cxnSpLocks noChangeShapeType="1"/>
                        </wps:cNvCnPr>
                        <wps:spPr bwMode="auto">
                          <a:xfrm>
                            <a:off x="247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1" name="AutoShape 2056"/>
                        <wps:cNvCnPr>
                          <a:cxnSpLocks noChangeShapeType="1"/>
                        </wps:cNvCnPr>
                        <wps:spPr bwMode="auto">
                          <a:xfrm>
                            <a:off x="331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2" name="AutoShape 2057"/>
                        <wps:cNvCnPr>
                          <a:cxnSpLocks noChangeShapeType="1"/>
                        </wps:cNvCnPr>
                        <wps:spPr bwMode="auto">
                          <a:xfrm>
                            <a:off x="415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3" name="AutoShape 2058"/>
                        <wps:cNvCnPr>
                          <a:cxnSpLocks noChangeShapeType="1"/>
                        </wps:cNvCnPr>
                        <wps:spPr bwMode="auto">
                          <a:xfrm>
                            <a:off x="499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4" name="AutoShape 2059"/>
                        <wps:cNvCnPr>
                          <a:cxnSpLocks noChangeShapeType="1"/>
                        </wps:cNvCnPr>
                        <wps:spPr bwMode="auto">
                          <a:xfrm>
                            <a:off x="584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5" name="AutoShape 2060"/>
                        <wps:cNvCnPr>
                          <a:cxnSpLocks noChangeShapeType="1"/>
                        </wps:cNvCnPr>
                        <wps:spPr bwMode="auto">
                          <a:xfrm>
                            <a:off x="668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6" name="AutoShape 2061"/>
                        <wps:cNvCnPr>
                          <a:cxnSpLocks noChangeShapeType="1"/>
                        </wps:cNvCnPr>
                        <wps:spPr bwMode="auto">
                          <a:xfrm>
                            <a:off x="752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7" name="AutoShape 2062"/>
                        <wps:cNvCnPr>
                          <a:cxnSpLocks noChangeShapeType="1"/>
                        </wps:cNvCnPr>
                        <wps:spPr bwMode="auto">
                          <a:xfrm>
                            <a:off x="8363"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8" name="AutoShape 2063"/>
                        <wps:cNvCnPr>
                          <a:cxnSpLocks noChangeShapeType="1"/>
                        </wps:cNvCnPr>
                        <wps:spPr bwMode="auto">
                          <a:xfrm>
                            <a:off x="9204"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9" name="AutoShape 2064"/>
                        <wps:cNvCnPr>
                          <a:cxnSpLocks noChangeShapeType="1"/>
                        </wps:cNvCnPr>
                        <wps:spPr bwMode="auto">
                          <a:xfrm>
                            <a:off x="1004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0" name="AutoShape 2065"/>
                        <wps:cNvCnPr>
                          <a:cxnSpLocks noChangeShapeType="1"/>
                        </wps:cNvCnPr>
                        <wps:spPr bwMode="auto">
                          <a:xfrm>
                            <a:off x="10886"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4E0D723" id="OddGrid" o:spid="_x0000_s1026" alt="Grid" style="position:absolute;margin-left:0;margin-top:0;width:544.3pt;height:841.9pt;z-index:251653632;mso-position-horizontal-relative:page;mso-position-vertical-relative:page" coordsize="1088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">
              <v:group id="Group 2018" o:spid="_x0000_s1027" style="position:absolute;left:1021;top:567;width:9251;height:15704" coordorigin="1021,567" coordsize="9251,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019" o:spid="_x0000_s1028" type="#_x0000_t32" style="position:absolute;left:102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" strokecolor="#002060"/>
                <v:shape id="AutoShape 2020" o:spid="_x0000_s1029" type="#_x0000_t32" style="position:absolute;left:186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" strokecolor="#00b0f0"/>
                <v:shape id="AutoShape 2021" o:spid="_x0000_s1030" type="#_x0000_t32" style="position:absolute;left:2703;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" strokecolor="#00b0f0"/>
                <v:shape id="AutoShape 2022" o:spid="_x0000_s1031" type="#_x0000_t32" style="position:absolute;left:3544;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" strokecolor="#002060"/>
                <v:shape id="AutoShape 2023" o:spid="_x0000_s1032" type="#_x0000_t32" style="position:absolute;left:438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" strokecolor="#00b0f0"/>
                <v:shape id="AutoShape 2024" o:spid="_x0000_s1033" type="#_x0000_t32" style="position:absolute;left:522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" strokecolor="#00b0f0"/>
                <v:shape id="AutoShape 2025" o:spid="_x0000_s1034" type="#_x0000_t32" style="position:absolute;left:6067;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" strokecolor="#002060"/>
                <v:shape id="AutoShape 2026" o:spid="_x0000_s1035" type="#_x0000_t32" style="position:absolute;left:6908;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" strokecolor="#00b0f0"/>
                <v:shape id="AutoShape 2027" o:spid="_x0000_s1036" type="#_x0000_t32" style="position:absolute;left:7749;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" strokecolor="#00b0f0"/>
                <v:shape id="AutoShape 2028" o:spid="_x0000_s1037" type="#_x0000_t32" style="position:absolute;left:8590;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" strokecolor="#002060"/>
                <v:shape id="AutoShape 2029" o:spid="_x0000_s1038" type="#_x0000_t32" style="position:absolute;left:943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" strokecolor="#00b0f0"/>
                <v:shape id="AutoShape 2030" o:spid="_x0000_s1039" type="#_x0000_t32" style="position:absolute;left:1027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" strokecolor="#00b0f0"/>
              </v:group>
              <v:shape id="AutoShape 2031" o:spid="_x0000_s1040" type="#_x0000_t32" style="position:absolute;width:0;height:16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" strokecolor="#f6f"/>
              <v:shape id="AutoShape 2032" o:spid="_x0000_s1041" type="#_x0000_t32" style="position:absolute;left:794;width:0;height:16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" strokecolor="#f6f"/>
              <v:group id="Group 2033" o:spid="_x0000_s1042" style="position:absolute;left:1021;top:567;width:9865;height:15706" coordorigin="907,567" coordsize="9865,1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AutoShape 2034" o:spid="_x0000_s1043" type="#_x0000_t32" style="position:absolute;left:907;top:16273;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" strokecolor="#002060"/>
                <v:shape id="AutoShape 2035" o:spid="_x0000_s1044" type="#_x0000_t32" style="position:absolute;left:907;top:1452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" strokecolor="#00b0f0"/>
                <v:shape id="AutoShape 2036" o:spid="_x0000_s1045" type="#_x0000_t32" style="position:absolute;left:907;top:56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" strokecolor="#002060"/>
                <v:shape id="AutoShape 2037" o:spid="_x0000_s1046" type="#_x0000_t32" style="position:absolute;left:907;top:1439;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" strokecolor="#00b0f0"/>
                <v:shape id="AutoShape 2038" o:spid="_x0000_s1047" type="#_x0000_t32" style="position:absolute;left:907;top:231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" strokecolor="#00b0f0"/>
                <v:shape id="AutoShape 2039" o:spid="_x0000_s1048" type="#_x0000_t32" style="position:absolute;left:907;top:3184;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" strokecolor="#00b0f0"/>
                <v:shape id="AutoShape 2040" o:spid="_x0000_s1049" type="#_x0000_t32" style="position:absolute;left:907;top:405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" strokecolor="#00b0f0"/>
                <v:shape id="AutoShape 2041" o:spid="_x0000_s1050" type="#_x0000_t32" style="position:absolute;left:907;top:4929;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" strokecolor="#00b0f0"/>
                <v:shape id="AutoShape 2042" o:spid="_x0000_s1051" type="#_x0000_t32" style="position:absolute;left:907;top:580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" strokecolor="#00b0f0"/>
                <v:shape id="AutoShape 2043" o:spid="_x0000_s1052" type="#_x0000_t32" style="position:absolute;left:907;top:6674;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" strokecolor="#00b0f0"/>
                <v:shape id="AutoShape 2044" o:spid="_x0000_s1053" type="#_x0000_t32" style="position:absolute;left:907;top:754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" strokecolor="#00b0f0"/>
                <v:shape id="AutoShape 2045" o:spid="_x0000_s1054" type="#_x0000_t32" style="position:absolute;left:907;top:842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" strokecolor="#00b0f0"/>
                <v:shape id="AutoShape 2046" o:spid="_x0000_s1055" type="#_x0000_t32" style="position:absolute;left:907;top:929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" strokecolor="#00b0f0"/>
                <v:shape id="AutoShape 2047" o:spid="_x0000_s1056" type="#_x0000_t32" style="position:absolute;left:907;top:10165;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" strokecolor="#00b0f0"/>
                <v:shape id="AutoShape 2048" o:spid="_x0000_s1057" type="#_x0000_t32" style="position:absolute;left:907;top:11037;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" strokecolor="#00b0f0"/>
                <v:shape id="AutoShape 2049" o:spid="_x0000_s1058" type="#_x0000_t32" style="position:absolute;left:907;top:1191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" strokecolor="#00b0f0"/>
                <v:shape id="AutoShape 2050" o:spid="_x0000_s1059" type="#_x0000_t32" style="position:absolute;left:907;top:12782;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" strokecolor="#00b0f0"/>
                <v:shape id="AutoShape 2051" o:spid="_x0000_s1060" type="#_x0000_t32" style="position:absolute;left:907;top:13655;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" strokecolor="#00b0f0"/>
                <v:shape id="AutoShape 2052" o:spid="_x0000_s1061" type="#_x0000_t32" style="position:absolute;left:907;top:15400;width:9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" strokecolor="#00b0f0"/>
              </v:group>
              <v:group id="Group 2053" o:spid="_x0000_s1062" style="position:absolute;left:1633;top:567;width:9251;height:15704" coordorigin="1635,567" coordsize="9251,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2054" o:spid="_x0000_s1063" type="#_x0000_t32" style="position:absolute;left:163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" strokecolor="#00b0f0"/>
                <v:shape id="AutoShape 2055" o:spid="_x0000_s1064" type="#_x0000_t32" style="position:absolute;left:247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" strokecolor="#00b0f0"/>
                <v:shape id="AutoShape 2056" o:spid="_x0000_s1065" type="#_x0000_t32" style="position:absolute;left:3317;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" strokecolor="#002060"/>
                <v:shape id="AutoShape 2057" o:spid="_x0000_s1066" type="#_x0000_t32" style="position:absolute;left:4158;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" strokecolor="#00b0f0"/>
                <v:shape id="AutoShape 2058" o:spid="_x0000_s1067" type="#_x0000_t32" style="position:absolute;left:4999;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" strokecolor="#00b0f0"/>
                <v:shape id="AutoShape 2059" o:spid="_x0000_s1068" type="#_x0000_t32" style="position:absolute;left:5840;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" strokecolor="#002060"/>
                <v:shape id="AutoShape 2060" o:spid="_x0000_s1069" type="#_x0000_t32" style="position:absolute;left:6681;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" strokecolor="#00b0f0"/>
                <v:shape id="AutoShape 2061" o:spid="_x0000_s1070" type="#_x0000_t32" style="position:absolute;left:7522;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" strokecolor="#00b0f0"/>
                <v:shape id="AutoShape 2062" o:spid="_x0000_s1071" type="#_x0000_t32" style="position:absolute;left:8363;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" strokecolor="#002060"/>
                <v:shape id="AutoShape 2063" o:spid="_x0000_s1072" type="#_x0000_t32" style="position:absolute;left:9204;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" strokecolor="#00b0f0"/>
                <v:shape id="AutoShape 2064" o:spid="_x0000_s1073" type="#_x0000_t32" style="position:absolute;left:10045;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" strokecolor="#00b0f0"/>
                <v:shape id="AutoShape 2065" o:spid="_x0000_s1074" type="#_x0000_t32" style="position:absolute;left:10886;top:567;width:0;height:15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" strokecolor="#002060"/>
              </v:group>
              <w10:wrap anchorx="page" anchory="pag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E592" w14:textId="14911E53" w:rsidR="009719FC" w:rsidRPr="003333C5" w:rsidRDefault="009719FC" w:rsidP="003333C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C22EB" w14:textId="1F8210E1" w:rsidR="009719FC" w:rsidRPr="005236F7" w:rsidRDefault="009719FC" w:rsidP="005236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18CC" w14:textId="466B9E63" w:rsidR="009719FC" w:rsidRPr="000F4EB8" w:rsidRDefault="009719FC" w:rsidP="000F4EB8">
    <w:pPr>
      <w:pStyle w:val="URLCover"/>
      <w:rPr>
        <w:rFonts w:eastAsia="+mn-ea"/>
      </w:rPr>
    </w:pPr>
    <w:r>
      <w:rPr>
        <w:noProof/>
        <w:snapToGrid/>
        <w:lang w:eastAsia="en-AU"/>
      </w:rPr>
      <mc:AlternateContent>
        <mc:Choice Requires="wpg">
          <w:drawing>
            <wp:anchor distT="0" distB="0" distL="114300" distR="114300" simplePos="0" relativeHeight="251660800" behindDoc="0" locked="0" layoutInCell="1" allowOverlap="1" wp14:anchorId="3A53FDC8" wp14:editId="433BAB9C">
              <wp:simplePos x="0" y="0"/>
              <wp:positionH relativeFrom="page">
                <wp:posOffset>2102485</wp:posOffset>
              </wp:positionH>
              <wp:positionV relativeFrom="page">
                <wp:posOffset>911225</wp:posOffset>
              </wp:positionV>
              <wp:extent cx="5351145" cy="8866505"/>
              <wp:effectExtent l="0" t="0" r="4445" b="4445"/>
              <wp:wrapNone/>
              <wp:docPr id="2" name="Group 5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1145" cy="8866505"/>
                        <a:chOff x="3311" y="1531"/>
                        <a:chExt cx="8202" cy="13765"/>
                      </a:xfrm>
                    </wpg:grpSpPr>
                    <wps:wsp>
                      <wps:cNvPr id="5" name="Rectangle 5449"/>
                      <wps:cNvSpPr>
                        <a:spLocks noChangeArrowheads="1"/>
                      </wps:cNvSpPr>
                      <wps:spPr bwMode="auto">
                        <a:xfrm>
                          <a:off x="3311" y="8418"/>
                          <a:ext cx="7460" cy="6878"/>
                        </a:xfrm>
                        <a:prstGeom prst="rect">
                          <a:avLst/>
                        </a:prstGeom>
                        <a:solidFill>
                          <a:srgbClr val="F3BC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450"/>
                      <wps:cNvSpPr>
                        <a:spLocks noChangeArrowheads="1"/>
                      </wps:cNvSpPr>
                      <wps:spPr bwMode="auto">
                        <a:xfrm>
                          <a:off x="3311" y="1531"/>
                          <a:ext cx="6314" cy="13765"/>
                        </a:xfrm>
                        <a:prstGeom prst="rect">
                          <a:avLst/>
                        </a:prstGeom>
                        <a:solidFill>
                          <a:srgbClr val="EE9C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5451"/>
                      <wps:cNvSpPr>
                        <a:spLocks noChangeArrowheads="1"/>
                      </wps:cNvSpPr>
                      <wps:spPr bwMode="auto">
                        <a:xfrm>
                          <a:off x="3311" y="10138"/>
                          <a:ext cx="8202" cy="5158"/>
                        </a:xfrm>
                        <a:prstGeom prst="rect">
                          <a:avLst/>
                        </a:prstGeom>
                        <a:solidFill>
                          <a:srgbClr val="F3BE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452"/>
                      <wps:cNvSpPr>
                        <a:spLocks noChangeArrowheads="1"/>
                      </wps:cNvSpPr>
                      <wps:spPr bwMode="auto">
                        <a:xfrm>
                          <a:off x="3311" y="2399"/>
                          <a:ext cx="6929" cy="12897"/>
                        </a:xfrm>
                        <a:prstGeom prst="rect">
                          <a:avLst/>
                        </a:prstGeom>
                        <a:solidFill>
                          <a:srgbClr val="E66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453"/>
                      <wps:cNvSpPr>
                        <a:spLocks noChangeArrowheads="1"/>
                      </wps:cNvSpPr>
                      <wps:spPr bwMode="auto">
                        <a:xfrm>
                          <a:off x="3311" y="10138"/>
                          <a:ext cx="7460" cy="5158"/>
                        </a:xfrm>
                        <a:prstGeom prst="rect">
                          <a:avLst/>
                        </a:prstGeom>
                        <a:solidFill>
                          <a:srgbClr val="E88C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454"/>
                      <wps:cNvSpPr>
                        <a:spLocks noChangeArrowheads="1"/>
                      </wps:cNvSpPr>
                      <wps:spPr bwMode="auto">
                        <a:xfrm>
                          <a:off x="3311" y="2399"/>
                          <a:ext cx="6314" cy="12897"/>
                        </a:xfrm>
                        <a:prstGeom prst="rect">
                          <a:avLst/>
                        </a:prstGeom>
                        <a:solidFill>
                          <a:srgbClr val="D740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455"/>
                      <wps:cNvSpPr>
                        <a:spLocks noChangeArrowheads="1"/>
                      </wps:cNvSpPr>
                      <wps:spPr bwMode="auto">
                        <a:xfrm>
                          <a:off x="3311" y="8418"/>
                          <a:ext cx="6929" cy="6878"/>
                        </a:xfrm>
                        <a:prstGeom prst="rect">
                          <a:avLst/>
                        </a:prstGeom>
                        <a:solidFill>
                          <a:srgbClr val="DB4D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5456"/>
                      <wps:cNvSpPr>
                        <a:spLocks noChangeArrowheads="1"/>
                      </wps:cNvSpPr>
                      <wps:spPr bwMode="auto">
                        <a:xfrm>
                          <a:off x="3311" y="10138"/>
                          <a:ext cx="6929" cy="5158"/>
                        </a:xfrm>
                        <a:prstGeom prst="rect">
                          <a:avLst/>
                        </a:prstGeom>
                        <a:solidFill>
                          <a:srgbClr val="D13A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457"/>
                      <wps:cNvSpPr>
                        <a:spLocks noChangeArrowheads="1"/>
                      </wps:cNvSpPr>
                      <wps:spPr bwMode="auto">
                        <a:xfrm>
                          <a:off x="3311" y="8418"/>
                          <a:ext cx="6314" cy="6878"/>
                        </a:xfrm>
                        <a:prstGeom prst="rect">
                          <a:avLst/>
                        </a:prstGeom>
                        <a:solidFill>
                          <a:srgbClr val="CD2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458"/>
                      <wps:cNvSpPr>
                        <a:spLocks noChangeArrowheads="1"/>
                      </wps:cNvSpPr>
                      <wps:spPr bwMode="auto">
                        <a:xfrm>
                          <a:off x="3311" y="10138"/>
                          <a:ext cx="6314" cy="5158"/>
                        </a:xfrm>
                        <a:prstGeom prst="rect">
                          <a:avLst/>
                        </a:prstGeom>
                        <a:solidFill>
                          <a:srgbClr val="C4230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459"/>
                      <wps:cNvSpPr>
                        <a:spLocks noChangeArrowheads="1"/>
                      </wps:cNvSpPr>
                      <wps:spPr bwMode="auto">
                        <a:xfrm>
                          <a:off x="3311" y="11857"/>
                          <a:ext cx="3486" cy="3439"/>
                        </a:xfrm>
                        <a:prstGeom prst="rect">
                          <a:avLst/>
                        </a:prstGeom>
                        <a:solidFill>
                          <a:srgbClr val="9A17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545A8" id="Group 5448" o:spid="_x0000_s1026" style="position:absolute;margin-left:165.55pt;margin-top:71.75pt;width:421.35pt;height:698.15pt;z-index:251660800;mso-position-horizontal-relative:page;mso-position-vertical-relative:page" coordorigin="3311,1531" coordsize="8202,1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">
              <v:rect id="Rectangle 5449" o:spid="_x0000_s1027" style="position:absolute;left:3311;top:8418;width:7460;height:6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" fillcolor="#f3bc87" stroked="f"/>
              <v:rect id="Rectangle 5450" o:spid="_x0000_s1028" style="position:absolute;left:3311;top:1531;width:6314;height:1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" fillcolor="#ee9c34" stroked="f"/>
              <v:rect id="Rectangle 5451" o:spid="_x0000_s1029" style="position:absolute;left:3311;top:10138;width:8202;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" fillcolor="#f3be26" stroked="f"/>
              <v:rect id="Rectangle 5452" o:spid="_x0000_s1030" style="position:absolute;left:3311;top:2399;width:6929;height:1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" fillcolor="#e669a2" stroked="f"/>
              <v:rect id="Rectangle 5453" o:spid="_x0000_s1031" style="position:absolute;left:3311;top:10138;width:7460;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" fillcolor="#e88c14" stroked="f"/>
              <v:rect id="Rectangle 5454" o:spid="_x0000_s1032" style="position:absolute;left:3311;top:2399;width:6314;height:1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" fillcolor="#d74021" stroked="f"/>
              <v:rect id="Rectangle 5455" o:spid="_x0000_s1033" style="position:absolute;left:3311;top:8418;width:6929;height:6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" fillcolor="#db4d56" stroked="f"/>
              <v:rect id="Rectangle 5456" o:spid="_x0000_s1034" style="position:absolute;left:3311;top:10138;width:6929;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" fillcolor="#d13a0d" stroked="f"/>
              <v:rect id="Rectangle 5457" o:spid="_x0000_s1035" style="position:absolute;left:3311;top:8418;width:6314;height:6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" fillcolor="#cd2f12" stroked="f"/>
              <v:rect id="Rectangle 5458" o:spid="_x0000_s1036" style="position:absolute;left:3311;top:10138;width:6314;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" fillcolor="#c42303" stroked="f"/>
              <v:rect id="Rectangle 5459" o:spid="_x0000_s1037" style="position:absolute;left:3311;top:11857;width:3486;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" fillcolor="#9a1702" stroked="f"/>
              <w10:wrap anchorx="page" anchory="page"/>
            </v:group>
          </w:pict>
        </mc:Fallback>
      </mc:AlternateContent>
    </w:r>
    <w:r>
      <w:rPr>
        <w:noProof/>
        <w:snapToGrid/>
        <w:lang w:eastAsia="en-AU"/>
      </w:rPr>
      <w:drawing>
        <wp:anchor distT="0" distB="0" distL="114300" distR="114300" simplePos="0" relativeHeight="251651584" behindDoc="1" locked="0" layoutInCell="1" allowOverlap="1" wp14:anchorId="63336439" wp14:editId="4598D5C5">
          <wp:simplePos x="0" y="0"/>
          <wp:positionH relativeFrom="page">
            <wp:posOffset>1315587</wp:posOffset>
          </wp:positionH>
          <wp:positionV relativeFrom="page">
            <wp:posOffset>9771797</wp:posOffset>
          </wp:positionV>
          <wp:extent cx="936294" cy="545910"/>
          <wp:effectExtent l="19050" t="0" r="0" b="0"/>
          <wp:wrapNone/>
          <wp:docPr id="19" name="PwCLogoP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6294" cy="545910"/>
                  </a:xfrm>
                  <a:prstGeom prst="rect">
                    <a:avLst/>
                  </a:prstGeom>
                  <a:noFill/>
                  <a:ln w="9525">
                    <a:noFill/>
                    <a:miter lim="800000"/>
                    <a:headEnd/>
                    <a:tailEnd/>
                  </a:ln>
                </pic:spPr>
              </pic:pic>
            </a:graphicData>
          </a:graphic>
        </wp:anchor>
      </w:drawing>
    </w:r>
    <w:r>
      <w:rPr>
        <w:rFonts w:eastAsia="+mn-ea"/>
      </w:rPr>
      <w:t>www.pwc.com.au</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79DE3" w14:textId="5F234834" w:rsidR="009719FC" w:rsidRPr="005D1FC6" w:rsidRDefault="00B47FE6" w:rsidP="005D1FC6">
    <w:pPr>
      <w:pStyle w:val="Header"/>
    </w:pPr>
    <w:r>
      <w:fldChar w:fldCharType="begin"/>
    </w:r>
    <w:r>
      <w:instrText xml:space="preserve"> STYLEREF "Preface Title" </w:instrText>
    </w:r>
    <w:r>
      <w:fldChar w:fldCharType="separate"/>
    </w:r>
    <w:r>
      <w:rPr>
        <w:noProof/>
      </w:rPr>
      <w:t>Abbreviations and terms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6C406" w14:textId="78028B34" w:rsidR="009719FC" w:rsidRPr="005D1FC6" w:rsidRDefault="00B47FE6" w:rsidP="005D1FC6">
    <w:pPr>
      <w:pStyle w:val="Header"/>
    </w:pPr>
    <w:r>
      <w:fldChar w:fldCharType="begin"/>
    </w:r>
    <w:r>
      <w:instrText xml:space="preserve"> STYLEREF "Preface Title" </w:instrText>
    </w:r>
    <w:r>
      <w:fldChar w:fldCharType="separate"/>
    </w:r>
    <w:r>
      <w:rPr>
        <w:noProof/>
      </w:rPr>
      <w:t>Executive summary</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1D809" w14:textId="2C67155F" w:rsidR="009719FC" w:rsidRPr="00460052" w:rsidRDefault="009719FC" w:rsidP="00460052">
    <w:pPr>
      <w:pStyle w:val="FirstPagePanelFrame"/>
      <w:framePr w:wrap="notBesid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D125" w14:textId="240E9AAA" w:rsidR="009719FC" w:rsidRPr="005D1FC6" w:rsidRDefault="00B47FE6" w:rsidP="005D1FC6">
    <w:pPr>
      <w:pStyle w:val="Header"/>
    </w:pPr>
    <w:r>
      <w:fldChar w:fldCharType="begin"/>
    </w:r>
    <w:r>
      <w:instrText xml:space="preserve"> STYLEREF "TOC Title" </w:instrText>
    </w:r>
    <w:r>
      <w:fldChar w:fldCharType="separate"/>
    </w:r>
    <w:r w:rsidR="009719FC">
      <w:rPr>
        <w:noProof/>
      </w:rPr>
      <w:t>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D49F6" w14:textId="5F5030B1" w:rsidR="009719FC" w:rsidRPr="005D1FC6" w:rsidRDefault="009719FC" w:rsidP="005D1FC6">
    <w:pPr>
      <w:pStyle w:val="Header"/>
    </w:pPr>
    <w:r>
      <w:fldChar w:fldCharType="begin"/>
    </w:r>
    <w:r>
      <w:instrText>STYLEREF "Heading 2"</w:instrText>
    </w:r>
    <w:r>
      <w:fldChar w:fldCharType="separate"/>
    </w:r>
    <w:r>
      <w:rPr>
        <w:noProof/>
      </w:rPr>
      <w:t>Introduction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96836" w14:textId="2ABCB23D" w:rsidR="009719FC" w:rsidRDefault="009719FC" w:rsidP="004521EC">
    <w:pPr>
      <w:pStyle w:val="Header"/>
    </w:pPr>
  </w:p>
  <w:p w14:paraId="115F8E4D" w14:textId="77777777" w:rsidR="009719FC" w:rsidRPr="00460052" w:rsidRDefault="009719FC" w:rsidP="00460052">
    <w:pPr>
      <w:pStyle w:val="FirstPagePanelFrame-Contents"/>
      <w:framePr w:wrap="notBesid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F40FEF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1DA36F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997751"/>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C75778"/>
    <w:multiLevelType w:val="hybridMultilevel"/>
    <w:tmpl w:val="DF846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ED0F26"/>
    <w:multiLevelType w:val="hybridMultilevel"/>
    <w:tmpl w:val="932ED2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731221B"/>
    <w:multiLevelType w:val="multilevel"/>
    <w:tmpl w:val="54B62ED8"/>
    <w:styleLink w:val="BulletList"/>
    <w:lvl w:ilvl="0">
      <w:start w:val="1"/>
      <w:numFmt w:val="bullet"/>
      <w:lvlRestart w:val="0"/>
      <w:lvlText w:val=""/>
      <w:lvlJc w:val="left"/>
      <w:pPr>
        <w:tabs>
          <w:tab w:val="num" w:pos="567"/>
        </w:tabs>
        <w:ind w:left="567" w:hanging="567"/>
      </w:pPr>
      <w:rPr>
        <w:rFonts w:ascii="Symbol" w:hAnsi="Symbol" w:hint="default"/>
        <w:b w:val="0"/>
        <w:i w:val="0"/>
        <w:color w:val="auto"/>
      </w:rPr>
    </w:lvl>
    <w:lvl w:ilvl="1">
      <w:start w:val="1"/>
      <w:numFmt w:val="bullet"/>
      <w:lvlText w:val="–"/>
      <w:lvlJc w:val="left"/>
      <w:pPr>
        <w:tabs>
          <w:tab w:val="num" w:pos="1134"/>
        </w:tabs>
        <w:ind w:left="1134" w:hanging="567"/>
      </w:pPr>
      <w:rPr>
        <w:rFonts w:ascii="Arial" w:hAnsi="Arial" w:hint="default"/>
        <w:b w:val="0"/>
        <w:i w:val="0"/>
        <w:color w:val="auto"/>
      </w:rPr>
    </w:lvl>
    <w:lvl w:ilvl="2">
      <w:start w:val="1"/>
      <w:numFmt w:val="bullet"/>
      <w:lvlText w:val="o"/>
      <w:lvlJc w:val="left"/>
      <w:pPr>
        <w:tabs>
          <w:tab w:val="num" w:pos="1701"/>
        </w:tabs>
        <w:ind w:left="1701" w:hanging="567"/>
      </w:pPr>
      <w:rPr>
        <w:rFonts w:ascii="Arial" w:hAnsi="Arial" w:hint="default"/>
        <w:b w:val="0"/>
        <w:i w:val="0"/>
        <w:color w:val="auto"/>
        <w:sz w:val="10"/>
        <w:szCs w:val="10"/>
      </w:rPr>
    </w:lvl>
    <w:lvl w:ilvl="3">
      <w:start w:val="1"/>
      <w:numFmt w:val="bullet"/>
      <w:lvlText w:val=""/>
      <w:lvlJc w:val="left"/>
      <w:pPr>
        <w:tabs>
          <w:tab w:val="num" w:pos="2268"/>
        </w:tabs>
        <w:ind w:left="2268" w:hanging="567"/>
      </w:pPr>
      <w:rPr>
        <w:rFonts w:ascii="Wingdings" w:hAnsi="Wingdings" w:hint="default"/>
        <w:b w:val="0"/>
        <w:i w:val="0"/>
        <w:color w:val="auto"/>
        <w:sz w:val="10"/>
        <w:szCs w:val="10"/>
      </w:rPr>
    </w:lvl>
    <w:lvl w:ilvl="4">
      <w:start w:val="1"/>
      <w:numFmt w:val="none"/>
      <w:lvlText w:val="%5"/>
      <w:lvlJc w:val="left"/>
      <w:pPr>
        <w:tabs>
          <w:tab w:val="num" w:pos="0"/>
        </w:tabs>
        <w:ind w:left="0" w:firstLine="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6" w15:restartNumberingAfterBreak="0">
    <w:nsid w:val="08112352"/>
    <w:multiLevelType w:val="multilevel"/>
    <w:tmpl w:val="8CEA6DAA"/>
    <w:name w:val="Bullets"/>
    <w:styleLink w:val="Bullets"/>
    <w:lvl w:ilvl="0">
      <w:start w:val="1"/>
      <w:numFmt w:val="bullet"/>
      <w:pStyle w:val="Bullet1"/>
      <w:lvlText w:val=""/>
      <w:lvlJc w:val="left"/>
      <w:pPr>
        <w:tabs>
          <w:tab w:val="num" w:pos="284"/>
        </w:tabs>
        <w:ind w:left="284" w:hanging="284"/>
      </w:pPr>
      <w:rPr>
        <w:rFonts w:ascii="Symbol" w:hAnsi="Symbol" w:hint="default"/>
        <w:color w:val="auto"/>
      </w:rPr>
    </w:lvl>
    <w:lvl w:ilvl="1">
      <w:start w:val="1"/>
      <w:numFmt w:val="bullet"/>
      <w:pStyle w:val="Bullet2"/>
      <w:lvlText w:val="–"/>
      <w:lvlJc w:val="left"/>
      <w:pPr>
        <w:tabs>
          <w:tab w:val="num" w:pos="567"/>
        </w:tabs>
        <w:ind w:left="568" w:hanging="284"/>
      </w:pPr>
      <w:rPr>
        <w:rFonts w:ascii="Arial" w:hAnsi="Arial" w:hint="default"/>
        <w:color w:val="auto"/>
      </w:rPr>
    </w:lvl>
    <w:lvl w:ilvl="2">
      <w:start w:val="1"/>
      <w:numFmt w:val="bullet"/>
      <w:pStyle w:val="Bullet3"/>
      <w:lvlText w:val="◦"/>
      <w:lvlJc w:val="left"/>
      <w:pPr>
        <w:tabs>
          <w:tab w:val="num" w:pos="851"/>
        </w:tabs>
        <w:ind w:left="852" w:hanging="284"/>
      </w:pPr>
      <w:rPr>
        <w:rFonts w:ascii="Georgia" w:hAnsi="Georgia" w:hint="default"/>
        <w:color w:val="auto"/>
      </w:rPr>
    </w:lvl>
    <w:lvl w:ilvl="3">
      <w:start w:val="1"/>
      <w:numFmt w:val="bullet"/>
      <w:pStyle w:val="Bullet4"/>
      <w:lvlText w:val=""/>
      <w:lvlJc w:val="left"/>
      <w:pPr>
        <w:tabs>
          <w:tab w:val="num" w:pos="1134"/>
        </w:tabs>
        <w:ind w:left="1136" w:hanging="284"/>
      </w:pPr>
      <w:rPr>
        <w:rFonts w:ascii="Symbol" w:hAnsi="Symbol" w:hint="default"/>
        <w:color w:val="auto"/>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7" w15:restartNumberingAfterBreak="0">
    <w:nsid w:val="09257FF5"/>
    <w:multiLevelType w:val="multilevel"/>
    <w:tmpl w:val="585065D6"/>
    <w:lvl w:ilvl="0">
      <w:start w:val="1"/>
      <w:numFmt w:val="bullet"/>
      <w:pStyle w:val="CVBullet1"/>
      <w:lvlText w:val=""/>
      <w:lvlJc w:val="left"/>
      <w:pPr>
        <w:ind w:left="227" w:hanging="227"/>
      </w:pPr>
      <w:rPr>
        <w:rFonts w:ascii="Symbol" w:hAnsi="Symbol" w:hint="default"/>
        <w:color w:val="auto"/>
      </w:rPr>
    </w:lvl>
    <w:lvl w:ilvl="1">
      <w:start w:val="1"/>
      <w:numFmt w:val="bullet"/>
      <w:pStyle w:val="CVBullet2"/>
      <w:lvlText w:val="–"/>
      <w:lvlJc w:val="left"/>
      <w:pPr>
        <w:ind w:left="454" w:hanging="227"/>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84408E"/>
    <w:multiLevelType w:val="multilevel"/>
    <w:tmpl w:val="EE3860A0"/>
    <w:name w:val="PwCListNumbers1"/>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9" w15:restartNumberingAfterBreak="0">
    <w:nsid w:val="09BC295A"/>
    <w:multiLevelType w:val="hybridMultilevel"/>
    <w:tmpl w:val="31DC0A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B086541"/>
    <w:multiLevelType w:val="multilevel"/>
    <w:tmpl w:val="572824AC"/>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BE8023D"/>
    <w:multiLevelType w:val="hybridMultilevel"/>
    <w:tmpl w:val="0F489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3C4B44"/>
    <w:multiLevelType w:val="multilevel"/>
    <w:tmpl w:val="4E5C847A"/>
    <w:styleLink w:val="Indents"/>
    <w:lvl w:ilvl="0">
      <w:start w:val="1"/>
      <w:numFmt w:val="none"/>
      <w:suff w:val="nothing"/>
      <w:lvlText w:val=""/>
      <w:lvlJc w:val="left"/>
      <w:pPr>
        <w:ind w:left="0" w:firstLine="0"/>
      </w:pPr>
      <w:rPr>
        <w:rFonts w:hint="default"/>
        <w:color w:val="auto"/>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835" w:firstLine="0"/>
      </w:pPr>
      <w:rPr>
        <w:rFonts w:hint="default"/>
      </w:rPr>
    </w:lvl>
    <w:lvl w:ilvl="6">
      <w:start w:val="1"/>
      <w:numFmt w:val="none"/>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13" w15:restartNumberingAfterBreak="0">
    <w:nsid w:val="13375980"/>
    <w:multiLevelType w:val="hybridMultilevel"/>
    <w:tmpl w:val="885C9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4553C42"/>
    <w:multiLevelType w:val="hybridMultilevel"/>
    <w:tmpl w:val="BD1A2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7875C4"/>
    <w:multiLevelType w:val="hybridMultilevel"/>
    <w:tmpl w:val="860A8CF4"/>
    <w:lvl w:ilvl="0" w:tplc="DAEC236E">
      <w:numFmt w:val="bullet"/>
      <w:lvlText w:val="-"/>
      <w:lvlJc w:val="left"/>
      <w:pPr>
        <w:ind w:left="720" w:hanging="360"/>
      </w:pPr>
      <w:rPr>
        <w:rFonts w:ascii="Georgia" w:eastAsia="Times New Roman" w:hAnsi="Georgia"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3E1FE4"/>
    <w:multiLevelType w:val="hybridMultilevel"/>
    <w:tmpl w:val="4C18879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5592BCD"/>
    <w:multiLevelType w:val="hybridMultilevel"/>
    <w:tmpl w:val="24206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6417FC4"/>
    <w:multiLevelType w:val="multilevel"/>
    <w:tmpl w:val="50B20D3A"/>
    <w:styleLink w:val="TableNumberedListSmall"/>
    <w:lvl w:ilvl="0">
      <w:start w:val="1"/>
      <w:numFmt w:val="decimal"/>
      <w:lvlRestart w:val="0"/>
      <w:pStyle w:val="TableNumberedListSmall1"/>
      <w:lvlText w:val="%1"/>
      <w:lvlJc w:val="left"/>
      <w:pPr>
        <w:tabs>
          <w:tab w:val="num" w:pos="283"/>
        </w:tabs>
        <w:ind w:left="284" w:hanging="284"/>
      </w:pPr>
      <w:rPr>
        <w:rFonts w:asciiTheme="minorHAnsi" w:hAnsiTheme="minorHAnsi" w:hint="default"/>
        <w:b w:val="0"/>
        <w:i w:val="0"/>
        <w:color w:val="auto"/>
        <w:sz w:val="20"/>
      </w:rPr>
    </w:lvl>
    <w:lvl w:ilvl="1">
      <w:start w:val="1"/>
      <w:numFmt w:val="lowerLetter"/>
      <w:lvlRestart w:val="0"/>
      <w:pStyle w:val="TableNumberedListSmall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Small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9" w15:restartNumberingAfterBreak="0">
    <w:nsid w:val="16463B2B"/>
    <w:multiLevelType w:val="hybridMultilevel"/>
    <w:tmpl w:val="E4844F34"/>
    <w:lvl w:ilvl="0" w:tplc="6C6865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84F5379"/>
    <w:multiLevelType w:val="multilevel"/>
    <w:tmpl w:val="1546630C"/>
    <w:styleLink w:val="ListNumberList"/>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87E60D1"/>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B5D7D1B"/>
    <w:multiLevelType w:val="hybridMultilevel"/>
    <w:tmpl w:val="83A012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1D230827"/>
    <w:multiLevelType w:val="multilevel"/>
    <w:tmpl w:val="AF18B140"/>
    <w:styleLink w:val="TableNumberdListNormal"/>
    <w:lvl w:ilvl="0">
      <w:start w:val="1"/>
      <w:numFmt w:val="decimal"/>
      <w:lvlRestart w:val="0"/>
      <w:lvlText w:val="%1"/>
      <w:lvlJc w:val="left"/>
      <w:pPr>
        <w:tabs>
          <w:tab w:val="num" w:pos="283"/>
        </w:tabs>
        <w:ind w:left="284" w:hanging="284"/>
      </w:pPr>
      <w:rPr>
        <w:rFonts w:ascii="Times New Roman" w:hAnsi="Times New Roman" w:hint="default"/>
        <w:b w:val="0"/>
        <w:i w:val="0"/>
        <w:color w:val="auto"/>
      </w:rPr>
    </w:lvl>
    <w:lvl w:ilvl="1">
      <w:start w:val="1"/>
      <w:numFmt w:val="lowerLetter"/>
      <w:lvlRestart w:val="0"/>
      <w:lvlText w:val="%2"/>
      <w:lvlJc w:val="left"/>
      <w:pPr>
        <w:tabs>
          <w:tab w:val="num" w:pos="567"/>
        </w:tabs>
        <w:ind w:left="567" w:hanging="283"/>
      </w:pPr>
      <w:rPr>
        <w:rFonts w:hint="default"/>
        <w:b w:val="0"/>
        <w:i w:val="0"/>
        <w:color w:val="auto"/>
        <w:szCs w:val="10"/>
      </w:rPr>
    </w:lvl>
    <w:lvl w:ilvl="2">
      <w:start w:val="1"/>
      <w:numFmt w:val="lowerRoman"/>
      <w:lvlRestart w:val="0"/>
      <w:lvlText w:val="%3"/>
      <w:lvlJc w:val="left"/>
      <w:pPr>
        <w:tabs>
          <w:tab w:val="num" w:pos="851"/>
        </w:tabs>
        <w:ind w:left="851" w:hanging="284"/>
      </w:pPr>
      <w:rPr>
        <w:rFonts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4" w15:restartNumberingAfterBreak="0">
    <w:nsid w:val="21F57BC7"/>
    <w:multiLevelType w:val="hybridMultilevel"/>
    <w:tmpl w:val="A8E25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3947C2"/>
    <w:multiLevelType w:val="multilevel"/>
    <w:tmpl w:val="50B20D3A"/>
    <w:numStyleLink w:val="TableNumberedListSmall"/>
  </w:abstractNum>
  <w:abstractNum w:abstractNumId="26" w15:restartNumberingAfterBreak="0">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7" w15:restartNumberingAfterBreak="0">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8" w15:restartNumberingAfterBreak="0">
    <w:nsid w:val="2E105347"/>
    <w:multiLevelType w:val="hybridMultilevel"/>
    <w:tmpl w:val="2860784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9" w15:restartNumberingAfterBreak="0">
    <w:nsid w:val="2FC71BF6"/>
    <w:multiLevelType w:val="hybridMultilevel"/>
    <w:tmpl w:val="A636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7E06FA"/>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30917150"/>
    <w:multiLevelType w:val="hybridMultilevel"/>
    <w:tmpl w:val="B406BD04"/>
    <w:lvl w:ilvl="0" w:tplc="CD6C1E1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0DA66D6"/>
    <w:multiLevelType w:val="hybridMultilevel"/>
    <w:tmpl w:val="DD8CFF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2D7125E"/>
    <w:multiLevelType w:val="multilevel"/>
    <w:tmpl w:val="8E0CCD38"/>
    <w:styleLink w:val="CV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7" w:hanging="283"/>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78D5E27"/>
    <w:multiLevelType w:val="hybridMultilevel"/>
    <w:tmpl w:val="6C1609A0"/>
    <w:name w:val="NumberedLists"/>
    <w:lvl w:ilvl="0" w:tplc="978EC44E">
      <w:start w:val="1"/>
      <w:numFmt w:val="bullet"/>
      <w:lvlText w:val="-"/>
      <w:lvlJc w:val="left"/>
      <w:pPr>
        <w:tabs>
          <w:tab w:val="num" w:pos="720"/>
        </w:tabs>
        <w:ind w:left="720" w:hanging="360"/>
      </w:pPr>
      <w:rPr>
        <w:rFonts w:ascii="Times New Roman" w:hAnsi="Times New Roman" w:hint="default"/>
      </w:rPr>
    </w:lvl>
    <w:lvl w:ilvl="1" w:tplc="642E94AA" w:tentative="1">
      <w:start w:val="1"/>
      <w:numFmt w:val="bullet"/>
      <w:lvlText w:val="-"/>
      <w:lvlJc w:val="left"/>
      <w:pPr>
        <w:tabs>
          <w:tab w:val="num" w:pos="1440"/>
        </w:tabs>
        <w:ind w:left="1440" w:hanging="360"/>
      </w:pPr>
      <w:rPr>
        <w:rFonts w:ascii="Times New Roman" w:hAnsi="Times New Roman" w:hint="default"/>
      </w:rPr>
    </w:lvl>
    <w:lvl w:ilvl="2" w:tplc="DAC44BAE" w:tentative="1">
      <w:start w:val="1"/>
      <w:numFmt w:val="bullet"/>
      <w:lvlText w:val="-"/>
      <w:lvlJc w:val="left"/>
      <w:pPr>
        <w:tabs>
          <w:tab w:val="num" w:pos="2160"/>
        </w:tabs>
        <w:ind w:left="2160" w:hanging="360"/>
      </w:pPr>
      <w:rPr>
        <w:rFonts w:ascii="Times New Roman" w:hAnsi="Times New Roman" w:hint="default"/>
      </w:rPr>
    </w:lvl>
    <w:lvl w:ilvl="3" w:tplc="C792D91A" w:tentative="1">
      <w:start w:val="1"/>
      <w:numFmt w:val="bullet"/>
      <w:lvlText w:val="-"/>
      <w:lvlJc w:val="left"/>
      <w:pPr>
        <w:tabs>
          <w:tab w:val="num" w:pos="2880"/>
        </w:tabs>
        <w:ind w:left="2880" w:hanging="360"/>
      </w:pPr>
      <w:rPr>
        <w:rFonts w:ascii="Times New Roman" w:hAnsi="Times New Roman" w:hint="default"/>
      </w:rPr>
    </w:lvl>
    <w:lvl w:ilvl="4" w:tplc="414C920C" w:tentative="1">
      <w:start w:val="1"/>
      <w:numFmt w:val="bullet"/>
      <w:lvlText w:val="-"/>
      <w:lvlJc w:val="left"/>
      <w:pPr>
        <w:tabs>
          <w:tab w:val="num" w:pos="3600"/>
        </w:tabs>
        <w:ind w:left="3600" w:hanging="360"/>
      </w:pPr>
      <w:rPr>
        <w:rFonts w:ascii="Times New Roman" w:hAnsi="Times New Roman" w:hint="default"/>
      </w:rPr>
    </w:lvl>
    <w:lvl w:ilvl="5" w:tplc="531A9BB8" w:tentative="1">
      <w:start w:val="1"/>
      <w:numFmt w:val="bullet"/>
      <w:lvlText w:val="-"/>
      <w:lvlJc w:val="left"/>
      <w:pPr>
        <w:tabs>
          <w:tab w:val="num" w:pos="4320"/>
        </w:tabs>
        <w:ind w:left="4320" w:hanging="360"/>
      </w:pPr>
      <w:rPr>
        <w:rFonts w:ascii="Times New Roman" w:hAnsi="Times New Roman" w:hint="default"/>
      </w:rPr>
    </w:lvl>
    <w:lvl w:ilvl="6" w:tplc="8D7C4DA8" w:tentative="1">
      <w:start w:val="1"/>
      <w:numFmt w:val="bullet"/>
      <w:lvlText w:val="-"/>
      <w:lvlJc w:val="left"/>
      <w:pPr>
        <w:tabs>
          <w:tab w:val="num" w:pos="5040"/>
        </w:tabs>
        <w:ind w:left="5040" w:hanging="360"/>
      </w:pPr>
      <w:rPr>
        <w:rFonts w:ascii="Times New Roman" w:hAnsi="Times New Roman" w:hint="default"/>
      </w:rPr>
    </w:lvl>
    <w:lvl w:ilvl="7" w:tplc="8150675A" w:tentative="1">
      <w:start w:val="1"/>
      <w:numFmt w:val="bullet"/>
      <w:lvlText w:val="-"/>
      <w:lvlJc w:val="left"/>
      <w:pPr>
        <w:tabs>
          <w:tab w:val="num" w:pos="5760"/>
        </w:tabs>
        <w:ind w:left="5760" w:hanging="360"/>
      </w:pPr>
      <w:rPr>
        <w:rFonts w:ascii="Times New Roman" w:hAnsi="Times New Roman" w:hint="default"/>
      </w:rPr>
    </w:lvl>
    <w:lvl w:ilvl="8" w:tplc="454A8D4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392A3C27"/>
    <w:multiLevelType w:val="hybridMultilevel"/>
    <w:tmpl w:val="A22AA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98D1CAD"/>
    <w:multiLevelType w:val="hybridMultilevel"/>
    <w:tmpl w:val="9BC2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401366"/>
    <w:multiLevelType w:val="hybridMultilevel"/>
    <w:tmpl w:val="D6120908"/>
    <w:lvl w:ilvl="0" w:tplc="08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C86613"/>
    <w:multiLevelType w:val="hybridMultilevel"/>
    <w:tmpl w:val="43B88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F29E4"/>
    <w:multiLevelType w:val="multilevel"/>
    <w:tmpl w:val="7D2C8114"/>
    <w:styleLink w:val="ChapterNumberingList"/>
    <w:lvl w:ilvl="0">
      <w:start w:val="1"/>
      <w:numFmt w:val="decimal"/>
      <w:lvlRestart w:val="0"/>
      <w:suff w:val="nothing"/>
      <w:lvlText w:val="%1"/>
      <w:lvlJc w:val="left"/>
      <w:pPr>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2.%3"/>
      <w:lvlJc w:val="left"/>
      <w:pPr>
        <w:tabs>
          <w:tab w:val="num" w:pos="850"/>
        </w:tabs>
        <w:ind w:left="850" w:hanging="850"/>
      </w:pPr>
      <w:rPr>
        <w:rFonts w:hint="default"/>
      </w:rPr>
    </w:lvl>
    <w:lvl w:ilvl="3">
      <w:start w:val="1"/>
      <w:numFmt w:val="decimal"/>
      <w:lvlText w:val="%2.%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284"/>
        </w:tabs>
        <w:ind w:left="284" w:hanging="284"/>
      </w:pPr>
      <w:rPr>
        <w:rFonts w:hint="default"/>
        <w:b w:val="0"/>
        <w:i w:val="0"/>
        <w:color w:val="auto"/>
      </w:rPr>
    </w:lvl>
    <w:lvl w:ilvl="8">
      <w:start w:val="1"/>
      <w:numFmt w:val="lowerLetter"/>
      <w:lvlText w:val="%9"/>
      <w:lvlJc w:val="left"/>
      <w:pPr>
        <w:tabs>
          <w:tab w:val="num" w:pos="567"/>
        </w:tabs>
        <w:ind w:left="567" w:hanging="283"/>
      </w:pPr>
      <w:rPr>
        <w:rFonts w:hint="default"/>
        <w:b w:val="0"/>
        <w:i w:val="0"/>
        <w:color w:val="auto"/>
      </w:rPr>
    </w:lvl>
  </w:abstractNum>
  <w:abstractNum w:abstractNumId="40" w15:restartNumberingAfterBreak="0">
    <w:nsid w:val="3EE52A50"/>
    <w:multiLevelType w:val="multilevel"/>
    <w:tmpl w:val="EE12AE72"/>
    <w:name w:val="PwCListNumbers13"/>
    <w:styleLink w:val="PwCAppendixList1"/>
    <w:lvl w:ilvl="0">
      <w:start w:val="1"/>
      <w:numFmt w:val="upperLetter"/>
      <w:pStyle w:val="Appendix"/>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2B568CC"/>
    <w:multiLevelType w:val="hybridMultilevel"/>
    <w:tmpl w:val="63063B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43" w15:restartNumberingAfterBreak="0">
    <w:nsid w:val="4AAB5470"/>
    <w:multiLevelType w:val="multilevel"/>
    <w:tmpl w:val="70E46C8A"/>
    <w:lvl w:ilvl="0">
      <w:start w:val="1"/>
      <w:numFmt w:val="bullet"/>
      <w:lvlRestart w:val="0"/>
      <w:pStyle w:val="ListBullet"/>
      <w:lvlText w:val=""/>
      <w:lvlJc w:val="left"/>
      <w:pPr>
        <w:tabs>
          <w:tab w:val="num" w:pos="284"/>
        </w:tabs>
        <w:ind w:left="284" w:hanging="284"/>
      </w:pPr>
      <w:rPr>
        <w:rFonts w:ascii="Symbol" w:hAnsi="Symbol" w:hint="default"/>
        <w:b w:val="0"/>
        <w:i w:val="0"/>
        <w:color w:val="auto"/>
      </w:rPr>
    </w:lvl>
    <w:lvl w:ilvl="1">
      <w:start w:val="1"/>
      <w:numFmt w:val="bullet"/>
      <w:pStyle w:val="ListBullet2"/>
      <w:lvlText w:val="–"/>
      <w:lvlJc w:val="left"/>
      <w:pPr>
        <w:tabs>
          <w:tab w:val="num" w:pos="567"/>
        </w:tabs>
        <w:ind w:left="568" w:hanging="284"/>
      </w:pPr>
      <w:rPr>
        <w:rFonts w:ascii="Arial" w:hAnsi="Arial" w:hint="default"/>
        <w:b w:val="0"/>
        <w:i w:val="0"/>
        <w:color w:val="auto"/>
      </w:rPr>
    </w:lvl>
    <w:lvl w:ilvl="2">
      <w:start w:val="1"/>
      <w:numFmt w:val="bullet"/>
      <w:pStyle w:val="ListBullet3"/>
      <w:lvlText w:val="◦"/>
      <w:lvlJc w:val="left"/>
      <w:pPr>
        <w:tabs>
          <w:tab w:val="num" w:pos="851"/>
        </w:tabs>
        <w:ind w:left="852" w:hanging="284"/>
      </w:pPr>
      <w:rPr>
        <w:rFonts w:ascii="Georgia" w:hAnsi="Georgia" w:hint="default"/>
        <w:b w:val="0"/>
        <w:i w:val="0"/>
        <w:color w:val="auto"/>
        <w:sz w:val="18"/>
        <w:szCs w:val="10"/>
      </w:rPr>
    </w:lvl>
    <w:lvl w:ilvl="3">
      <w:start w:val="1"/>
      <w:numFmt w:val="bullet"/>
      <w:pStyle w:val="ListBullet4"/>
      <w:lvlText w:val=""/>
      <w:lvlJc w:val="left"/>
      <w:pPr>
        <w:tabs>
          <w:tab w:val="num" w:pos="1134"/>
        </w:tabs>
        <w:ind w:left="1136" w:hanging="284"/>
      </w:pPr>
      <w:rPr>
        <w:rFonts w:ascii="Symbol" w:hAnsi="Symbol" w:hint="default"/>
        <w:b w:val="0"/>
        <w:i w:val="0"/>
        <w:color w:val="auto"/>
        <w:sz w:val="20"/>
        <w:szCs w:val="10"/>
      </w:rPr>
    </w:lvl>
    <w:lvl w:ilvl="4">
      <w:start w:val="1"/>
      <w:numFmt w:val="bullet"/>
      <w:pStyle w:val="ListBullet5"/>
      <w:lvlText w:val="~"/>
      <w:lvlJc w:val="left"/>
      <w:pPr>
        <w:tabs>
          <w:tab w:val="num" w:pos="1418"/>
        </w:tabs>
        <w:ind w:left="1420" w:hanging="284"/>
      </w:pPr>
      <w:rPr>
        <w:rFonts w:ascii="Georgia" w:hAnsi="Georgia" w:hint="default"/>
        <w:color w:val="auto"/>
      </w:rPr>
    </w:lvl>
    <w:lvl w:ilvl="5">
      <w:start w:val="1"/>
      <w:numFmt w:val="lowerRoman"/>
      <w:lvlText w:val="%6"/>
      <w:lvlJc w:val="left"/>
      <w:pPr>
        <w:tabs>
          <w:tab w:val="num" w:pos="1701"/>
        </w:tabs>
        <w:ind w:left="1361" w:firstLine="59"/>
      </w:pPr>
      <w:rPr>
        <w:rFonts w:hint="default"/>
      </w:rPr>
    </w:lvl>
    <w:lvl w:ilvl="6">
      <w:start w:val="1"/>
      <w:numFmt w:val="decimal"/>
      <w:lvlText w:val="%7"/>
      <w:lvlJc w:val="left"/>
      <w:pPr>
        <w:tabs>
          <w:tab w:val="num" w:pos="1985"/>
        </w:tabs>
        <w:ind w:left="1985" w:hanging="964"/>
      </w:pPr>
      <w:rPr>
        <w:rFonts w:hint="default"/>
      </w:rPr>
    </w:lvl>
    <w:lvl w:ilvl="7">
      <w:start w:val="1"/>
      <w:numFmt w:val="lowerLetter"/>
      <w:lvlText w:val="%8"/>
      <w:lvlJc w:val="left"/>
      <w:pPr>
        <w:tabs>
          <w:tab w:val="num" w:pos="2268"/>
        </w:tabs>
        <w:ind w:left="2211" w:hanging="226"/>
      </w:pPr>
      <w:rPr>
        <w:rFonts w:hint="default"/>
      </w:rPr>
    </w:lvl>
    <w:lvl w:ilvl="8">
      <w:start w:val="1"/>
      <w:numFmt w:val="lowerRoman"/>
      <w:lvlText w:val="%9"/>
      <w:lvlJc w:val="left"/>
      <w:pPr>
        <w:tabs>
          <w:tab w:val="num" w:pos="2552"/>
        </w:tabs>
        <w:ind w:left="2552" w:hanging="284"/>
      </w:pPr>
      <w:rPr>
        <w:rFonts w:hint="default"/>
      </w:rPr>
    </w:lvl>
  </w:abstractNum>
  <w:abstractNum w:abstractNumId="44" w15:restartNumberingAfterBreak="0">
    <w:nsid w:val="4B6054A8"/>
    <w:multiLevelType w:val="hybridMultilevel"/>
    <w:tmpl w:val="FD66F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46" w15:restartNumberingAfterBreak="0">
    <w:nsid w:val="4F844CFE"/>
    <w:multiLevelType w:val="hybridMultilevel"/>
    <w:tmpl w:val="DA44E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50FF1B42"/>
    <w:multiLevelType w:val="hybridMultilevel"/>
    <w:tmpl w:val="89C26EEA"/>
    <w:lvl w:ilvl="0" w:tplc="67AC86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18C39C9"/>
    <w:multiLevelType w:val="multilevel"/>
    <w:tmpl w:val="D93463A2"/>
    <w:styleLink w:val="Style1"/>
    <w:lvl w:ilvl="0">
      <w:start w:val="1"/>
      <w:numFmt w:val="decimal"/>
      <w:pStyle w:val="TOC1"/>
      <w:lvlText w:val="%1"/>
      <w:lvlJc w:val="left"/>
      <w:pPr>
        <w:tabs>
          <w:tab w:val="num" w:pos="567"/>
        </w:tabs>
        <w:ind w:left="567" w:hanging="567"/>
      </w:pPr>
      <w:rPr>
        <w:rFonts w:hint="default"/>
      </w:rPr>
    </w:lvl>
    <w:lvl w:ilvl="1">
      <w:start w:val="1"/>
      <w:numFmt w:val="none"/>
      <w:pStyle w:val="Appendicestitle"/>
      <w:suff w:val="nothing"/>
      <w:lvlText w:val=""/>
      <w:lvlJc w:val="left"/>
      <w:pPr>
        <w:ind w:left="0" w:firstLine="0"/>
      </w:pPr>
      <w:rPr>
        <w:rFonts w:hint="default"/>
      </w:rPr>
    </w:lvl>
    <w:lvl w:ilvl="2">
      <w:start w:val="1"/>
      <w:numFmt w:val="upperLetter"/>
      <w:pStyle w:val="TOC3"/>
      <w:lvlText w:val="Appendix %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527D4D0B"/>
    <w:multiLevelType w:val="hybridMultilevel"/>
    <w:tmpl w:val="A54A7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6F379E8"/>
    <w:multiLevelType w:val="hybridMultilevel"/>
    <w:tmpl w:val="2D7C4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C76B7F"/>
    <w:multiLevelType w:val="multilevel"/>
    <w:tmpl w:val="72EC30C8"/>
    <w:name w:val="Chapter numbering list"/>
    <w:lvl w:ilvl="0">
      <w:start w:val="1"/>
      <w:numFmt w:val="decimal"/>
      <w:lvlRestart w:val="0"/>
      <w:pStyle w:val="ChapterNumberLong"/>
      <w:suff w:val="nothing"/>
      <w:lvlText w:val="%1"/>
      <w:lvlJc w:val="left"/>
      <w:pPr>
        <w:tabs>
          <w:tab w:val="num" w:pos="0"/>
        </w:tabs>
        <w:ind w:left="0" w:firstLine="0"/>
      </w:pPr>
      <w:rPr>
        <w:rFonts w:hint="default"/>
      </w:rPr>
    </w:lvl>
    <w:lvl w:ilvl="1">
      <w:start w:val="1"/>
      <w:numFmt w:val="decimal"/>
      <w:lvlRestart w:val="0"/>
      <w:pStyle w:val="Heading2"/>
      <w:lvlText w:val="%2"/>
      <w:lvlJc w:val="left"/>
      <w:pPr>
        <w:tabs>
          <w:tab w:val="num" w:pos="850"/>
        </w:tabs>
        <w:ind w:left="850" w:hanging="850"/>
      </w:pPr>
      <w:rPr>
        <w:rFonts w:hint="default"/>
      </w:rPr>
    </w:lvl>
    <w:lvl w:ilvl="2">
      <w:start w:val="1"/>
      <w:numFmt w:val="decimal"/>
      <w:pStyle w:val="Heading6"/>
      <w:lvlText w:val="%2.%3"/>
      <w:lvlJc w:val="left"/>
      <w:pPr>
        <w:tabs>
          <w:tab w:val="num" w:pos="850"/>
        </w:tabs>
        <w:ind w:left="850" w:hanging="850"/>
      </w:pPr>
      <w:rPr>
        <w:rFonts w:hint="default"/>
      </w:rPr>
    </w:lvl>
    <w:lvl w:ilvl="3">
      <w:start w:val="1"/>
      <w:numFmt w:val="decimal"/>
      <w:pStyle w:val="Heading7"/>
      <w:lvlText w:val="%2.%3.%4"/>
      <w:lvlJc w:val="left"/>
      <w:pPr>
        <w:tabs>
          <w:tab w:val="num" w:pos="850"/>
        </w:tabs>
        <w:ind w:left="850" w:hanging="850"/>
      </w:pPr>
      <w:rPr>
        <w:rFonts w:hint="default"/>
      </w:rPr>
    </w:lvl>
    <w:lvl w:ilvl="4">
      <w:start w:val="1"/>
      <w:numFmt w:val="upperLetter"/>
      <w:lvlRestart w:val="0"/>
      <w:pStyle w:val="Heading4"/>
      <w:lvlText w:val="Appendix %5"/>
      <w:lvlJc w:val="left"/>
      <w:pPr>
        <w:tabs>
          <w:tab w:val="num" w:pos="3685"/>
        </w:tabs>
        <w:ind w:left="0" w:firstLine="0"/>
      </w:pPr>
      <w:rPr>
        <w:rFonts w:hint="default"/>
      </w:rPr>
    </w:lvl>
    <w:lvl w:ilvl="5">
      <w:start w:val="1"/>
      <w:numFmt w:val="upperLetter"/>
      <w:lvlRestart w:val="0"/>
      <w:pStyle w:val="AppendixNumberLong"/>
      <w:suff w:val="nothing"/>
      <w:lvlText w:val="Appendix %6"/>
      <w:lvlJc w:val="left"/>
      <w:pPr>
        <w:tabs>
          <w:tab w:val="num" w:pos="0"/>
        </w:tabs>
        <w:ind w:left="0" w:firstLine="0"/>
      </w:pPr>
      <w:rPr>
        <w:rFonts w:hint="default"/>
      </w:rPr>
    </w:lvl>
    <w:lvl w:ilvl="6">
      <w:start w:val="1"/>
      <w:numFmt w:val="decimal"/>
      <w:pStyle w:val="Heading8"/>
      <w:lvlText w:val="%7"/>
      <w:lvlJc w:val="left"/>
      <w:pPr>
        <w:tabs>
          <w:tab w:val="num" w:pos="567"/>
        </w:tabs>
        <w:ind w:left="567" w:hanging="567"/>
      </w:pPr>
      <w:rPr>
        <w:rFonts w:hint="default"/>
        <w:b/>
        <w:i/>
      </w:rPr>
    </w:lvl>
    <w:lvl w:ilvl="7">
      <w:start w:val="1"/>
      <w:numFmt w:val="decimal"/>
      <w:pStyle w:val="ChapterNumberedList1"/>
      <w:lvlText w:val="%8"/>
      <w:lvlJc w:val="left"/>
      <w:pPr>
        <w:tabs>
          <w:tab w:val="num" w:pos="567"/>
        </w:tabs>
        <w:ind w:left="567" w:hanging="567"/>
      </w:pPr>
      <w:rPr>
        <w:rFonts w:hint="default"/>
        <w:b w:val="0"/>
        <w:i w:val="0"/>
        <w:color w:val="auto"/>
      </w:rPr>
    </w:lvl>
    <w:lvl w:ilvl="8">
      <w:start w:val="1"/>
      <w:numFmt w:val="lowerLetter"/>
      <w:pStyle w:val="ChapterNumberedList2"/>
      <w:lvlText w:val="%9"/>
      <w:lvlJc w:val="left"/>
      <w:pPr>
        <w:tabs>
          <w:tab w:val="num" w:pos="1134"/>
        </w:tabs>
        <w:ind w:left="1134" w:hanging="567"/>
      </w:pPr>
      <w:rPr>
        <w:rFonts w:hint="default"/>
        <w:b w:val="0"/>
        <w:i w:val="0"/>
        <w:color w:val="auto"/>
      </w:rPr>
    </w:lvl>
  </w:abstractNum>
  <w:abstractNum w:abstractNumId="52" w15:restartNumberingAfterBreak="0">
    <w:nsid w:val="5E0E03DD"/>
    <w:multiLevelType w:val="hybridMultilevel"/>
    <w:tmpl w:val="CD6AE9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5E401664"/>
    <w:multiLevelType w:val="multilevel"/>
    <w:tmpl w:val="EE12AE72"/>
    <w:name w:val="LongTOC"/>
    <w:numStyleLink w:val="PwCAppendixList1"/>
  </w:abstractNum>
  <w:abstractNum w:abstractNumId="54" w15:restartNumberingAfterBreak="0">
    <w:nsid w:val="5E9D694D"/>
    <w:multiLevelType w:val="hybridMultilevel"/>
    <w:tmpl w:val="03F0799A"/>
    <w:lvl w:ilvl="0" w:tplc="08090001">
      <w:start w:val="1"/>
      <w:numFmt w:val="bullet"/>
      <w:lvlText w:val=""/>
      <w:lvlJc w:val="left"/>
      <w:pPr>
        <w:ind w:left="360" w:hanging="360"/>
      </w:pPr>
      <w:rPr>
        <w:rFonts w:ascii="Symbol" w:hAnsi="Symbol" w:hint="default"/>
      </w:rPr>
    </w:lvl>
    <w:lvl w:ilvl="1" w:tplc="B60C86CA">
      <w:numFmt w:val="bullet"/>
      <w:lvlText w:val="•"/>
      <w:lvlJc w:val="left"/>
      <w:pPr>
        <w:ind w:left="1716" w:hanging="996"/>
      </w:pPr>
      <w:rPr>
        <w:rFonts w:ascii="Georgia" w:eastAsia="Times New Roman" w:hAnsi="Georgia" w:cs="Arial" w:hint="default"/>
      </w:rPr>
    </w:lvl>
    <w:lvl w:ilvl="2" w:tplc="7BACE97E">
      <w:numFmt w:val="bullet"/>
      <w:lvlText w:val="-"/>
      <w:lvlJc w:val="left"/>
      <w:pPr>
        <w:ind w:left="1896" w:hanging="456"/>
      </w:pPr>
      <w:rPr>
        <w:rFonts w:ascii="Georgia" w:eastAsia="Times New Roman" w:hAnsi="Georgia" w:cs="Arial"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60A1563E"/>
    <w:multiLevelType w:val="hybridMultilevel"/>
    <w:tmpl w:val="96A84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ED268334">
      <w:numFmt w:val="bullet"/>
      <w:lvlText w:val="•"/>
      <w:lvlJc w:val="left"/>
      <w:pPr>
        <w:ind w:left="2160" w:hanging="360"/>
      </w:pPr>
      <w:rPr>
        <w:rFonts w:ascii="Georgia" w:eastAsiaTheme="minorHAnsi" w:hAnsi="Georgia"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3917BB9"/>
    <w:multiLevelType w:val="multilevel"/>
    <w:tmpl w:val="C3DE98D4"/>
    <w:name w:val="NumberedLists2"/>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284" w:firstLine="0"/>
      </w:pPr>
      <w:rPr>
        <w:rFonts w:hint="default"/>
      </w:rPr>
    </w:lvl>
    <w:lvl w:ilvl="2">
      <w:start w:val="1"/>
      <w:numFmt w:val="none"/>
      <w:pStyle w:val="Indent2"/>
      <w:suff w:val="nothing"/>
      <w:lvlText w:val=""/>
      <w:lvlJc w:val="left"/>
      <w:pPr>
        <w:ind w:left="568" w:firstLine="0"/>
      </w:pPr>
      <w:rPr>
        <w:rFonts w:hint="default"/>
      </w:rPr>
    </w:lvl>
    <w:lvl w:ilvl="3">
      <w:start w:val="1"/>
      <w:numFmt w:val="none"/>
      <w:pStyle w:val="Indent3"/>
      <w:suff w:val="nothing"/>
      <w:lvlText w:val=""/>
      <w:lvlJc w:val="left"/>
      <w:pPr>
        <w:ind w:left="852" w:firstLine="0"/>
      </w:pPr>
      <w:rPr>
        <w:rFonts w:hint="default"/>
      </w:rPr>
    </w:lvl>
    <w:lvl w:ilvl="4">
      <w:start w:val="1"/>
      <w:numFmt w:val="none"/>
      <w:pStyle w:val="Indent4"/>
      <w:suff w:val="nothing"/>
      <w:lvlText w:val=""/>
      <w:lvlJc w:val="left"/>
      <w:pPr>
        <w:ind w:left="1136" w:firstLine="0"/>
      </w:pPr>
      <w:rPr>
        <w:rFonts w:hint="default"/>
      </w:rPr>
    </w:lvl>
    <w:lvl w:ilvl="5">
      <w:start w:val="1"/>
      <w:numFmt w:val="none"/>
      <w:pStyle w:val="Indent5"/>
      <w:suff w:val="nothing"/>
      <w:lvlText w:val=""/>
      <w:lvlJc w:val="left"/>
      <w:pPr>
        <w:ind w:left="1420" w:firstLine="0"/>
      </w:pPr>
      <w:rPr>
        <w:rFonts w:hint="default"/>
      </w:rPr>
    </w:lvl>
    <w:lvl w:ilvl="6">
      <w:start w:val="1"/>
      <w:numFmt w:val="none"/>
      <w:pStyle w:val="Indent6"/>
      <w:suff w:val="nothing"/>
      <w:lvlText w:val=""/>
      <w:lvlJc w:val="left"/>
      <w:pPr>
        <w:ind w:left="1704" w:firstLine="0"/>
      </w:pPr>
      <w:rPr>
        <w:rFonts w:hint="default"/>
      </w:rPr>
    </w:lvl>
    <w:lvl w:ilvl="7">
      <w:start w:val="1"/>
      <w:numFmt w:val="none"/>
      <w:pStyle w:val="Indent7"/>
      <w:suff w:val="nothing"/>
      <w:lvlText w:val=""/>
      <w:lvlJc w:val="left"/>
      <w:pPr>
        <w:ind w:left="1988" w:firstLine="0"/>
      </w:pPr>
      <w:rPr>
        <w:rFonts w:hint="default"/>
      </w:rPr>
    </w:lvl>
    <w:lvl w:ilvl="8">
      <w:start w:val="1"/>
      <w:numFmt w:val="none"/>
      <w:pStyle w:val="Indent8"/>
      <w:suff w:val="nothing"/>
      <w:lvlText w:val=""/>
      <w:lvlJc w:val="left"/>
      <w:pPr>
        <w:ind w:left="2272" w:firstLine="0"/>
      </w:pPr>
      <w:rPr>
        <w:rFonts w:hint="default"/>
      </w:rPr>
    </w:lvl>
  </w:abstractNum>
  <w:abstractNum w:abstractNumId="57" w15:restartNumberingAfterBreak="0">
    <w:nsid w:val="6396463F"/>
    <w:multiLevelType w:val="hybridMultilevel"/>
    <w:tmpl w:val="2B70C1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655A6D47"/>
    <w:multiLevelType w:val="multilevel"/>
    <w:tmpl w:val="31FCE722"/>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decimal"/>
      <w:lvlText w:val="%2."/>
      <w:lvlJc w:val="left"/>
      <w:pPr>
        <w:tabs>
          <w:tab w:val="num" w:pos="567"/>
        </w:tabs>
        <w:ind w:left="568" w:hanging="284"/>
      </w:pPr>
      <w:rPr>
        <w:rFonts w:hint="default"/>
        <w:b w:val="0"/>
        <w:i w:val="0"/>
        <w:color w:val="auto"/>
      </w:rPr>
    </w:lvl>
    <w:lvl w:ilvl="2">
      <w:start w:val="1"/>
      <w:numFmt w:val="bullet"/>
      <w:lvlText w:val="◦"/>
      <w:lvlJc w:val="left"/>
      <w:pPr>
        <w:tabs>
          <w:tab w:val="num" w:pos="851"/>
        </w:tabs>
        <w:ind w:left="852" w:hanging="284"/>
      </w:pPr>
      <w:rPr>
        <w:rFonts w:ascii="Georgia" w:hAnsi="Georgia" w:hint="default"/>
        <w:b w:val="0"/>
        <w:i w:val="0"/>
        <w:color w:val="auto"/>
        <w:sz w:val="18"/>
        <w:szCs w:val="10"/>
      </w:rPr>
    </w:lvl>
    <w:lvl w:ilvl="3">
      <w:start w:val="1"/>
      <w:numFmt w:val="bullet"/>
      <w:lvlText w:val=""/>
      <w:lvlJc w:val="left"/>
      <w:pPr>
        <w:tabs>
          <w:tab w:val="num" w:pos="1134"/>
        </w:tabs>
        <w:ind w:left="1136" w:hanging="284"/>
      </w:pPr>
      <w:rPr>
        <w:rFonts w:ascii="Symbol" w:hAnsi="Symbol" w:hint="default"/>
        <w:b w:val="0"/>
        <w:i w:val="0"/>
        <w:color w:val="auto"/>
        <w:sz w:val="20"/>
        <w:szCs w:val="10"/>
      </w:rPr>
    </w:lvl>
    <w:lvl w:ilvl="4">
      <w:start w:val="1"/>
      <w:numFmt w:val="bullet"/>
      <w:lvlText w:val="~"/>
      <w:lvlJc w:val="left"/>
      <w:pPr>
        <w:tabs>
          <w:tab w:val="num" w:pos="1418"/>
        </w:tabs>
        <w:ind w:left="1420" w:hanging="284"/>
      </w:pPr>
      <w:rPr>
        <w:rFonts w:ascii="Georgia" w:hAnsi="Georgia" w:hint="default"/>
        <w:color w:val="auto"/>
      </w:rPr>
    </w:lvl>
    <w:lvl w:ilvl="5">
      <w:start w:val="1"/>
      <w:numFmt w:val="lowerRoman"/>
      <w:lvlText w:val="%6"/>
      <w:lvlJc w:val="left"/>
      <w:pPr>
        <w:tabs>
          <w:tab w:val="num" w:pos="1701"/>
        </w:tabs>
        <w:ind w:left="1361" w:firstLine="59"/>
      </w:pPr>
      <w:rPr>
        <w:rFonts w:hint="default"/>
      </w:rPr>
    </w:lvl>
    <w:lvl w:ilvl="6">
      <w:start w:val="1"/>
      <w:numFmt w:val="decimal"/>
      <w:lvlText w:val="%7"/>
      <w:lvlJc w:val="left"/>
      <w:pPr>
        <w:tabs>
          <w:tab w:val="num" w:pos="1985"/>
        </w:tabs>
        <w:ind w:left="1985" w:hanging="964"/>
      </w:pPr>
      <w:rPr>
        <w:rFonts w:hint="default"/>
      </w:rPr>
    </w:lvl>
    <w:lvl w:ilvl="7">
      <w:start w:val="1"/>
      <w:numFmt w:val="lowerLetter"/>
      <w:lvlText w:val="%8"/>
      <w:lvlJc w:val="left"/>
      <w:pPr>
        <w:tabs>
          <w:tab w:val="num" w:pos="2268"/>
        </w:tabs>
        <w:ind w:left="2211" w:hanging="226"/>
      </w:pPr>
      <w:rPr>
        <w:rFonts w:hint="default"/>
      </w:rPr>
    </w:lvl>
    <w:lvl w:ilvl="8">
      <w:start w:val="1"/>
      <w:numFmt w:val="lowerRoman"/>
      <w:lvlText w:val="%9"/>
      <w:lvlJc w:val="left"/>
      <w:pPr>
        <w:tabs>
          <w:tab w:val="num" w:pos="2552"/>
        </w:tabs>
        <w:ind w:left="2552" w:hanging="284"/>
      </w:pPr>
      <w:rPr>
        <w:rFonts w:hint="default"/>
      </w:rPr>
    </w:lvl>
  </w:abstractNum>
  <w:abstractNum w:abstractNumId="59" w15:restartNumberingAfterBreak="0">
    <w:nsid w:val="6C8A32D2"/>
    <w:multiLevelType w:val="multilevel"/>
    <w:tmpl w:val="25800BE4"/>
    <w:styleLink w:val="TableBulletNormalList"/>
    <w:lvl w:ilvl="0">
      <w:start w:val="1"/>
      <w:numFmt w:val="bullet"/>
      <w:lvlRestart w:val="0"/>
      <w:lvlText w:val=""/>
      <w:lvlJc w:val="left"/>
      <w:pPr>
        <w:tabs>
          <w:tab w:val="num" w:pos="283"/>
        </w:tabs>
        <w:ind w:left="283" w:hanging="283"/>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szCs w:val="10"/>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60" w15:restartNumberingAfterBreak="0">
    <w:nsid w:val="6E8F4548"/>
    <w:multiLevelType w:val="hybridMultilevel"/>
    <w:tmpl w:val="537E9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07518CF"/>
    <w:multiLevelType w:val="multilevel"/>
    <w:tmpl w:val="8CEA6DAA"/>
    <w:name w:val="Bullets2"/>
    <w:numStyleLink w:val="Bullets"/>
  </w:abstractNum>
  <w:abstractNum w:abstractNumId="62" w15:restartNumberingAfterBreak="0">
    <w:nsid w:val="73F30FD1"/>
    <w:multiLevelType w:val="multilevel"/>
    <w:tmpl w:val="577C881E"/>
    <w:styleLink w:val="Numbers"/>
    <w:lvl w:ilvl="0">
      <w:start w:val="1"/>
      <w:numFmt w:val="decimal"/>
      <w:pStyle w:val="DPCnumberdigit"/>
      <w:lvlText w:val="%1."/>
      <w:lvlJc w:val="left"/>
      <w:pPr>
        <w:tabs>
          <w:tab w:val="num" w:pos="397"/>
        </w:tabs>
        <w:ind w:left="397" w:hanging="397"/>
      </w:pPr>
      <w:rPr>
        <w:rFonts w:hint="default"/>
      </w:rPr>
    </w:lvl>
    <w:lvl w:ilvl="1">
      <w:start w:val="1"/>
      <w:numFmt w:val="decimal"/>
      <w:lvlRestart w:val="0"/>
      <w:pStyle w:val="DPCnumberdigitindent"/>
      <w:lvlText w:val="%2."/>
      <w:lvlJc w:val="left"/>
      <w:pPr>
        <w:tabs>
          <w:tab w:val="num" w:pos="794"/>
        </w:tabs>
        <w:ind w:left="794" w:hanging="397"/>
      </w:pPr>
      <w:rPr>
        <w:rFonts w:hint="default"/>
      </w:rPr>
    </w:lvl>
    <w:lvl w:ilvl="2">
      <w:start w:val="1"/>
      <w:numFmt w:val="lowerLetter"/>
      <w:lvlRestart w:val="0"/>
      <w:pStyle w:val="DPCnumberloweralpha"/>
      <w:lvlText w:val="(%3)"/>
      <w:lvlJc w:val="left"/>
      <w:pPr>
        <w:tabs>
          <w:tab w:val="num" w:pos="397"/>
        </w:tabs>
        <w:ind w:left="397" w:hanging="397"/>
      </w:pPr>
      <w:rPr>
        <w:rFonts w:hint="default"/>
      </w:rPr>
    </w:lvl>
    <w:lvl w:ilvl="3">
      <w:start w:val="1"/>
      <w:numFmt w:val="lowerLetter"/>
      <w:lvlRestart w:val="0"/>
      <w:pStyle w:val="DPCnumberloweralphaindent"/>
      <w:lvlText w:val="(%4)"/>
      <w:lvlJc w:val="left"/>
      <w:pPr>
        <w:tabs>
          <w:tab w:val="num" w:pos="794"/>
        </w:tabs>
        <w:ind w:left="794" w:hanging="397"/>
      </w:pPr>
      <w:rPr>
        <w:rFonts w:hint="default"/>
      </w:rPr>
    </w:lvl>
    <w:lvl w:ilvl="4">
      <w:start w:val="1"/>
      <w:numFmt w:val="lowerRoman"/>
      <w:lvlRestart w:val="0"/>
      <w:pStyle w:val="DPCnumberlowerroman"/>
      <w:lvlText w:val="(%5)"/>
      <w:lvlJc w:val="left"/>
      <w:pPr>
        <w:tabs>
          <w:tab w:val="num" w:pos="397"/>
        </w:tabs>
        <w:ind w:left="397" w:hanging="397"/>
      </w:pPr>
      <w:rPr>
        <w:rFonts w:hint="default"/>
      </w:rPr>
    </w:lvl>
    <w:lvl w:ilvl="5">
      <w:start w:val="1"/>
      <w:numFmt w:val="lowerRoman"/>
      <w:lvlRestart w:val="0"/>
      <w:pStyle w:val="DPC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63" w15:restartNumberingAfterBreak="0">
    <w:nsid w:val="770E1F29"/>
    <w:multiLevelType w:val="multilevel"/>
    <w:tmpl w:val="43CC68CE"/>
    <w:lvl w:ilvl="0">
      <w:start w:val="1"/>
      <w:numFmt w:val="decimal"/>
      <w:lvlText w:val="%1."/>
      <w:lvlJc w:val="left"/>
      <w:pPr>
        <w:ind w:left="0" w:firstLine="0"/>
      </w:pPr>
      <w:rPr>
        <w:rFonts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568" w:firstLine="0"/>
      </w:pPr>
      <w:rPr>
        <w:rFonts w:hint="default"/>
      </w:rPr>
    </w:lvl>
    <w:lvl w:ilvl="3">
      <w:start w:val="1"/>
      <w:numFmt w:val="none"/>
      <w:suff w:val="nothing"/>
      <w:lvlText w:val=""/>
      <w:lvlJc w:val="left"/>
      <w:pPr>
        <w:ind w:left="852" w:firstLine="0"/>
      </w:pPr>
      <w:rPr>
        <w:rFonts w:hint="default"/>
      </w:rPr>
    </w:lvl>
    <w:lvl w:ilvl="4">
      <w:start w:val="1"/>
      <w:numFmt w:val="none"/>
      <w:suff w:val="nothing"/>
      <w:lvlText w:val=""/>
      <w:lvlJc w:val="left"/>
      <w:pPr>
        <w:ind w:left="1136" w:firstLine="0"/>
      </w:pPr>
      <w:rPr>
        <w:rFonts w:hint="default"/>
      </w:rPr>
    </w:lvl>
    <w:lvl w:ilvl="5">
      <w:start w:val="1"/>
      <w:numFmt w:val="none"/>
      <w:suff w:val="nothing"/>
      <w:lvlText w:val=""/>
      <w:lvlJc w:val="left"/>
      <w:pPr>
        <w:ind w:left="1420" w:firstLine="0"/>
      </w:pPr>
      <w:rPr>
        <w:rFonts w:hint="default"/>
      </w:rPr>
    </w:lvl>
    <w:lvl w:ilvl="6">
      <w:start w:val="1"/>
      <w:numFmt w:val="none"/>
      <w:suff w:val="nothing"/>
      <w:lvlText w:val=""/>
      <w:lvlJc w:val="left"/>
      <w:pPr>
        <w:ind w:left="1704" w:firstLine="0"/>
      </w:pPr>
      <w:rPr>
        <w:rFonts w:hint="default"/>
      </w:rPr>
    </w:lvl>
    <w:lvl w:ilvl="7">
      <w:start w:val="1"/>
      <w:numFmt w:val="none"/>
      <w:suff w:val="nothing"/>
      <w:lvlText w:val=""/>
      <w:lvlJc w:val="left"/>
      <w:pPr>
        <w:ind w:left="1988" w:firstLine="0"/>
      </w:pPr>
      <w:rPr>
        <w:rFonts w:hint="default"/>
      </w:rPr>
    </w:lvl>
    <w:lvl w:ilvl="8">
      <w:start w:val="1"/>
      <w:numFmt w:val="none"/>
      <w:suff w:val="nothing"/>
      <w:lvlText w:val=""/>
      <w:lvlJc w:val="left"/>
      <w:pPr>
        <w:ind w:left="2272" w:firstLine="0"/>
      </w:pPr>
      <w:rPr>
        <w:rFonts w:hint="default"/>
      </w:rPr>
    </w:lvl>
  </w:abstractNum>
  <w:abstractNum w:abstractNumId="64" w15:restartNumberingAfterBreak="0">
    <w:nsid w:val="772C32C0"/>
    <w:multiLevelType w:val="hybridMultilevel"/>
    <w:tmpl w:val="591A9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82459F7"/>
    <w:multiLevelType w:val="hybridMultilevel"/>
    <w:tmpl w:val="B3F65D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7A295AE5"/>
    <w:multiLevelType w:val="hybridMultilevel"/>
    <w:tmpl w:val="AF5494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EA8460C"/>
    <w:multiLevelType w:val="multilevel"/>
    <w:tmpl w:val="6728E3A2"/>
    <w:styleLink w:val="IndentList"/>
    <w:lvl w:ilvl="0">
      <w:start w:val="1"/>
      <w:numFmt w:val="none"/>
      <w:suff w:val="nothing"/>
      <w:lvlText w:val=""/>
      <w:lvlJc w:val="left"/>
      <w:pPr>
        <w:ind w:left="0" w:firstLine="0"/>
      </w:pPr>
      <w:rPr>
        <w:rFonts w:hint="default"/>
        <w:color w:val="auto"/>
      </w:rPr>
    </w:lvl>
    <w:lvl w:ilvl="1">
      <w:start w:val="1"/>
      <w:numFmt w:val="none"/>
      <w:lvlRestart w:val="0"/>
      <w:suff w:val="nothing"/>
      <w:lvlText w:val=""/>
      <w:lvlJc w:val="left"/>
      <w:pPr>
        <w:ind w:left="567" w:firstLine="0"/>
      </w:pPr>
      <w:rPr>
        <w:rFonts w:hint="default"/>
      </w:rPr>
    </w:lvl>
    <w:lvl w:ilvl="2">
      <w:start w:val="1"/>
      <w:numFmt w:val="none"/>
      <w:lvlRestart w:val="0"/>
      <w:suff w:val="nothing"/>
      <w:lvlText w:val=""/>
      <w:lvlJc w:val="left"/>
      <w:pPr>
        <w:ind w:left="1134" w:firstLine="0"/>
      </w:pPr>
      <w:rPr>
        <w:rFonts w:hint="default"/>
      </w:rPr>
    </w:lvl>
    <w:lvl w:ilvl="3">
      <w:start w:val="1"/>
      <w:numFmt w:val="none"/>
      <w:lvlRestart w:val="0"/>
      <w:suff w:val="nothing"/>
      <w:lvlText w:val=""/>
      <w:lvlJc w:val="left"/>
      <w:pPr>
        <w:ind w:left="1701" w:firstLine="0"/>
      </w:pPr>
      <w:rPr>
        <w:rFonts w:hint="default"/>
      </w:rPr>
    </w:lvl>
    <w:lvl w:ilvl="4">
      <w:start w:val="1"/>
      <w:numFmt w:val="none"/>
      <w:lvlRestart w:val="0"/>
      <w:suff w:val="nothing"/>
      <w:lvlText w:val=""/>
      <w:lvlJc w:val="left"/>
      <w:pPr>
        <w:ind w:left="2268" w:firstLine="0"/>
      </w:pPr>
      <w:rPr>
        <w:rFonts w:hint="default"/>
      </w:rPr>
    </w:lvl>
    <w:lvl w:ilvl="5">
      <w:start w:val="1"/>
      <w:numFmt w:val="none"/>
      <w:lvlRestart w:val="0"/>
      <w:suff w:val="nothing"/>
      <w:lvlText w:val=""/>
      <w:lvlJc w:val="left"/>
      <w:pPr>
        <w:ind w:left="2835" w:firstLine="0"/>
      </w:pPr>
      <w:rPr>
        <w:rFonts w:hint="default"/>
      </w:rPr>
    </w:lvl>
    <w:lvl w:ilvl="6">
      <w:start w:val="1"/>
      <w:numFmt w:val="none"/>
      <w:lvlRestart w:val="0"/>
      <w:suff w:val="nothing"/>
      <w:lvlText w:val=""/>
      <w:lvlJc w:val="left"/>
      <w:pPr>
        <w:ind w:left="3402" w:firstLine="0"/>
      </w:pPr>
      <w:rPr>
        <w:rFonts w:hint="default"/>
      </w:rPr>
    </w:lvl>
    <w:lvl w:ilvl="7">
      <w:start w:val="1"/>
      <w:numFmt w:val="none"/>
      <w:lvlRestart w:val="0"/>
      <w:suff w:val="nothing"/>
      <w:lvlText w:val=""/>
      <w:lvlJc w:val="left"/>
      <w:pPr>
        <w:ind w:left="3969" w:firstLine="0"/>
      </w:pPr>
      <w:rPr>
        <w:rFonts w:hint="default"/>
      </w:rPr>
    </w:lvl>
    <w:lvl w:ilvl="8">
      <w:start w:val="1"/>
      <w:numFmt w:val="none"/>
      <w:lvlRestart w:val="0"/>
      <w:suff w:val="nothing"/>
      <w:lvlText w:val=""/>
      <w:lvlJc w:val="left"/>
      <w:pPr>
        <w:ind w:left="4536" w:firstLine="0"/>
      </w:pPr>
      <w:rPr>
        <w:rFonts w:hint="default"/>
      </w:rPr>
    </w:lvl>
  </w:abstractNum>
  <w:num w:numId="1">
    <w:abstractNumId w:val="5"/>
  </w:num>
  <w:num w:numId="2">
    <w:abstractNumId w:val="12"/>
  </w:num>
  <w:num w:numId="3">
    <w:abstractNumId w:val="42"/>
  </w:num>
  <w:num w:numId="4">
    <w:abstractNumId w:val="59"/>
  </w:num>
  <w:num w:numId="5">
    <w:abstractNumId w:val="43"/>
  </w:num>
  <w:num w:numId="6">
    <w:abstractNumId w:val="45"/>
  </w:num>
  <w:num w:numId="7">
    <w:abstractNumId w:val="27"/>
  </w:num>
  <w:num w:numId="8">
    <w:abstractNumId w:val="33"/>
  </w:num>
  <w:num w:numId="9">
    <w:abstractNumId w:val="56"/>
  </w:num>
  <w:num w:numId="10">
    <w:abstractNumId w:val="7"/>
  </w:num>
  <w:num w:numId="11">
    <w:abstractNumId w:val="40"/>
  </w:num>
  <w:num w:numId="12">
    <w:abstractNumId w:val="53"/>
  </w:num>
  <w:num w:numId="13">
    <w:abstractNumId w:val="8"/>
  </w:num>
  <w:num w:numId="14">
    <w:abstractNumId w:val="23"/>
  </w:num>
  <w:num w:numId="15">
    <w:abstractNumId w:val="26"/>
  </w:num>
  <w:num w:numId="16">
    <w:abstractNumId w:val="18"/>
  </w:num>
  <w:num w:numId="17">
    <w:abstractNumId w:val="25"/>
  </w:num>
  <w:num w:numId="18">
    <w:abstractNumId w:val="20"/>
  </w:num>
  <w:num w:numId="19">
    <w:abstractNumId w:val="10"/>
  </w:num>
  <w:num w:numId="20">
    <w:abstractNumId w:val="21"/>
  </w:num>
  <w:num w:numId="21">
    <w:abstractNumId w:val="2"/>
  </w:num>
  <w:num w:numId="22">
    <w:abstractNumId w:val="30"/>
  </w:num>
  <w:num w:numId="23">
    <w:abstractNumId w:val="6"/>
  </w:num>
  <w:num w:numId="24">
    <w:abstractNumId w:val="48"/>
  </w:num>
  <w:num w:numId="25">
    <w:abstractNumId w:val="39"/>
  </w:num>
  <w:num w:numId="26">
    <w:abstractNumId w:val="61"/>
  </w:num>
  <w:num w:numId="27">
    <w:abstractNumId w:val="51"/>
  </w:num>
  <w:num w:numId="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55"/>
  </w:num>
  <w:num w:numId="31">
    <w:abstractNumId w:val="36"/>
  </w:num>
  <w:num w:numId="32">
    <w:abstractNumId w:val="57"/>
  </w:num>
  <w:num w:numId="33">
    <w:abstractNumId w:val="52"/>
  </w:num>
  <w:num w:numId="34">
    <w:abstractNumId w:val="46"/>
  </w:num>
  <w:num w:numId="35">
    <w:abstractNumId w:val="54"/>
  </w:num>
  <w:num w:numId="36">
    <w:abstractNumId w:val="4"/>
  </w:num>
  <w:num w:numId="37">
    <w:abstractNumId w:val="67"/>
  </w:num>
  <w:num w:numId="38">
    <w:abstractNumId w:val="4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
  </w:num>
  <w:num w:numId="42">
    <w:abstractNumId w:val="14"/>
  </w:num>
  <w:num w:numId="43">
    <w:abstractNumId w:val="64"/>
  </w:num>
  <w:num w:numId="44">
    <w:abstractNumId w:val="13"/>
  </w:num>
  <w:num w:numId="45">
    <w:abstractNumId w:val="35"/>
  </w:num>
  <w:num w:numId="46">
    <w:abstractNumId w:val="38"/>
  </w:num>
  <w:num w:numId="47">
    <w:abstractNumId w:val="11"/>
  </w:num>
  <w:num w:numId="48">
    <w:abstractNumId w:val="24"/>
  </w:num>
  <w:num w:numId="49">
    <w:abstractNumId w:val="28"/>
  </w:num>
  <w:num w:numId="50">
    <w:abstractNumId w:val="62"/>
  </w:num>
  <w:num w:numId="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8"/>
  </w:num>
  <w:num w:numId="53">
    <w:abstractNumId w:val="63"/>
  </w:num>
  <w:num w:numId="54">
    <w:abstractNumId w:val="22"/>
  </w:num>
  <w:num w:numId="55">
    <w:abstractNumId w:val="49"/>
  </w:num>
  <w:num w:numId="56">
    <w:abstractNumId w:val="41"/>
  </w:num>
  <w:num w:numId="57">
    <w:abstractNumId w:val="32"/>
  </w:num>
  <w:num w:numId="58">
    <w:abstractNumId w:val="44"/>
  </w:num>
  <w:num w:numId="59">
    <w:abstractNumId w:val="43"/>
  </w:num>
  <w:num w:numId="60">
    <w:abstractNumId w:val="60"/>
  </w:num>
  <w:num w:numId="61">
    <w:abstractNumId w:val="66"/>
  </w:num>
  <w:num w:numId="62">
    <w:abstractNumId w:val="56"/>
  </w:num>
  <w:num w:numId="63">
    <w:abstractNumId w:val="56"/>
  </w:num>
  <w:num w:numId="64">
    <w:abstractNumId w:val="56"/>
  </w:num>
  <w:num w:numId="65">
    <w:abstractNumId w:val="56"/>
  </w:num>
  <w:num w:numId="66">
    <w:abstractNumId w:val="56"/>
  </w:num>
  <w:num w:numId="67">
    <w:abstractNumId w:val="65"/>
  </w:num>
  <w:num w:numId="68">
    <w:abstractNumId w:val="47"/>
  </w:num>
  <w:num w:numId="69">
    <w:abstractNumId w:val="17"/>
  </w:num>
  <w:num w:numId="70">
    <w:abstractNumId w:val="50"/>
  </w:num>
  <w:num w:numId="71">
    <w:abstractNumId w:val="3"/>
  </w:num>
  <w:num w:numId="72">
    <w:abstractNumId w:val="37"/>
  </w:num>
  <w:num w:numId="73">
    <w:abstractNumId w:val="31"/>
  </w:num>
  <w:num w:numId="74">
    <w:abstractNumId w:val="0"/>
  </w:num>
  <w:num w:numId="75">
    <w:abstractNumId w:val="9"/>
  </w:num>
  <w:num w:numId="76">
    <w:abstractNumId w:val="56"/>
  </w:num>
  <w:num w:numId="77">
    <w:abstractNumId w:val="56"/>
  </w:num>
  <w:num w:numId="78">
    <w:abstractNumId w:val="56"/>
  </w:num>
  <w:num w:numId="79">
    <w:abstractNumId w:val="56"/>
  </w:num>
  <w:num w:numId="80">
    <w:abstractNumId w:val="56"/>
  </w:num>
  <w:num w:numId="81">
    <w:abstractNumId w:val="56"/>
  </w:num>
  <w:num w:numId="82">
    <w:abstractNumId w:val="15"/>
  </w:num>
  <w:num w:numId="83">
    <w:abstractNumId w:val="19"/>
  </w:num>
  <w:num w:numId="84">
    <w:abstractNumId w:val="43"/>
  </w:num>
  <w:num w:numId="8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evenAndOddHeaders/>
  <w:drawingGridHorizontalSpacing w:val="100"/>
  <w:displayHorizontalDrawingGridEvery w:val="2"/>
  <w:characterSpacingControl w:val="doNotCompress"/>
  <w:hdrShapeDefaults>
    <o:shapedefaults v:ext="edit" spidmax="4097" fillcolor="none [3215]" stroke="f">
      <v:fill color="none [3215]"/>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A4F"/>
    <w:rsid w:val="00000267"/>
    <w:rsid w:val="00000E07"/>
    <w:rsid w:val="000010DC"/>
    <w:rsid w:val="00001404"/>
    <w:rsid w:val="00002F7F"/>
    <w:rsid w:val="00002F85"/>
    <w:rsid w:val="000046CA"/>
    <w:rsid w:val="00005CEB"/>
    <w:rsid w:val="00006B9F"/>
    <w:rsid w:val="00006DC6"/>
    <w:rsid w:val="00007406"/>
    <w:rsid w:val="00007C50"/>
    <w:rsid w:val="00007EFD"/>
    <w:rsid w:val="00007F8D"/>
    <w:rsid w:val="00011B56"/>
    <w:rsid w:val="00012029"/>
    <w:rsid w:val="00014279"/>
    <w:rsid w:val="0001452F"/>
    <w:rsid w:val="000148A7"/>
    <w:rsid w:val="00015271"/>
    <w:rsid w:val="00015598"/>
    <w:rsid w:val="00015C8B"/>
    <w:rsid w:val="00015F3F"/>
    <w:rsid w:val="000165FF"/>
    <w:rsid w:val="0001723C"/>
    <w:rsid w:val="00017B6C"/>
    <w:rsid w:val="000203C2"/>
    <w:rsid w:val="000205D1"/>
    <w:rsid w:val="00020F2B"/>
    <w:rsid w:val="00020F7F"/>
    <w:rsid w:val="00020F8D"/>
    <w:rsid w:val="000219D0"/>
    <w:rsid w:val="00023712"/>
    <w:rsid w:val="0002399D"/>
    <w:rsid w:val="0002400B"/>
    <w:rsid w:val="00024173"/>
    <w:rsid w:val="00024777"/>
    <w:rsid w:val="00025387"/>
    <w:rsid w:val="00025B82"/>
    <w:rsid w:val="00027B5F"/>
    <w:rsid w:val="0003004A"/>
    <w:rsid w:val="000308DC"/>
    <w:rsid w:val="00030A26"/>
    <w:rsid w:val="00030C2C"/>
    <w:rsid w:val="00031309"/>
    <w:rsid w:val="0003141B"/>
    <w:rsid w:val="000317A6"/>
    <w:rsid w:val="000324F8"/>
    <w:rsid w:val="00032B14"/>
    <w:rsid w:val="000330DB"/>
    <w:rsid w:val="00033441"/>
    <w:rsid w:val="000339C5"/>
    <w:rsid w:val="00033E5E"/>
    <w:rsid w:val="00035288"/>
    <w:rsid w:val="0003687B"/>
    <w:rsid w:val="000369A1"/>
    <w:rsid w:val="00036A09"/>
    <w:rsid w:val="000377D1"/>
    <w:rsid w:val="00040012"/>
    <w:rsid w:val="00040BC7"/>
    <w:rsid w:val="00041787"/>
    <w:rsid w:val="00041B16"/>
    <w:rsid w:val="00041E14"/>
    <w:rsid w:val="00042109"/>
    <w:rsid w:val="00043144"/>
    <w:rsid w:val="00043650"/>
    <w:rsid w:val="00043C38"/>
    <w:rsid w:val="00044237"/>
    <w:rsid w:val="00044407"/>
    <w:rsid w:val="000444FF"/>
    <w:rsid w:val="000473AE"/>
    <w:rsid w:val="00047714"/>
    <w:rsid w:val="00047950"/>
    <w:rsid w:val="000506A5"/>
    <w:rsid w:val="00050ACB"/>
    <w:rsid w:val="00051862"/>
    <w:rsid w:val="0005222A"/>
    <w:rsid w:val="00052EF3"/>
    <w:rsid w:val="00053B82"/>
    <w:rsid w:val="00054C40"/>
    <w:rsid w:val="00055A6A"/>
    <w:rsid w:val="00055BAE"/>
    <w:rsid w:val="0005674C"/>
    <w:rsid w:val="00056F3B"/>
    <w:rsid w:val="000606D1"/>
    <w:rsid w:val="00061068"/>
    <w:rsid w:val="000619A2"/>
    <w:rsid w:val="00061DA1"/>
    <w:rsid w:val="0006250D"/>
    <w:rsid w:val="00063503"/>
    <w:rsid w:val="000639CE"/>
    <w:rsid w:val="00063BE4"/>
    <w:rsid w:val="00064A4C"/>
    <w:rsid w:val="00064B40"/>
    <w:rsid w:val="00064EB8"/>
    <w:rsid w:val="0006530A"/>
    <w:rsid w:val="00066076"/>
    <w:rsid w:val="000679F1"/>
    <w:rsid w:val="00067EC5"/>
    <w:rsid w:val="00070164"/>
    <w:rsid w:val="00070486"/>
    <w:rsid w:val="00070721"/>
    <w:rsid w:val="00070875"/>
    <w:rsid w:val="000713BA"/>
    <w:rsid w:val="00072523"/>
    <w:rsid w:val="000735B5"/>
    <w:rsid w:val="000737FE"/>
    <w:rsid w:val="00074136"/>
    <w:rsid w:val="000742B9"/>
    <w:rsid w:val="00074964"/>
    <w:rsid w:val="00075FF0"/>
    <w:rsid w:val="00076C97"/>
    <w:rsid w:val="000778D4"/>
    <w:rsid w:val="00077EBF"/>
    <w:rsid w:val="00080AF8"/>
    <w:rsid w:val="00080FF1"/>
    <w:rsid w:val="00081161"/>
    <w:rsid w:val="0008139D"/>
    <w:rsid w:val="000816B5"/>
    <w:rsid w:val="00081A58"/>
    <w:rsid w:val="00082CD9"/>
    <w:rsid w:val="00083051"/>
    <w:rsid w:val="00083852"/>
    <w:rsid w:val="0008414A"/>
    <w:rsid w:val="000847B3"/>
    <w:rsid w:val="0008594F"/>
    <w:rsid w:val="00087C5B"/>
    <w:rsid w:val="000905BA"/>
    <w:rsid w:val="00090AAB"/>
    <w:rsid w:val="00091458"/>
    <w:rsid w:val="000921C1"/>
    <w:rsid w:val="0009340E"/>
    <w:rsid w:val="00094408"/>
    <w:rsid w:val="0009689A"/>
    <w:rsid w:val="00096CE6"/>
    <w:rsid w:val="00096F31"/>
    <w:rsid w:val="0009734D"/>
    <w:rsid w:val="000A0570"/>
    <w:rsid w:val="000A0836"/>
    <w:rsid w:val="000A13CA"/>
    <w:rsid w:val="000A1F3F"/>
    <w:rsid w:val="000A2F8E"/>
    <w:rsid w:val="000A38AA"/>
    <w:rsid w:val="000A3E56"/>
    <w:rsid w:val="000A3FD9"/>
    <w:rsid w:val="000A4154"/>
    <w:rsid w:val="000A4352"/>
    <w:rsid w:val="000A51EE"/>
    <w:rsid w:val="000A5551"/>
    <w:rsid w:val="000A6014"/>
    <w:rsid w:val="000A62B0"/>
    <w:rsid w:val="000A6F12"/>
    <w:rsid w:val="000A744F"/>
    <w:rsid w:val="000B0862"/>
    <w:rsid w:val="000B1068"/>
    <w:rsid w:val="000B319E"/>
    <w:rsid w:val="000B38DC"/>
    <w:rsid w:val="000B49F1"/>
    <w:rsid w:val="000B510F"/>
    <w:rsid w:val="000B59B6"/>
    <w:rsid w:val="000B5AFD"/>
    <w:rsid w:val="000B61EE"/>
    <w:rsid w:val="000B62A0"/>
    <w:rsid w:val="000B65CE"/>
    <w:rsid w:val="000B741C"/>
    <w:rsid w:val="000B7AC9"/>
    <w:rsid w:val="000B7E22"/>
    <w:rsid w:val="000C009C"/>
    <w:rsid w:val="000C035E"/>
    <w:rsid w:val="000C0DC8"/>
    <w:rsid w:val="000C10E3"/>
    <w:rsid w:val="000C1213"/>
    <w:rsid w:val="000C2346"/>
    <w:rsid w:val="000C312A"/>
    <w:rsid w:val="000C3423"/>
    <w:rsid w:val="000C3BE3"/>
    <w:rsid w:val="000C4757"/>
    <w:rsid w:val="000C4821"/>
    <w:rsid w:val="000C560B"/>
    <w:rsid w:val="000C56BD"/>
    <w:rsid w:val="000C5D73"/>
    <w:rsid w:val="000C5EEC"/>
    <w:rsid w:val="000C6F10"/>
    <w:rsid w:val="000D21C3"/>
    <w:rsid w:val="000D2CCE"/>
    <w:rsid w:val="000D3B7B"/>
    <w:rsid w:val="000D3C42"/>
    <w:rsid w:val="000D3C62"/>
    <w:rsid w:val="000D421F"/>
    <w:rsid w:val="000D4527"/>
    <w:rsid w:val="000D5A3D"/>
    <w:rsid w:val="000D7566"/>
    <w:rsid w:val="000E0E16"/>
    <w:rsid w:val="000E126D"/>
    <w:rsid w:val="000E14AD"/>
    <w:rsid w:val="000E21F5"/>
    <w:rsid w:val="000E23B6"/>
    <w:rsid w:val="000E2F0B"/>
    <w:rsid w:val="000E2F96"/>
    <w:rsid w:val="000E3802"/>
    <w:rsid w:val="000E4DCD"/>
    <w:rsid w:val="000E554A"/>
    <w:rsid w:val="000E5D59"/>
    <w:rsid w:val="000E6525"/>
    <w:rsid w:val="000E65B2"/>
    <w:rsid w:val="000E65C2"/>
    <w:rsid w:val="000E751E"/>
    <w:rsid w:val="000E7917"/>
    <w:rsid w:val="000E7B33"/>
    <w:rsid w:val="000E7BB5"/>
    <w:rsid w:val="000F084E"/>
    <w:rsid w:val="000F118B"/>
    <w:rsid w:val="000F3F4E"/>
    <w:rsid w:val="000F4700"/>
    <w:rsid w:val="000F4EB8"/>
    <w:rsid w:val="000F5077"/>
    <w:rsid w:val="000F5BBE"/>
    <w:rsid w:val="000F76FF"/>
    <w:rsid w:val="000F77C6"/>
    <w:rsid w:val="000F7C5A"/>
    <w:rsid w:val="001002E4"/>
    <w:rsid w:val="00100753"/>
    <w:rsid w:val="00100A0C"/>
    <w:rsid w:val="001013F4"/>
    <w:rsid w:val="00101553"/>
    <w:rsid w:val="001015D1"/>
    <w:rsid w:val="00101E7E"/>
    <w:rsid w:val="001026F1"/>
    <w:rsid w:val="00103591"/>
    <w:rsid w:val="0010471A"/>
    <w:rsid w:val="00104946"/>
    <w:rsid w:val="00105850"/>
    <w:rsid w:val="00105AA9"/>
    <w:rsid w:val="0010637D"/>
    <w:rsid w:val="00106911"/>
    <w:rsid w:val="00106BE1"/>
    <w:rsid w:val="00106CAC"/>
    <w:rsid w:val="0010776B"/>
    <w:rsid w:val="00107EE8"/>
    <w:rsid w:val="00111123"/>
    <w:rsid w:val="00111324"/>
    <w:rsid w:val="00111544"/>
    <w:rsid w:val="0011223F"/>
    <w:rsid w:val="00112A1C"/>
    <w:rsid w:val="00112A3B"/>
    <w:rsid w:val="00113D7F"/>
    <w:rsid w:val="0011421B"/>
    <w:rsid w:val="00114A36"/>
    <w:rsid w:val="00116C85"/>
    <w:rsid w:val="001179B7"/>
    <w:rsid w:val="00117D9C"/>
    <w:rsid w:val="0012024D"/>
    <w:rsid w:val="00120486"/>
    <w:rsid w:val="00121923"/>
    <w:rsid w:val="001226BE"/>
    <w:rsid w:val="00122FBC"/>
    <w:rsid w:val="00123294"/>
    <w:rsid w:val="00123EF1"/>
    <w:rsid w:val="00124E9B"/>
    <w:rsid w:val="00125978"/>
    <w:rsid w:val="00125AFC"/>
    <w:rsid w:val="00125D74"/>
    <w:rsid w:val="00126AFF"/>
    <w:rsid w:val="00126DC3"/>
    <w:rsid w:val="00127187"/>
    <w:rsid w:val="00127829"/>
    <w:rsid w:val="00130007"/>
    <w:rsid w:val="0013037C"/>
    <w:rsid w:val="00130727"/>
    <w:rsid w:val="00130745"/>
    <w:rsid w:val="001313DA"/>
    <w:rsid w:val="00131CFE"/>
    <w:rsid w:val="00132EED"/>
    <w:rsid w:val="00133C83"/>
    <w:rsid w:val="00134FA5"/>
    <w:rsid w:val="00135200"/>
    <w:rsid w:val="00135AE9"/>
    <w:rsid w:val="00136003"/>
    <w:rsid w:val="00136797"/>
    <w:rsid w:val="001369C3"/>
    <w:rsid w:val="00137B03"/>
    <w:rsid w:val="0014062F"/>
    <w:rsid w:val="00140798"/>
    <w:rsid w:val="00141457"/>
    <w:rsid w:val="001415DD"/>
    <w:rsid w:val="001420B0"/>
    <w:rsid w:val="001429B1"/>
    <w:rsid w:val="00142F9D"/>
    <w:rsid w:val="001436B6"/>
    <w:rsid w:val="00143D79"/>
    <w:rsid w:val="00144864"/>
    <w:rsid w:val="001469D4"/>
    <w:rsid w:val="00146E85"/>
    <w:rsid w:val="00146FEC"/>
    <w:rsid w:val="0014703A"/>
    <w:rsid w:val="001476BD"/>
    <w:rsid w:val="001476BE"/>
    <w:rsid w:val="00147727"/>
    <w:rsid w:val="0015001A"/>
    <w:rsid w:val="0015032D"/>
    <w:rsid w:val="0015070B"/>
    <w:rsid w:val="001519F4"/>
    <w:rsid w:val="001524D4"/>
    <w:rsid w:val="0015303F"/>
    <w:rsid w:val="00154567"/>
    <w:rsid w:val="00155FE3"/>
    <w:rsid w:val="00157444"/>
    <w:rsid w:val="001604B6"/>
    <w:rsid w:val="00161156"/>
    <w:rsid w:val="0016454D"/>
    <w:rsid w:val="00164A8D"/>
    <w:rsid w:val="00164E77"/>
    <w:rsid w:val="00165AC0"/>
    <w:rsid w:val="00165E3C"/>
    <w:rsid w:val="00166AE4"/>
    <w:rsid w:val="00166F4F"/>
    <w:rsid w:val="00167BE6"/>
    <w:rsid w:val="00167EE0"/>
    <w:rsid w:val="00167F7E"/>
    <w:rsid w:val="00170238"/>
    <w:rsid w:val="00170655"/>
    <w:rsid w:val="001708CB"/>
    <w:rsid w:val="00170DF6"/>
    <w:rsid w:val="00170E7B"/>
    <w:rsid w:val="001721D4"/>
    <w:rsid w:val="00174043"/>
    <w:rsid w:val="00176D38"/>
    <w:rsid w:val="00180895"/>
    <w:rsid w:val="00181EAE"/>
    <w:rsid w:val="001824CB"/>
    <w:rsid w:val="00182598"/>
    <w:rsid w:val="001827F1"/>
    <w:rsid w:val="00182E28"/>
    <w:rsid w:val="00184855"/>
    <w:rsid w:val="00185379"/>
    <w:rsid w:val="001856FB"/>
    <w:rsid w:val="00185720"/>
    <w:rsid w:val="001858DD"/>
    <w:rsid w:val="00185E01"/>
    <w:rsid w:val="00185F6F"/>
    <w:rsid w:val="001861C1"/>
    <w:rsid w:val="00187218"/>
    <w:rsid w:val="00187308"/>
    <w:rsid w:val="00187AED"/>
    <w:rsid w:val="00190483"/>
    <w:rsid w:val="001910BF"/>
    <w:rsid w:val="00192241"/>
    <w:rsid w:val="00192A42"/>
    <w:rsid w:val="00192B41"/>
    <w:rsid w:val="00192F51"/>
    <w:rsid w:val="00193397"/>
    <w:rsid w:val="00193EDA"/>
    <w:rsid w:val="001940C0"/>
    <w:rsid w:val="0019486A"/>
    <w:rsid w:val="00197937"/>
    <w:rsid w:val="00197C7A"/>
    <w:rsid w:val="001A01CF"/>
    <w:rsid w:val="001A021F"/>
    <w:rsid w:val="001A0689"/>
    <w:rsid w:val="001A129B"/>
    <w:rsid w:val="001A1353"/>
    <w:rsid w:val="001A1C17"/>
    <w:rsid w:val="001A24EE"/>
    <w:rsid w:val="001A2646"/>
    <w:rsid w:val="001A2696"/>
    <w:rsid w:val="001A529E"/>
    <w:rsid w:val="001A6378"/>
    <w:rsid w:val="001A7954"/>
    <w:rsid w:val="001B04AA"/>
    <w:rsid w:val="001B154C"/>
    <w:rsid w:val="001B1E72"/>
    <w:rsid w:val="001B2382"/>
    <w:rsid w:val="001B2739"/>
    <w:rsid w:val="001B3327"/>
    <w:rsid w:val="001B34FF"/>
    <w:rsid w:val="001B3C7F"/>
    <w:rsid w:val="001B42AD"/>
    <w:rsid w:val="001B58F2"/>
    <w:rsid w:val="001B5B58"/>
    <w:rsid w:val="001B5EC8"/>
    <w:rsid w:val="001B678D"/>
    <w:rsid w:val="001B6EB3"/>
    <w:rsid w:val="001C2061"/>
    <w:rsid w:val="001C28BE"/>
    <w:rsid w:val="001C32F9"/>
    <w:rsid w:val="001C386A"/>
    <w:rsid w:val="001C447B"/>
    <w:rsid w:val="001C47A5"/>
    <w:rsid w:val="001C47E3"/>
    <w:rsid w:val="001C48D5"/>
    <w:rsid w:val="001C4FE3"/>
    <w:rsid w:val="001C5DB1"/>
    <w:rsid w:val="001C5F00"/>
    <w:rsid w:val="001C64EF"/>
    <w:rsid w:val="001C6506"/>
    <w:rsid w:val="001C6C6B"/>
    <w:rsid w:val="001C6D16"/>
    <w:rsid w:val="001C77E1"/>
    <w:rsid w:val="001D11DC"/>
    <w:rsid w:val="001D1AF5"/>
    <w:rsid w:val="001D2237"/>
    <w:rsid w:val="001D29AE"/>
    <w:rsid w:val="001D3043"/>
    <w:rsid w:val="001D3DD1"/>
    <w:rsid w:val="001D46EA"/>
    <w:rsid w:val="001D4D60"/>
    <w:rsid w:val="001D65CA"/>
    <w:rsid w:val="001E06FE"/>
    <w:rsid w:val="001E1296"/>
    <w:rsid w:val="001E2F91"/>
    <w:rsid w:val="001E31A4"/>
    <w:rsid w:val="001E3EA7"/>
    <w:rsid w:val="001E41D9"/>
    <w:rsid w:val="001E4675"/>
    <w:rsid w:val="001E5304"/>
    <w:rsid w:val="001E5A51"/>
    <w:rsid w:val="001E620F"/>
    <w:rsid w:val="001E62C4"/>
    <w:rsid w:val="001E6A5E"/>
    <w:rsid w:val="001E6CE0"/>
    <w:rsid w:val="001E725C"/>
    <w:rsid w:val="001E72B6"/>
    <w:rsid w:val="001F0210"/>
    <w:rsid w:val="001F041E"/>
    <w:rsid w:val="001F0754"/>
    <w:rsid w:val="001F0793"/>
    <w:rsid w:val="001F0DAD"/>
    <w:rsid w:val="001F175B"/>
    <w:rsid w:val="001F1BE5"/>
    <w:rsid w:val="001F250E"/>
    <w:rsid w:val="001F2BB2"/>
    <w:rsid w:val="001F2C4E"/>
    <w:rsid w:val="001F3220"/>
    <w:rsid w:val="001F3251"/>
    <w:rsid w:val="001F3DA1"/>
    <w:rsid w:val="001F55EB"/>
    <w:rsid w:val="001F7587"/>
    <w:rsid w:val="001F765D"/>
    <w:rsid w:val="001F798F"/>
    <w:rsid w:val="00200470"/>
    <w:rsid w:val="002014CF"/>
    <w:rsid w:val="00202810"/>
    <w:rsid w:val="00202C76"/>
    <w:rsid w:val="002030A3"/>
    <w:rsid w:val="00203583"/>
    <w:rsid w:val="00203710"/>
    <w:rsid w:val="00204594"/>
    <w:rsid w:val="00204F10"/>
    <w:rsid w:val="00205D40"/>
    <w:rsid w:val="00205D82"/>
    <w:rsid w:val="0020772E"/>
    <w:rsid w:val="00207D19"/>
    <w:rsid w:val="00207E36"/>
    <w:rsid w:val="00210620"/>
    <w:rsid w:val="002108D1"/>
    <w:rsid w:val="0021094E"/>
    <w:rsid w:val="00210988"/>
    <w:rsid w:val="00211991"/>
    <w:rsid w:val="00212405"/>
    <w:rsid w:val="00212DA7"/>
    <w:rsid w:val="00213C42"/>
    <w:rsid w:val="00214701"/>
    <w:rsid w:val="0021543C"/>
    <w:rsid w:val="00215D7C"/>
    <w:rsid w:val="00215E7D"/>
    <w:rsid w:val="00217154"/>
    <w:rsid w:val="002172C2"/>
    <w:rsid w:val="00217A18"/>
    <w:rsid w:val="002217DE"/>
    <w:rsid w:val="002219F5"/>
    <w:rsid w:val="00221B74"/>
    <w:rsid w:val="00221D83"/>
    <w:rsid w:val="00222517"/>
    <w:rsid w:val="002228B6"/>
    <w:rsid w:val="00222EC0"/>
    <w:rsid w:val="00222FD7"/>
    <w:rsid w:val="00224B57"/>
    <w:rsid w:val="00224BA5"/>
    <w:rsid w:val="00226293"/>
    <w:rsid w:val="00227C90"/>
    <w:rsid w:val="00230266"/>
    <w:rsid w:val="002303B1"/>
    <w:rsid w:val="00231135"/>
    <w:rsid w:val="002330A0"/>
    <w:rsid w:val="002334F1"/>
    <w:rsid w:val="00234835"/>
    <w:rsid w:val="00234F3A"/>
    <w:rsid w:val="002353A9"/>
    <w:rsid w:val="00235653"/>
    <w:rsid w:val="0023597B"/>
    <w:rsid w:val="00235E6E"/>
    <w:rsid w:val="00236445"/>
    <w:rsid w:val="00237BCC"/>
    <w:rsid w:val="002407B2"/>
    <w:rsid w:val="00240FCD"/>
    <w:rsid w:val="0024129D"/>
    <w:rsid w:val="00241695"/>
    <w:rsid w:val="00242ABB"/>
    <w:rsid w:val="002434D4"/>
    <w:rsid w:val="00243644"/>
    <w:rsid w:val="00243DD0"/>
    <w:rsid w:val="002442ED"/>
    <w:rsid w:val="002445FF"/>
    <w:rsid w:val="0024482C"/>
    <w:rsid w:val="002453B8"/>
    <w:rsid w:val="00245400"/>
    <w:rsid w:val="00245C02"/>
    <w:rsid w:val="00246CED"/>
    <w:rsid w:val="00247067"/>
    <w:rsid w:val="00247954"/>
    <w:rsid w:val="002504DF"/>
    <w:rsid w:val="002505CC"/>
    <w:rsid w:val="002514D5"/>
    <w:rsid w:val="002534B3"/>
    <w:rsid w:val="002539FA"/>
    <w:rsid w:val="00253E02"/>
    <w:rsid w:val="002542AB"/>
    <w:rsid w:val="0025481F"/>
    <w:rsid w:val="00255ECC"/>
    <w:rsid w:val="002568C1"/>
    <w:rsid w:val="00256B17"/>
    <w:rsid w:val="00257062"/>
    <w:rsid w:val="002570A9"/>
    <w:rsid w:val="00257526"/>
    <w:rsid w:val="00257794"/>
    <w:rsid w:val="00257A68"/>
    <w:rsid w:val="00260B1B"/>
    <w:rsid w:val="00260CA3"/>
    <w:rsid w:val="002627A5"/>
    <w:rsid w:val="002628D1"/>
    <w:rsid w:val="002639CC"/>
    <w:rsid w:val="00263AE9"/>
    <w:rsid w:val="00264496"/>
    <w:rsid w:val="0026608B"/>
    <w:rsid w:val="00266536"/>
    <w:rsid w:val="00266A04"/>
    <w:rsid w:val="00267DAE"/>
    <w:rsid w:val="00270109"/>
    <w:rsid w:val="00270144"/>
    <w:rsid w:val="002709D2"/>
    <w:rsid w:val="00273234"/>
    <w:rsid w:val="002736C6"/>
    <w:rsid w:val="0027372A"/>
    <w:rsid w:val="00273D52"/>
    <w:rsid w:val="002745E9"/>
    <w:rsid w:val="0027472A"/>
    <w:rsid w:val="00275248"/>
    <w:rsid w:val="00275813"/>
    <w:rsid w:val="00276748"/>
    <w:rsid w:val="00276AFD"/>
    <w:rsid w:val="00276DF5"/>
    <w:rsid w:val="00277417"/>
    <w:rsid w:val="00277441"/>
    <w:rsid w:val="00280476"/>
    <w:rsid w:val="00281081"/>
    <w:rsid w:val="00281EAB"/>
    <w:rsid w:val="00281F92"/>
    <w:rsid w:val="002825BF"/>
    <w:rsid w:val="00282F45"/>
    <w:rsid w:val="00283175"/>
    <w:rsid w:val="002833F5"/>
    <w:rsid w:val="00283E1C"/>
    <w:rsid w:val="002850FC"/>
    <w:rsid w:val="0028516D"/>
    <w:rsid w:val="002851E2"/>
    <w:rsid w:val="00285547"/>
    <w:rsid w:val="0028561C"/>
    <w:rsid w:val="00285AAD"/>
    <w:rsid w:val="0028639C"/>
    <w:rsid w:val="00286458"/>
    <w:rsid w:val="00287BBC"/>
    <w:rsid w:val="002908C9"/>
    <w:rsid w:val="00290EE2"/>
    <w:rsid w:val="002926FB"/>
    <w:rsid w:val="00292BF1"/>
    <w:rsid w:val="002960CE"/>
    <w:rsid w:val="00296321"/>
    <w:rsid w:val="002963F1"/>
    <w:rsid w:val="00296433"/>
    <w:rsid w:val="00296814"/>
    <w:rsid w:val="00297CF4"/>
    <w:rsid w:val="002A07D8"/>
    <w:rsid w:val="002A0C42"/>
    <w:rsid w:val="002A1AD2"/>
    <w:rsid w:val="002A4114"/>
    <w:rsid w:val="002A4A92"/>
    <w:rsid w:val="002A4E44"/>
    <w:rsid w:val="002A5354"/>
    <w:rsid w:val="002A5BEA"/>
    <w:rsid w:val="002A73C8"/>
    <w:rsid w:val="002A7803"/>
    <w:rsid w:val="002A7864"/>
    <w:rsid w:val="002B10D1"/>
    <w:rsid w:val="002B1624"/>
    <w:rsid w:val="002B1CD2"/>
    <w:rsid w:val="002B2426"/>
    <w:rsid w:val="002B27CC"/>
    <w:rsid w:val="002B298D"/>
    <w:rsid w:val="002B314F"/>
    <w:rsid w:val="002B3373"/>
    <w:rsid w:val="002B3B6D"/>
    <w:rsid w:val="002B4C2E"/>
    <w:rsid w:val="002B4C86"/>
    <w:rsid w:val="002B5288"/>
    <w:rsid w:val="002B60B6"/>
    <w:rsid w:val="002B6351"/>
    <w:rsid w:val="002B6B28"/>
    <w:rsid w:val="002B6F98"/>
    <w:rsid w:val="002B7A82"/>
    <w:rsid w:val="002B7C8E"/>
    <w:rsid w:val="002C0004"/>
    <w:rsid w:val="002C016F"/>
    <w:rsid w:val="002C0347"/>
    <w:rsid w:val="002C0628"/>
    <w:rsid w:val="002C10D3"/>
    <w:rsid w:val="002C1505"/>
    <w:rsid w:val="002C29F8"/>
    <w:rsid w:val="002C3ABA"/>
    <w:rsid w:val="002C4763"/>
    <w:rsid w:val="002C4CBE"/>
    <w:rsid w:val="002C5A71"/>
    <w:rsid w:val="002C6FB3"/>
    <w:rsid w:val="002D0A6D"/>
    <w:rsid w:val="002D1B11"/>
    <w:rsid w:val="002D2514"/>
    <w:rsid w:val="002D2CE5"/>
    <w:rsid w:val="002D2D87"/>
    <w:rsid w:val="002D38DD"/>
    <w:rsid w:val="002D4F4C"/>
    <w:rsid w:val="002D5B6F"/>
    <w:rsid w:val="002D5CE4"/>
    <w:rsid w:val="002D5DC3"/>
    <w:rsid w:val="002D643A"/>
    <w:rsid w:val="002D6616"/>
    <w:rsid w:val="002D6FED"/>
    <w:rsid w:val="002E04CC"/>
    <w:rsid w:val="002E11FC"/>
    <w:rsid w:val="002E1E04"/>
    <w:rsid w:val="002E22D7"/>
    <w:rsid w:val="002E2AA4"/>
    <w:rsid w:val="002E481F"/>
    <w:rsid w:val="002E4B69"/>
    <w:rsid w:val="002E5B95"/>
    <w:rsid w:val="002E6590"/>
    <w:rsid w:val="002E6707"/>
    <w:rsid w:val="002E6C5C"/>
    <w:rsid w:val="002E7455"/>
    <w:rsid w:val="002F02A4"/>
    <w:rsid w:val="002F0B84"/>
    <w:rsid w:val="002F2089"/>
    <w:rsid w:val="002F323F"/>
    <w:rsid w:val="002F3B91"/>
    <w:rsid w:val="002F5BB2"/>
    <w:rsid w:val="002F6082"/>
    <w:rsid w:val="002F6BF5"/>
    <w:rsid w:val="002F76CB"/>
    <w:rsid w:val="002F7A8E"/>
    <w:rsid w:val="0030011D"/>
    <w:rsid w:val="00301999"/>
    <w:rsid w:val="0030203C"/>
    <w:rsid w:val="00302BCF"/>
    <w:rsid w:val="00302F77"/>
    <w:rsid w:val="00303067"/>
    <w:rsid w:val="00303E8A"/>
    <w:rsid w:val="00304820"/>
    <w:rsid w:val="00305B90"/>
    <w:rsid w:val="00306F4B"/>
    <w:rsid w:val="003078BF"/>
    <w:rsid w:val="00307BFF"/>
    <w:rsid w:val="00310381"/>
    <w:rsid w:val="003103E1"/>
    <w:rsid w:val="0031090D"/>
    <w:rsid w:val="00310CB2"/>
    <w:rsid w:val="003112EA"/>
    <w:rsid w:val="00311651"/>
    <w:rsid w:val="003146EB"/>
    <w:rsid w:val="00315179"/>
    <w:rsid w:val="00315842"/>
    <w:rsid w:val="00315CD9"/>
    <w:rsid w:val="003164D7"/>
    <w:rsid w:val="00317710"/>
    <w:rsid w:val="00322A46"/>
    <w:rsid w:val="003244C7"/>
    <w:rsid w:val="00324A74"/>
    <w:rsid w:val="00324F7E"/>
    <w:rsid w:val="003250F7"/>
    <w:rsid w:val="00325697"/>
    <w:rsid w:val="00325C37"/>
    <w:rsid w:val="00325FD3"/>
    <w:rsid w:val="0032654B"/>
    <w:rsid w:val="00326B76"/>
    <w:rsid w:val="003270A5"/>
    <w:rsid w:val="00327287"/>
    <w:rsid w:val="00327C6B"/>
    <w:rsid w:val="00330EAA"/>
    <w:rsid w:val="003318BA"/>
    <w:rsid w:val="00331DAA"/>
    <w:rsid w:val="00331EDD"/>
    <w:rsid w:val="003333C5"/>
    <w:rsid w:val="003343D7"/>
    <w:rsid w:val="00334CDC"/>
    <w:rsid w:val="003364E5"/>
    <w:rsid w:val="00337BE0"/>
    <w:rsid w:val="00340545"/>
    <w:rsid w:val="00340549"/>
    <w:rsid w:val="00341757"/>
    <w:rsid w:val="0034289D"/>
    <w:rsid w:val="00342966"/>
    <w:rsid w:val="00342AF6"/>
    <w:rsid w:val="003438D4"/>
    <w:rsid w:val="003445FC"/>
    <w:rsid w:val="00346235"/>
    <w:rsid w:val="00347E51"/>
    <w:rsid w:val="00350B99"/>
    <w:rsid w:val="00351241"/>
    <w:rsid w:val="0035155A"/>
    <w:rsid w:val="003517CC"/>
    <w:rsid w:val="00351937"/>
    <w:rsid w:val="0035193C"/>
    <w:rsid w:val="00351DE1"/>
    <w:rsid w:val="00351FA6"/>
    <w:rsid w:val="003522D8"/>
    <w:rsid w:val="00352966"/>
    <w:rsid w:val="0035350F"/>
    <w:rsid w:val="003536F5"/>
    <w:rsid w:val="00353B95"/>
    <w:rsid w:val="00353F0A"/>
    <w:rsid w:val="0035429F"/>
    <w:rsid w:val="00354ADA"/>
    <w:rsid w:val="00357046"/>
    <w:rsid w:val="00357088"/>
    <w:rsid w:val="00357C0F"/>
    <w:rsid w:val="00360109"/>
    <w:rsid w:val="00360615"/>
    <w:rsid w:val="00360B5C"/>
    <w:rsid w:val="003613F0"/>
    <w:rsid w:val="003622DA"/>
    <w:rsid w:val="00362B78"/>
    <w:rsid w:val="003639CC"/>
    <w:rsid w:val="003646FD"/>
    <w:rsid w:val="0036567F"/>
    <w:rsid w:val="00366205"/>
    <w:rsid w:val="00367142"/>
    <w:rsid w:val="00367462"/>
    <w:rsid w:val="00367555"/>
    <w:rsid w:val="00367708"/>
    <w:rsid w:val="00367B96"/>
    <w:rsid w:val="00367E41"/>
    <w:rsid w:val="0037054D"/>
    <w:rsid w:val="00370B6D"/>
    <w:rsid w:val="00373B4F"/>
    <w:rsid w:val="003744DD"/>
    <w:rsid w:val="00376901"/>
    <w:rsid w:val="0037694D"/>
    <w:rsid w:val="0037696F"/>
    <w:rsid w:val="003769C7"/>
    <w:rsid w:val="00376F53"/>
    <w:rsid w:val="00376FF5"/>
    <w:rsid w:val="00377311"/>
    <w:rsid w:val="00377556"/>
    <w:rsid w:val="003779E0"/>
    <w:rsid w:val="00377AA0"/>
    <w:rsid w:val="0038008F"/>
    <w:rsid w:val="0038015E"/>
    <w:rsid w:val="0038033A"/>
    <w:rsid w:val="003804F8"/>
    <w:rsid w:val="0038095C"/>
    <w:rsid w:val="00380F77"/>
    <w:rsid w:val="00381350"/>
    <w:rsid w:val="00381D4A"/>
    <w:rsid w:val="0038213B"/>
    <w:rsid w:val="00382A9D"/>
    <w:rsid w:val="0038429F"/>
    <w:rsid w:val="00384467"/>
    <w:rsid w:val="0038449D"/>
    <w:rsid w:val="003847D7"/>
    <w:rsid w:val="00384AB2"/>
    <w:rsid w:val="00384B37"/>
    <w:rsid w:val="003854AB"/>
    <w:rsid w:val="00385B5F"/>
    <w:rsid w:val="00385D64"/>
    <w:rsid w:val="003862A3"/>
    <w:rsid w:val="00390796"/>
    <w:rsid w:val="00390C9E"/>
    <w:rsid w:val="00392372"/>
    <w:rsid w:val="00392564"/>
    <w:rsid w:val="003929DD"/>
    <w:rsid w:val="00392B48"/>
    <w:rsid w:val="00392D12"/>
    <w:rsid w:val="00394108"/>
    <w:rsid w:val="00395382"/>
    <w:rsid w:val="003955B3"/>
    <w:rsid w:val="00395ED9"/>
    <w:rsid w:val="00396422"/>
    <w:rsid w:val="00396FD2"/>
    <w:rsid w:val="003974AD"/>
    <w:rsid w:val="003A046D"/>
    <w:rsid w:val="003A0783"/>
    <w:rsid w:val="003A10D3"/>
    <w:rsid w:val="003A1137"/>
    <w:rsid w:val="003A1DD5"/>
    <w:rsid w:val="003A2247"/>
    <w:rsid w:val="003A2E2A"/>
    <w:rsid w:val="003A34A7"/>
    <w:rsid w:val="003A3C8B"/>
    <w:rsid w:val="003A3C92"/>
    <w:rsid w:val="003A4A6F"/>
    <w:rsid w:val="003A4F62"/>
    <w:rsid w:val="003A797E"/>
    <w:rsid w:val="003B1871"/>
    <w:rsid w:val="003B1B8B"/>
    <w:rsid w:val="003B326B"/>
    <w:rsid w:val="003B3EF2"/>
    <w:rsid w:val="003B429A"/>
    <w:rsid w:val="003B5733"/>
    <w:rsid w:val="003B5AAE"/>
    <w:rsid w:val="003B5C06"/>
    <w:rsid w:val="003B696A"/>
    <w:rsid w:val="003B6AA0"/>
    <w:rsid w:val="003B752C"/>
    <w:rsid w:val="003B7938"/>
    <w:rsid w:val="003C08A5"/>
    <w:rsid w:val="003C0EFE"/>
    <w:rsid w:val="003C1B0D"/>
    <w:rsid w:val="003C3024"/>
    <w:rsid w:val="003C3D9B"/>
    <w:rsid w:val="003C42CF"/>
    <w:rsid w:val="003C47D8"/>
    <w:rsid w:val="003C52DC"/>
    <w:rsid w:val="003C540E"/>
    <w:rsid w:val="003C71A5"/>
    <w:rsid w:val="003C7201"/>
    <w:rsid w:val="003C7E3E"/>
    <w:rsid w:val="003D06E6"/>
    <w:rsid w:val="003D20AF"/>
    <w:rsid w:val="003D28AE"/>
    <w:rsid w:val="003D3282"/>
    <w:rsid w:val="003D3EF7"/>
    <w:rsid w:val="003D41CD"/>
    <w:rsid w:val="003D429E"/>
    <w:rsid w:val="003D51A5"/>
    <w:rsid w:val="003D5331"/>
    <w:rsid w:val="003D54AD"/>
    <w:rsid w:val="003D708E"/>
    <w:rsid w:val="003E0A22"/>
    <w:rsid w:val="003E1EAF"/>
    <w:rsid w:val="003E3708"/>
    <w:rsid w:val="003E4C68"/>
    <w:rsid w:val="003E6862"/>
    <w:rsid w:val="003E6FC9"/>
    <w:rsid w:val="003E7A30"/>
    <w:rsid w:val="003F0189"/>
    <w:rsid w:val="003F1BDC"/>
    <w:rsid w:val="003F2926"/>
    <w:rsid w:val="003F2A12"/>
    <w:rsid w:val="003F32D6"/>
    <w:rsid w:val="003F4C35"/>
    <w:rsid w:val="003F56F2"/>
    <w:rsid w:val="003F70F7"/>
    <w:rsid w:val="003F7436"/>
    <w:rsid w:val="004000F5"/>
    <w:rsid w:val="004001A6"/>
    <w:rsid w:val="00400554"/>
    <w:rsid w:val="004007E3"/>
    <w:rsid w:val="00400C5B"/>
    <w:rsid w:val="00400D4D"/>
    <w:rsid w:val="00403848"/>
    <w:rsid w:val="0040384E"/>
    <w:rsid w:val="004038BD"/>
    <w:rsid w:val="00404399"/>
    <w:rsid w:val="00404528"/>
    <w:rsid w:val="0040518A"/>
    <w:rsid w:val="004059BA"/>
    <w:rsid w:val="00405C3C"/>
    <w:rsid w:val="0040648C"/>
    <w:rsid w:val="00406928"/>
    <w:rsid w:val="00406BD8"/>
    <w:rsid w:val="00410435"/>
    <w:rsid w:val="00410D4B"/>
    <w:rsid w:val="00410D4F"/>
    <w:rsid w:val="00410FEA"/>
    <w:rsid w:val="00411104"/>
    <w:rsid w:val="00412140"/>
    <w:rsid w:val="00412358"/>
    <w:rsid w:val="00412938"/>
    <w:rsid w:val="00412C18"/>
    <w:rsid w:val="00412D8B"/>
    <w:rsid w:val="00413893"/>
    <w:rsid w:val="004138E6"/>
    <w:rsid w:val="00414885"/>
    <w:rsid w:val="0041517E"/>
    <w:rsid w:val="00415D8B"/>
    <w:rsid w:val="00416280"/>
    <w:rsid w:val="00416481"/>
    <w:rsid w:val="00416B9F"/>
    <w:rsid w:val="00416C0A"/>
    <w:rsid w:val="0041762D"/>
    <w:rsid w:val="00417CA1"/>
    <w:rsid w:val="0042015A"/>
    <w:rsid w:val="00420FEE"/>
    <w:rsid w:val="0042103E"/>
    <w:rsid w:val="004218AC"/>
    <w:rsid w:val="00421B26"/>
    <w:rsid w:val="00422095"/>
    <w:rsid w:val="00423054"/>
    <w:rsid w:val="004256E9"/>
    <w:rsid w:val="00425FC5"/>
    <w:rsid w:val="00426121"/>
    <w:rsid w:val="004275E4"/>
    <w:rsid w:val="00427944"/>
    <w:rsid w:val="00427ECE"/>
    <w:rsid w:val="00430409"/>
    <w:rsid w:val="0043077A"/>
    <w:rsid w:val="00432309"/>
    <w:rsid w:val="00432A28"/>
    <w:rsid w:val="00433033"/>
    <w:rsid w:val="004331E8"/>
    <w:rsid w:val="00433371"/>
    <w:rsid w:val="0043378F"/>
    <w:rsid w:val="004343B3"/>
    <w:rsid w:val="004346D6"/>
    <w:rsid w:val="004348F0"/>
    <w:rsid w:val="00435015"/>
    <w:rsid w:val="00435286"/>
    <w:rsid w:val="00435411"/>
    <w:rsid w:val="004360EF"/>
    <w:rsid w:val="00436418"/>
    <w:rsid w:val="00437DC1"/>
    <w:rsid w:val="0044104E"/>
    <w:rsid w:val="0044108D"/>
    <w:rsid w:val="00441599"/>
    <w:rsid w:val="00441864"/>
    <w:rsid w:val="0044256A"/>
    <w:rsid w:val="004425FD"/>
    <w:rsid w:val="00442DFE"/>
    <w:rsid w:val="00442F25"/>
    <w:rsid w:val="004435DF"/>
    <w:rsid w:val="004438FA"/>
    <w:rsid w:val="00444ACA"/>
    <w:rsid w:val="00445142"/>
    <w:rsid w:val="004451E5"/>
    <w:rsid w:val="00445ADF"/>
    <w:rsid w:val="004465CA"/>
    <w:rsid w:val="00446AAF"/>
    <w:rsid w:val="00450038"/>
    <w:rsid w:val="004505EC"/>
    <w:rsid w:val="00450608"/>
    <w:rsid w:val="00450840"/>
    <w:rsid w:val="00450C01"/>
    <w:rsid w:val="00450E38"/>
    <w:rsid w:val="00452188"/>
    <w:rsid w:val="004521EC"/>
    <w:rsid w:val="00452800"/>
    <w:rsid w:val="00453A75"/>
    <w:rsid w:val="0045450B"/>
    <w:rsid w:val="004546E4"/>
    <w:rsid w:val="00455C8F"/>
    <w:rsid w:val="00455E73"/>
    <w:rsid w:val="00455EDD"/>
    <w:rsid w:val="004563B5"/>
    <w:rsid w:val="00456E8B"/>
    <w:rsid w:val="00456ECE"/>
    <w:rsid w:val="004574EC"/>
    <w:rsid w:val="00460052"/>
    <w:rsid w:val="0046089B"/>
    <w:rsid w:val="00461AF8"/>
    <w:rsid w:val="00462400"/>
    <w:rsid w:val="0046265A"/>
    <w:rsid w:val="00463190"/>
    <w:rsid w:val="00463277"/>
    <w:rsid w:val="0046540E"/>
    <w:rsid w:val="00465A6D"/>
    <w:rsid w:val="00465AC6"/>
    <w:rsid w:val="00465D73"/>
    <w:rsid w:val="00466C53"/>
    <w:rsid w:val="0047015C"/>
    <w:rsid w:val="00470697"/>
    <w:rsid w:val="0047077C"/>
    <w:rsid w:val="00471E7F"/>
    <w:rsid w:val="00471F10"/>
    <w:rsid w:val="004726F1"/>
    <w:rsid w:val="004734A9"/>
    <w:rsid w:val="0047382B"/>
    <w:rsid w:val="00474A08"/>
    <w:rsid w:val="00475CE4"/>
    <w:rsid w:val="0047688D"/>
    <w:rsid w:val="00476CCE"/>
    <w:rsid w:val="00477D62"/>
    <w:rsid w:val="004806E1"/>
    <w:rsid w:val="00480BDE"/>
    <w:rsid w:val="00480C7A"/>
    <w:rsid w:val="00480D4E"/>
    <w:rsid w:val="00482B86"/>
    <w:rsid w:val="004835C1"/>
    <w:rsid w:val="00483E95"/>
    <w:rsid w:val="0048436D"/>
    <w:rsid w:val="004847FD"/>
    <w:rsid w:val="0048547E"/>
    <w:rsid w:val="00485999"/>
    <w:rsid w:val="004860A4"/>
    <w:rsid w:val="0048701E"/>
    <w:rsid w:val="00487907"/>
    <w:rsid w:val="00490033"/>
    <w:rsid w:val="00490157"/>
    <w:rsid w:val="0049074E"/>
    <w:rsid w:val="004938B4"/>
    <w:rsid w:val="00494C5D"/>
    <w:rsid w:val="004954CF"/>
    <w:rsid w:val="00495A21"/>
    <w:rsid w:val="00496486"/>
    <w:rsid w:val="00496610"/>
    <w:rsid w:val="00496C60"/>
    <w:rsid w:val="00496CE0"/>
    <w:rsid w:val="004977E5"/>
    <w:rsid w:val="00497C15"/>
    <w:rsid w:val="00497C68"/>
    <w:rsid w:val="004A0652"/>
    <w:rsid w:val="004A0693"/>
    <w:rsid w:val="004A0AF2"/>
    <w:rsid w:val="004A1866"/>
    <w:rsid w:val="004A1CC0"/>
    <w:rsid w:val="004A1EDD"/>
    <w:rsid w:val="004A204A"/>
    <w:rsid w:val="004A3749"/>
    <w:rsid w:val="004A3893"/>
    <w:rsid w:val="004A4C81"/>
    <w:rsid w:val="004A4D92"/>
    <w:rsid w:val="004A5FE8"/>
    <w:rsid w:val="004A6198"/>
    <w:rsid w:val="004A766A"/>
    <w:rsid w:val="004A7D50"/>
    <w:rsid w:val="004A7E72"/>
    <w:rsid w:val="004B02C4"/>
    <w:rsid w:val="004B0BF5"/>
    <w:rsid w:val="004B1012"/>
    <w:rsid w:val="004B1E27"/>
    <w:rsid w:val="004B1E2D"/>
    <w:rsid w:val="004B24C5"/>
    <w:rsid w:val="004B2F22"/>
    <w:rsid w:val="004B40D9"/>
    <w:rsid w:val="004B4B04"/>
    <w:rsid w:val="004B4F3B"/>
    <w:rsid w:val="004B5BF7"/>
    <w:rsid w:val="004B6649"/>
    <w:rsid w:val="004B7602"/>
    <w:rsid w:val="004B7C65"/>
    <w:rsid w:val="004B7D70"/>
    <w:rsid w:val="004B7E73"/>
    <w:rsid w:val="004C0466"/>
    <w:rsid w:val="004C09AF"/>
    <w:rsid w:val="004C1F04"/>
    <w:rsid w:val="004C315F"/>
    <w:rsid w:val="004C3B2E"/>
    <w:rsid w:val="004C3F0E"/>
    <w:rsid w:val="004C414D"/>
    <w:rsid w:val="004C4433"/>
    <w:rsid w:val="004C5704"/>
    <w:rsid w:val="004C5873"/>
    <w:rsid w:val="004C5B61"/>
    <w:rsid w:val="004C5FE6"/>
    <w:rsid w:val="004C6AB7"/>
    <w:rsid w:val="004C7A29"/>
    <w:rsid w:val="004D01E2"/>
    <w:rsid w:val="004D03AF"/>
    <w:rsid w:val="004D10AA"/>
    <w:rsid w:val="004D12C3"/>
    <w:rsid w:val="004D2632"/>
    <w:rsid w:val="004D3AE7"/>
    <w:rsid w:val="004D3CB2"/>
    <w:rsid w:val="004D59B5"/>
    <w:rsid w:val="004D6323"/>
    <w:rsid w:val="004D69DD"/>
    <w:rsid w:val="004D72E5"/>
    <w:rsid w:val="004D73E5"/>
    <w:rsid w:val="004D7BC5"/>
    <w:rsid w:val="004D7EB0"/>
    <w:rsid w:val="004E0593"/>
    <w:rsid w:val="004E0740"/>
    <w:rsid w:val="004E0B57"/>
    <w:rsid w:val="004E0B72"/>
    <w:rsid w:val="004E3549"/>
    <w:rsid w:val="004E35A7"/>
    <w:rsid w:val="004E3E53"/>
    <w:rsid w:val="004E41EF"/>
    <w:rsid w:val="004E42F0"/>
    <w:rsid w:val="004E4E44"/>
    <w:rsid w:val="004E623E"/>
    <w:rsid w:val="004E6DBF"/>
    <w:rsid w:val="004F0878"/>
    <w:rsid w:val="004F0B10"/>
    <w:rsid w:val="004F1EC6"/>
    <w:rsid w:val="004F261E"/>
    <w:rsid w:val="004F263E"/>
    <w:rsid w:val="004F28E6"/>
    <w:rsid w:val="004F3702"/>
    <w:rsid w:val="004F40E7"/>
    <w:rsid w:val="004F417E"/>
    <w:rsid w:val="004F4486"/>
    <w:rsid w:val="004F4C9D"/>
    <w:rsid w:val="004F71A1"/>
    <w:rsid w:val="004F76D3"/>
    <w:rsid w:val="004F78E9"/>
    <w:rsid w:val="00500150"/>
    <w:rsid w:val="00501F85"/>
    <w:rsid w:val="00502A83"/>
    <w:rsid w:val="00503844"/>
    <w:rsid w:val="00503A1D"/>
    <w:rsid w:val="005041BC"/>
    <w:rsid w:val="0050493A"/>
    <w:rsid w:val="005049BC"/>
    <w:rsid w:val="00504A8F"/>
    <w:rsid w:val="00505891"/>
    <w:rsid w:val="00505A11"/>
    <w:rsid w:val="005060F4"/>
    <w:rsid w:val="0050706C"/>
    <w:rsid w:val="00507B51"/>
    <w:rsid w:val="00510814"/>
    <w:rsid w:val="00510AC7"/>
    <w:rsid w:val="00510B83"/>
    <w:rsid w:val="0051141E"/>
    <w:rsid w:val="0051144C"/>
    <w:rsid w:val="00511629"/>
    <w:rsid w:val="00511B4C"/>
    <w:rsid w:val="005128FA"/>
    <w:rsid w:val="005137DE"/>
    <w:rsid w:val="00514109"/>
    <w:rsid w:val="00516747"/>
    <w:rsid w:val="00520298"/>
    <w:rsid w:val="00520519"/>
    <w:rsid w:val="00520F1E"/>
    <w:rsid w:val="0052254D"/>
    <w:rsid w:val="005227C1"/>
    <w:rsid w:val="005228B8"/>
    <w:rsid w:val="005236F7"/>
    <w:rsid w:val="00524384"/>
    <w:rsid w:val="00524531"/>
    <w:rsid w:val="00524862"/>
    <w:rsid w:val="0052497C"/>
    <w:rsid w:val="0052509C"/>
    <w:rsid w:val="00525527"/>
    <w:rsid w:val="005259DB"/>
    <w:rsid w:val="00526C41"/>
    <w:rsid w:val="0052731D"/>
    <w:rsid w:val="00530A80"/>
    <w:rsid w:val="00530C4B"/>
    <w:rsid w:val="00531214"/>
    <w:rsid w:val="00533381"/>
    <w:rsid w:val="00535AE8"/>
    <w:rsid w:val="00535B59"/>
    <w:rsid w:val="00535CEA"/>
    <w:rsid w:val="005360DD"/>
    <w:rsid w:val="00536994"/>
    <w:rsid w:val="00536CA7"/>
    <w:rsid w:val="00536D28"/>
    <w:rsid w:val="00537FB3"/>
    <w:rsid w:val="00540050"/>
    <w:rsid w:val="00540A54"/>
    <w:rsid w:val="005414A9"/>
    <w:rsid w:val="005414DA"/>
    <w:rsid w:val="00542596"/>
    <w:rsid w:val="005428AF"/>
    <w:rsid w:val="00544D91"/>
    <w:rsid w:val="00544EFD"/>
    <w:rsid w:val="00545374"/>
    <w:rsid w:val="005454EC"/>
    <w:rsid w:val="00545A31"/>
    <w:rsid w:val="005478F4"/>
    <w:rsid w:val="00547AE6"/>
    <w:rsid w:val="00547BB6"/>
    <w:rsid w:val="005519AF"/>
    <w:rsid w:val="00551B85"/>
    <w:rsid w:val="0055267F"/>
    <w:rsid w:val="00552D1C"/>
    <w:rsid w:val="00553010"/>
    <w:rsid w:val="00553406"/>
    <w:rsid w:val="00553472"/>
    <w:rsid w:val="0055347D"/>
    <w:rsid w:val="0055372B"/>
    <w:rsid w:val="00554C90"/>
    <w:rsid w:val="00555165"/>
    <w:rsid w:val="00555705"/>
    <w:rsid w:val="00556900"/>
    <w:rsid w:val="00556915"/>
    <w:rsid w:val="005570A4"/>
    <w:rsid w:val="0056000D"/>
    <w:rsid w:val="0056168E"/>
    <w:rsid w:val="00561DDC"/>
    <w:rsid w:val="00561E91"/>
    <w:rsid w:val="005627BE"/>
    <w:rsid w:val="005628A2"/>
    <w:rsid w:val="00562C36"/>
    <w:rsid w:val="00562DFA"/>
    <w:rsid w:val="005632D1"/>
    <w:rsid w:val="005633D2"/>
    <w:rsid w:val="00563609"/>
    <w:rsid w:val="005644B1"/>
    <w:rsid w:val="00565FAF"/>
    <w:rsid w:val="005661C8"/>
    <w:rsid w:val="00566805"/>
    <w:rsid w:val="00567009"/>
    <w:rsid w:val="0056743B"/>
    <w:rsid w:val="005700DB"/>
    <w:rsid w:val="00570AA9"/>
    <w:rsid w:val="00570B39"/>
    <w:rsid w:val="00570C99"/>
    <w:rsid w:val="00571AAD"/>
    <w:rsid w:val="00571EAB"/>
    <w:rsid w:val="00572B9E"/>
    <w:rsid w:val="00573518"/>
    <w:rsid w:val="00573529"/>
    <w:rsid w:val="0057395A"/>
    <w:rsid w:val="0057395F"/>
    <w:rsid w:val="00574287"/>
    <w:rsid w:val="00574420"/>
    <w:rsid w:val="0057523A"/>
    <w:rsid w:val="00575A6E"/>
    <w:rsid w:val="00575B4F"/>
    <w:rsid w:val="00576197"/>
    <w:rsid w:val="005763C3"/>
    <w:rsid w:val="0057710F"/>
    <w:rsid w:val="00577E93"/>
    <w:rsid w:val="005800CD"/>
    <w:rsid w:val="00580C35"/>
    <w:rsid w:val="0058216F"/>
    <w:rsid w:val="00582B60"/>
    <w:rsid w:val="0058390B"/>
    <w:rsid w:val="005861D4"/>
    <w:rsid w:val="005869A1"/>
    <w:rsid w:val="00587855"/>
    <w:rsid w:val="00587996"/>
    <w:rsid w:val="00587A84"/>
    <w:rsid w:val="0059107B"/>
    <w:rsid w:val="00591FCE"/>
    <w:rsid w:val="00592BB8"/>
    <w:rsid w:val="00594876"/>
    <w:rsid w:val="00594B4F"/>
    <w:rsid w:val="00594D4F"/>
    <w:rsid w:val="00595141"/>
    <w:rsid w:val="00595EF1"/>
    <w:rsid w:val="0059630D"/>
    <w:rsid w:val="00596311"/>
    <w:rsid w:val="00596893"/>
    <w:rsid w:val="005970F9"/>
    <w:rsid w:val="005974CD"/>
    <w:rsid w:val="005A00A1"/>
    <w:rsid w:val="005A0E0F"/>
    <w:rsid w:val="005A2566"/>
    <w:rsid w:val="005A2819"/>
    <w:rsid w:val="005A2ADD"/>
    <w:rsid w:val="005A3234"/>
    <w:rsid w:val="005A3A30"/>
    <w:rsid w:val="005A3BE1"/>
    <w:rsid w:val="005A69E4"/>
    <w:rsid w:val="005A6E4D"/>
    <w:rsid w:val="005A7C2F"/>
    <w:rsid w:val="005B0B5E"/>
    <w:rsid w:val="005B176D"/>
    <w:rsid w:val="005B1A6C"/>
    <w:rsid w:val="005B2536"/>
    <w:rsid w:val="005B25AF"/>
    <w:rsid w:val="005B29B5"/>
    <w:rsid w:val="005B49E2"/>
    <w:rsid w:val="005B4BF3"/>
    <w:rsid w:val="005B6E0E"/>
    <w:rsid w:val="005B7940"/>
    <w:rsid w:val="005B7998"/>
    <w:rsid w:val="005B7FDD"/>
    <w:rsid w:val="005C0346"/>
    <w:rsid w:val="005C16A0"/>
    <w:rsid w:val="005C1925"/>
    <w:rsid w:val="005C25D5"/>
    <w:rsid w:val="005C2EC6"/>
    <w:rsid w:val="005C4AC7"/>
    <w:rsid w:val="005C54D5"/>
    <w:rsid w:val="005C5F81"/>
    <w:rsid w:val="005C6197"/>
    <w:rsid w:val="005C6E53"/>
    <w:rsid w:val="005C6ECC"/>
    <w:rsid w:val="005C7AB1"/>
    <w:rsid w:val="005D032E"/>
    <w:rsid w:val="005D0331"/>
    <w:rsid w:val="005D0C51"/>
    <w:rsid w:val="005D160B"/>
    <w:rsid w:val="005D1DF1"/>
    <w:rsid w:val="005D1FC6"/>
    <w:rsid w:val="005D2252"/>
    <w:rsid w:val="005D28CB"/>
    <w:rsid w:val="005D2E8C"/>
    <w:rsid w:val="005D35DE"/>
    <w:rsid w:val="005D399A"/>
    <w:rsid w:val="005D3EA4"/>
    <w:rsid w:val="005D565B"/>
    <w:rsid w:val="005D5AF6"/>
    <w:rsid w:val="005D6424"/>
    <w:rsid w:val="005E08F2"/>
    <w:rsid w:val="005E146A"/>
    <w:rsid w:val="005E2106"/>
    <w:rsid w:val="005E2460"/>
    <w:rsid w:val="005E26BB"/>
    <w:rsid w:val="005E3034"/>
    <w:rsid w:val="005E3B2E"/>
    <w:rsid w:val="005E3C65"/>
    <w:rsid w:val="005E3E42"/>
    <w:rsid w:val="005E446F"/>
    <w:rsid w:val="005E4E74"/>
    <w:rsid w:val="005E58A5"/>
    <w:rsid w:val="005E58DF"/>
    <w:rsid w:val="005E6536"/>
    <w:rsid w:val="005E654F"/>
    <w:rsid w:val="005E70C2"/>
    <w:rsid w:val="005F018B"/>
    <w:rsid w:val="005F07CE"/>
    <w:rsid w:val="005F11E9"/>
    <w:rsid w:val="005F12DB"/>
    <w:rsid w:val="005F1607"/>
    <w:rsid w:val="005F16AA"/>
    <w:rsid w:val="005F3076"/>
    <w:rsid w:val="005F32B9"/>
    <w:rsid w:val="005F40A8"/>
    <w:rsid w:val="005F5E9F"/>
    <w:rsid w:val="005F7794"/>
    <w:rsid w:val="005F7D12"/>
    <w:rsid w:val="006028C4"/>
    <w:rsid w:val="00603F80"/>
    <w:rsid w:val="006050E2"/>
    <w:rsid w:val="0060612D"/>
    <w:rsid w:val="00606BE8"/>
    <w:rsid w:val="00606D96"/>
    <w:rsid w:val="00606DFC"/>
    <w:rsid w:val="00606ED7"/>
    <w:rsid w:val="00606FC1"/>
    <w:rsid w:val="00607B15"/>
    <w:rsid w:val="00610A2D"/>
    <w:rsid w:val="00610A70"/>
    <w:rsid w:val="0061195C"/>
    <w:rsid w:val="0061276C"/>
    <w:rsid w:val="00613D97"/>
    <w:rsid w:val="00613FE5"/>
    <w:rsid w:val="00616935"/>
    <w:rsid w:val="006170EB"/>
    <w:rsid w:val="00617CBF"/>
    <w:rsid w:val="00620701"/>
    <w:rsid w:val="00620DC8"/>
    <w:rsid w:val="00621F91"/>
    <w:rsid w:val="00622655"/>
    <w:rsid w:val="00623B12"/>
    <w:rsid w:val="00623CE4"/>
    <w:rsid w:val="00623EBB"/>
    <w:rsid w:val="006245CA"/>
    <w:rsid w:val="00624DFB"/>
    <w:rsid w:val="00626A34"/>
    <w:rsid w:val="00627214"/>
    <w:rsid w:val="00627925"/>
    <w:rsid w:val="0063011C"/>
    <w:rsid w:val="006304C7"/>
    <w:rsid w:val="00632311"/>
    <w:rsid w:val="00632677"/>
    <w:rsid w:val="00633B33"/>
    <w:rsid w:val="006340DF"/>
    <w:rsid w:val="006342AC"/>
    <w:rsid w:val="006344C3"/>
    <w:rsid w:val="00635335"/>
    <w:rsid w:val="006357F1"/>
    <w:rsid w:val="00635BBF"/>
    <w:rsid w:val="00635CCF"/>
    <w:rsid w:val="00635F94"/>
    <w:rsid w:val="006369BF"/>
    <w:rsid w:val="00640F80"/>
    <w:rsid w:val="006415CB"/>
    <w:rsid w:val="00641D31"/>
    <w:rsid w:val="0064358E"/>
    <w:rsid w:val="006446F3"/>
    <w:rsid w:val="00644FDD"/>
    <w:rsid w:val="0064516F"/>
    <w:rsid w:val="00646809"/>
    <w:rsid w:val="006472CB"/>
    <w:rsid w:val="006476D4"/>
    <w:rsid w:val="00650CCD"/>
    <w:rsid w:val="00652397"/>
    <w:rsid w:val="00652A42"/>
    <w:rsid w:val="00652FAE"/>
    <w:rsid w:val="00655490"/>
    <w:rsid w:val="006559A6"/>
    <w:rsid w:val="00655E94"/>
    <w:rsid w:val="00657E4D"/>
    <w:rsid w:val="00660A78"/>
    <w:rsid w:val="00660DAC"/>
    <w:rsid w:val="00662F50"/>
    <w:rsid w:val="00663B5E"/>
    <w:rsid w:val="00663FE2"/>
    <w:rsid w:val="00664768"/>
    <w:rsid w:val="006650EF"/>
    <w:rsid w:val="0066525F"/>
    <w:rsid w:val="006656F3"/>
    <w:rsid w:val="006657FB"/>
    <w:rsid w:val="00665BD6"/>
    <w:rsid w:val="006673A9"/>
    <w:rsid w:val="00670320"/>
    <w:rsid w:val="006715B3"/>
    <w:rsid w:val="0067238C"/>
    <w:rsid w:val="006736F5"/>
    <w:rsid w:val="00673894"/>
    <w:rsid w:val="006742E0"/>
    <w:rsid w:val="00674C02"/>
    <w:rsid w:val="006752A8"/>
    <w:rsid w:val="006766EF"/>
    <w:rsid w:val="00676D42"/>
    <w:rsid w:val="006774CE"/>
    <w:rsid w:val="00677865"/>
    <w:rsid w:val="00677E22"/>
    <w:rsid w:val="00680532"/>
    <w:rsid w:val="00680F21"/>
    <w:rsid w:val="006818CB"/>
    <w:rsid w:val="006819C0"/>
    <w:rsid w:val="0068249B"/>
    <w:rsid w:val="006841D8"/>
    <w:rsid w:val="006841F4"/>
    <w:rsid w:val="0068473A"/>
    <w:rsid w:val="00684846"/>
    <w:rsid w:val="00684893"/>
    <w:rsid w:val="006848AB"/>
    <w:rsid w:val="00684FAE"/>
    <w:rsid w:val="00685194"/>
    <w:rsid w:val="0068586F"/>
    <w:rsid w:val="00685CD1"/>
    <w:rsid w:val="00687829"/>
    <w:rsid w:val="00687B54"/>
    <w:rsid w:val="00690B70"/>
    <w:rsid w:val="00690E62"/>
    <w:rsid w:val="006919D0"/>
    <w:rsid w:val="00691D03"/>
    <w:rsid w:val="00692726"/>
    <w:rsid w:val="00692BD3"/>
    <w:rsid w:val="00692E57"/>
    <w:rsid w:val="00694E81"/>
    <w:rsid w:val="00694ED0"/>
    <w:rsid w:val="00695761"/>
    <w:rsid w:val="00695B02"/>
    <w:rsid w:val="00695DCF"/>
    <w:rsid w:val="00696845"/>
    <w:rsid w:val="00696937"/>
    <w:rsid w:val="0069728F"/>
    <w:rsid w:val="00697735"/>
    <w:rsid w:val="006A011A"/>
    <w:rsid w:val="006A0244"/>
    <w:rsid w:val="006A0E58"/>
    <w:rsid w:val="006A112C"/>
    <w:rsid w:val="006A136F"/>
    <w:rsid w:val="006A1DCA"/>
    <w:rsid w:val="006A21BB"/>
    <w:rsid w:val="006A2923"/>
    <w:rsid w:val="006A3160"/>
    <w:rsid w:val="006A36F2"/>
    <w:rsid w:val="006A3CC0"/>
    <w:rsid w:val="006A4BE4"/>
    <w:rsid w:val="006A4C35"/>
    <w:rsid w:val="006A55D6"/>
    <w:rsid w:val="006A58A3"/>
    <w:rsid w:val="006A5FB1"/>
    <w:rsid w:val="006A64D4"/>
    <w:rsid w:val="006A699F"/>
    <w:rsid w:val="006A70C0"/>
    <w:rsid w:val="006A745B"/>
    <w:rsid w:val="006A773D"/>
    <w:rsid w:val="006B02C1"/>
    <w:rsid w:val="006B0F21"/>
    <w:rsid w:val="006B1B51"/>
    <w:rsid w:val="006B2526"/>
    <w:rsid w:val="006B2636"/>
    <w:rsid w:val="006B2B5A"/>
    <w:rsid w:val="006B2FDC"/>
    <w:rsid w:val="006B3841"/>
    <w:rsid w:val="006B38CA"/>
    <w:rsid w:val="006B4002"/>
    <w:rsid w:val="006B4926"/>
    <w:rsid w:val="006B4937"/>
    <w:rsid w:val="006B495F"/>
    <w:rsid w:val="006B51D0"/>
    <w:rsid w:val="006B6130"/>
    <w:rsid w:val="006C1783"/>
    <w:rsid w:val="006C1D4A"/>
    <w:rsid w:val="006C1EC2"/>
    <w:rsid w:val="006C1EE6"/>
    <w:rsid w:val="006C21B8"/>
    <w:rsid w:val="006C2A0E"/>
    <w:rsid w:val="006C2FAD"/>
    <w:rsid w:val="006C49CC"/>
    <w:rsid w:val="006C5E97"/>
    <w:rsid w:val="006C6200"/>
    <w:rsid w:val="006C6509"/>
    <w:rsid w:val="006C69AC"/>
    <w:rsid w:val="006C7025"/>
    <w:rsid w:val="006C72C4"/>
    <w:rsid w:val="006D0491"/>
    <w:rsid w:val="006D0650"/>
    <w:rsid w:val="006D1BE3"/>
    <w:rsid w:val="006D22E1"/>
    <w:rsid w:val="006D241A"/>
    <w:rsid w:val="006D2484"/>
    <w:rsid w:val="006D6E4B"/>
    <w:rsid w:val="006D709A"/>
    <w:rsid w:val="006D70E7"/>
    <w:rsid w:val="006D7FC4"/>
    <w:rsid w:val="006E02AD"/>
    <w:rsid w:val="006E034E"/>
    <w:rsid w:val="006E1A47"/>
    <w:rsid w:val="006E2235"/>
    <w:rsid w:val="006E2523"/>
    <w:rsid w:val="006E28A8"/>
    <w:rsid w:val="006E2D66"/>
    <w:rsid w:val="006E32DA"/>
    <w:rsid w:val="006E336C"/>
    <w:rsid w:val="006E35E8"/>
    <w:rsid w:val="006E37A0"/>
    <w:rsid w:val="006E3E02"/>
    <w:rsid w:val="006E3FB3"/>
    <w:rsid w:val="006E5264"/>
    <w:rsid w:val="006E6831"/>
    <w:rsid w:val="006E77DD"/>
    <w:rsid w:val="006F057B"/>
    <w:rsid w:val="006F0B66"/>
    <w:rsid w:val="006F1866"/>
    <w:rsid w:val="006F27D7"/>
    <w:rsid w:val="006F2D7B"/>
    <w:rsid w:val="006F5C81"/>
    <w:rsid w:val="006F61FC"/>
    <w:rsid w:val="006F62BF"/>
    <w:rsid w:val="006F643D"/>
    <w:rsid w:val="006F70BE"/>
    <w:rsid w:val="006F771E"/>
    <w:rsid w:val="0070033E"/>
    <w:rsid w:val="007006DB"/>
    <w:rsid w:val="007019D8"/>
    <w:rsid w:val="007038A2"/>
    <w:rsid w:val="007041BA"/>
    <w:rsid w:val="00705BA8"/>
    <w:rsid w:val="00706579"/>
    <w:rsid w:val="0070673A"/>
    <w:rsid w:val="00706D9E"/>
    <w:rsid w:val="0070717F"/>
    <w:rsid w:val="0070722F"/>
    <w:rsid w:val="007077A7"/>
    <w:rsid w:val="007103FF"/>
    <w:rsid w:val="00710980"/>
    <w:rsid w:val="007115C7"/>
    <w:rsid w:val="0071186F"/>
    <w:rsid w:val="00711938"/>
    <w:rsid w:val="00711A95"/>
    <w:rsid w:val="00711E1A"/>
    <w:rsid w:val="007130D2"/>
    <w:rsid w:val="00713992"/>
    <w:rsid w:val="00713A51"/>
    <w:rsid w:val="00713FDF"/>
    <w:rsid w:val="007141F6"/>
    <w:rsid w:val="00714CDA"/>
    <w:rsid w:val="00715350"/>
    <w:rsid w:val="00715364"/>
    <w:rsid w:val="00716133"/>
    <w:rsid w:val="00716535"/>
    <w:rsid w:val="007167DF"/>
    <w:rsid w:val="00716B1D"/>
    <w:rsid w:val="00716C29"/>
    <w:rsid w:val="00717506"/>
    <w:rsid w:val="00717D4B"/>
    <w:rsid w:val="007215FA"/>
    <w:rsid w:val="00721C39"/>
    <w:rsid w:val="00722C67"/>
    <w:rsid w:val="00723595"/>
    <w:rsid w:val="00724332"/>
    <w:rsid w:val="007261FA"/>
    <w:rsid w:val="00726620"/>
    <w:rsid w:val="0072675F"/>
    <w:rsid w:val="00726AB8"/>
    <w:rsid w:val="00726D14"/>
    <w:rsid w:val="00727CE0"/>
    <w:rsid w:val="00730020"/>
    <w:rsid w:val="00730A5F"/>
    <w:rsid w:val="00731184"/>
    <w:rsid w:val="0073296A"/>
    <w:rsid w:val="007330D6"/>
    <w:rsid w:val="00733F9A"/>
    <w:rsid w:val="00734043"/>
    <w:rsid w:val="00734794"/>
    <w:rsid w:val="00734EFF"/>
    <w:rsid w:val="00735084"/>
    <w:rsid w:val="00735194"/>
    <w:rsid w:val="0073539F"/>
    <w:rsid w:val="00737873"/>
    <w:rsid w:val="0074002B"/>
    <w:rsid w:val="007414C5"/>
    <w:rsid w:val="00741AF4"/>
    <w:rsid w:val="00742423"/>
    <w:rsid w:val="007429AF"/>
    <w:rsid w:val="007430E3"/>
    <w:rsid w:val="00743679"/>
    <w:rsid w:val="00743D07"/>
    <w:rsid w:val="00743DD2"/>
    <w:rsid w:val="00744AAF"/>
    <w:rsid w:val="007450FB"/>
    <w:rsid w:val="0074577D"/>
    <w:rsid w:val="007461ED"/>
    <w:rsid w:val="00746A19"/>
    <w:rsid w:val="00746FC9"/>
    <w:rsid w:val="00747F87"/>
    <w:rsid w:val="00750082"/>
    <w:rsid w:val="0075024A"/>
    <w:rsid w:val="00750782"/>
    <w:rsid w:val="00750CC4"/>
    <w:rsid w:val="00750DBB"/>
    <w:rsid w:val="00751797"/>
    <w:rsid w:val="00751C1F"/>
    <w:rsid w:val="00751EF4"/>
    <w:rsid w:val="007522A3"/>
    <w:rsid w:val="0075490D"/>
    <w:rsid w:val="00755627"/>
    <w:rsid w:val="00755D90"/>
    <w:rsid w:val="007560B3"/>
    <w:rsid w:val="00757056"/>
    <w:rsid w:val="00757DAE"/>
    <w:rsid w:val="00760610"/>
    <w:rsid w:val="00760EDA"/>
    <w:rsid w:val="0076196F"/>
    <w:rsid w:val="007625E6"/>
    <w:rsid w:val="007628A0"/>
    <w:rsid w:val="00762F57"/>
    <w:rsid w:val="0076395D"/>
    <w:rsid w:val="00763EF5"/>
    <w:rsid w:val="007641CF"/>
    <w:rsid w:val="00764BCC"/>
    <w:rsid w:val="007655DE"/>
    <w:rsid w:val="00766DE8"/>
    <w:rsid w:val="00767D53"/>
    <w:rsid w:val="00770178"/>
    <w:rsid w:val="00770598"/>
    <w:rsid w:val="00771844"/>
    <w:rsid w:val="00771DD4"/>
    <w:rsid w:val="00771FB0"/>
    <w:rsid w:val="00772BFB"/>
    <w:rsid w:val="0077432E"/>
    <w:rsid w:val="007743C0"/>
    <w:rsid w:val="0077484B"/>
    <w:rsid w:val="00775B7B"/>
    <w:rsid w:val="00776738"/>
    <w:rsid w:val="00777852"/>
    <w:rsid w:val="00777C3A"/>
    <w:rsid w:val="007823D9"/>
    <w:rsid w:val="00782480"/>
    <w:rsid w:val="007839DD"/>
    <w:rsid w:val="007840E3"/>
    <w:rsid w:val="007844EB"/>
    <w:rsid w:val="00786363"/>
    <w:rsid w:val="00786EEC"/>
    <w:rsid w:val="0079053E"/>
    <w:rsid w:val="007905D9"/>
    <w:rsid w:val="00790D0D"/>
    <w:rsid w:val="00790E5F"/>
    <w:rsid w:val="00791B14"/>
    <w:rsid w:val="00791FFB"/>
    <w:rsid w:val="00792BBE"/>
    <w:rsid w:val="00792CC0"/>
    <w:rsid w:val="007930CE"/>
    <w:rsid w:val="00793E5A"/>
    <w:rsid w:val="00794483"/>
    <w:rsid w:val="00794E6F"/>
    <w:rsid w:val="00795937"/>
    <w:rsid w:val="00795B27"/>
    <w:rsid w:val="00795C7A"/>
    <w:rsid w:val="007961D1"/>
    <w:rsid w:val="00796ABF"/>
    <w:rsid w:val="0079730A"/>
    <w:rsid w:val="007973F2"/>
    <w:rsid w:val="00797CF4"/>
    <w:rsid w:val="007A11FB"/>
    <w:rsid w:val="007A1B38"/>
    <w:rsid w:val="007A4F13"/>
    <w:rsid w:val="007A6BD1"/>
    <w:rsid w:val="007A6CEF"/>
    <w:rsid w:val="007A6EC6"/>
    <w:rsid w:val="007A79C9"/>
    <w:rsid w:val="007A7D2A"/>
    <w:rsid w:val="007A7F49"/>
    <w:rsid w:val="007B0434"/>
    <w:rsid w:val="007B0FF0"/>
    <w:rsid w:val="007B2D1E"/>
    <w:rsid w:val="007B2E94"/>
    <w:rsid w:val="007B3269"/>
    <w:rsid w:val="007B4628"/>
    <w:rsid w:val="007B4D7F"/>
    <w:rsid w:val="007B5399"/>
    <w:rsid w:val="007B5EA1"/>
    <w:rsid w:val="007B6743"/>
    <w:rsid w:val="007B692F"/>
    <w:rsid w:val="007B713A"/>
    <w:rsid w:val="007B793C"/>
    <w:rsid w:val="007B7CDD"/>
    <w:rsid w:val="007B7E8B"/>
    <w:rsid w:val="007C0109"/>
    <w:rsid w:val="007C0BC8"/>
    <w:rsid w:val="007C14CE"/>
    <w:rsid w:val="007C1C41"/>
    <w:rsid w:val="007C30DF"/>
    <w:rsid w:val="007C358F"/>
    <w:rsid w:val="007C38BF"/>
    <w:rsid w:val="007C3A72"/>
    <w:rsid w:val="007C3AA1"/>
    <w:rsid w:val="007C519D"/>
    <w:rsid w:val="007C5B87"/>
    <w:rsid w:val="007C5C05"/>
    <w:rsid w:val="007C649B"/>
    <w:rsid w:val="007C6AF0"/>
    <w:rsid w:val="007C6DBE"/>
    <w:rsid w:val="007D04AC"/>
    <w:rsid w:val="007D0564"/>
    <w:rsid w:val="007D0619"/>
    <w:rsid w:val="007D090A"/>
    <w:rsid w:val="007D0A73"/>
    <w:rsid w:val="007D0D57"/>
    <w:rsid w:val="007D0E93"/>
    <w:rsid w:val="007D1702"/>
    <w:rsid w:val="007D1C0E"/>
    <w:rsid w:val="007D1C4E"/>
    <w:rsid w:val="007D35EF"/>
    <w:rsid w:val="007D44AB"/>
    <w:rsid w:val="007D4FA5"/>
    <w:rsid w:val="007D6293"/>
    <w:rsid w:val="007D65B4"/>
    <w:rsid w:val="007E0B9A"/>
    <w:rsid w:val="007E182C"/>
    <w:rsid w:val="007E3953"/>
    <w:rsid w:val="007E5215"/>
    <w:rsid w:val="007E5EA3"/>
    <w:rsid w:val="007E714D"/>
    <w:rsid w:val="007E78AB"/>
    <w:rsid w:val="007E797C"/>
    <w:rsid w:val="007F055A"/>
    <w:rsid w:val="007F0DCC"/>
    <w:rsid w:val="007F1118"/>
    <w:rsid w:val="007F1B0D"/>
    <w:rsid w:val="007F2123"/>
    <w:rsid w:val="007F24FE"/>
    <w:rsid w:val="007F2DAB"/>
    <w:rsid w:val="007F32C3"/>
    <w:rsid w:val="007F3813"/>
    <w:rsid w:val="007F456F"/>
    <w:rsid w:val="007F4D8D"/>
    <w:rsid w:val="007F5257"/>
    <w:rsid w:val="007F6AAF"/>
    <w:rsid w:val="007F7C45"/>
    <w:rsid w:val="0080304A"/>
    <w:rsid w:val="008032CF"/>
    <w:rsid w:val="008036E2"/>
    <w:rsid w:val="00804FBB"/>
    <w:rsid w:val="00805111"/>
    <w:rsid w:val="00805857"/>
    <w:rsid w:val="00805A20"/>
    <w:rsid w:val="008068A9"/>
    <w:rsid w:val="008073A9"/>
    <w:rsid w:val="00807B4A"/>
    <w:rsid w:val="00807BE9"/>
    <w:rsid w:val="00807D20"/>
    <w:rsid w:val="00810280"/>
    <w:rsid w:val="0081036E"/>
    <w:rsid w:val="008109E4"/>
    <w:rsid w:val="00810E62"/>
    <w:rsid w:val="0081232E"/>
    <w:rsid w:val="00812F72"/>
    <w:rsid w:val="00813172"/>
    <w:rsid w:val="00813E8A"/>
    <w:rsid w:val="00816C60"/>
    <w:rsid w:val="00817C69"/>
    <w:rsid w:val="00822702"/>
    <w:rsid w:val="008234D8"/>
    <w:rsid w:val="0082383C"/>
    <w:rsid w:val="00824D72"/>
    <w:rsid w:val="0082744D"/>
    <w:rsid w:val="00827BD0"/>
    <w:rsid w:val="00830810"/>
    <w:rsid w:val="00830E46"/>
    <w:rsid w:val="00831860"/>
    <w:rsid w:val="0083188B"/>
    <w:rsid w:val="00831B3B"/>
    <w:rsid w:val="00831EAF"/>
    <w:rsid w:val="00831FAE"/>
    <w:rsid w:val="0083203A"/>
    <w:rsid w:val="00832B42"/>
    <w:rsid w:val="00834B39"/>
    <w:rsid w:val="0083547C"/>
    <w:rsid w:val="0083579F"/>
    <w:rsid w:val="00835843"/>
    <w:rsid w:val="0083596F"/>
    <w:rsid w:val="00835DA2"/>
    <w:rsid w:val="008371DC"/>
    <w:rsid w:val="00837427"/>
    <w:rsid w:val="008401A8"/>
    <w:rsid w:val="0084022E"/>
    <w:rsid w:val="0084080C"/>
    <w:rsid w:val="008411BC"/>
    <w:rsid w:val="00841521"/>
    <w:rsid w:val="00842371"/>
    <w:rsid w:val="008426A6"/>
    <w:rsid w:val="008426CF"/>
    <w:rsid w:val="008433EE"/>
    <w:rsid w:val="00844394"/>
    <w:rsid w:val="00845250"/>
    <w:rsid w:val="008458DE"/>
    <w:rsid w:val="00846702"/>
    <w:rsid w:val="0084696A"/>
    <w:rsid w:val="008471B8"/>
    <w:rsid w:val="0084748B"/>
    <w:rsid w:val="0085029E"/>
    <w:rsid w:val="00850FEE"/>
    <w:rsid w:val="0085286B"/>
    <w:rsid w:val="008532E1"/>
    <w:rsid w:val="00853630"/>
    <w:rsid w:val="00853955"/>
    <w:rsid w:val="00854109"/>
    <w:rsid w:val="00854A33"/>
    <w:rsid w:val="00854E22"/>
    <w:rsid w:val="008556C0"/>
    <w:rsid w:val="008558EB"/>
    <w:rsid w:val="00855F44"/>
    <w:rsid w:val="00856778"/>
    <w:rsid w:val="00857029"/>
    <w:rsid w:val="00857D9D"/>
    <w:rsid w:val="008603AA"/>
    <w:rsid w:val="00861774"/>
    <w:rsid w:val="008624F9"/>
    <w:rsid w:val="0086272C"/>
    <w:rsid w:val="00862AAF"/>
    <w:rsid w:val="008635CD"/>
    <w:rsid w:val="00865063"/>
    <w:rsid w:val="00865C07"/>
    <w:rsid w:val="008676C8"/>
    <w:rsid w:val="008679A5"/>
    <w:rsid w:val="00867BD6"/>
    <w:rsid w:val="00870239"/>
    <w:rsid w:val="0087094B"/>
    <w:rsid w:val="00870C81"/>
    <w:rsid w:val="00871054"/>
    <w:rsid w:val="008729A7"/>
    <w:rsid w:val="00873169"/>
    <w:rsid w:val="00873569"/>
    <w:rsid w:val="008737B1"/>
    <w:rsid w:val="00873DF2"/>
    <w:rsid w:val="00875144"/>
    <w:rsid w:val="00875C24"/>
    <w:rsid w:val="00876814"/>
    <w:rsid w:val="00876B12"/>
    <w:rsid w:val="00877237"/>
    <w:rsid w:val="008775F4"/>
    <w:rsid w:val="00877E93"/>
    <w:rsid w:val="0088117E"/>
    <w:rsid w:val="00881E03"/>
    <w:rsid w:val="00882D32"/>
    <w:rsid w:val="0088304B"/>
    <w:rsid w:val="0088409F"/>
    <w:rsid w:val="00884468"/>
    <w:rsid w:val="0088486A"/>
    <w:rsid w:val="00884E4A"/>
    <w:rsid w:val="0088594C"/>
    <w:rsid w:val="00885C40"/>
    <w:rsid w:val="00885FF1"/>
    <w:rsid w:val="00886058"/>
    <w:rsid w:val="00887535"/>
    <w:rsid w:val="00887C7E"/>
    <w:rsid w:val="008901BA"/>
    <w:rsid w:val="00890FB4"/>
    <w:rsid w:val="00891425"/>
    <w:rsid w:val="00891766"/>
    <w:rsid w:val="008922C6"/>
    <w:rsid w:val="00893F62"/>
    <w:rsid w:val="008951AE"/>
    <w:rsid w:val="008951E1"/>
    <w:rsid w:val="00895447"/>
    <w:rsid w:val="0089579C"/>
    <w:rsid w:val="00895C57"/>
    <w:rsid w:val="00895CCF"/>
    <w:rsid w:val="008970DE"/>
    <w:rsid w:val="008975E0"/>
    <w:rsid w:val="008A00F2"/>
    <w:rsid w:val="008A0B4C"/>
    <w:rsid w:val="008A0C5A"/>
    <w:rsid w:val="008A16CC"/>
    <w:rsid w:val="008A1AF9"/>
    <w:rsid w:val="008A238F"/>
    <w:rsid w:val="008A25F5"/>
    <w:rsid w:val="008A2638"/>
    <w:rsid w:val="008A3C08"/>
    <w:rsid w:val="008A3D59"/>
    <w:rsid w:val="008A40E6"/>
    <w:rsid w:val="008A46E9"/>
    <w:rsid w:val="008A4CCC"/>
    <w:rsid w:val="008A4F4E"/>
    <w:rsid w:val="008A5295"/>
    <w:rsid w:val="008A630A"/>
    <w:rsid w:val="008A6A78"/>
    <w:rsid w:val="008A6C5C"/>
    <w:rsid w:val="008A70D3"/>
    <w:rsid w:val="008A737F"/>
    <w:rsid w:val="008A7F38"/>
    <w:rsid w:val="008B0EF8"/>
    <w:rsid w:val="008B1125"/>
    <w:rsid w:val="008B1250"/>
    <w:rsid w:val="008B1EA5"/>
    <w:rsid w:val="008B25B5"/>
    <w:rsid w:val="008B324F"/>
    <w:rsid w:val="008B35D3"/>
    <w:rsid w:val="008B363E"/>
    <w:rsid w:val="008B3F6B"/>
    <w:rsid w:val="008B4032"/>
    <w:rsid w:val="008B40AA"/>
    <w:rsid w:val="008B53D8"/>
    <w:rsid w:val="008B53FB"/>
    <w:rsid w:val="008B542D"/>
    <w:rsid w:val="008B5C64"/>
    <w:rsid w:val="008B61D6"/>
    <w:rsid w:val="008B6397"/>
    <w:rsid w:val="008B6F9F"/>
    <w:rsid w:val="008B7110"/>
    <w:rsid w:val="008B7881"/>
    <w:rsid w:val="008B7E49"/>
    <w:rsid w:val="008C08CB"/>
    <w:rsid w:val="008C0F2E"/>
    <w:rsid w:val="008C1B15"/>
    <w:rsid w:val="008C268D"/>
    <w:rsid w:val="008C2B82"/>
    <w:rsid w:val="008C2D4F"/>
    <w:rsid w:val="008C316A"/>
    <w:rsid w:val="008C52D3"/>
    <w:rsid w:val="008C575A"/>
    <w:rsid w:val="008C5A09"/>
    <w:rsid w:val="008C5A39"/>
    <w:rsid w:val="008C5F44"/>
    <w:rsid w:val="008C6722"/>
    <w:rsid w:val="008C6ADB"/>
    <w:rsid w:val="008C7365"/>
    <w:rsid w:val="008C7B0F"/>
    <w:rsid w:val="008D18AD"/>
    <w:rsid w:val="008D1F70"/>
    <w:rsid w:val="008D3914"/>
    <w:rsid w:val="008D4477"/>
    <w:rsid w:val="008D4925"/>
    <w:rsid w:val="008D4B93"/>
    <w:rsid w:val="008D4EBC"/>
    <w:rsid w:val="008D4EEE"/>
    <w:rsid w:val="008D562C"/>
    <w:rsid w:val="008D6E42"/>
    <w:rsid w:val="008D7251"/>
    <w:rsid w:val="008D7762"/>
    <w:rsid w:val="008D7BC4"/>
    <w:rsid w:val="008E0C2F"/>
    <w:rsid w:val="008E24A1"/>
    <w:rsid w:val="008E2612"/>
    <w:rsid w:val="008E36D9"/>
    <w:rsid w:val="008E3858"/>
    <w:rsid w:val="008E3883"/>
    <w:rsid w:val="008E64F8"/>
    <w:rsid w:val="008E66E8"/>
    <w:rsid w:val="008E7013"/>
    <w:rsid w:val="008E710D"/>
    <w:rsid w:val="008E731C"/>
    <w:rsid w:val="008E735D"/>
    <w:rsid w:val="008E75A3"/>
    <w:rsid w:val="008E7FB6"/>
    <w:rsid w:val="008F0566"/>
    <w:rsid w:val="008F1823"/>
    <w:rsid w:val="008F1E4B"/>
    <w:rsid w:val="008F27A8"/>
    <w:rsid w:val="008F2C41"/>
    <w:rsid w:val="008F2F6D"/>
    <w:rsid w:val="008F3976"/>
    <w:rsid w:val="008F46CE"/>
    <w:rsid w:val="008F4F1A"/>
    <w:rsid w:val="008F4FAC"/>
    <w:rsid w:val="008F5599"/>
    <w:rsid w:val="008F58BC"/>
    <w:rsid w:val="008F5BF8"/>
    <w:rsid w:val="008F6E81"/>
    <w:rsid w:val="008F7EE0"/>
    <w:rsid w:val="009001A9"/>
    <w:rsid w:val="00900ACE"/>
    <w:rsid w:val="00901CCB"/>
    <w:rsid w:val="00901DED"/>
    <w:rsid w:val="00901FC8"/>
    <w:rsid w:val="009025BF"/>
    <w:rsid w:val="00903479"/>
    <w:rsid w:val="00903C14"/>
    <w:rsid w:val="00904C82"/>
    <w:rsid w:val="00904E74"/>
    <w:rsid w:val="0090520F"/>
    <w:rsid w:val="0090527E"/>
    <w:rsid w:val="009056B8"/>
    <w:rsid w:val="0090634D"/>
    <w:rsid w:val="0090724C"/>
    <w:rsid w:val="0091050E"/>
    <w:rsid w:val="009108B3"/>
    <w:rsid w:val="009111B1"/>
    <w:rsid w:val="00911D6C"/>
    <w:rsid w:val="00913136"/>
    <w:rsid w:val="00914F3F"/>
    <w:rsid w:val="009153C4"/>
    <w:rsid w:val="00915F2F"/>
    <w:rsid w:val="0092051D"/>
    <w:rsid w:val="009207B2"/>
    <w:rsid w:val="00921E73"/>
    <w:rsid w:val="0092219C"/>
    <w:rsid w:val="009225A4"/>
    <w:rsid w:val="009227BD"/>
    <w:rsid w:val="009229F2"/>
    <w:rsid w:val="009231BC"/>
    <w:rsid w:val="009235C1"/>
    <w:rsid w:val="00923A80"/>
    <w:rsid w:val="00924CA6"/>
    <w:rsid w:val="009254FD"/>
    <w:rsid w:val="0092612C"/>
    <w:rsid w:val="00926AD5"/>
    <w:rsid w:val="009273B8"/>
    <w:rsid w:val="009278D4"/>
    <w:rsid w:val="00927EEB"/>
    <w:rsid w:val="009301DC"/>
    <w:rsid w:val="00930277"/>
    <w:rsid w:val="00930AB8"/>
    <w:rsid w:val="00930D3B"/>
    <w:rsid w:val="00931257"/>
    <w:rsid w:val="009312BB"/>
    <w:rsid w:val="009315A4"/>
    <w:rsid w:val="009318D4"/>
    <w:rsid w:val="00931F8A"/>
    <w:rsid w:val="0093269B"/>
    <w:rsid w:val="009328F3"/>
    <w:rsid w:val="00933433"/>
    <w:rsid w:val="009339DA"/>
    <w:rsid w:val="00933F1C"/>
    <w:rsid w:val="00934425"/>
    <w:rsid w:val="00934B94"/>
    <w:rsid w:val="00934BA9"/>
    <w:rsid w:val="00935358"/>
    <w:rsid w:val="00935C1D"/>
    <w:rsid w:val="009363A1"/>
    <w:rsid w:val="00936DC8"/>
    <w:rsid w:val="00936FB8"/>
    <w:rsid w:val="00937568"/>
    <w:rsid w:val="00940040"/>
    <w:rsid w:val="0094025F"/>
    <w:rsid w:val="00941610"/>
    <w:rsid w:val="009416DD"/>
    <w:rsid w:val="009419A4"/>
    <w:rsid w:val="009422F7"/>
    <w:rsid w:val="00943B19"/>
    <w:rsid w:val="00945AF6"/>
    <w:rsid w:val="009471D4"/>
    <w:rsid w:val="00947A04"/>
    <w:rsid w:val="00947BDB"/>
    <w:rsid w:val="00947D69"/>
    <w:rsid w:val="00950551"/>
    <w:rsid w:val="009514E8"/>
    <w:rsid w:val="009526F9"/>
    <w:rsid w:val="0095290F"/>
    <w:rsid w:val="00953D20"/>
    <w:rsid w:val="00953F6C"/>
    <w:rsid w:val="00954713"/>
    <w:rsid w:val="00954AF7"/>
    <w:rsid w:val="00955216"/>
    <w:rsid w:val="00956CF1"/>
    <w:rsid w:val="00956CFA"/>
    <w:rsid w:val="00960282"/>
    <w:rsid w:val="00960746"/>
    <w:rsid w:val="00960A66"/>
    <w:rsid w:val="00961CB3"/>
    <w:rsid w:val="00962770"/>
    <w:rsid w:val="00962D16"/>
    <w:rsid w:val="00962DA8"/>
    <w:rsid w:val="00963177"/>
    <w:rsid w:val="009631CB"/>
    <w:rsid w:val="00964C56"/>
    <w:rsid w:val="00966D88"/>
    <w:rsid w:val="009672F6"/>
    <w:rsid w:val="009679E5"/>
    <w:rsid w:val="00967C0A"/>
    <w:rsid w:val="009719FC"/>
    <w:rsid w:val="00971CD3"/>
    <w:rsid w:val="00972C26"/>
    <w:rsid w:val="00972D54"/>
    <w:rsid w:val="009747DF"/>
    <w:rsid w:val="00974A4D"/>
    <w:rsid w:val="00975188"/>
    <w:rsid w:val="00975419"/>
    <w:rsid w:val="009760EC"/>
    <w:rsid w:val="00976504"/>
    <w:rsid w:val="00976D38"/>
    <w:rsid w:val="009770F2"/>
    <w:rsid w:val="0097760A"/>
    <w:rsid w:val="00977916"/>
    <w:rsid w:val="00977D67"/>
    <w:rsid w:val="0098057D"/>
    <w:rsid w:val="00980AD5"/>
    <w:rsid w:val="00981F00"/>
    <w:rsid w:val="00982793"/>
    <w:rsid w:val="00982C1A"/>
    <w:rsid w:val="00982F75"/>
    <w:rsid w:val="0098376E"/>
    <w:rsid w:val="0098403B"/>
    <w:rsid w:val="00984F02"/>
    <w:rsid w:val="0098524A"/>
    <w:rsid w:val="00985C82"/>
    <w:rsid w:val="00985DA3"/>
    <w:rsid w:val="00986DF4"/>
    <w:rsid w:val="00987255"/>
    <w:rsid w:val="00991BCC"/>
    <w:rsid w:val="00992B0A"/>
    <w:rsid w:val="009938FE"/>
    <w:rsid w:val="00993DBB"/>
    <w:rsid w:val="00994402"/>
    <w:rsid w:val="00994A0F"/>
    <w:rsid w:val="0099502A"/>
    <w:rsid w:val="00995B5E"/>
    <w:rsid w:val="00996F31"/>
    <w:rsid w:val="009A00A0"/>
    <w:rsid w:val="009A0CB3"/>
    <w:rsid w:val="009A1E53"/>
    <w:rsid w:val="009A2E69"/>
    <w:rsid w:val="009A3B2E"/>
    <w:rsid w:val="009A43FF"/>
    <w:rsid w:val="009A490A"/>
    <w:rsid w:val="009A568A"/>
    <w:rsid w:val="009A58CC"/>
    <w:rsid w:val="009A5A29"/>
    <w:rsid w:val="009A5C1D"/>
    <w:rsid w:val="009A62E1"/>
    <w:rsid w:val="009A646C"/>
    <w:rsid w:val="009A7A6E"/>
    <w:rsid w:val="009B0527"/>
    <w:rsid w:val="009B05E3"/>
    <w:rsid w:val="009B09DB"/>
    <w:rsid w:val="009B0D8E"/>
    <w:rsid w:val="009B162F"/>
    <w:rsid w:val="009B2498"/>
    <w:rsid w:val="009B3C44"/>
    <w:rsid w:val="009B3D70"/>
    <w:rsid w:val="009B3E02"/>
    <w:rsid w:val="009B4E51"/>
    <w:rsid w:val="009B4ED6"/>
    <w:rsid w:val="009B5164"/>
    <w:rsid w:val="009B6048"/>
    <w:rsid w:val="009B69BD"/>
    <w:rsid w:val="009B6C17"/>
    <w:rsid w:val="009B77D4"/>
    <w:rsid w:val="009C0543"/>
    <w:rsid w:val="009C097B"/>
    <w:rsid w:val="009C2D7F"/>
    <w:rsid w:val="009C372F"/>
    <w:rsid w:val="009C3BE3"/>
    <w:rsid w:val="009C447B"/>
    <w:rsid w:val="009C4724"/>
    <w:rsid w:val="009C475F"/>
    <w:rsid w:val="009C60B9"/>
    <w:rsid w:val="009C65E6"/>
    <w:rsid w:val="009C7186"/>
    <w:rsid w:val="009D049F"/>
    <w:rsid w:val="009D1354"/>
    <w:rsid w:val="009D18AB"/>
    <w:rsid w:val="009D20EA"/>
    <w:rsid w:val="009D213A"/>
    <w:rsid w:val="009D36A7"/>
    <w:rsid w:val="009D3AAD"/>
    <w:rsid w:val="009D42CA"/>
    <w:rsid w:val="009D4F5A"/>
    <w:rsid w:val="009D55F1"/>
    <w:rsid w:val="009D7202"/>
    <w:rsid w:val="009D7397"/>
    <w:rsid w:val="009D7ECA"/>
    <w:rsid w:val="009E0436"/>
    <w:rsid w:val="009E0A2E"/>
    <w:rsid w:val="009E0C12"/>
    <w:rsid w:val="009E1758"/>
    <w:rsid w:val="009E19C8"/>
    <w:rsid w:val="009E1AC2"/>
    <w:rsid w:val="009E1FFB"/>
    <w:rsid w:val="009E25C9"/>
    <w:rsid w:val="009E2793"/>
    <w:rsid w:val="009E3B43"/>
    <w:rsid w:val="009E4832"/>
    <w:rsid w:val="009E4D00"/>
    <w:rsid w:val="009E5218"/>
    <w:rsid w:val="009E52CA"/>
    <w:rsid w:val="009E54C5"/>
    <w:rsid w:val="009E55B3"/>
    <w:rsid w:val="009E5A0D"/>
    <w:rsid w:val="009E6D70"/>
    <w:rsid w:val="009E70A9"/>
    <w:rsid w:val="009F0715"/>
    <w:rsid w:val="009F16D4"/>
    <w:rsid w:val="009F1CBC"/>
    <w:rsid w:val="009F1FC2"/>
    <w:rsid w:val="009F25E2"/>
    <w:rsid w:val="009F2BEA"/>
    <w:rsid w:val="009F2D50"/>
    <w:rsid w:val="009F30BD"/>
    <w:rsid w:val="009F3647"/>
    <w:rsid w:val="009F36D7"/>
    <w:rsid w:val="009F38AA"/>
    <w:rsid w:val="009F3E4A"/>
    <w:rsid w:val="009F532C"/>
    <w:rsid w:val="009F574D"/>
    <w:rsid w:val="009F5B9F"/>
    <w:rsid w:val="009F60F6"/>
    <w:rsid w:val="009F6109"/>
    <w:rsid w:val="009F63DB"/>
    <w:rsid w:val="009F7A49"/>
    <w:rsid w:val="00A006F3"/>
    <w:rsid w:val="00A0089B"/>
    <w:rsid w:val="00A01E30"/>
    <w:rsid w:val="00A02B3B"/>
    <w:rsid w:val="00A0475F"/>
    <w:rsid w:val="00A04DD0"/>
    <w:rsid w:val="00A05B67"/>
    <w:rsid w:val="00A0655E"/>
    <w:rsid w:val="00A06C83"/>
    <w:rsid w:val="00A07C5F"/>
    <w:rsid w:val="00A111E8"/>
    <w:rsid w:val="00A11BE0"/>
    <w:rsid w:val="00A11E6D"/>
    <w:rsid w:val="00A137E4"/>
    <w:rsid w:val="00A145DF"/>
    <w:rsid w:val="00A14944"/>
    <w:rsid w:val="00A14D49"/>
    <w:rsid w:val="00A14DBC"/>
    <w:rsid w:val="00A1550E"/>
    <w:rsid w:val="00A169D5"/>
    <w:rsid w:val="00A210B1"/>
    <w:rsid w:val="00A22386"/>
    <w:rsid w:val="00A22486"/>
    <w:rsid w:val="00A22822"/>
    <w:rsid w:val="00A2289D"/>
    <w:rsid w:val="00A23BBC"/>
    <w:rsid w:val="00A2469A"/>
    <w:rsid w:val="00A24B44"/>
    <w:rsid w:val="00A25342"/>
    <w:rsid w:val="00A25AE2"/>
    <w:rsid w:val="00A26023"/>
    <w:rsid w:val="00A2666A"/>
    <w:rsid w:val="00A26EDC"/>
    <w:rsid w:val="00A27265"/>
    <w:rsid w:val="00A27412"/>
    <w:rsid w:val="00A30FD5"/>
    <w:rsid w:val="00A31479"/>
    <w:rsid w:val="00A31D50"/>
    <w:rsid w:val="00A3213F"/>
    <w:rsid w:val="00A322DD"/>
    <w:rsid w:val="00A327F2"/>
    <w:rsid w:val="00A330B6"/>
    <w:rsid w:val="00A33A53"/>
    <w:rsid w:val="00A340E7"/>
    <w:rsid w:val="00A34A9D"/>
    <w:rsid w:val="00A35429"/>
    <w:rsid w:val="00A3584A"/>
    <w:rsid w:val="00A36255"/>
    <w:rsid w:val="00A3701E"/>
    <w:rsid w:val="00A41280"/>
    <w:rsid w:val="00A41B06"/>
    <w:rsid w:val="00A43C43"/>
    <w:rsid w:val="00A44D17"/>
    <w:rsid w:val="00A4547B"/>
    <w:rsid w:val="00A45668"/>
    <w:rsid w:val="00A4795F"/>
    <w:rsid w:val="00A47BC7"/>
    <w:rsid w:val="00A51793"/>
    <w:rsid w:val="00A51BA0"/>
    <w:rsid w:val="00A51D36"/>
    <w:rsid w:val="00A523D9"/>
    <w:rsid w:val="00A52B3A"/>
    <w:rsid w:val="00A530C1"/>
    <w:rsid w:val="00A53E19"/>
    <w:rsid w:val="00A54549"/>
    <w:rsid w:val="00A54F36"/>
    <w:rsid w:val="00A55654"/>
    <w:rsid w:val="00A578F3"/>
    <w:rsid w:val="00A57C2A"/>
    <w:rsid w:val="00A60160"/>
    <w:rsid w:val="00A60E2A"/>
    <w:rsid w:val="00A61760"/>
    <w:rsid w:val="00A61A20"/>
    <w:rsid w:val="00A61E2F"/>
    <w:rsid w:val="00A623ED"/>
    <w:rsid w:val="00A62403"/>
    <w:rsid w:val="00A63E2F"/>
    <w:rsid w:val="00A6668E"/>
    <w:rsid w:val="00A674BE"/>
    <w:rsid w:val="00A67953"/>
    <w:rsid w:val="00A67B1F"/>
    <w:rsid w:val="00A70291"/>
    <w:rsid w:val="00A703B9"/>
    <w:rsid w:val="00A70C5D"/>
    <w:rsid w:val="00A70DFF"/>
    <w:rsid w:val="00A71941"/>
    <w:rsid w:val="00A7277F"/>
    <w:rsid w:val="00A72C9B"/>
    <w:rsid w:val="00A734B5"/>
    <w:rsid w:val="00A73956"/>
    <w:rsid w:val="00A741BF"/>
    <w:rsid w:val="00A749B8"/>
    <w:rsid w:val="00A74B4B"/>
    <w:rsid w:val="00A74D02"/>
    <w:rsid w:val="00A750CD"/>
    <w:rsid w:val="00A75868"/>
    <w:rsid w:val="00A75DBD"/>
    <w:rsid w:val="00A76ED7"/>
    <w:rsid w:val="00A773AE"/>
    <w:rsid w:val="00A804AA"/>
    <w:rsid w:val="00A814BE"/>
    <w:rsid w:val="00A81767"/>
    <w:rsid w:val="00A81C28"/>
    <w:rsid w:val="00A82111"/>
    <w:rsid w:val="00A824C3"/>
    <w:rsid w:val="00A83CC3"/>
    <w:rsid w:val="00A84ADF"/>
    <w:rsid w:val="00A861AF"/>
    <w:rsid w:val="00A863ED"/>
    <w:rsid w:val="00A8670D"/>
    <w:rsid w:val="00A86844"/>
    <w:rsid w:val="00A87097"/>
    <w:rsid w:val="00A870DA"/>
    <w:rsid w:val="00A8729E"/>
    <w:rsid w:val="00A87947"/>
    <w:rsid w:val="00A879EE"/>
    <w:rsid w:val="00A87D8C"/>
    <w:rsid w:val="00A911F9"/>
    <w:rsid w:val="00A914AC"/>
    <w:rsid w:val="00A91A7F"/>
    <w:rsid w:val="00A9212E"/>
    <w:rsid w:val="00A924AD"/>
    <w:rsid w:val="00A92563"/>
    <w:rsid w:val="00A925C6"/>
    <w:rsid w:val="00A931EF"/>
    <w:rsid w:val="00A9383A"/>
    <w:rsid w:val="00A93A63"/>
    <w:rsid w:val="00A93DA8"/>
    <w:rsid w:val="00A95553"/>
    <w:rsid w:val="00A96D1E"/>
    <w:rsid w:val="00A974C7"/>
    <w:rsid w:val="00AA07F6"/>
    <w:rsid w:val="00AA1F5E"/>
    <w:rsid w:val="00AA4431"/>
    <w:rsid w:val="00AA58CF"/>
    <w:rsid w:val="00AA59E7"/>
    <w:rsid w:val="00AA69A1"/>
    <w:rsid w:val="00AA73D5"/>
    <w:rsid w:val="00AA755C"/>
    <w:rsid w:val="00AA787D"/>
    <w:rsid w:val="00AA7D58"/>
    <w:rsid w:val="00AB03A9"/>
    <w:rsid w:val="00AB0550"/>
    <w:rsid w:val="00AB0B3D"/>
    <w:rsid w:val="00AB10CA"/>
    <w:rsid w:val="00AB2036"/>
    <w:rsid w:val="00AB2FAD"/>
    <w:rsid w:val="00AB2FB2"/>
    <w:rsid w:val="00AB394F"/>
    <w:rsid w:val="00AB3D70"/>
    <w:rsid w:val="00AB57DF"/>
    <w:rsid w:val="00AB5917"/>
    <w:rsid w:val="00AB5ECB"/>
    <w:rsid w:val="00AB64BA"/>
    <w:rsid w:val="00AC01EE"/>
    <w:rsid w:val="00AC04BA"/>
    <w:rsid w:val="00AC17DE"/>
    <w:rsid w:val="00AC1905"/>
    <w:rsid w:val="00AC1E05"/>
    <w:rsid w:val="00AC26E4"/>
    <w:rsid w:val="00AC3FD6"/>
    <w:rsid w:val="00AC4AC4"/>
    <w:rsid w:val="00AC55A3"/>
    <w:rsid w:val="00AC6681"/>
    <w:rsid w:val="00AC697E"/>
    <w:rsid w:val="00AC69AA"/>
    <w:rsid w:val="00AC7862"/>
    <w:rsid w:val="00AC7A97"/>
    <w:rsid w:val="00AC7EE5"/>
    <w:rsid w:val="00AD01A3"/>
    <w:rsid w:val="00AD06EF"/>
    <w:rsid w:val="00AD0EE6"/>
    <w:rsid w:val="00AD1CCC"/>
    <w:rsid w:val="00AD3762"/>
    <w:rsid w:val="00AD39C8"/>
    <w:rsid w:val="00AD470A"/>
    <w:rsid w:val="00AD49F4"/>
    <w:rsid w:val="00AD5112"/>
    <w:rsid w:val="00AD5699"/>
    <w:rsid w:val="00AD5726"/>
    <w:rsid w:val="00AD5890"/>
    <w:rsid w:val="00AD63D8"/>
    <w:rsid w:val="00AD73AE"/>
    <w:rsid w:val="00AD767C"/>
    <w:rsid w:val="00AE0ACE"/>
    <w:rsid w:val="00AE1E74"/>
    <w:rsid w:val="00AE250B"/>
    <w:rsid w:val="00AE30C1"/>
    <w:rsid w:val="00AE35FE"/>
    <w:rsid w:val="00AE506B"/>
    <w:rsid w:val="00AE62CC"/>
    <w:rsid w:val="00AE6422"/>
    <w:rsid w:val="00AE65B6"/>
    <w:rsid w:val="00AE71B1"/>
    <w:rsid w:val="00AE7740"/>
    <w:rsid w:val="00AE7F5F"/>
    <w:rsid w:val="00AF0305"/>
    <w:rsid w:val="00AF0E89"/>
    <w:rsid w:val="00AF1326"/>
    <w:rsid w:val="00AF175C"/>
    <w:rsid w:val="00AF1A70"/>
    <w:rsid w:val="00AF295E"/>
    <w:rsid w:val="00AF2999"/>
    <w:rsid w:val="00AF35EF"/>
    <w:rsid w:val="00AF3C1D"/>
    <w:rsid w:val="00AF3D2A"/>
    <w:rsid w:val="00AF4731"/>
    <w:rsid w:val="00AF4810"/>
    <w:rsid w:val="00AF6069"/>
    <w:rsid w:val="00AF6561"/>
    <w:rsid w:val="00AF690C"/>
    <w:rsid w:val="00AF76B5"/>
    <w:rsid w:val="00AF7CB3"/>
    <w:rsid w:val="00B00223"/>
    <w:rsid w:val="00B0094C"/>
    <w:rsid w:val="00B00B8D"/>
    <w:rsid w:val="00B0235B"/>
    <w:rsid w:val="00B03679"/>
    <w:rsid w:val="00B03AF8"/>
    <w:rsid w:val="00B05931"/>
    <w:rsid w:val="00B05A4B"/>
    <w:rsid w:val="00B06062"/>
    <w:rsid w:val="00B06B54"/>
    <w:rsid w:val="00B06E1E"/>
    <w:rsid w:val="00B07965"/>
    <w:rsid w:val="00B07C23"/>
    <w:rsid w:val="00B07F76"/>
    <w:rsid w:val="00B103BF"/>
    <w:rsid w:val="00B11003"/>
    <w:rsid w:val="00B11C5E"/>
    <w:rsid w:val="00B11CD3"/>
    <w:rsid w:val="00B126D9"/>
    <w:rsid w:val="00B14943"/>
    <w:rsid w:val="00B15256"/>
    <w:rsid w:val="00B16E13"/>
    <w:rsid w:val="00B228C8"/>
    <w:rsid w:val="00B229CC"/>
    <w:rsid w:val="00B22A98"/>
    <w:rsid w:val="00B22F1C"/>
    <w:rsid w:val="00B23C38"/>
    <w:rsid w:val="00B23E6D"/>
    <w:rsid w:val="00B24287"/>
    <w:rsid w:val="00B2669E"/>
    <w:rsid w:val="00B27285"/>
    <w:rsid w:val="00B27C47"/>
    <w:rsid w:val="00B308A1"/>
    <w:rsid w:val="00B32CE2"/>
    <w:rsid w:val="00B33238"/>
    <w:rsid w:val="00B3466C"/>
    <w:rsid w:val="00B35343"/>
    <w:rsid w:val="00B35B81"/>
    <w:rsid w:val="00B3665D"/>
    <w:rsid w:val="00B36733"/>
    <w:rsid w:val="00B3701B"/>
    <w:rsid w:val="00B37489"/>
    <w:rsid w:val="00B376A6"/>
    <w:rsid w:val="00B37C7F"/>
    <w:rsid w:val="00B407BE"/>
    <w:rsid w:val="00B40BC2"/>
    <w:rsid w:val="00B40F7B"/>
    <w:rsid w:val="00B42303"/>
    <w:rsid w:val="00B42A7C"/>
    <w:rsid w:val="00B42D4D"/>
    <w:rsid w:val="00B42EFF"/>
    <w:rsid w:val="00B42F10"/>
    <w:rsid w:val="00B43223"/>
    <w:rsid w:val="00B43591"/>
    <w:rsid w:val="00B43929"/>
    <w:rsid w:val="00B43A8A"/>
    <w:rsid w:val="00B44799"/>
    <w:rsid w:val="00B4483B"/>
    <w:rsid w:val="00B45656"/>
    <w:rsid w:val="00B45EB8"/>
    <w:rsid w:val="00B471DA"/>
    <w:rsid w:val="00B47FE6"/>
    <w:rsid w:val="00B502FF"/>
    <w:rsid w:val="00B512C1"/>
    <w:rsid w:val="00B51CCB"/>
    <w:rsid w:val="00B53964"/>
    <w:rsid w:val="00B54C20"/>
    <w:rsid w:val="00B54EEA"/>
    <w:rsid w:val="00B5502A"/>
    <w:rsid w:val="00B56215"/>
    <w:rsid w:val="00B56E5F"/>
    <w:rsid w:val="00B56F49"/>
    <w:rsid w:val="00B57854"/>
    <w:rsid w:val="00B578B0"/>
    <w:rsid w:val="00B57E21"/>
    <w:rsid w:val="00B603A6"/>
    <w:rsid w:val="00B605EF"/>
    <w:rsid w:val="00B60C05"/>
    <w:rsid w:val="00B61105"/>
    <w:rsid w:val="00B616D8"/>
    <w:rsid w:val="00B62683"/>
    <w:rsid w:val="00B62C5E"/>
    <w:rsid w:val="00B62F89"/>
    <w:rsid w:val="00B6335A"/>
    <w:rsid w:val="00B6427D"/>
    <w:rsid w:val="00B64616"/>
    <w:rsid w:val="00B66542"/>
    <w:rsid w:val="00B669F4"/>
    <w:rsid w:val="00B66ADE"/>
    <w:rsid w:val="00B67258"/>
    <w:rsid w:val="00B70AEF"/>
    <w:rsid w:val="00B70D7D"/>
    <w:rsid w:val="00B72649"/>
    <w:rsid w:val="00B72703"/>
    <w:rsid w:val="00B73DF4"/>
    <w:rsid w:val="00B73ECA"/>
    <w:rsid w:val="00B75AF5"/>
    <w:rsid w:val="00B76205"/>
    <w:rsid w:val="00B764CF"/>
    <w:rsid w:val="00B76797"/>
    <w:rsid w:val="00B76A14"/>
    <w:rsid w:val="00B77B4E"/>
    <w:rsid w:val="00B77C87"/>
    <w:rsid w:val="00B77F80"/>
    <w:rsid w:val="00B77FBE"/>
    <w:rsid w:val="00B8056A"/>
    <w:rsid w:val="00B81331"/>
    <w:rsid w:val="00B81782"/>
    <w:rsid w:val="00B829EC"/>
    <w:rsid w:val="00B82CDD"/>
    <w:rsid w:val="00B851D1"/>
    <w:rsid w:val="00B8561A"/>
    <w:rsid w:val="00B87348"/>
    <w:rsid w:val="00B87396"/>
    <w:rsid w:val="00B87E35"/>
    <w:rsid w:val="00B902D7"/>
    <w:rsid w:val="00B9401B"/>
    <w:rsid w:val="00B944E2"/>
    <w:rsid w:val="00B94892"/>
    <w:rsid w:val="00B95011"/>
    <w:rsid w:val="00B97163"/>
    <w:rsid w:val="00B97351"/>
    <w:rsid w:val="00BA0781"/>
    <w:rsid w:val="00BA1C8F"/>
    <w:rsid w:val="00BA2614"/>
    <w:rsid w:val="00BA2B34"/>
    <w:rsid w:val="00BA3C6B"/>
    <w:rsid w:val="00BA3D37"/>
    <w:rsid w:val="00BA459F"/>
    <w:rsid w:val="00BA58B0"/>
    <w:rsid w:val="00BA596E"/>
    <w:rsid w:val="00BA66E6"/>
    <w:rsid w:val="00BA6B01"/>
    <w:rsid w:val="00BA7B87"/>
    <w:rsid w:val="00BB0138"/>
    <w:rsid w:val="00BB02E7"/>
    <w:rsid w:val="00BB192E"/>
    <w:rsid w:val="00BB1B02"/>
    <w:rsid w:val="00BB1DD4"/>
    <w:rsid w:val="00BB21B4"/>
    <w:rsid w:val="00BB228D"/>
    <w:rsid w:val="00BB2765"/>
    <w:rsid w:val="00BB2A0E"/>
    <w:rsid w:val="00BB33DD"/>
    <w:rsid w:val="00BB35B4"/>
    <w:rsid w:val="00BB3BF2"/>
    <w:rsid w:val="00BB4286"/>
    <w:rsid w:val="00BB5CD3"/>
    <w:rsid w:val="00BB6489"/>
    <w:rsid w:val="00BB6866"/>
    <w:rsid w:val="00BB700E"/>
    <w:rsid w:val="00BB74EB"/>
    <w:rsid w:val="00BB7806"/>
    <w:rsid w:val="00BC000D"/>
    <w:rsid w:val="00BC006D"/>
    <w:rsid w:val="00BC0260"/>
    <w:rsid w:val="00BC086C"/>
    <w:rsid w:val="00BC0A43"/>
    <w:rsid w:val="00BC1DBF"/>
    <w:rsid w:val="00BC2D84"/>
    <w:rsid w:val="00BC3D77"/>
    <w:rsid w:val="00BC407A"/>
    <w:rsid w:val="00BC447F"/>
    <w:rsid w:val="00BC4841"/>
    <w:rsid w:val="00BC4C41"/>
    <w:rsid w:val="00BC51A5"/>
    <w:rsid w:val="00BC5284"/>
    <w:rsid w:val="00BC5364"/>
    <w:rsid w:val="00BC550B"/>
    <w:rsid w:val="00BC583F"/>
    <w:rsid w:val="00BC681C"/>
    <w:rsid w:val="00BC7251"/>
    <w:rsid w:val="00BC733E"/>
    <w:rsid w:val="00BC7B93"/>
    <w:rsid w:val="00BC7D75"/>
    <w:rsid w:val="00BD01BD"/>
    <w:rsid w:val="00BD03B8"/>
    <w:rsid w:val="00BD1A3A"/>
    <w:rsid w:val="00BD1F5F"/>
    <w:rsid w:val="00BD2651"/>
    <w:rsid w:val="00BD4B31"/>
    <w:rsid w:val="00BD4C98"/>
    <w:rsid w:val="00BD5080"/>
    <w:rsid w:val="00BD5ECE"/>
    <w:rsid w:val="00BD672E"/>
    <w:rsid w:val="00BD6FFE"/>
    <w:rsid w:val="00BD7021"/>
    <w:rsid w:val="00BE0261"/>
    <w:rsid w:val="00BE0AE8"/>
    <w:rsid w:val="00BE0EBD"/>
    <w:rsid w:val="00BE0FC7"/>
    <w:rsid w:val="00BE1162"/>
    <w:rsid w:val="00BE13A6"/>
    <w:rsid w:val="00BE14C5"/>
    <w:rsid w:val="00BE1E66"/>
    <w:rsid w:val="00BE1EEF"/>
    <w:rsid w:val="00BE3841"/>
    <w:rsid w:val="00BE4171"/>
    <w:rsid w:val="00BE4533"/>
    <w:rsid w:val="00BE4F03"/>
    <w:rsid w:val="00BE58D1"/>
    <w:rsid w:val="00BE601B"/>
    <w:rsid w:val="00BE68C5"/>
    <w:rsid w:val="00BF0598"/>
    <w:rsid w:val="00BF0860"/>
    <w:rsid w:val="00BF1834"/>
    <w:rsid w:val="00BF2CD7"/>
    <w:rsid w:val="00BF30A4"/>
    <w:rsid w:val="00BF38F3"/>
    <w:rsid w:val="00BF43D9"/>
    <w:rsid w:val="00BF47FC"/>
    <w:rsid w:val="00BF4AA8"/>
    <w:rsid w:val="00BF4F00"/>
    <w:rsid w:val="00BF5C7E"/>
    <w:rsid w:val="00BF721C"/>
    <w:rsid w:val="00C00578"/>
    <w:rsid w:val="00C00A66"/>
    <w:rsid w:val="00C00B62"/>
    <w:rsid w:val="00C0222E"/>
    <w:rsid w:val="00C028C0"/>
    <w:rsid w:val="00C02AF3"/>
    <w:rsid w:val="00C02C7E"/>
    <w:rsid w:val="00C039AD"/>
    <w:rsid w:val="00C03DBA"/>
    <w:rsid w:val="00C04E7A"/>
    <w:rsid w:val="00C053C1"/>
    <w:rsid w:val="00C06651"/>
    <w:rsid w:val="00C06DE2"/>
    <w:rsid w:val="00C10100"/>
    <w:rsid w:val="00C1076E"/>
    <w:rsid w:val="00C119FC"/>
    <w:rsid w:val="00C11A48"/>
    <w:rsid w:val="00C11D78"/>
    <w:rsid w:val="00C14118"/>
    <w:rsid w:val="00C14837"/>
    <w:rsid w:val="00C14FC5"/>
    <w:rsid w:val="00C2070A"/>
    <w:rsid w:val="00C20F96"/>
    <w:rsid w:val="00C213C6"/>
    <w:rsid w:val="00C214A3"/>
    <w:rsid w:val="00C220C3"/>
    <w:rsid w:val="00C2257E"/>
    <w:rsid w:val="00C225CC"/>
    <w:rsid w:val="00C22724"/>
    <w:rsid w:val="00C23202"/>
    <w:rsid w:val="00C24185"/>
    <w:rsid w:val="00C255A7"/>
    <w:rsid w:val="00C25DC4"/>
    <w:rsid w:val="00C2640E"/>
    <w:rsid w:val="00C267F9"/>
    <w:rsid w:val="00C26982"/>
    <w:rsid w:val="00C270FB"/>
    <w:rsid w:val="00C27113"/>
    <w:rsid w:val="00C30DF5"/>
    <w:rsid w:val="00C3184A"/>
    <w:rsid w:val="00C33094"/>
    <w:rsid w:val="00C33152"/>
    <w:rsid w:val="00C34124"/>
    <w:rsid w:val="00C3527B"/>
    <w:rsid w:val="00C35804"/>
    <w:rsid w:val="00C36814"/>
    <w:rsid w:val="00C36888"/>
    <w:rsid w:val="00C36A88"/>
    <w:rsid w:val="00C36D61"/>
    <w:rsid w:val="00C37975"/>
    <w:rsid w:val="00C40AAE"/>
    <w:rsid w:val="00C40BCC"/>
    <w:rsid w:val="00C4108A"/>
    <w:rsid w:val="00C41C67"/>
    <w:rsid w:val="00C41EBF"/>
    <w:rsid w:val="00C42722"/>
    <w:rsid w:val="00C42C32"/>
    <w:rsid w:val="00C42E7D"/>
    <w:rsid w:val="00C44032"/>
    <w:rsid w:val="00C443B8"/>
    <w:rsid w:val="00C44537"/>
    <w:rsid w:val="00C447D8"/>
    <w:rsid w:val="00C44DE2"/>
    <w:rsid w:val="00C457C2"/>
    <w:rsid w:val="00C45817"/>
    <w:rsid w:val="00C462DA"/>
    <w:rsid w:val="00C46D7F"/>
    <w:rsid w:val="00C47656"/>
    <w:rsid w:val="00C47983"/>
    <w:rsid w:val="00C47E55"/>
    <w:rsid w:val="00C47F52"/>
    <w:rsid w:val="00C519E5"/>
    <w:rsid w:val="00C51AB2"/>
    <w:rsid w:val="00C51FCA"/>
    <w:rsid w:val="00C520E1"/>
    <w:rsid w:val="00C52D4A"/>
    <w:rsid w:val="00C530ED"/>
    <w:rsid w:val="00C54092"/>
    <w:rsid w:val="00C542FC"/>
    <w:rsid w:val="00C54A4F"/>
    <w:rsid w:val="00C54F7B"/>
    <w:rsid w:val="00C5540D"/>
    <w:rsid w:val="00C563C1"/>
    <w:rsid w:val="00C5685A"/>
    <w:rsid w:val="00C62691"/>
    <w:rsid w:val="00C63D79"/>
    <w:rsid w:val="00C64042"/>
    <w:rsid w:val="00C640F4"/>
    <w:rsid w:val="00C642A4"/>
    <w:rsid w:val="00C661E4"/>
    <w:rsid w:val="00C66B66"/>
    <w:rsid w:val="00C66EAD"/>
    <w:rsid w:val="00C7091D"/>
    <w:rsid w:val="00C70AB2"/>
    <w:rsid w:val="00C718E2"/>
    <w:rsid w:val="00C72147"/>
    <w:rsid w:val="00C7246A"/>
    <w:rsid w:val="00C72F31"/>
    <w:rsid w:val="00C730AC"/>
    <w:rsid w:val="00C732FF"/>
    <w:rsid w:val="00C74DD5"/>
    <w:rsid w:val="00C74EBE"/>
    <w:rsid w:val="00C7533F"/>
    <w:rsid w:val="00C75673"/>
    <w:rsid w:val="00C75E30"/>
    <w:rsid w:val="00C75F36"/>
    <w:rsid w:val="00C76457"/>
    <w:rsid w:val="00C7673F"/>
    <w:rsid w:val="00C77A34"/>
    <w:rsid w:val="00C77BCF"/>
    <w:rsid w:val="00C80C01"/>
    <w:rsid w:val="00C80D60"/>
    <w:rsid w:val="00C80FAD"/>
    <w:rsid w:val="00C811D7"/>
    <w:rsid w:val="00C820DF"/>
    <w:rsid w:val="00C83044"/>
    <w:rsid w:val="00C838A9"/>
    <w:rsid w:val="00C83991"/>
    <w:rsid w:val="00C8695F"/>
    <w:rsid w:val="00C86F84"/>
    <w:rsid w:val="00C87469"/>
    <w:rsid w:val="00C87EEE"/>
    <w:rsid w:val="00C87F76"/>
    <w:rsid w:val="00C903B5"/>
    <w:rsid w:val="00C90C26"/>
    <w:rsid w:val="00C90DD6"/>
    <w:rsid w:val="00C90DE6"/>
    <w:rsid w:val="00C92050"/>
    <w:rsid w:val="00C92483"/>
    <w:rsid w:val="00C92BDB"/>
    <w:rsid w:val="00C92BDC"/>
    <w:rsid w:val="00C94668"/>
    <w:rsid w:val="00C9488F"/>
    <w:rsid w:val="00C94E42"/>
    <w:rsid w:val="00C9513A"/>
    <w:rsid w:val="00C955A4"/>
    <w:rsid w:val="00C959A0"/>
    <w:rsid w:val="00C96512"/>
    <w:rsid w:val="00C96642"/>
    <w:rsid w:val="00C96DBD"/>
    <w:rsid w:val="00C97F60"/>
    <w:rsid w:val="00CA05B1"/>
    <w:rsid w:val="00CA1A2B"/>
    <w:rsid w:val="00CA288D"/>
    <w:rsid w:val="00CA36B5"/>
    <w:rsid w:val="00CA3BD1"/>
    <w:rsid w:val="00CA3DFB"/>
    <w:rsid w:val="00CA4A00"/>
    <w:rsid w:val="00CA4E32"/>
    <w:rsid w:val="00CA5CB2"/>
    <w:rsid w:val="00CA65EC"/>
    <w:rsid w:val="00CA72D1"/>
    <w:rsid w:val="00CA737A"/>
    <w:rsid w:val="00CA758E"/>
    <w:rsid w:val="00CA7B4B"/>
    <w:rsid w:val="00CA7DCA"/>
    <w:rsid w:val="00CB0115"/>
    <w:rsid w:val="00CB2055"/>
    <w:rsid w:val="00CB2107"/>
    <w:rsid w:val="00CB29EE"/>
    <w:rsid w:val="00CB329C"/>
    <w:rsid w:val="00CB3489"/>
    <w:rsid w:val="00CB368A"/>
    <w:rsid w:val="00CB3939"/>
    <w:rsid w:val="00CB396C"/>
    <w:rsid w:val="00CB3ABB"/>
    <w:rsid w:val="00CB3ABF"/>
    <w:rsid w:val="00CB3F65"/>
    <w:rsid w:val="00CB3FFE"/>
    <w:rsid w:val="00CB4088"/>
    <w:rsid w:val="00CB49B6"/>
    <w:rsid w:val="00CB62A4"/>
    <w:rsid w:val="00CB64B5"/>
    <w:rsid w:val="00CB6B80"/>
    <w:rsid w:val="00CB73C3"/>
    <w:rsid w:val="00CB756F"/>
    <w:rsid w:val="00CB7603"/>
    <w:rsid w:val="00CB79B8"/>
    <w:rsid w:val="00CC09A0"/>
    <w:rsid w:val="00CC0C02"/>
    <w:rsid w:val="00CC0FEB"/>
    <w:rsid w:val="00CC15CB"/>
    <w:rsid w:val="00CC1D52"/>
    <w:rsid w:val="00CC1EAD"/>
    <w:rsid w:val="00CC2090"/>
    <w:rsid w:val="00CC25DA"/>
    <w:rsid w:val="00CC28E8"/>
    <w:rsid w:val="00CC2E06"/>
    <w:rsid w:val="00CC3934"/>
    <w:rsid w:val="00CC3EFE"/>
    <w:rsid w:val="00CC5FC2"/>
    <w:rsid w:val="00CC7557"/>
    <w:rsid w:val="00CD0396"/>
    <w:rsid w:val="00CD065E"/>
    <w:rsid w:val="00CD072F"/>
    <w:rsid w:val="00CD0F12"/>
    <w:rsid w:val="00CD1548"/>
    <w:rsid w:val="00CD17C4"/>
    <w:rsid w:val="00CD1BE6"/>
    <w:rsid w:val="00CD2732"/>
    <w:rsid w:val="00CD28D1"/>
    <w:rsid w:val="00CD2A76"/>
    <w:rsid w:val="00CD3243"/>
    <w:rsid w:val="00CD4B6B"/>
    <w:rsid w:val="00CD564E"/>
    <w:rsid w:val="00CD56CF"/>
    <w:rsid w:val="00CD7B07"/>
    <w:rsid w:val="00CD7FC5"/>
    <w:rsid w:val="00CE05D6"/>
    <w:rsid w:val="00CE1A10"/>
    <w:rsid w:val="00CE2493"/>
    <w:rsid w:val="00CE2D6B"/>
    <w:rsid w:val="00CE3996"/>
    <w:rsid w:val="00CE3CFA"/>
    <w:rsid w:val="00CE45AE"/>
    <w:rsid w:val="00CE4910"/>
    <w:rsid w:val="00CE5275"/>
    <w:rsid w:val="00CE7C32"/>
    <w:rsid w:val="00CE7F6F"/>
    <w:rsid w:val="00CF11FF"/>
    <w:rsid w:val="00CF1A8C"/>
    <w:rsid w:val="00CF229B"/>
    <w:rsid w:val="00CF2514"/>
    <w:rsid w:val="00CF2797"/>
    <w:rsid w:val="00CF28FE"/>
    <w:rsid w:val="00CF2B9C"/>
    <w:rsid w:val="00CF2C63"/>
    <w:rsid w:val="00CF306E"/>
    <w:rsid w:val="00CF3273"/>
    <w:rsid w:val="00CF4236"/>
    <w:rsid w:val="00CF47FA"/>
    <w:rsid w:val="00CF58B5"/>
    <w:rsid w:val="00CF59FA"/>
    <w:rsid w:val="00CF5AC7"/>
    <w:rsid w:val="00CF6259"/>
    <w:rsid w:val="00CF625E"/>
    <w:rsid w:val="00CF6FC2"/>
    <w:rsid w:val="00CF7070"/>
    <w:rsid w:val="00D00384"/>
    <w:rsid w:val="00D004ED"/>
    <w:rsid w:val="00D00FAE"/>
    <w:rsid w:val="00D01748"/>
    <w:rsid w:val="00D02678"/>
    <w:rsid w:val="00D02811"/>
    <w:rsid w:val="00D02A8A"/>
    <w:rsid w:val="00D03F29"/>
    <w:rsid w:val="00D04A83"/>
    <w:rsid w:val="00D04AA5"/>
    <w:rsid w:val="00D05AC9"/>
    <w:rsid w:val="00D065E0"/>
    <w:rsid w:val="00D06EF9"/>
    <w:rsid w:val="00D06F2C"/>
    <w:rsid w:val="00D07ABD"/>
    <w:rsid w:val="00D10239"/>
    <w:rsid w:val="00D11473"/>
    <w:rsid w:val="00D11EFB"/>
    <w:rsid w:val="00D12175"/>
    <w:rsid w:val="00D12532"/>
    <w:rsid w:val="00D12AA0"/>
    <w:rsid w:val="00D12AE0"/>
    <w:rsid w:val="00D13185"/>
    <w:rsid w:val="00D1444E"/>
    <w:rsid w:val="00D15529"/>
    <w:rsid w:val="00D1628E"/>
    <w:rsid w:val="00D21F29"/>
    <w:rsid w:val="00D22D75"/>
    <w:rsid w:val="00D22E91"/>
    <w:rsid w:val="00D233DD"/>
    <w:rsid w:val="00D235CC"/>
    <w:rsid w:val="00D24714"/>
    <w:rsid w:val="00D24894"/>
    <w:rsid w:val="00D24CCF"/>
    <w:rsid w:val="00D25499"/>
    <w:rsid w:val="00D25ECE"/>
    <w:rsid w:val="00D2756F"/>
    <w:rsid w:val="00D27B44"/>
    <w:rsid w:val="00D27DA9"/>
    <w:rsid w:val="00D31429"/>
    <w:rsid w:val="00D31EFB"/>
    <w:rsid w:val="00D32018"/>
    <w:rsid w:val="00D3267B"/>
    <w:rsid w:val="00D32D19"/>
    <w:rsid w:val="00D334A9"/>
    <w:rsid w:val="00D33819"/>
    <w:rsid w:val="00D33C48"/>
    <w:rsid w:val="00D34095"/>
    <w:rsid w:val="00D343B5"/>
    <w:rsid w:val="00D345E9"/>
    <w:rsid w:val="00D345FA"/>
    <w:rsid w:val="00D360D7"/>
    <w:rsid w:val="00D36C6A"/>
    <w:rsid w:val="00D36CBB"/>
    <w:rsid w:val="00D36CE5"/>
    <w:rsid w:val="00D37FEB"/>
    <w:rsid w:val="00D419A6"/>
    <w:rsid w:val="00D424C7"/>
    <w:rsid w:val="00D42603"/>
    <w:rsid w:val="00D42687"/>
    <w:rsid w:val="00D42991"/>
    <w:rsid w:val="00D42A51"/>
    <w:rsid w:val="00D42CE4"/>
    <w:rsid w:val="00D43991"/>
    <w:rsid w:val="00D44475"/>
    <w:rsid w:val="00D447EE"/>
    <w:rsid w:val="00D45215"/>
    <w:rsid w:val="00D45996"/>
    <w:rsid w:val="00D45D16"/>
    <w:rsid w:val="00D462E3"/>
    <w:rsid w:val="00D46609"/>
    <w:rsid w:val="00D46B61"/>
    <w:rsid w:val="00D479C7"/>
    <w:rsid w:val="00D47A9C"/>
    <w:rsid w:val="00D47D4E"/>
    <w:rsid w:val="00D508F8"/>
    <w:rsid w:val="00D51858"/>
    <w:rsid w:val="00D522D7"/>
    <w:rsid w:val="00D53D08"/>
    <w:rsid w:val="00D5437A"/>
    <w:rsid w:val="00D56D80"/>
    <w:rsid w:val="00D57D96"/>
    <w:rsid w:val="00D617C4"/>
    <w:rsid w:val="00D61B32"/>
    <w:rsid w:val="00D61BF2"/>
    <w:rsid w:val="00D63DFB"/>
    <w:rsid w:val="00D64CA6"/>
    <w:rsid w:val="00D64D5B"/>
    <w:rsid w:val="00D64DE8"/>
    <w:rsid w:val="00D6534D"/>
    <w:rsid w:val="00D657FC"/>
    <w:rsid w:val="00D67083"/>
    <w:rsid w:val="00D703B8"/>
    <w:rsid w:val="00D70589"/>
    <w:rsid w:val="00D71044"/>
    <w:rsid w:val="00D719A5"/>
    <w:rsid w:val="00D7247D"/>
    <w:rsid w:val="00D72C6A"/>
    <w:rsid w:val="00D7370C"/>
    <w:rsid w:val="00D74936"/>
    <w:rsid w:val="00D75056"/>
    <w:rsid w:val="00D77D14"/>
    <w:rsid w:val="00D77D6F"/>
    <w:rsid w:val="00D77EE9"/>
    <w:rsid w:val="00D80370"/>
    <w:rsid w:val="00D80BCF"/>
    <w:rsid w:val="00D8134A"/>
    <w:rsid w:val="00D8156B"/>
    <w:rsid w:val="00D81598"/>
    <w:rsid w:val="00D82A82"/>
    <w:rsid w:val="00D8390A"/>
    <w:rsid w:val="00D83DE9"/>
    <w:rsid w:val="00D85054"/>
    <w:rsid w:val="00D85F9C"/>
    <w:rsid w:val="00D8766E"/>
    <w:rsid w:val="00D87BDB"/>
    <w:rsid w:val="00D9050A"/>
    <w:rsid w:val="00D90A05"/>
    <w:rsid w:val="00D90FCE"/>
    <w:rsid w:val="00D91096"/>
    <w:rsid w:val="00D92977"/>
    <w:rsid w:val="00D938A7"/>
    <w:rsid w:val="00D93BF7"/>
    <w:rsid w:val="00D941A2"/>
    <w:rsid w:val="00D977F0"/>
    <w:rsid w:val="00D97F5B"/>
    <w:rsid w:val="00DA1222"/>
    <w:rsid w:val="00DA247F"/>
    <w:rsid w:val="00DA4090"/>
    <w:rsid w:val="00DA4D95"/>
    <w:rsid w:val="00DA5172"/>
    <w:rsid w:val="00DA5507"/>
    <w:rsid w:val="00DB1A08"/>
    <w:rsid w:val="00DB2079"/>
    <w:rsid w:val="00DB3DF7"/>
    <w:rsid w:val="00DB42C6"/>
    <w:rsid w:val="00DB5060"/>
    <w:rsid w:val="00DB5AAB"/>
    <w:rsid w:val="00DB5C54"/>
    <w:rsid w:val="00DB5FC5"/>
    <w:rsid w:val="00DB6EB5"/>
    <w:rsid w:val="00DB7773"/>
    <w:rsid w:val="00DB7DFD"/>
    <w:rsid w:val="00DC048A"/>
    <w:rsid w:val="00DC209C"/>
    <w:rsid w:val="00DC2103"/>
    <w:rsid w:val="00DC271F"/>
    <w:rsid w:val="00DC2819"/>
    <w:rsid w:val="00DC3777"/>
    <w:rsid w:val="00DC3880"/>
    <w:rsid w:val="00DC3DE1"/>
    <w:rsid w:val="00DC4649"/>
    <w:rsid w:val="00DC4A3F"/>
    <w:rsid w:val="00DC5060"/>
    <w:rsid w:val="00DC5E24"/>
    <w:rsid w:val="00DC636E"/>
    <w:rsid w:val="00DC6D86"/>
    <w:rsid w:val="00DC7677"/>
    <w:rsid w:val="00DD0976"/>
    <w:rsid w:val="00DD1831"/>
    <w:rsid w:val="00DD310D"/>
    <w:rsid w:val="00DD3585"/>
    <w:rsid w:val="00DD419A"/>
    <w:rsid w:val="00DD57DB"/>
    <w:rsid w:val="00DD5BED"/>
    <w:rsid w:val="00DD5EF7"/>
    <w:rsid w:val="00DD67BC"/>
    <w:rsid w:val="00DD701F"/>
    <w:rsid w:val="00DD79B9"/>
    <w:rsid w:val="00DE139A"/>
    <w:rsid w:val="00DE1548"/>
    <w:rsid w:val="00DE2844"/>
    <w:rsid w:val="00DE2A83"/>
    <w:rsid w:val="00DE2A95"/>
    <w:rsid w:val="00DE32B7"/>
    <w:rsid w:val="00DE6D6E"/>
    <w:rsid w:val="00DE6DB9"/>
    <w:rsid w:val="00DE7003"/>
    <w:rsid w:val="00DE7083"/>
    <w:rsid w:val="00DE763A"/>
    <w:rsid w:val="00DE7AF3"/>
    <w:rsid w:val="00DF0232"/>
    <w:rsid w:val="00DF1766"/>
    <w:rsid w:val="00DF1C54"/>
    <w:rsid w:val="00DF22D7"/>
    <w:rsid w:val="00DF34EB"/>
    <w:rsid w:val="00DF52EE"/>
    <w:rsid w:val="00DF600A"/>
    <w:rsid w:val="00DF7050"/>
    <w:rsid w:val="00DF7ED4"/>
    <w:rsid w:val="00E022B7"/>
    <w:rsid w:val="00E0353D"/>
    <w:rsid w:val="00E03ACC"/>
    <w:rsid w:val="00E0423F"/>
    <w:rsid w:val="00E04C16"/>
    <w:rsid w:val="00E054F1"/>
    <w:rsid w:val="00E056A6"/>
    <w:rsid w:val="00E05754"/>
    <w:rsid w:val="00E061E9"/>
    <w:rsid w:val="00E065B7"/>
    <w:rsid w:val="00E1121B"/>
    <w:rsid w:val="00E1123B"/>
    <w:rsid w:val="00E1133A"/>
    <w:rsid w:val="00E119D9"/>
    <w:rsid w:val="00E12737"/>
    <w:rsid w:val="00E141E6"/>
    <w:rsid w:val="00E1467B"/>
    <w:rsid w:val="00E1529F"/>
    <w:rsid w:val="00E1581D"/>
    <w:rsid w:val="00E15ABA"/>
    <w:rsid w:val="00E15B91"/>
    <w:rsid w:val="00E15E91"/>
    <w:rsid w:val="00E17274"/>
    <w:rsid w:val="00E17BC7"/>
    <w:rsid w:val="00E205FB"/>
    <w:rsid w:val="00E20D69"/>
    <w:rsid w:val="00E20DA0"/>
    <w:rsid w:val="00E225F2"/>
    <w:rsid w:val="00E22A14"/>
    <w:rsid w:val="00E23A0D"/>
    <w:rsid w:val="00E23CF1"/>
    <w:rsid w:val="00E24974"/>
    <w:rsid w:val="00E249ED"/>
    <w:rsid w:val="00E25646"/>
    <w:rsid w:val="00E25AE4"/>
    <w:rsid w:val="00E25DD0"/>
    <w:rsid w:val="00E25F2D"/>
    <w:rsid w:val="00E26251"/>
    <w:rsid w:val="00E27E5B"/>
    <w:rsid w:val="00E3102F"/>
    <w:rsid w:val="00E31137"/>
    <w:rsid w:val="00E3242F"/>
    <w:rsid w:val="00E35F96"/>
    <w:rsid w:val="00E360A2"/>
    <w:rsid w:val="00E36D60"/>
    <w:rsid w:val="00E37BC4"/>
    <w:rsid w:val="00E40D35"/>
    <w:rsid w:val="00E4212C"/>
    <w:rsid w:val="00E423D4"/>
    <w:rsid w:val="00E425DA"/>
    <w:rsid w:val="00E425E4"/>
    <w:rsid w:val="00E42AED"/>
    <w:rsid w:val="00E43B50"/>
    <w:rsid w:val="00E471BA"/>
    <w:rsid w:val="00E4758D"/>
    <w:rsid w:val="00E5103C"/>
    <w:rsid w:val="00E522F5"/>
    <w:rsid w:val="00E523EF"/>
    <w:rsid w:val="00E53C19"/>
    <w:rsid w:val="00E55044"/>
    <w:rsid w:val="00E550EC"/>
    <w:rsid w:val="00E55EB2"/>
    <w:rsid w:val="00E55F33"/>
    <w:rsid w:val="00E57762"/>
    <w:rsid w:val="00E60028"/>
    <w:rsid w:val="00E60152"/>
    <w:rsid w:val="00E60769"/>
    <w:rsid w:val="00E61580"/>
    <w:rsid w:val="00E618D8"/>
    <w:rsid w:val="00E62A6B"/>
    <w:rsid w:val="00E62BA9"/>
    <w:rsid w:val="00E630E8"/>
    <w:rsid w:val="00E63434"/>
    <w:rsid w:val="00E63712"/>
    <w:rsid w:val="00E63A6A"/>
    <w:rsid w:val="00E64403"/>
    <w:rsid w:val="00E665F8"/>
    <w:rsid w:val="00E66EF5"/>
    <w:rsid w:val="00E67CEF"/>
    <w:rsid w:val="00E7010A"/>
    <w:rsid w:val="00E70287"/>
    <w:rsid w:val="00E70381"/>
    <w:rsid w:val="00E709D8"/>
    <w:rsid w:val="00E70D16"/>
    <w:rsid w:val="00E72353"/>
    <w:rsid w:val="00E72362"/>
    <w:rsid w:val="00E7333F"/>
    <w:rsid w:val="00E73627"/>
    <w:rsid w:val="00E7403D"/>
    <w:rsid w:val="00E75A8A"/>
    <w:rsid w:val="00E76198"/>
    <w:rsid w:val="00E76CA1"/>
    <w:rsid w:val="00E76E3E"/>
    <w:rsid w:val="00E77455"/>
    <w:rsid w:val="00E804AA"/>
    <w:rsid w:val="00E8088F"/>
    <w:rsid w:val="00E81BCD"/>
    <w:rsid w:val="00E82397"/>
    <w:rsid w:val="00E8295F"/>
    <w:rsid w:val="00E82E43"/>
    <w:rsid w:val="00E8374F"/>
    <w:rsid w:val="00E83BC5"/>
    <w:rsid w:val="00E84622"/>
    <w:rsid w:val="00E84CCC"/>
    <w:rsid w:val="00E84D5E"/>
    <w:rsid w:val="00E84E02"/>
    <w:rsid w:val="00E84E44"/>
    <w:rsid w:val="00E86A2F"/>
    <w:rsid w:val="00E879B3"/>
    <w:rsid w:val="00E87A5F"/>
    <w:rsid w:val="00E907E0"/>
    <w:rsid w:val="00E90BFA"/>
    <w:rsid w:val="00E916DE"/>
    <w:rsid w:val="00E92094"/>
    <w:rsid w:val="00E9258A"/>
    <w:rsid w:val="00E92766"/>
    <w:rsid w:val="00E930B7"/>
    <w:rsid w:val="00E93718"/>
    <w:rsid w:val="00E95A1E"/>
    <w:rsid w:val="00E96AC0"/>
    <w:rsid w:val="00E96ADD"/>
    <w:rsid w:val="00EA2254"/>
    <w:rsid w:val="00EA47AB"/>
    <w:rsid w:val="00EA56E4"/>
    <w:rsid w:val="00EA582A"/>
    <w:rsid w:val="00EA6133"/>
    <w:rsid w:val="00EA6623"/>
    <w:rsid w:val="00EA6A76"/>
    <w:rsid w:val="00EA6C53"/>
    <w:rsid w:val="00EA733F"/>
    <w:rsid w:val="00EA7526"/>
    <w:rsid w:val="00EB0584"/>
    <w:rsid w:val="00EB0C3A"/>
    <w:rsid w:val="00EB1102"/>
    <w:rsid w:val="00EB1EC2"/>
    <w:rsid w:val="00EB2569"/>
    <w:rsid w:val="00EB281E"/>
    <w:rsid w:val="00EB2D1E"/>
    <w:rsid w:val="00EB3EC1"/>
    <w:rsid w:val="00EB4012"/>
    <w:rsid w:val="00EB6400"/>
    <w:rsid w:val="00EB6C3B"/>
    <w:rsid w:val="00EB709B"/>
    <w:rsid w:val="00EC083B"/>
    <w:rsid w:val="00EC0F9A"/>
    <w:rsid w:val="00EC101E"/>
    <w:rsid w:val="00EC149C"/>
    <w:rsid w:val="00EC197F"/>
    <w:rsid w:val="00EC1E7F"/>
    <w:rsid w:val="00EC2088"/>
    <w:rsid w:val="00EC2915"/>
    <w:rsid w:val="00EC3F5D"/>
    <w:rsid w:val="00EC4100"/>
    <w:rsid w:val="00EC48D9"/>
    <w:rsid w:val="00EC4B51"/>
    <w:rsid w:val="00EC52A6"/>
    <w:rsid w:val="00EC66CD"/>
    <w:rsid w:val="00ED1911"/>
    <w:rsid w:val="00ED194F"/>
    <w:rsid w:val="00ED1E8B"/>
    <w:rsid w:val="00ED2217"/>
    <w:rsid w:val="00ED27EB"/>
    <w:rsid w:val="00ED3EE9"/>
    <w:rsid w:val="00ED41D6"/>
    <w:rsid w:val="00ED4751"/>
    <w:rsid w:val="00ED6A21"/>
    <w:rsid w:val="00ED7079"/>
    <w:rsid w:val="00ED713D"/>
    <w:rsid w:val="00EE04CE"/>
    <w:rsid w:val="00EE0762"/>
    <w:rsid w:val="00EE1587"/>
    <w:rsid w:val="00EE1BA5"/>
    <w:rsid w:val="00EE2A9C"/>
    <w:rsid w:val="00EE3858"/>
    <w:rsid w:val="00EE4BBF"/>
    <w:rsid w:val="00EE579C"/>
    <w:rsid w:val="00EE743C"/>
    <w:rsid w:val="00EE77EC"/>
    <w:rsid w:val="00EE7CA1"/>
    <w:rsid w:val="00EF0944"/>
    <w:rsid w:val="00EF1825"/>
    <w:rsid w:val="00EF1C18"/>
    <w:rsid w:val="00EF2D28"/>
    <w:rsid w:val="00EF3965"/>
    <w:rsid w:val="00EF52CF"/>
    <w:rsid w:val="00EF5E71"/>
    <w:rsid w:val="00EF66C6"/>
    <w:rsid w:val="00EF6A6C"/>
    <w:rsid w:val="00EF70EB"/>
    <w:rsid w:val="00EF71C9"/>
    <w:rsid w:val="00EF7825"/>
    <w:rsid w:val="00EF787F"/>
    <w:rsid w:val="00EF78B1"/>
    <w:rsid w:val="00F004E9"/>
    <w:rsid w:val="00F0147A"/>
    <w:rsid w:val="00F014F1"/>
    <w:rsid w:val="00F0184D"/>
    <w:rsid w:val="00F0228C"/>
    <w:rsid w:val="00F0231E"/>
    <w:rsid w:val="00F02747"/>
    <w:rsid w:val="00F034CF"/>
    <w:rsid w:val="00F03ACC"/>
    <w:rsid w:val="00F0401D"/>
    <w:rsid w:val="00F0487D"/>
    <w:rsid w:val="00F053B9"/>
    <w:rsid w:val="00F05CE5"/>
    <w:rsid w:val="00F06130"/>
    <w:rsid w:val="00F06927"/>
    <w:rsid w:val="00F06BAE"/>
    <w:rsid w:val="00F06F44"/>
    <w:rsid w:val="00F10180"/>
    <w:rsid w:val="00F1093E"/>
    <w:rsid w:val="00F11132"/>
    <w:rsid w:val="00F11426"/>
    <w:rsid w:val="00F11BB9"/>
    <w:rsid w:val="00F11EB7"/>
    <w:rsid w:val="00F1274E"/>
    <w:rsid w:val="00F13726"/>
    <w:rsid w:val="00F13D27"/>
    <w:rsid w:val="00F1414F"/>
    <w:rsid w:val="00F15145"/>
    <w:rsid w:val="00F1519C"/>
    <w:rsid w:val="00F15352"/>
    <w:rsid w:val="00F15AC3"/>
    <w:rsid w:val="00F163AB"/>
    <w:rsid w:val="00F17B07"/>
    <w:rsid w:val="00F20B7D"/>
    <w:rsid w:val="00F20E70"/>
    <w:rsid w:val="00F21627"/>
    <w:rsid w:val="00F21799"/>
    <w:rsid w:val="00F225B7"/>
    <w:rsid w:val="00F229A4"/>
    <w:rsid w:val="00F23E23"/>
    <w:rsid w:val="00F24DE8"/>
    <w:rsid w:val="00F25180"/>
    <w:rsid w:val="00F25796"/>
    <w:rsid w:val="00F25CF7"/>
    <w:rsid w:val="00F25F72"/>
    <w:rsid w:val="00F27FA9"/>
    <w:rsid w:val="00F30A70"/>
    <w:rsid w:val="00F31A22"/>
    <w:rsid w:val="00F31B1F"/>
    <w:rsid w:val="00F32049"/>
    <w:rsid w:val="00F3239E"/>
    <w:rsid w:val="00F323DC"/>
    <w:rsid w:val="00F3272C"/>
    <w:rsid w:val="00F32B71"/>
    <w:rsid w:val="00F33531"/>
    <w:rsid w:val="00F339AB"/>
    <w:rsid w:val="00F339FD"/>
    <w:rsid w:val="00F33B08"/>
    <w:rsid w:val="00F35893"/>
    <w:rsid w:val="00F36329"/>
    <w:rsid w:val="00F367AC"/>
    <w:rsid w:val="00F36AAD"/>
    <w:rsid w:val="00F40526"/>
    <w:rsid w:val="00F40D77"/>
    <w:rsid w:val="00F40F90"/>
    <w:rsid w:val="00F4190E"/>
    <w:rsid w:val="00F4206B"/>
    <w:rsid w:val="00F420A1"/>
    <w:rsid w:val="00F4225F"/>
    <w:rsid w:val="00F42914"/>
    <w:rsid w:val="00F4328A"/>
    <w:rsid w:val="00F43461"/>
    <w:rsid w:val="00F444E3"/>
    <w:rsid w:val="00F4509B"/>
    <w:rsid w:val="00F45253"/>
    <w:rsid w:val="00F45607"/>
    <w:rsid w:val="00F45DBE"/>
    <w:rsid w:val="00F46190"/>
    <w:rsid w:val="00F46585"/>
    <w:rsid w:val="00F468D6"/>
    <w:rsid w:val="00F46BC3"/>
    <w:rsid w:val="00F47ED2"/>
    <w:rsid w:val="00F5172F"/>
    <w:rsid w:val="00F51B7D"/>
    <w:rsid w:val="00F52995"/>
    <w:rsid w:val="00F54775"/>
    <w:rsid w:val="00F55961"/>
    <w:rsid w:val="00F5624F"/>
    <w:rsid w:val="00F56C9F"/>
    <w:rsid w:val="00F56D88"/>
    <w:rsid w:val="00F57799"/>
    <w:rsid w:val="00F5795D"/>
    <w:rsid w:val="00F57AB1"/>
    <w:rsid w:val="00F614AA"/>
    <w:rsid w:val="00F62D5C"/>
    <w:rsid w:val="00F6362D"/>
    <w:rsid w:val="00F643AB"/>
    <w:rsid w:val="00F64C2B"/>
    <w:rsid w:val="00F66D6C"/>
    <w:rsid w:val="00F67248"/>
    <w:rsid w:val="00F675BC"/>
    <w:rsid w:val="00F7236A"/>
    <w:rsid w:val="00F73516"/>
    <w:rsid w:val="00F73FB9"/>
    <w:rsid w:val="00F7411C"/>
    <w:rsid w:val="00F74386"/>
    <w:rsid w:val="00F7494B"/>
    <w:rsid w:val="00F75E43"/>
    <w:rsid w:val="00F75E9F"/>
    <w:rsid w:val="00F76599"/>
    <w:rsid w:val="00F76649"/>
    <w:rsid w:val="00F76D9E"/>
    <w:rsid w:val="00F771A0"/>
    <w:rsid w:val="00F806E4"/>
    <w:rsid w:val="00F815AF"/>
    <w:rsid w:val="00F816F6"/>
    <w:rsid w:val="00F817C8"/>
    <w:rsid w:val="00F81D8C"/>
    <w:rsid w:val="00F82771"/>
    <w:rsid w:val="00F82C4C"/>
    <w:rsid w:val="00F8314A"/>
    <w:rsid w:val="00F83C53"/>
    <w:rsid w:val="00F85A30"/>
    <w:rsid w:val="00F85AE8"/>
    <w:rsid w:val="00F869D4"/>
    <w:rsid w:val="00F86DA5"/>
    <w:rsid w:val="00F87DBF"/>
    <w:rsid w:val="00F9052A"/>
    <w:rsid w:val="00F90746"/>
    <w:rsid w:val="00F90AEC"/>
    <w:rsid w:val="00F90FFB"/>
    <w:rsid w:val="00F92210"/>
    <w:rsid w:val="00F94BE7"/>
    <w:rsid w:val="00F95695"/>
    <w:rsid w:val="00F9598E"/>
    <w:rsid w:val="00F96D26"/>
    <w:rsid w:val="00F96FDA"/>
    <w:rsid w:val="00F97124"/>
    <w:rsid w:val="00F97EC3"/>
    <w:rsid w:val="00FA06E8"/>
    <w:rsid w:val="00FA06FB"/>
    <w:rsid w:val="00FA0A66"/>
    <w:rsid w:val="00FA0F8B"/>
    <w:rsid w:val="00FA1039"/>
    <w:rsid w:val="00FA2EB6"/>
    <w:rsid w:val="00FA3D3D"/>
    <w:rsid w:val="00FA3DE9"/>
    <w:rsid w:val="00FA4B4B"/>
    <w:rsid w:val="00FA4E1C"/>
    <w:rsid w:val="00FA58DE"/>
    <w:rsid w:val="00FA6878"/>
    <w:rsid w:val="00FA7755"/>
    <w:rsid w:val="00FA789F"/>
    <w:rsid w:val="00FB0847"/>
    <w:rsid w:val="00FB123B"/>
    <w:rsid w:val="00FB3D01"/>
    <w:rsid w:val="00FB4265"/>
    <w:rsid w:val="00FB4393"/>
    <w:rsid w:val="00FB4482"/>
    <w:rsid w:val="00FB5712"/>
    <w:rsid w:val="00FB5C8E"/>
    <w:rsid w:val="00FB679F"/>
    <w:rsid w:val="00FB6DF0"/>
    <w:rsid w:val="00FB7E94"/>
    <w:rsid w:val="00FC048A"/>
    <w:rsid w:val="00FC088C"/>
    <w:rsid w:val="00FC1352"/>
    <w:rsid w:val="00FC1ABA"/>
    <w:rsid w:val="00FC263B"/>
    <w:rsid w:val="00FC27A1"/>
    <w:rsid w:val="00FC2987"/>
    <w:rsid w:val="00FC30AF"/>
    <w:rsid w:val="00FC3233"/>
    <w:rsid w:val="00FC366F"/>
    <w:rsid w:val="00FC42E4"/>
    <w:rsid w:val="00FC465D"/>
    <w:rsid w:val="00FC52FC"/>
    <w:rsid w:val="00FC69CD"/>
    <w:rsid w:val="00FC6CA8"/>
    <w:rsid w:val="00FC73D9"/>
    <w:rsid w:val="00FD0A3F"/>
    <w:rsid w:val="00FD1AC6"/>
    <w:rsid w:val="00FD1CA8"/>
    <w:rsid w:val="00FD2D61"/>
    <w:rsid w:val="00FD3F85"/>
    <w:rsid w:val="00FD40FA"/>
    <w:rsid w:val="00FD45A0"/>
    <w:rsid w:val="00FD46A5"/>
    <w:rsid w:val="00FD48D0"/>
    <w:rsid w:val="00FD600F"/>
    <w:rsid w:val="00FD66CD"/>
    <w:rsid w:val="00FD686F"/>
    <w:rsid w:val="00FD7584"/>
    <w:rsid w:val="00FE0C78"/>
    <w:rsid w:val="00FE0CE3"/>
    <w:rsid w:val="00FE0DA7"/>
    <w:rsid w:val="00FE1681"/>
    <w:rsid w:val="00FE1B44"/>
    <w:rsid w:val="00FE2954"/>
    <w:rsid w:val="00FE3A89"/>
    <w:rsid w:val="00FE3D02"/>
    <w:rsid w:val="00FE3E27"/>
    <w:rsid w:val="00FE4010"/>
    <w:rsid w:val="00FE4012"/>
    <w:rsid w:val="00FE7495"/>
    <w:rsid w:val="00FE794C"/>
    <w:rsid w:val="00FE7984"/>
    <w:rsid w:val="00FF00A0"/>
    <w:rsid w:val="00FF03BE"/>
    <w:rsid w:val="00FF07E8"/>
    <w:rsid w:val="00FF13C4"/>
    <w:rsid w:val="00FF1445"/>
    <w:rsid w:val="00FF1945"/>
    <w:rsid w:val="00FF1B92"/>
    <w:rsid w:val="00FF22EA"/>
    <w:rsid w:val="00FF2859"/>
    <w:rsid w:val="00FF2D23"/>
    <w:rsid w:val="00FF31AF"/>
    <w:rsid w:val="00FF4126"/>
    <w:rsid w:val="00FF4242"/>
    <w:rsid w:val="00FF4360"/>
    <w:rsid w:val="00FF5C61"/>
    <w:rsid w:val="00FF6A86"/>
    <w:rsid w:val="00FF6ED7"/>
    <w:rsid w:val="00FF707C"/>
    <w:rsid w:val="00FF77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none [3215]" stroke="f">
      <v:fill color="none [3215]"/>
      <v:stroke on="f"/>
    </o:shapedefaults>
    <o:shapelayout v:ext="edit">
      <o:idmap v:ext="edit" data="1"/>
    </o:shapelayout>
  </w:shapeDefaults>
  <w:decimalSymbol w:val="."/>
  <w:listSeparator w:val=","/>
  <w14:docId w14:val="1C78D3FA"/>
  <w15:docId w15:val="{14D10EAF-4981-468C-940D-EC009D5E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imes New Roman" w:hAnsi="Georgia" w:cs="Times New Roman"/>
        <w:lang w:val="en-AU" w:eastAsia="en-AU"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iPriority="9"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iPriority="39" w:unhideWhenUsed="1"/>
    <w:lsdException w:name="toc 7" w:locked="0" w:semiHidden="1" w:uiPriority="39" w:unhideWhenUsed="1"/>
    <w:lsdException w:name="toc 8" w:locked="0" w:semiHidden="1"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iPriority="99" w:unhideWhenUsed="1"/>
    <w:lsdException w:name="endnote text" w:locked="0" w:semiHidden="1" w:uiPriority="99" w:unhideWhenUsed="1"/>
    <w:lsdException w:name="table of authorities" w:locked="0" w:semiHidden="1" w:unhideWhenUsed="1"/>
    <w:lsdException w:name="macro" w:semiHidden="1" w:unhideWhenUsed="1"/>
    <w:lsdException w:name="toa heading" w:locked="0" w:semiHidden="1" w:unhideWhenUsed="1"/>
    <w:lsdException w:name="List" w:semiHidden="1" w:unhideWhenUsed="1"/>
    <w:lsdException w:name="List Bullet" w:semiHidden="1" w:unhideWhenUsed="1" w:qFormat="1"/>
    <w:lsdException w:name="List Number" w:semiHidden="1" w:uiPriority="13"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locked="0" w:qFormat="1"/>
    <w:lsdException w:name="Closing" w:locked="0" w:semiHidden="1" w:unhideWhenUsed="1"/>
    <w:lsdException w:name="Signature" w:locked="0"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0" w:semiHidden="1" w:unhideWhenUsed="1"/>
    <w:lsdException w:name="Subtitle" w:locked="0" w:qFormat="1"/>
    <w:lsdException w:name="Salutation" w:locked="0" w:semiHidden="1" w:unhideWhenUsed="1"/>
    <w:lsdException w:name="Date" w:locked="0"/>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qFormat="1"/>
    <w:lsdException w:name="Hyperlink" w:locked="0" w:semiHidden="1" w:uiPriority="99" w:unhideWhenUsed="1"/>
    <w:lsdException w:name="FollowedHyperlink" w:locked="0" w:semiHidden="1" w:unhideWhenUsed="1"/>
    <w:lsdException w:name="Strong" w:locked="0" w:qFormat="1"/>
    <w:lsdException w:name="Emphasis"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locked="0" w:semiHidden="1" w:unhideWhenUsed="1"/>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next w:val="PwCNormal"/>
    <w:qFormat/>
    <w:rsid w:val="00245C02"/>
    <w:pPr>
      <w:kinsoku w:val="0"/>
      <w:overflowPunct w:val="0"/>
      <w:autoSpaceDE w:val="0"/>
      <w:autoSpaceDN w:val="0"/>
      <w:adjustRightInd w:val="0"/>
      <w:snapToGrid w:val="0"/>
    </w:pPr>
    <w:rPr>
      <w:rFonts w:cs="Arial"/>
      <w:snapToGrid w:val="0"/>
      <w:lang w:eastAsia="en-US"/>
    </w:rPr>
  </w:style>
  <w:style w:type="paragraph" w:styleId="Heading1">
    <w:name w:val="heading 1"/>
    <w:aliases w:val="Chapter Heading (Long)"/>
    <w:basedOn w:val="Normal"/>
    <w:next w:val="PwCNormal"/>
    <w:qFormat/>
    <w:rsid w:val="00BC0A43"/>
    <w:pPr>
      <w:spacing w:line="720" w:lineRule="atLeast"/>
      <w:outlineLvl w:val="0"/>
    </w:pPr>
    <w:rPr>
      <w:rFonts w:asciiTheme="majorHAnsi" w:hAnsiTheme="majorHAnsi"/>
      <w:b/>
      <w:bCs/>
      <w:i/>
      <w:sz w:val="56"/>
      <w:szCs w:val="72"/>
    </w:rPr>
  </w:style>
  <w:style w:type="paragraph" w:styleId="Heading2">
    <w:name w:val="heading 2"/>
    <w:aliases w:val="Chapter Heading (Short)"/>
    <w:basedOn w:val="Normal"/>
    <w:next w:val="PwCNormal"/>
    <w:link w:val="Heading2Char"/>
    <w:qFormat/>
    <w:rsid w:val="00BE4F03"/>
    <w:pPr>
      <w:keepNext/>
      <w:keepLines/>
      <w:pageBreakBefore/>
      <w:numPr>
        <w:ilvl w:val="1"/>
        <w:numId w:val="27"/>
      </w:numPr>
      <w:spacing w:after="480" w:line="600" w:lineRule="atLeast"/>
      <w:outlineLvl w:val="1"/>
    </w:pPr>
    <w:rPr>
      <w:rFonts w:asciiTheme="majorHAnsi" w:hAnsiTheme="majorHAnsi"/>
      <w:b/>
      <w:bCs/>
      <w:i/>
      <w:iCs/>
      <w:color w:val="000000" w:themeColor="text1"/>
      <w:sz w:val="56"/>
      <w:szCs w:val="36"/>
    </w:rPr>
  </w:style>
  <w:style w:type="paragraph" w:styleId="Heading3">
    <w:name w:val="heading 3"/>
    <w:aliases w:val="Appendix Heading (Long)"/>
    <w:basedOn w:val="Heading1"/>
    <w:next w:val="PwCNormal"/>
    <w:qFormat/>
    <w:rsid w:val="008D4477"/>
    <w:pPr>
      <w:outlineLvl w:val="2"/>
    </w:pPr>
    <w:rPr>
      <w:bCs w:val="0"/>
    </w:rPr>
  </w:style>
  <w:style w:type="paragraph" w:styleId="Heading4">
    <w:name w:val="heading 4"/>
    <w:aliases w:val="Appendix Heading (Short)"/>
    <w:basedOn w:val="Heading2"/>
    <w:next w:val="PwCNormal"/>
    <w:qFormat/>
    <w:rsid w:val="00AE506B"/>
    <w:pPr>
      <w:pageBreakBefore w:val="0"/>
      <w:numPr>
        <w:ilvl w:val="4"/>
      </w:numPr>
      <w:outlineLvl w:val="3"/>
    </w:pPr>
    <w:rPr>
      <w:bCs w:val="0"/>
    </w:rPr>
  </w:style>
  <w:style w:type="paragraph" w:styleId="Heading5">
    <w:name w:val="heading 5"/>
    <w:basedOn w:val="Heading2"/>
    <w:next w:val="PwCNormal"/>
    <w:qFormat/>
    <w:rsid w:val="00317710"/>
    <w:pPr>
      <w:pageBreakBefore w:val="0"/>
      <w:numPr>
        <w:ilvl w:val="0"/>
        <w:numId w:val="0"/>
      </w:numPr>
      <w:spacing w:before="360" w:line="380" w:lineRule="atLeast"/>
      <w:outlineLvl w:val="4"/>
    </w:pPr>
    <w:rPr>
      <w:bCs w:val="0"/>
      <w:iCs w:val="0"/>
      <w:sz w:val="32"/>
      <w:szCs w:val="32"/>
    </w:rPr>
  </w:style>
  <w:style w:type="paragraph" w:styleId="Heading6">
    <w:name w:val="heading 6"/>
    <w:basedOn w:val="Heading2"/>
    <w:next w:val="PwCNormal"/>
    <w:qFormat/>
    <w:rsid w:val="00BC0A43"/>
    <w:pPr>
      <w:pageBreakBefore w:val="0"/>
      <w:numPr>
        <w:ilvl w:val="2"/>
      </w:numPr>
      <w:spacing w:after="40" w:line="240" w:lineRule="auto"/>
      <w:outlineLvl w:val="5"/>
    </w:pPr>
    <w:rPr>
      <w:bCs w:val="0"/>
      <w:color w:val="A32020" w:themeColor="text2"/>
      <w:sz w:val="32"/>
    </w:rPr>
  </w:style>
  <w:style w:type="paragraph" w:styleId="Heading7">
    <w:name w:val="heading 7"/>
    <w:basedOn w:val="Heading6"/>
    <w:next w:val="PwCNormal"/>
    <w:uiPriority w:val="9"/>
    <w:qFormat/>
    <w:rsid w:val="005C6E53"/>
    <w:pPr>
      <w:numPr>
        <w:ilvl w:val="3"/>
      </w:numPr>
      <w:outlineLvl w:val="6"/>
    </w:pPr>
    <w:rPr>
      <w:b w:val="0"/>
      <w:sz w:val="28"/>
      <w:szCs w:val="28"/>
    </w:rPr>
  </w:style>
  <w:style w:type="paragraph" w:styleId="Heading8">
    <w:name w:val="heading 8"/>
    <w:aliases w:val="Appendix Level 2"/>
    <w:basedOn w:val="Majorheading"/>
    <w:next w:val="PwCNormal"/>
    <w:qFormat/>
    <w:rsid w:val="00BE4F03"/>
    <w:pPr>
      <w:numPr>
        <w:ilvl w:val="6"/>
        <w:numId w:val="27"/>
      </w:numPr>
      <w:outlineLvl w:val="7"/>
    </w:pPr>
    <w:rPr>
      <w:sz w:val="32"/>
      <w:szCs w:val="21"/>
    </w:rPr>
  </w:style>
  <w:style w:type="paragraph" w:styleId="Heading9">
    <w:name w:val="heading 9"/>
    <w:basedOn w:val="Heading8"/>
    <w:next w:val="PwCNormal"/>
    <w:qFormat/>
    <w:rsid w:val="005C6E53"/>
    <w:pPr>
      <w:numPr>
        <w:ilvl w:val="0"/>
        <w:numId w:val="0"/>
      </w:numPr>
      <w:outlineLvl w:val="8"/>
    </w:pPr>
    <w:rPr>
      <w:b w:val="0"/>
      <w:i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76A6"/>
    <w:pPr>
      <w:tabs>
        <w:tab w:val="right" w:pos="8220"/>
      </w:tabs>
    </w:pPr>
    <w:rPr>
      <w:rFonts w:ascii="Arial" w:hAnsi="Arial"/>
      <w:color w:val="000000" w:themeColor="text1"/>
      <w:sz w:val="19"/>
      <w:szCs w:val="18"/>
    </w:rPr>
  </w:style>
  <w:style w:type="paragraph" w:styleId="Footer">
    <w:name w:val="footer"/>
    <w:basedOn w:val="Normal"/>
    <w:link w:val="FooterChar"/>
    <w:rsid w:val="00B376A6"/>
    <w:pPr>
      <w:tabs>
        <w:tab w:val="right" w:pos="8220"/>
      </w:tabs>
      <w:spacing w:line="0" w:lineRule="atLeast"/>
    </w:pPr>
    <w:rPr>
      <w:rFonts w:ascii="Arial" w:hAnsi="Arial"/>
      <w:color w:val="000000" w:themeColor="text1"/>
      <w:sz w:val="19"/>
      <w:szCs w:val="18"/>
    </w:rPr>
  </w:style>
  <w:style w:type="paragraph" w:customStyle="1" w:styleId="TOCtitle">
    <w:name w:val="TOC title"/>
    <w:basedOn w:val="Heading2"/>
    <w:next w:val="PwCNormal"/>
    <w:unhideWhenUsed/>
    <w:rsid w:val="005E2460"/>
    <w:pPr>
      <w:numPr>
        <w:ilvl w:val="0"/>
        <w:numId w:val="0"/>
      </w:numPr>
      <w:spacing w:after="600"/>
    </w:pPr>
    <w:rPr>
      <w:color w:val="auto"/>
    </w:rPr>
  </w:style>
  <w:style w:type="paragraph" w:customStyle="1" w:styleId="Covertitle">
    <w:name w:val="Cover title"/>
    <w:basedOn w:val="KeySentenceInside"/>
    <w:next w:val="Coversubtitle"/>
    <w:rsid w:val="00F323DC"/>
    <w:pPr>
      <w:framePr w:w="2154" w:wrap="notBeside" w:vAnchor="page" w:hAnchor="page" w:x="928" w:y="8427"/>
      <w:spacing w:before="200"/>
      <w:ind w:left="113"/>
    </w:pPr>
    <w:rPr>
      <w:rFonts w:asciiTheme="majorHAnsi" w:hAnsiTheme="majorHAnsi"/>
      <w:color w:val="auto"/>
      <w:sz w:val="19"/>
      <w:lang w:val="en-GB"/>
    </w:rPr>
  </w:style>
  <w:style w:type="paragraph" w:customStyle="1" w:styleId="Coversubtitle">
    <w:name w:val="Cover subtitle"/>
    <w:basedOn w:val="Covertitle"/>
    <w:rsid w:val="006C1EC2"/>
    <w:pPr>
      <w:framePr w:wrap="notBeside"/>
      <w:spacing w:before="180"/>
    </w:pPr>
    <w:rPr>
      <w:bCs/>
      <w:szCs w:val="64"/>
    </w:rPr>
  </w:style>
  <w:style w:type="paragraph" w:customStyle="1" w:styleId="AppendixNumberLong">
    <w:name w:val="Appendix Number (Long)"/>
    <w:basedOn w:val="Heading3"/>
    <w:next w:val="Heading3"/>
    <w:rsid w:val="00BE4F03"/>
    <w:pPr>
      <w:keepNext/>
      <w:keepLines/>
      <w:pageBreakBefore/>
      <w:numPr>
        <w:ilvl w:val="5"/>
        <w:numId w:val="27"/>
      </w:numPr>
    </w:pPr>
    <w:rPr>
      <w:color w:val="000000" w:themeColor="text1"/>
    </w:rPr>
  </w:style>
  <w:style w:type="paragraph" w:customStyle="1" w:styleId="ChapterNumberLong">
    <w:name w:val="Chapter Number (Long)"/>
    <w:basedOn w:val="Heading1"/>
    <w:next w:val="Heading1"/>
    <w:rsid w:val="00BE4F03"/>
    <w:pPr>
      <w:pageBreakBefore/>
      <w:numPr>
        <w:numId w:val="27"/>
      </w:numPr>
    </w:pPr>
  </w:style>
  <w:style w:type="paragraph" w:customStyle="1" w:styleId="Footer-Even">
    <w:name w:val="Footer - Even"/>
    <w:basedOn w:val="Footer"/>
    <w:rsid w:val="00B51CCB"/>
  </w:style>
  <w:style w:type="paragraph" w:customStyle="1" w:styleId="URL">
    <w:name w:val="URL"/>
    <w:basedOn w:val="PwCNormal"/>
    <w:next w:val="PwCNormal"/>
    <w:rsid w:val="00BF2CD7"/>
    <w:pPr>
      <w:framePr w:wrap="around" w:vAnchor="page" w:hAnchor="page" w:x="1022" w:y="568"/>
      <w:spacing w:after="0"/>
    </w:pPr>
    <w:rPr>
      <w:rFonts w:eastAsia="+mn-ea"/>
      <w:snapToGrid/>
      <w:color w:val="A32020" w:themeColor="text2"/>
      <w:sz w:val="36"/>
    </w:rPr>
  </w:style>
  <w:style w:type="paragraph" w:customStyle="1" w:styleId="Indent1">
    <w:name w:val="Indent 1"/>
    <w:basedOn w:val="Normal"/>
    <w:rsid w:val="006C1EC2"/>
    <w:pPr>
      <w:numPr>
        <w:ilvl w:val="1"/>
        <w:numId w:val="9"/>
      </w:numPr>
      <w:spacing w:before="100" w:after="100"/>
    </w:pPr>
    <w:rPr>
      <w:rFonts w:cs="Times New Roman"/>
    </w:rPr>
  </w:style>
  <w:style w:type="paragraph" w:customStyle="1" w:styleId="Indent2">
    <w:name w:val="Indent 2"/>
    <w:basedOn w:val="Indent1"/>
    <w:rsid w:val="00931F8A"/>
    <w:pPr>
      <w:numPr>
        <w:ilvl w:val="2"/>
      </w:numPr>
    </w:pPr>
  </w:style>
  <w:style w:type="paragraph" w:customStyle="1" w:styleId="Indent3">
    <w:name w:val="Indent 3"/>
    <w:basedOn w:val="Indent2"/>
    <w:rsid w:val="00931F8A"/>
    <w:pPr>
      <w:numPr>
        <w:ilvl w:val="3"/>
      </w:numPr>
    </w:pPr>
  </w:style>
  <w:style w:type="paragraph" w:customStyle="1" w:styleId="Indent5">
    <w:name w:val="Indent 5"/>
    <w:basedOn w:val="Indent4"/>
    <w:rsid w:val="00931F8A"/>
    <w:pPr>
      <w:numPr>
        <w:ilvl w:val="5"/>
      </w:numPr>
    </w:pPr>
  </w:style>
  <w:style w:type="paragraph" w:customStyle="1" w:styleId="Indent6">
    <w:name w:val="Indent 6"/>
    <w:basedOn w:val="Indent5"/>
    <w:rsid w:val="00931F8A"/>
    <w:pPr>
      <w:numPr>
        <w:ilvl w:val="6"/>
      </w:numPr>
    </w:pPr>
  </w:style>
  <w:style w:type="paragraph" w:customStyle="1" w:styleId="Indent7">
    <w:name w:val="Indent 7"/>
    <w:basedOn w:val="Indent6"/>
    <w:rsid w:val="00931F8A"/>
    <w:pPr>
      <w:numPr>
        <w:ilvl w:val="7"/>
      </w:numPr>
    </w:pPr>
  </w:style>
  <w:style w:type="numbering" w:customStyle="1" w:styleId="Indents">
    <w:name w:val="Indents"/>
    <w:rsid w:val="00931F8A"/>
    <w:pPr>
      <w:numPr>
        <w:numId w:val="2"/>
      </w:numPr>
    </w:pPr>
  </w:style>
  <w:style w:type="paragraph" w:customStyle="1" w:styleId="Copyright">
    <w:name w:val="Copyright"/>
    <w:basedOn w:val="Normal"/>
    <w:rsid w:val="00C54A4F"/>
    <w:pPr>
      <w:framePr w:wrap="around" w:vAnchor="page" w:hAnchor="page" w:x="1022" w:y="14921"/>
      <w:ind w:right="816"/>
    </w:pPr>
    <w:rPr>
      <w:rFonts w:ascii="Arial" w:hAnsi="Arial"/>
      <w:color w:val="A32020" w:themeColor="text2"/>
      <w:sz w:val="16"/>
      <w:lang w:val="en-US"/>
    </w:rPr>
  </w:style>
  <w:style w:type="paragraph" w:customStyle="1" w:styleId="Header-Even">
    <w:name w:val="Header - Even"/>
    <w:basedOn w:val="Header"/>
    <w:rsid w:val="00B51CCB"/>
  </w:style>
  <w:style w:type="paragraph" w:customStyle="1" w:styleId="PleaseNote">
    <w:name w:val="Please Note"/>
    <w:basedOn w:val="PrefaceTitle"/>
    <w:next w:val="PwCNormal"/>
    <w:rsid w:val="008D4477"/>
    <w:rPr>
      <w:iCs w:val="0"/>
    </w:rPr>
  </w:style>
  <w:style w:type="paragraph" w:customStyle="1" w:styleId="Indent4">
    <w:name w:val="Indent 4"/>
    <w:basedOn w:val="Indent3"/>
    <w:rsid w:val="00931F8A"/>
    <w:pPr>
      <w:numPr>
        <w:ilvl w:val="4"/>
      </w:numPr>
    </w:pPr>
  </w:style>
  <w:style w:type="paragraph" w:styleId="TOC2">
    <w:name w:val="toc 2"/>
    <w:basedOn w:val="TOC1"/>
    <w:next w:val="PwCNormal"/>
    <w:uiPriority w:val="39"/>
    <w:rsid w:val="008D4477"/>
    <w:pPr>
      <w:numPr>
        <w:numId w:val="0"/>
      </w:numPr>
      <w:tabs>
        <w:tab w:val="left" w:pos="567"/>
      </w:tabs>
      <w:ind w:left="567" w:hanging="567"/>
    </w:pPr>
  </w:style>
  <w:style w:type="paragraph" w:styleId="TOC4">
    <w:name w:val="toc 4"/>
    <w:basedOn w:val="TOC2"/>
    <w:next w:val="PwCNormal"/>
    <w:uiPriority w:val="39"/>
    <w:rsid w:val="00A14944"/>
    <w:pPr>
      <w:tabs>
        <w:tab w:val="clear" w:pos="567"/>
        <w:tab w:val="left" w:pos="1134"/>
      </w:tabs>
      <w:ind w:left="1134" w:hanging="1134"/>
    </w:pPr>
  </w:style>
  <w:style w:type="paragraph" w:styleId="TOC7">
    <w:name w:val="toc 7"/>
    <w:basedOn w:val="TOC6"/>
    <w:next w:val="PwCNormal"/>
    <w:uiPriority w:val="39"/>
    <w:rsid w:val="008D4477"/>
    <w:pPr>
      <w:tabs>
        <w:tab w:val="clear" w:pos="1134"/>
        <w:tab w:val="left" w:pos="1985"/>
      </w:tabs>
      <w:ind w:left="1985" w:hanging="851"/>
    </w:pPr>
  </w:style>
  <w:style w:type="paragraph" w:customStyle="1" w:styleId="KeySentenceInside">
    <w:name w:val="Key Sentence Inside"/>
    <w:basedOn w:val="KeySentence"/>
    <w:rsid w:val="006650EF"/>
    <w:pPr>
      <w:framePr w:w="2296" w:wrap="notBeside" w:vAnchor="text" w:hAnchor="margin" w:x="-2521" w:y="1" w:anchorLock="1"/>
    </w:pPr>
  </w:style>
  <w:style w:type="paragraph" w:customStyle="1" w:styleId="ChapterNumberedList1">
    <w:name w:val="Chapter Numbered List 1"/>
    <w:basedOn w:val="PwCNormal"/>
    <w:rsid w:val="00BE4F03"/>
    <w:pPr>
      <w:numPr>
        <w:ilvl w:val="7"/>
        <w:numId w:val="27"/>
      </w:numPr>
    </w:pPr>
  </w:style>
  <w:style w:type="paragraph" w:customStyle="1" w:styleId="ChapterNumberedList2">
    <w:name w:val="Chapter Numbered List 2"/>
    <w:basedOn w:val="ChapterNumberedList1"/>
    <w:rsid w:val="00F614AA"/>
    <w:pPr>
      <w:numPr>
        <w:ilvl w:val="8"/>
      </w:numPr>
    </w:pPr>
  </w:style>
  <w:style w:type="paragraph" w:styleId="TOC6">
    <w:name w:val="toc 6"/>
    <w:basedOn w:val="TOC2"/>
    <w:next w:val="PwCNormal"/>
    <w:uiPriority w:val="39"/>
    <w:rsid w:val="008D4477"/>
    <w:pPr>
      <w:tabs>
        <w:tab w:val="clear" w:pos="567"/>
        <w:tab w:val="left" w:pos="1134"/>
      </w:tabs>
      <w:ind w:left="1134"/>
    </w:pPr>
  </w:style>
  <w:style w:type="paragraph" w:customStyle="1" w:styleId="PwCNormal">
    <w:name w:val="PwC Normal"/>
    <w:aliases w:val="n"/>
    <w:basedOn w:val="Normal"/>
    <w:link w:val="PwCNormalChar"/>
    <w:uiPriority w:val="99"/>
    <w:qFormat/>
    <w:rsid w:val="00126AFF"/>
    <w:pPr>
      <w:numPr>
        <w:numId w:val="9"/>
      </w:numPr>
      <w:spacing w:after="240"/>
    </w:pPr>
  </w:style>
  <w:style w:type="paragraph" w:customStyle="1" w:styleId="CoverDate">
    <w:name w:val="Cover Date"/>
    <w:basedOn w:val="Coversubtitle"/>
    <w:rsid w:val="002D5CE4"/>
    <w:pPr>
      <w:framePr w:wrap="notBeside"/>
    </w:pPr>
  </w:style>
  <w:style w:type="paragraph" w:customStyle="1" w:styleId="KeySentenceOutside">
    <w:name w:val="Key Sentence Outside"/>
    <w:basedOn w:val="KeySentence"/>
    <w:rsid w:val="002627A5"/>
    <w:pPr>
      <w:framePr w:w="2410" w:wrap="around" w:vAnchor="text" w:hAnchor="margin" w:x="7909" w:y="1" w:anchorLock="1"/>
    </w:pPr>
  </w:style>
  <w:style w:type="character" w:customStyle="1" w:styleId="PwCNormalChar">
    <w:name w:val="PwC Normal Char"/>
    <w:aliases w:val="n Char Char"/>
    <w:basedOn w:val="DefaultParagraphFont"/>
    <w:link w:val="PwCNormal"/>
    <w:uiPriority w:val="99"/>
    <w:rsid w:val="00126AFF"/>
    <w:rPr>
      <w:rFonts w:cs="Arial"/>
      <w:snapToGrid w:val="0"/>
      <w:lang w:eastAsia="en-US"/>
    </w:rPr>
  </w:style>
  <w:style w:type="paragraph" w:styleId="TOC1">
    <w:name w:val="toc 1"/>
    <w:basedOn w:val="Normal"/>
    <w:next w:val="PwCNormal"/>
    <w:uiPriority w:val="39"/>
    <w:rsid w:val="001D29AE"/>
    <w:pPr>
      <w:numPr>
        <w:numId w:val="24"/>
      </w:numPr>
      <w:tabs>
        <w:tab w:val="left" w:pos="567"/>
        <w:tab w:val="right" w:pos="8220"/>
      </w:tabs>
      <w:spacing w:before="240" w:after="240" w:line="240" w:lineRule="atLeast"/>
      <w:ind w:right="851"/>
    </w:pPr>
  </w:style>
  <w:style w:type="paragraph" w:customStyle="1" w:styleId="CREATISID">
    <w:name w:val="CREATISID"/>
    <w:basedOn w:val="PwCNormal"/>
    <w:unhideWhenUsed/>
    <w:rsid w:val="008D4477"/>
    <w:pPr>
      <w:framePr w:w="227" w:h="539" w:wrap="notBeside" w:vAnchor="page" w:hAnchor="page" w:x="511" w:y="15594"/>
      <w:numPr>
        <w:numId w:val="0"/>
      </w:numPr>
      <w:spacing w:after="0"/>
      <w:textDirection w:val="btLr"/>
    </w:pPr>
    <w:rPr>
      <w:rFonts w:eastAsia="MS Mincho"/>
      <w:sz w:val="10"/>
      <w:szCs w:val="12"/>
      <w:lang w:eastAsia="ja-JP"/>
    </w:rPr>
  </w:style>
  <w:style w:type="numbering" w:customStyle="1" w:styleId="BulletList">
    <w:name w:val="Bullet List"/>
    <w:rsid w:val="0021094E"/>
    <w:pPr>
      <w:numPr>
        <w:numId w:val="1"/>
      </w:numPr>
    </w:pPr>
  </w:style>
  <w:style w:type="paragraph" w:customStyle="1" w:styleId="Footer-Landscape">
    <w:name w:val="Footer - Landscape"/>
    <w:basedOn w:val="Footer"/>
    <w:rsid w:val="008D4477"/>
    <w:pPr>
      <w:tabs>
        <w:tab w:val="clear" w:pos="8220"/>
        <w:tab w:val="right" w:pos="14797"/>
      </w:tabs>
    </w:pPr>
  </w:style>
  <w:style w:type="paragraph" w:customStyle="1" w:styleId="TableBullet1Normal">
    <w:name w:val="Table Bullet 1 Normal"/>
    <w:basedOn w:val="TableTextNormal"/>
    <w:rsid w:val="00317710"/>
    <w:pPr>
      <w:numPr>
        <w:numId w:val="6"/>
      </w:numPr>
      <w:spacing w:before="40" w:after="40"/>
    </w:pPr>
  </w:style>
  <w:style w:type="paragraph" w:customStyle="1" w:styleId="TableTextNormal">
    <w:name w:val="Table Text Normal"/>
    <w:basedOn w:val="Normal"/>
    <w:rsid w:val="00053B82"/>
    <w:pPr>
      <w:spacing w:before="80" w:after="80"/>
    </w:pPr>
  </w:style>
  <w:style w:type="paragraph" w:customStyle="1" w:styleId="TableBullet1Small">
    <w:name w:val="Table Bullet 1 Small"/>
    <w:basedOn w:val="TableTextSmall"/>
    <w:rsid w:val="00317710"/>
    <w:pPr>
      <w:numPr>
        <w:numId w:val="7"/>
      </w:numPr>
      <w:spacing w:before="20" w:after="20"/>
    </w:pPr>
  </w:style>
  <w:style w:type="paragraph" w:customStyle="1" w:styleId="TableTextSmall">
    <w:name w:val="Table Text Small"/>
    <w:basedOn w:val="Normal"/>
    <w:rsid w:val="00020F7F"/>
    <w:pPr>
      <w:spacing w:before="40" w:after="40"/>
    </w:pPr>
    <w:rPr>
      <w:rFonts w:ascii="Arial" w:hAnsi="Arial"/>
      <w:sz w:val="16"/>
      <w:szCs w:val="18"/>
    </w:rPr>
  </w:style>
  <w:style w:type="paragraph" w:customStyle="1" w:styleId="TableBullet3Normal">
    <w:name w:val="Table Bullet 3 Normal"/>
    <w:basedOn w:val="TableBullet2Normal"/>
    <w:rsid w:val="008D4477"/>
    <w:pPr>
      <w:numPr>
        <w:ilvl w:val="2"/>
      </w:numPr>
    </w:pPr>
  </w:style>
  <w:style w:type="paragraph" w:customStyle="1" w:styleId="TableBullet3Small">
    <w:name w:val="Table Bullet 3 Small"/>
    <w:basedOn w:val="TableBullet2Small"/>
    <w:rsid w:val="008D4477"/>
    <w:pPr>
      <w:numPr>
        <w:ilvl w:val="2"/>
      </w:numPr>
    </w:pPr>
    <w:rPr>
      <w:szCs w:val="16"/>
    </w:rPr>
  </w:style>
  <w:style w:type="paragraph" w:customStyle="1" w:styleId="BlockText2">
    <w:name w:val="Block Text 2"/>
    <w:basedOn w:val="Normal"/>
    <w:qFormat/>
    <w:rsid w:val="0071186F"/>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kinsoku/>
      <w:overflowPunct/>
      <w:autoSpaceDE/>
      <w:autoSpaceDN/>
      <w:adjustRightInd/>
      <w:snapToGrid/>
      <w:spacing w:after="240"/>
      <w:ind w:left="227" w:right="227"/>
    </w:pPr>
    <w:rPr>
      <w:rFonts w:eastAsiaTheme="minorHAnsi" w:cstheme="minorBidi"/>
      <w:i/>
      <w:snapToGrid/>
      <w:color w:val="FFFFFF" w:themeColor="background2"/>
      <w:sz w:val="48"/>
      <w:szCs w:val="48"/>
      <w:lang w:val="en-GB"/>
    </w:rPr>
  </w:style>
  <w:style w:type="paragraph" w:customStyle="1" w:styleId="Appendix">
    <w:name w:val="Appendix"/>
    <w:basedOn w:val="Heading1"/>
    <w:next w:val="Normal"/>
    <w:uiPriority w:val="99"/>
    <w:qFormat/>
    <w:rsid w:val="0071186F"/>
    <w:pPr>
      <w:keepNext/>
      <w:keepLines/>
      <w:numPr>
        <w:numId w:val="12"/>
      </w:numPr>
      <w:kinsoku/>
      <w:overflowPunct/>
      <w:autoSpaceDE/>
      <w:autoSpaceDN/>
      <w:adjustRightInd/>
      <w:snapToGrid/>
      <w:spacing w:after="480" w:line="600" w:lineRule="atLeast"/>
    </w:pPr>
    <w:rPr>
      <w:rFonts w:eastAsiaTheme="majorEastAsia" w:cstheme="majorBidi"/>
      <w:snapToGrid/>
      <w:szCs w:val="28"/>
      <w:lang w:val="en-GB"/>
    </w:rPr>
  </w:style>
  <w:style w:type="numbering" w:customStyle="1" w:styleId="PwCAppendixList1">
    <w:name w:val="PwC Appendix List 1"/>
    <w:uiPriority w:val="99"/>
    <w:rsid w:val="0071186F"/>
    <w:pPr>
      <w:numPr>
        <w:numId w:val="11"/>
      </w:numPr>
    </w:pPr>
  </w:style>
  <w:style w:type="paragraph" w:styleId="Caption">
    <w:name w:val="caption"/>
    <w:basedOn w:val="Normal"/>
    <w:next w:val="Normal"/>
    <w:uiPriority w:val="35"/>
    <w:unhideWhenUsed/>
    <w:qFormat/>
    <w:rsid w:val="004C7A29"/>
    <w:pPr>
      <w:keepNext/>
      <w:keepLines/>
      <w:tabs>
        <w:tab w:val="left" w:pos="992"/>
      </w:tabs>
      <w:spacing w:before="240" w:after="120"/>
      <w:ind w:left="992" w:hanging="992"/>
    </w:pPr>
    <w:rPr>
      <w:rFonts w:asciiTheme="majorHAnsi" w:hAnsiTheme="majorHAnsi"/>
      <w:b/>
      <w:bCs/>
      <w:color w:val="A32020" w:themeColor="text2"/>
      <w:szCs w:val="18"/>
    </w:rPr>
  </w:style>
  <w:style w:type="paragraph" w:customStyle="1" w:styleId="Majorheading">
    <w:name w:val="Major heading"/>
    <w:basedOn w:val="Normal"/>
    <w:next w:val="PwCNormal"/>
    <w:rsid w:val="0095290F"/>
    <w:pPr>
      <w:keepNext/>
      <w:keepLines/>
      <w:spacing w:before="240" w:after="40"/>
    </w:pPr>
    <w:rPr>
      <w:rFonts w:asciiTheme="majorHAnsi" w:hAnsiTheme="majorHAnsi"/>
      <w:b/>
      <w:i/>
      <w:color w:val="A32020" w:themeColor="text2"/>
      <w:sz w:val="28"/>
      <w:szCs w:val="24"/>
    </w:rPr>
  </w:style>
  <w:style w:type="numbering" w:customStyle="1" w:styleId="TableBulletNormalList">
    <w:name w:val="Table Bullet Normal List"/>
    <w:rsid w:val="0021094E"/>
    <w:pPr>
      <w:numPr>
        <w:numId w:val="4"/>
      </w:numPr>
    </w:pPr>
  </w:style>
  <w:style w:type="paragraph" w:customStyle="1" w:styleId="Disclaimer">
    <w:name w:val="Disclaimer"/>
    <w:basedOn w:val="Normal"/>
    <w:unhideWhenUsed/>
    <w:rsid w:val="000377D1"/>
    <w:pPr>
      <w:spacing w:after="140"/>
    </w:pPr>
    <w:rPr>
      <w:rFonts w:ascii="Arial" w:hAnsi="Arial"/>
      <w:sz w:val="16"/>
    </w:rPr>
  </w:style>
  <w:style w:type="paragraph" w:customStyle="1" w:styleId="Footer-LandscapeEven">
    <w:name w:val="Footer - Landscape Even"/>
    <w:basedOn w:val="Footer-Landscape"/>
    <w:rsid w:val="008D4477"/>
  </w:style>
  <w:style w:type="paragraph" w:customStyle="1" w:styleId="PwCNormal-Single">
    <w:name w:val="PwC Normal - Single"/>
    <w:basedOn w:val="PwCNormal"/>
    <w:rsid w:val="00126AFF"/>
    <w:pPr>
      <w:numPr>
        <w:numId w:val="0"/>
      </w:numPr>
      <w:spacing w:after="0"/>
    </w:pPr>
  </w:style>
  <w:style w:type="numbering" w:customStyle="1" w:styleId="TableNumberdListNormal">
    <w:name w:val="Table Numberd List Normal"/>
    <w:uiPriority w:val="99"/>
    <w:rsid w:val="00EA47AB"/>
    <w:pPr>
      <w:numPr>
        <w:numId w:val="14"/>
      </w:numPr>
    </w:pPr>
  </w:style>
  <w:style w:type="numbering" w:customStyle="1" w:styleId="TableNumberedListSmall">
    <w:name w:val="Table Numbered List Small"/>
    <w:uiPriority w:val="99"/>
    <w:rsid w:val="00EA47AB"/>
    <w:pPr>
      <w:numPr>
        <w:numId w:val="16"/>
      </w:numPr>
    </w:pPr>
  </w:style>
  <w:style w:type="paragraph" w:customStyle="1" w:styleId="TableIndent2Normal">
    <w:name w:val="Table Indent 2 Normal"/>
    <w:basedOn w:val="TableIndent1Normal"/>
    <w:rsid w:val="008D4477"/>
    <w:pPr>
      <w:ind w:left="567"/>
    </w:pPr>
  </w:style>
  <w:style w:type="paragraph" w:customStyle="1" w:styleId="TableIndent2Small">
    <w:name w:val="Table Indent 2 Small"/>
    <w:basedOn w:val="TableIndent1Small"/>
    <w:rsid w:val="00461AF8"/>
    <w:pPr>
      <w:ind w:left="567"/>
    </w:pPr>
    <w:rPr>
      <w:szCs w:val="16"/>
    </w:rPr>
  </w:style>
  <w:style w:type="paragraph" w:customStyle="1" w:styleId="KeySentence">
    <w:name w:val="Key Sentence"/>
    <w:basedOn w:val="Normal"/>
    <w:rsid w:val="00A86844"/>
    <w:pPr>
      <w:spacing w:after="160" w:line="260" w:lineRule="atLeast"/>
    </w:pPr>
    <w:rPr>
      <w:i/>
      <w:color w:val="A32020" w:themeColor="text2"/>
      <w:sz w:val="16"/>
      <w:szCs w:val="18"/>
    </w:rPr>
  </w:style>
  <w:style w:type="numbering" w:customStyle="1" w:styleId="TableNumberedListS">
    <w:name w:val="Table Numbered List S"/>
    <w:rsid w:val="008D4477"/>
  </w:style>
  <w:style w:type="paragraph" w:customStyle="1" w:styleId="PrefaceTitle">
    <w:name w:val="Preface Title"/>
    <w:basedOn w:val="Heading2"/>
    <w:next w:val="PwCNormal"/>
    <w:rsid w:val="00C75673"/>
    <w:pPr>
      <w:numPr>
        <w:ilvl w:val="0"/>
        <w:numId w:val="0"/>
      </w:numPr>
    </w:pPr>
  </w:style>
  <w:style w:type="paragraph" w:customStyle="1" w:styleId="Sources">
    <w:name w:val="Sources"/>
    <w:basedOn w:val="Normal"/>
    <w:next w:val="PwCNormal"/>
    <w:rsid w:val="006742E0"/>
    <w:pPr>
      <w:spacing w:before="80" w:after="240" w:line="180" w:lineRule="atLeast"/>
    </w:pPr>
    <w:rPr>
      <w:color w:val="A32020" w:themeColor="text2"/>
      <w:sz w:val="16"/>
    </w:rPr>
  </w:style>
  <w:style w:type="paragraph" w:customStyle="1" w:styleId="Minorheading">
    <w:name w:val="Minor heading"/>
    <w:basedOn w:val="Majorheading"/>
    <w:next w:val="PwCNormal"/>
    <w:rsid w:val="003C52DC"/>
    <w:pPr>
      <w:spacing w:line="180" w:lineRule="atLeast"/>
    </w:pPr>
    <w:rPr>
      <w:b w:val="0"/>
      <w:sz w:val="26"/>
    </w:rPr>
  </w:style>
  <w:style w:type="paragraph" w:customStyle="1" w:styleId="Minorheading2">
    <w:name w:val="Minor heading 2"/>
    <w:basedOn w:val="Minorheading"/>
    <w:next w:val="PwCNormal"/>
    <w:rsid w:val="00D657FC"/>
    <w:pPr>
      <w:spacing w:line="240" w:lineRule="atLeast"/>
    </w:pPr>
    <w:rPr>
      <w:b/>
      <w:i w:val="0"/>
      <w:sz w:val="20"/>
    </w:rPr>
  </w:style>
  <w:style w:type="numbering" w:customStyle="1" w:styleId="PwCListNumbers1">
    <w:name w:val="PwC List Numbers 1"/>
    <w:uiPriority w:val="99"/>
    <w:rsid w:val="0071186F"/>
    <w:pPr>
      <w:numPr>
        <w:numId w:val="13"/>
      </w:numPr>
    </w:pPr>
  </w:style>
  <w:style w:type="paragraph" w:customStyle="1" w:styleId="BlockText3">
    <w:name w:val="Block Text 3"/>
    <w:basedOn w:val="BlockText"/>
    <w:qFormat/>
    <w:rsid w:val="0071186F"/>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kinsoku/>
      <w:overflowPunct/>
      <w:autoSpaceDE/>
      <w:autoSpaceDN/>
      <w:adjustRightInd/>
      <w:snapToGrid/>
      <w:ind w:left="227" w:right="227"/>
    </w:pPr>
    <w:rPr>
      <w:snapToGrid/>
      <w:sz w:val="96"/>
      <w:lang w:val="en-GB"/>
    </w:rPr>
  </w:style>
  <w:style w:type="paragraph" w:customStyle="1" w:styleId="TableBullet2Normal">
    <w:name w:val="Table Bullet 2 Normal"/>
    <w:basedOn w:val="TableBullet1Normal"/>
    <w:rsid w:val="008D4477"/>
    <w:pPr>
      <w:numPr>
        <w:ilvl w:val="1"/>
      </w:numPr>
    </w:pPr>
  </w:style>
  <w:style w:type="paragraph" w:customStyle="1" w:styleId="TableBullet2Small">
    <w:name w:val="Table Bullet 2 Small"/>
    <w:basedOn w:val="TableBullet1Small"/>
    <w:rsid w:val="008D4477"/>
    <w:pPr>
      <w:numPr>
        <w:ilvl w:val="1"/>
      </w:numPr>
    </w:pPr>
  </w:style>
  <w:style w:type="paragraph" w:customStyle="1" w:styleId="TableIndent1Normal">
    <w:name w:val="Table Indent 1 Normal"/>
    <w:basedOn w:val="TableBullet1Normal"/>
    <w:rsid w:val="008D4477"/>
    <w:pPr>
      <w:numPr>
        <w:numId w:val="0"/>
      </w:numPr>
      <w:ind w:left="284"/>
    </w:pPr>
  </w:style>
  <w:style w:type="paragraph" w:customStyle="1" w:styleId="TableIndent1Small">
    <w:name w:val="Table Indent 1 Small"/>
    <w:basedOn w:val="TableBullet1Small"/>
    <w:rsid w:val="00461AF8"/>
    <w:pPr>
      <w:numPr>
        <w:numId w:val="0"/>
      </w:numPr>
      <w:ind w:left="284"/>
    </w:pPr>
  </w:style>
  <w:style w:type="paragraph" w:customStyle="1" w:styleId="SubHeading">
    <w:name w:val="Sub Heading"/>
    <w:basedOn w:val="PwCNormal"/>
    <w:rsid w:val="00930AB8"/>
    <w:pPr>
      <w:spacing w:after="480" w:line="600" w:lineRule="atLeast"/>
    </w:pPr>
    <w:rPr>
      <w:sz w:val="56"/>
    </w:rPr>
  </w:style>
  <w:style w:type="paragraph" w:styleId="FootnoteText">
    <w:name w:val="footnote text"/>
    <w:basedOn w:val="Normal"/>
    <w:link w:val="FootnoteTextChar"/>
    <w:rsid w:val="005F07CE"/>
    <w:pPr>
      <w:tabs>
        <w:tab w:val="left" w:pos="284"/>
      </w:tabs>
      <w:spacing w:before="80" w:after="80"/>
      <w:ind w:left="227" w:hanging="227"/>
    </w:pPr>
    <w:rPr>
      <w:sz w:val="14"/>
    </w:rPr>
  </w:style>
  <w:style w:type="character" w:styleId="FootnoteReference">
    <w:name w:val="footnote reference"/>
    <w:basedOn w:val="DefaultParagraphFont"/>
    <w:rsid w:val="00317710"/>
    <w:rPr>
      <w:rFonts w:cs="Arial"/>
      <w:sz w:val="21"/>
      <w:vertAlign w:val="superscript"/>
    </w:rPr>
  </w:style>
  <w:style w:type="character" w:styleId="EndnoteReference">
    <w:name w:val="endnote reference"/>
    <w:basedOn w:val="DefaultParagraphFont"/>
    <w:uiPriority w:val="99"/>
    <w:semiHidden/>
    <w:unhideWhenUsed/>
    <w:rsid w:val="008D4477"/>
    <w:rPr>
      <w:rFonts w:ascii="Arial" w:hAnsi="Arial" w:cs="Arial"/>
      <w:sz w:val="21"/>
      <w:vertAlign w:val="superscript"/>
    </w:rPr>
  </w:style>
  <w:style w:type="paragraph" w:styleId="EndnoteText">
    <w:name w:val="endnote text"/>
    <w:basedOn w:val="FootnoteText"/>
    <w:link w:val="EndnoteTextChar"/>
    <w:uiPriority w:val="99"/>
    <w:semiHidden/>
    <w:unhideWhenUsed/>
    <w:rsid w:val="008D4477"/>
  </w:style>
  <w:style w:type="paragraph" w:customStyle="1" w:styleId="Address">
    <w:name w:val="Address"/>
    <w:basedOn w:val="Normal"/>
    <w:qFormat/>
    <w:rsid w:val="009231BC"/>
    <w:pPr>
      <w:kinsoku/>
      <w:overflowPunct/>
      <w:autoSpaceDE/>
      <w:autoSpaceDN/>
      <w:adjustRightInd/>
      <w:snapToGrid/>
      <w:spacing w:line="200" w:lineRule="atLeast"/>
    </w:pPr>
    <w:rPr>
      <w:rFonts w:eastAsiaTheme="minorHAnsi" w:cstheme="minorBidi"/>
      <w:i/>
      <w:noProof/>
      <w:snapToGrid/>
      <w:sz w:val="18"/>
      <w:szCs w:val="22"/>
      <w:lang w:val="en-GB" w:eastAsia="en-GB"/>
    </w:rPr>
  </w:style>
  <w:style w:type="table" w:styleId="TableGrid">
    <w:name w:val="Table Grid"/>
    <w:basedOn w:val="TableNormal"/>
    <w:uiPriority w:val="39"/>
    <w:locked/>
    <w:rsid w:val="008D4477"/>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TOC1"/>
    <w:next w:val="PwCNormal"/>
    <w:uiPriority w:val="39"/>
    <w:rsid w:val="008D4477"/>
    <w:pPr>
      <w:numPr>
        <w:ilvl w:val="2"/>
      </w:numPr>
    </w:pPr>
  </w:style>
  <w:style w:type="paragraph" w:styleId="TOC5">
    <w:name w:val="toc 5"/>
    <w:basedOn w:val="TOC2"/>
    <w:next w:val="PwCNormal"/>
    <w:rsid w:val="008D4477"/>
  </w:style>
  <w:style w:type="paragraph" w:styleId="TOC8">
    <w:name w:val="toc 8"/>
    <w:basedOn w:val="TOC7"/>
    <w:next w:val="PwCNormal"/>
    <w:rsid w:val="008D4477"/>
    <w:pPr>
      <w:tabs>
        <w:tab w:val="clear" w:pos="1985"/>
        <w:tab w:val="left" w:pos="3402"/>
      </w:tabs>
      <w:ind w:left="3403"/>
    </w:pPr>
  </w:style>
  <w:style w:type="paragraph" w:styleId="TOC9">
    <w:name w:val="toc 9"/>
    <w:basedOn w:val="TOC8"/>
    <w:next w:val="PwCNormal"/>
    <w:uiPriority w:val="39"/>
    <w:rsid w:val="008D4477"/>
    <w:pPr>
      <w:tabs>
        <w:tab w:val="clear" w:pos="3402"/>
        <w:tab w:val="left" w:pos="4253"/>
      </w:tabs>
      <w:ind w:left="4253"/>
    </w:pPr>
  </w:style>
  <w:style w:type="paragraph" w:customStyle="1" w:styleId="Separator">
    <w:name w:val="Separator"/>
    <w:basedOn w:val="Normal"/>
    <w:semiHidden/>
    <w:rsid w:val="008D4477"/>
    <w:pPr>
      <w:spacing w:before="240" w:after="120"/>
    </w:pPr>
    <w:rPr>
      <w:sz w:val="16"/>
    </w:rPr>
  </w:style>
  <w:style w:type="numbering" w:customStyle="1" w:styleId="TableNumberedListN">
    <w:name w:val="Table Numbered List N"/>
    <w:rsid w:val="008D4477"/>
  </w:style>
  <w:style w:type="paragraph" w:customStyle="1" w:styleId="TableColumnHeadingNormal">
    <w:name w:val="Table Column Heading Normal"/>
    <w:basedOn w:val="TableTextNormal"/>
    <w:rsid w:val="000B319E"/>
    <w:pPr>
      <w:keepNext/>
      <w:keepLines/>
    </w:pPr>
    <w:rPr>
      <w:b/>
      <w:color w:val="A32020" w:themeColor="text2"/>
    </w:rPr>
  </w:style>
  <w:style w:type="paragraph" w:customStyle="1" w:styleId="TableColumnHeadingSmall">
    <w:name w:val="Table Column Heading Small"/>
    <w:basedOn w:val="TableTextSmall"/>
    <w:next w:val="TableTextSmall"/>
    <w:rsid w:val="00053B82"/>
    <w:pPr>
      <w:keepNext/>
      <w:keepLines/>
    </w:pPr>
    <w:rPr>
      <w:b/>
      <w:color w:val="A32020" w:themeColor="text2"/>
      <w:szCs w:val="16"/>
    </w:rPr>
  </w:style>
  <w:style w:type="numbering" w:customStyle="1" w:styleId="TableBulletSmallList">
    <w:name w:val="Table Bullet Small List"/>
    <w:rsid w:val="0021094E"/>
    <w:pPr>
      <w:numPr>
        <w:numId w:val="3"/>
      </w:numPr>
    </w:pPr>
  </w:style>
  <w:style w:type="paragraph" w:customStyle="1" w:styleId="Header-Landscape">
    <w:name w:val="Header - Landscape"/>
    <w:basedOn w:val="Header"/>
    <w:rsid w:val="008D4477"/>
  </w:style>
  <w:style w:type="character" w:styleId="PageNumber">
    <w:name w:val="page number"/>
    <w:semiHidden/>
    <w:unhideWhenUsed/>
    <w:rsid w:val="008D4477"/>
  </w:style>
  <w:style w:type="paragraph" w:styleId="Date">
    <w:name w:val="Date"/>
    <w:basedOn w:val="Normal"/>
    <w:next w:val="PwCNormal"/>
    <w:semiHidden/>
    <w:rsid w:val="008D4477"/>
  </w:style>
  <w:style w:type="paragraph" w:customStyle="1" w:styleId="Indent8">
    <w:name w:val="Indent 8"/>
    <w:basedOn w:val="Indent7"/>
    <w:rsid w:val="00931F8A"/>
    <w:pPr>
      <w:numPr>
        <w:ilvl w:val="8"/>
      </w:numPr>
    </w:pPr>
  </w:style>
  <w:style w:type="paragraph" w:customStyle="1" w:styleId="Header-LandscapeEven">
    <w:name w:val="Header - Landscape Even"/>
    <w:basedOn w:val="Header-Landscape"/>
    <w:rsid w:val="008D4477"/>
    <w:pPr>
      <w:tabs>
        <w:tab w:val="right" w:pos="14661"/>
      </w:tabs>
    </w:pPr>
  </w:style>
  <w:style w:type="paragraph" w:customStyle="1" w:styleId="Footer-ToC">
    <w:name w:val="Footer - ToC"/>
    <w:basedOn w:val="Footer"/>
    <w:rsid w:val="0064358E"/>
  </w:style>
  <w:style w:type="paragraph" w:customStyle="1" w:styleId="Footer-ToCEven">
    <w:name w:val="Footer - ToC Even"/>
    <w:basedOn w:val="Footer-ToC"/>
    <w:rsid w:val="00BB4286"/>
  </w:style>
  <w:style w:type="table" w:customStyle="1" w:styleId="Tables-APBase">
    <w:name w:val="Tables - AP Base"/>
    <w:basedOn w:val="TableNormal"/>
    <w:rsid w:val="00A87947"/>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paragraph" w:customStyle="1" w:styleId="CVRoleTitle">
    <w:name w:val="CV Role Title"/>
    <w:basedOn w:val="CVText"/>
    <w:rsid w:val="00C70AB2"/>
    <w:pPr>
      <w:pBdr>
        <w:bottom w:val="none" w:sz="0" w:space="0" w:color="00457C"/>
      </w:pBdr>
    </w:pPr>
    <w:rPr>
      <w:i/>
      <w:color w:val="A32020" w:themeColor="text2"/>
      <w:sz w:val="24"/>
      <w:szCs w:val="24"/>
    </w:rPr>
  </w:style>
  <w:style w:type="paragraph" w:customStyle="1" w:styleId="ListBullet1">
    <w:name w:val="List Bullet 1"/>
    <w:basedOn w:val="Normal"/>
    <w:semiHidden/>
    <w:locked/>
    <w:rsid w:val="006C1EC2"/>
    <w:pPr>
      <w:tabs>
        <w:tab w:val="num" w:pos="720"/>
      </w:tabs>
      <w:spacing w:before="100" w:after="100"/>
      <w:ind w:left="720" w:hanging="720"/>
    </w:pPr>
  </w:style>
  <w:style w:type="paragraph" w:styleId="ListBullet2">
    <w:name w:val="List Bullet 2"/>
    <w:basedOn w:val="ListBullet1"/>
    <w:qFormat/>
    <w:locked/>
    <w:rsid w:val="00CC25DA"/>
    <w:pPr>
      <w:numPr>
        <w:ilvl w:val="1"/>
        <w:numId w:val="5"/>
      </w:numPr>
      <w:spacing w:before="0" w:after="240"/>
    </w:pPr>
  </w:style>
  <w:style w:type="paragraph" w:styleId="ListBullet4">
    <w:name w:val="List Bullet 4"/>
    <w:basedOn w:val="ListBullet3"/>
    <w:unhideWhenUsed/>
    <w:locked/>
    <w:rsid w:val="00F614AA"/>
    <w:pPr>
      <w:numPr>
        <w:ilvl w:val="3"/>
      </w:numPr>
    </w:pPr>
  </w:style>
  <w:style w:type="paragraph" w:customStyle="1" w:styleId="CVBullet1">
    <w:name w:val="CV Bullet 1"/>
    <w:basedOn w:val="CVText"/>
    <w:rsid w:val="00C72147"/>
    <w:pPr>
      <w:numPr>
        <w:numId w:val="10"/>
      </w:numPr>
      <w:spacing w:before="40" w:after="40"/>
    </w:pPr>
  </w:style>
  <w:style w:type="paragraph" w:customStyle="1" w:styleId="CVDetails">
    <w:name w:val="CV Details"/>
    <w:basedOn w:val="CVRoleTitle"/>
    <w:rsid w:val="001226BE"/>
    <w:pPr>
      <w:spacing w:before="120" w:after="40"/>
    </w:pPr>
    <w:rPr>
      <w:sz w:val="14"/>
    </w:rPr>
  </w:style>
  <w:style w:type="paragraph" w:customStyle="1" w:styleId="CVHeading2">
    <w:name w:val="CV Heading 2"/>
    <w:basedOn w:val="CVHeading1"/>
    <w:next w:val="CVText"/>
    <w:rsid w:val="00EF71C9"/>
    <w:pPr>
      <w:pBdr>
        <w:bottom w:val="none" w:sz="0" w:space="0" w:color="00457C"/>
      </w:pBdr>
    </w:pPr>
    <w:rPr>
      <w:b w:val="0"/>
      <w:sz w:val="18"/>
      <w:szCs w:val="24"/>
    </w:rPr>
  </w:style>
  <w:style w:type="paragraph" w:styleId="ListBullet3">
    <w:name w:val="List Bullet 3"/>
    <w:basedOn w:val="ListBullet2"/>
    <w:qFormat/>
    <w:locked/>
    <w:rsid w:val="00CC25DA"/>
    <w:pPr>
      <w:numPr>
        <w:ilvl w:val="2"/>
      </w:numPr>
    </w:pPr>
  </w:style>
  <w:style w:type="paragraph" w:customStyle="1" w:styleId="CVHeading1">
    <w:name w:val="CV Heading 1"/>
    <w:basedOn w:val="CVText"/>
    <w:next w:val="CVText"/>
    <w:rsid w:val="00C70AB2"/>
    <w:pPr>
      <w:keepNext/>
      <w:keepLines/>
      <w:spacing w:before="120"/>
    </w:pPr>
    <w:rPr>
      <w:b/>
      <w:i/>
      <w:color w:val="A32020" w:themeColor="text2"/>
    </w:rPr>
  </w:style>
  <w:style w:type="paragraph" w:customStyle="1" w:styleId="CVPhoto">
    <w:name w:val="CV Photo"/>
    <w:basedOn w:val="CVHeading2"/>
    <w:rsid w:val="00C70AB2"/>
    <w:rPr>
      <w:sz w:val="21"/>
    </w:rPr>
  </w:style>
  <w:style w:type="paragraph" w:customStyle="1" w:styleId="CVText">
    <w:name w:val="CV Text"/>
    <w:basedOn w:val="PwCNormal"/>
    <w:rsid w:val="00C72147"/>
    <w:pPr>
      <w:numPr>
        <w:numId w:val="0"/>
      </w:numPr>
      <w:spacing w:before="80" w:after="80"/>
    </w:pPr>
  </w:style>
  <w:style w:type="paragraph" w:customStyle="1" w:styleId="CVNamelarge">
    <w:name w:val="CV Name large"/>
    <w:basedOn w:val="CVText"/>
    <w:next w:val="CVRoleTitle"/>
    <w:rsid w:val="00C70AB2"/>
    <w:pPr>
      <w:spacing w:before="0"/>
    </w:pPr>
    <w:rPr>
      <w:b/>
      <w:i/>
      <w:color w:val="A32020" w:themeColor="text2"/>
      <w:sz w:val="36"/>
      <w:szCs w:val="24"/>
    </w:rPr>
  </w:style>
  <w:style w:type="paragraph" w:customStyle="1" w:styleId="CVBullet2">
    <w:name w:val="CV Bullet 2"/>
    <w:basedOn w:val="CVBullet1"/>
    <w:rsid w:val="008D4477"/>
    <w:pPr>
      <w:numPr>
        <w:ilvl w:val="1"/>
      </w:numPr>
    </w:pPr>
  </w:style>
  <w:style w:type="paragraph" w:styleId="Title">
    <w:name w:val="Title"/>
    <w:basedOn w:val="Normal"/>
    <w:semiHidden/>
    <w:qFormat/>
    <w:rsid w:val="008D4477"/>
    <w:pPr>
      <w:spacing w:before="240" w:after="60"/>
      <w:jc w:val="center"/>
      <w:outlineLvl w:val="0"/>
    </w:pPr>
    <w:rPr>
      <w:b/>
      <w:bCs/>
      <w:color w:val="A32020" w:themeColor="text2"/>
      <w:kern w:val="28"/>
      <w:sz w:val="32"/>
      <w:szCs w:val="32"/>
    </w:rPr>
  </w:style>
  <w:style w:type="paragraph" w:styleId="BalloonText">
    <w:name w:val="Balloon Text"/>
    <w:basedOn w:val="Normal"/>
    <w:semiHidden/>
    <w:locked/>
    <w:rsid w:val="008D4477"/>
    <w:rPr>
      <w:rFonts w:ascii="Tahoma" w:hAnsi="Tahoma"/>
      <w:sz w:val="16"/>
      <w:szCs w:val="16"/>
    </w:rPr>
  </w:style>
  <w:style w:type="numbering" w:customStyle="1" w:styleId="Style1">
    <w:name w:val="Style1"/>
    <w:uiPriority w:val="99"/>
    <w:rsid w:val="00D424C7"/>
    <w:pPr>
      <w:numPr>
        <w:numId w:val="24"/>
      </w:numPr>
    </w:pPr>
  </w:style>
  <w:style w:type="numbering" w:customStyle="1" w:styleId="IndentList">
    <w:name w:val="IndentList"/>
    <w:basedOn w:val="NoList"/>
    <w:rsid w:val="008D4477"/>
    <w:pPr>
      <w:numPr>
        <w:numId w:val="37"/>
      </w:numPr>
    </w:pPr>
  </w:style>
  <w:style w:type="paragraph" w:customStyle="1" w:styleId="VersionControl">
    <w:name w:val="Version Control"/>
    <w:basedOn w:val="TOCtitle"/>
    <w:unhideWhenUsed/>
    <w:rsid w:val="007D1C0E"/>
    <w:pPr>
      <w:pageBreakBefore w:val="0"/>
      <w:framePr w:w="9923" w:wrap="around" w:vAnchor="text" w:hAnchor="page" w:x="1498" w:y="1"/>
      <w:spacing w:before="360" w:after="240"/>
    </w:pPr>
    <w:rPr>
      <w:sz w:val="28"/>
    </w:rPr>
  </w:style>
  <w:style w:type="paragraph" w:customStyle="1" w:styleId="VersionTableHeading">
    <w:name w:val="Version Table Heading"/>
    <w:basedOn w:val="VersionTableText"/>
    <w:unhideWhenUsed/>
    <w:rsid w:val="003779E0"/>
    <w:pPr>
      <w:framePr w:wrap="around"/>
    </w:pPr>
  </w:style>
  <w:style w:type="paragraph" w:customStyle="1" w:styleId="VersionTableText">
    <w:name w:val="Version Table Text"/>
    <w:basedOn w:val="VersionControl"/>
    <w:unhideWhenUsed/>
    <w:rsid w:val="003779E0"/>
    <w:pPr>
      <w:framePr w:wrap="around"/>
      <w:spacing w:before="80" w:after="80" w:line="240" w:lineRule="auto"/>
      <w:outlineLvl w:val="9"/>
    </w:pPr>
    <w:rPr>
      <w:rFonts w:ascii="Georgia" w:hAnsi="Georgia"/>
      <w:sz w:val="21"/>
      <w:szCs w:val="20"/>
    </w:rPr>
  </w:style>
  <w:style w:type="table" w:customStyle="1" w:styleId="Tables-APBase2">
    <w:name w:val="Tables - AP Base 2"/>
    <w:basedOn w:val="Tables-APBase"/>
    <w:uiPriority w:val="99"/>
    <w:qFormat/>
    <w:rsid w:val="003779E0"/>
    <w:tblPr/>
    <w:tcPr>
      <w:shd w:val="clear" w:color="auto" w:fill="auto"/>
    </w:tcPr>
    <w:tblStylePr w:type="firstRow">
      <w:pPr>
        <w:jc w:val="center"/>
      </w:pPr>
      <w:rPr>
        <w:rFonts w:asciiTheme="minorHAnsi" w:hAnsiTheme="minorHAnsi"/>
        <w:b/>
        <w:color w:val="FFFFFF" w:themeColor="background2"/>
      </w:rPr>
      <w:tblPr/>
      <w:trPr>
        <w:tblHeader/>
      </w:trPr>
      <w:tcPr>
        <w:tcBorders>
          <w:top w:val="single" w:sz="4" w:space="0" w:color="A32020" w:themeColor="text2"/>
          <w:bottom w:val="single" w:sz="4" w:space="0" w:color="A32020" w:themeColor="text2"/>
        </w:tcBorders>
        <w:shd w:val="clear" w:color="auto" w:fill="A32020" w:themeFill="text2"/>
        <w:vAlign w:val="bottom"/>
      </w:tcPr>
    </w:tblStylePr>
    <w:tblStylePr w:type="lastRow">
      <w:rPr>
        <w:color w:val="FFFFFF" w:themeColor="background1"/>
      </w:rPr>
      <w:tblPr/>
      <w:tcPr>
        <w:tcBorders>
          <w:top w:val="single" w:sz="4" w:space="0" w:color="A32020" w:themeColor="text2"/>
        </w:tcBorders>
        <w:shd w:val="clear" w:color="auto" w:fill="A32020" w:themeFill="text2"/>
      </w:tcPr>
    </w:tblStylePr>
    <w:tblStylePr w:type="firstCol">
      <w:tblPr/>
      <w:tcPr>
        <w:shd w:val="clear" w:color="auto" w:fill="FFFFFF" w:themeFill="background2"/>
      </w:tcPr>
    </w:tblStylePr>
    <w:tblStylePr w:type="lastCol">
      <w:tblPr/>
      <w:tcPr>
        <w:shd w:val="clear" w:color="auto" w:fill="FFFFFF" w:themeFill="background2"/>
      </w:tcPr>
    </w:tblStylePr>
    <w:tblStylePr w:type="band2Vert">
      <w:tblPr/>
      <w:tcPr>
        <w:shd w:val="clear" w:color="auto" w:fill="F4CACA" w:themeFill="text2" w:themeFillTint="33"/>
      </w:tcPr>
    </w:tblStylePr>
    <w:tblStylePr w:type="band2Horz">
      <w:tblPr/>
      <w:tcPr>
        <w:shd w:val="clear" w:color="auto" w:fill="F4CACA" w:themeFill="text2" w:themeFillTint="33"/>
      </w:tcPr>
    </w:tblStylePr>
    <w:tblStylePr w:type="nwCell">
      <w:pPr>
        <w:jc w:val="left"/>
      </w:pPr>
      <w:tblPr/>
      <w:tcPr>
        <w:shd w:val="clear" w:color="auto" w:fill="FFFFFF" w:themeFill="background1"/>
        <w:vAlign w:val="bottom"/>
      </w:tcPr>
    </w:tblStylePr>
  </w:style>
  <w:style w:type="character" w:customStyle="1" w:styleId="HeaderChar">
    <w:name w:val="Header Char"/>
    <w:basedOn w:val="DefaultParagraphFont"/>
    <w:link w:val="Header"/>
    <w:locked/>
    <w:rsid w:val="00B376A6"/>
    <w:rPr>
      <w:rFonts w:ascii="Arial" w:hAnsi="Arial" w:cs="Arial"/>
      <w:snapToGrid w:val="0"/>
      <w:color w:val="000000" w:themeColor="text1"/>
      <w:sz w:val="19"/>
      <w:szCs w:val="18"/>
      <w:lang w:eastAsia="en-US"/>
    </w:rPr>
  </w:style>
  <w:style w:type="character" w:customStyle="1" w:styleId="FooterChar">
    <w:name w:val="Footer Char"/>
    <w:basedOn w:val="DefaultParagraphFont"/>
    <w:link w:val="Footer"/>
    <w:locked/>
    <w:rsid w:val="00B376A6"/>
    <w:rPr>
      <w:rFonts w:ascii="Arial" w:hAnsi="Arial" w:cs="Arial"/>
      <w:snapToGrid w:val="0"/>
      <w:color w:val="000000" w:themeColor="text1"/>
      <w:sz w:val="19"/>
      <w:szCs w:val="18"/>
      <w:lang w:eastAsia="en-US"/>
    </w:rPr>
  </w:style>
  <w:style w:type="paragraph" w:customStyle="1" w:styleId="Header-FirstPage">
    <w:name w:val="Header - First Page"/>
    <w:basedOn w:val="Header"/>
    <w:rsid w:val="008D4477"/>
  </w:style>
  <w:style w:type="paragraph" w:customStyle="1" w:styleId="Appendicestitle">
    <w:name w:val="Appendices title"/>
    <w:basedOn w:val="TOCtitle"/>
    <w:qFormat/>
    <w:rsid w:val="00D424C7"/>
    <w:pPr>
      <w:pageBreakBefore w:val="0"/>
      <w:numPr>
        <w:ilvl w:val="1"/>
        <w:numId w:val="24"/>
      </w:numPr>
    </w:pPr>
  </w:style>
  <w:style w:type="numbering" w:customStyle="1" w:styleId="CVBullets">
    <w:name w:val="CV Bullets"/>
    <w:uiPriority w:val="99"/>
    <w:rsid w:val="0021094E"/>
    <w:pPr>
      <w:numPr>
        <w:numId w:val="8"/>
      </w:numPr>
    </w:pPr>
  </w:style>
  <w:style w:type="paragraph" w:styleId="DocumentMap">
    <w:name w:val="Document Map"/>
    <w:basedOn w:val="Normal"/>
    <w:link w:val="DocumentMapChar"/>
    <w:semiHidden/>
    <w:rsid w:val="00235653"/>
    <w:rPr>
      <w:rFonts w:ascii="Tahoma" w:hAnsi="Tahoma" w:cs="Tahoma"/>
      <w:sz w:val="16"/>
      <w:szCs w:val="16"/>
    </w:rPr>
  </w:style>
  <w:style w:type="character" w:customStyle="1" w:styleId="DocumentMapChar">
    <w:name w:val="Document Map Char"/>
    <w:basedOn w:val="DefaultParagraphFont"/>
    <w:link w:val="DocumentMap"/>
    <w:semiHidden/>
    <w:rsid w:val="00235653"/>
    <w:rPr>
      <w:rFonts w:ascii="Tahoma" w:hAnsi="Tahoma" w:cs="Tahoma"/>
      <w:snapToGrid w:val="0"/>
      <w:sz w:val="16"/>
      <w:szCs w:val="16"/>
      <w:lang w:eastAsia="en-US"/>
    </w:rPr>
  </w:style>
  <w:style w:type="table" w:styleId="TableGrid1">
    <w:name w:val="Table Grid 1"/>
    <w:basedOn w:val="TableNormal"/>
    <w:semiHidden/>
    <w:locked/>
    <w:rsid w:val="00CC1D52"/>
    <w:pPr>
      <w:kinsoku w:val="0"/>
      <w:overflowPunct w:val="0"/>
      <w:autoSpaceDE w:val="0"/>
      <w:autoSpaceDN w:val="0"/>
      <w:adjustRightInd w:val="0"/>
      <w:snapToGri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CC1D52"/>
    <w:pPr>
      <w:kinsoku w:val="0"/>
      <w:overflowPunct w:val="0"/>
      <w:autoSpaceDE w:val="0"/>
      <w:autoSpaceDN w:val="0"/>
      <w:adjustRightInd w:val="0"/>
      <w:snapToGri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CC1D52"/>
    <w:pPr>
      <w:kinsoku w:val="0"/>
      <w:overflowPunct w:val="0"/>
      <w:autoSpaceDE w:val="0"/>
      <w:autoSpaceDN w:val="0"/>
      <w:adjustRightInd w:val="0"/>
      <w:snapToGri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CC1D52"/>
    <w:pPr>
      <w:kinsoku w:val="0"/>
      <w:overflowPunct w:val="0"/>
      <w:autoSpaceDE w:val="0"/>
      <w:autoSpaceDN w:val="0"/>
      <w:adjustRightInd w:val="0"/>
      <w:snapToGrid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CC1D5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CC1D5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CC1D52"/>
    <w:pPr>
      <w:kinsoku w:val="0"/>
      <w:overflowPunct w:val="0"/>
      <w:autoSpaceDE w:val="0"/>
      <w:autoSpaceDN w:val="0"/>
      <w:adjustRightInd w:val="0"/>
      <w:snapToGrid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CC1D52"/>
    <w:pPr>
      <w:kinsoku w:val="0"/>
      <w:overflowPunct w:val="0"/>
      <w:autoSpaceDE w:val="0"/>
      <w:autoSpaceDN w:val="0"/>
      <w:adjustRightInd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locked/>
    <w:rsid w:val="00020F7F"/>
    <w:pPr>
      <w:kinsoku w:val="0"/>
      <w:overflowPunct w:val="0"/>
      <w:autoSpaceDE w:val="0"/>
      <w:autoSpaceDN w:val="0"/>
      <w:adjustRightInd w:val="0"/>
      <w:snapToGri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Theme">
    <w:name w:val="Table Theme"/>
    <w:basedOn w:val="TableNormal"/>
    <w:semiHidden/>
    <w:rsid w:val="00CC1D52"/>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unhideWhenUsed/>
    <w:locked/>
    <w:rsid w:val="001E6A5E"/>
    <w:pPr>
      <w:tabs>
        <w:tab w:val="left" w:pos="567"/>
        <w:tab w:val="left" w:pos="1134"/>
        <w:tab w:val="left" w:pos="1701"/>
        <w:tab w:val="left" w:pos="2268"/>
        <w:tab w:val="left" w:pos="2835"/>
        <w:tab w:val="left" w:pos="3402"/>
        <w:tab w:val="left" w:pos="3969"/>
      </w:tabs>
      <w:kinsoku w:val="0"/>
      <w:overflowPunct w:val="0"/>
      <w:autoSpaceDE w:val="0"/>
      <w:autoSpaceDN w:val="0"/>
      <w:adjustRightInd w:val="0"/>
      <w:snapToGrid w:val="0"/>
    </w:pPr>
    <w:rPr>
      <w:rFonts w:ascii="Consolas" w:hAnsi="Consolas" w:cs="Arial"/>
      <w:snapToGrid w:val="0"/>
      <w:lang w:eastAsia="en-US"/>
    </w:rPr>
  </w:style>
  <w:style w:type="character" w:customStyle="1" w:styleId="MacroTextChar">
    <w:name w:val="Macro Text Char"/>
    <w:basedOn w:val="DefaultParagraphFont"/>
    <w:link w:val="MacroText"/>
    <w:rsid w:val="001E6A5E"/>
    <w:rPr>
      <w:rFonts w:ascii="Consolas" w:hAnsi="Consolas" w:cs="Arial"/>
      <w:snapToGrid w:val="0"/>
      <w:sz w:val="20"/>
      <w:szCs w:val="20"/>
      <w:lang w:eastAsia="en-US"/>
    </w:rPr>
  </w:style>
  <w:style w:type="paragraph" w:styleId="Bibliography">
    <w:name w:val="Bibliography"/>
    <w:basedOn w:val="Normal"/>
    <w:next w:val="Normal"/>
    <w:uiPriority w:val="37"/>
    <w:semiHidden/>
    <w:locked/>
    <w:rsid w:val="007D1C0E"/>
  </w:style>
  <w:style w:type="paragraph" w:styleId="BlockText">
    <w:name w:val="Block Text"/>
    <w:basedOn w:val="Normal"/>
    <w:qFormat/>
    <w:rsid w:val="0071186F"/>
    <w:pPr>
      <w:spacing w:after="240"/>
    </w:pPr>
    <w:rPr>
      <w:rFonts w:eastAsiaTheme="minorEastAsia" w:cstheme="minorBidi"/>
      <w:b/>
      <w:i/>
      <w:iCs/>
      <w:color w:val="A32020" w:themeColor="accent1"/>
      <w:sz w:val="48"/>
    </w:rPr>
  </w:style>
  <w:style w:type="paragraph" w:styleId="BodyText">
    <w:name w:val="Body Text"/>
    <w:basedOn w:val="Normal"/>
    <w:link w:val="BodyTextChar"/>
    <w:semiHidden/>
    <w:locked/>
    <w:rsid w:val="007D1C0E"/>
    <w:pPr>
      <w:spacing w:after="120"/>
    </w:pPr>
  </w:style>
  <w:style w:type="character" w:customStyle="1" w:styleId="BodyTextChar">
    <w:name w:val="Body Text Char"/>
    <w:basedOn w:val="DefaultParagraphFont"/>
    <w:link w:val="BodyText"/>
    <w:semiHidden/>
    <w:rsid w:val="007D1C0E"/>
    <w:rPr>
      <w:rFonts w:ascii="Georgia" w:hAnsi="Georgia" w:cs="Arial"/>
      <w:snapToGrid w:val="0"/>
      <w:sz w:val="20"/>
      <w:lang w:eastAsia="en-US"/>
    </w:rPr>
  </w:style>
  <w:style w:type="paragraph" w:styleId="BodyText2">
    <w:name w:val="Body Text 2"/>
    <w:basedOn w:val="Normal"/>
    <w:link w:val="BodyText2Char"/>
    <w:semiHidden/>
    <w:locked/>
    <w:rsid w:val="007D1C0E"/>
    <w:pPr>
      <w:spacing w:after="120" w:line="480" w:lineRule="auto"/>
    </w:pPr>
  </w:style>
  <w:style w:type="character" w:customStyle="1" w:styleId="BodyText2Char">
    <w:name w:val="Body Text 2 Char"/>
    <w:basedOn w:val="DefaultParagraphFont"/>
    <w:link w:val="BodyText2"/>
    <w:semiHidden/>
    <w:rsid w:val="007D1C0E"/>
    <w:rPr>
      <w:rFonts w:ascii="Georgia" w:hAnsi="Georgia" w:cs="Arial"/>
      <w:snapToGrid w:val="0"/>
      <w:sz w:val="20"/>
      <w:lang w:eastAsia="en-US"/>
    </w:rPr>
  </w:style>
  <w:style w:type="paragraph" w:styleId="BodyText3">
    <w:name w:val="Body Text 3"/>
    <w:basedOn w:val="Normal"/>
    <w:link w:val="BodyText3Char"/>
    <w:semiHidden/>
    <w:locked/>
    <w:rsid w:val="007D1C0E"/>
    <w:pPr>
      <w:spacing w:after="120"/>
    </w:pPr>
    <w:rPr>
      <w:sz w:val="16"/>
      <w:szCs w:val="16"/>
    </w:rPr>
  </w:style>
  <w:style w:type="character" w:customStyle="1" w:styleId="BodyText3Char">
    <w:name w:val="Body Text 3 Char"/>
    <w:basedOn w:val="DefaultParagraphFont"/>
    <w:link w:val="BodyText3"/>
    <w:semiHidden/>
    <w:rsid w:val="007D1C0E"/>
    <w:rPr>
      <w:rFonts w:ascii="Georgia" w:hAnsi="Georgia" w:cs="Arial"/>
      <w:snapToGrid w:val="0"/>
      <w:sz w:val="16"/>
      <w:szCs w:val="16"/>
      <w:lang w:eastAsia="en-US"/>
    </w:rPr>
  </w:style>
  <w:style w:type="paragraph" w:styleId="BodyTextFirstIndent">
    <w:name w:val="Body Text First Indent"/>
    <w:basedOn w:val="BodyText"/>
    <w:link w:val="BodyTextFirstIndentChar"/>
    <w:semiHidden/>
    <w:locked/>
    <w:rsid w:val="007D1C0E"/>
    <w:pPr>
      <w:spacing w:after="0"/>
      <w:ind w:firstLine="360"/>
    </w:pPr>
  </w:style>
  <w:style w:type="character" w:customStyle="1" w:styleId="BodyTextFirstIndentChar">
    <w:name w:val="Body Text First Indent Char"/>
    <w:basedOn w:val="BodyTextChar"/>
    <w:link w:val="BodyTextFirstIndent"/>
    <w:semiHidden/>
    <w:rsid w:val="007D1C0E"/>
    <w:rPr>
      <w:rFonts w:ascii="Georgia" w:hAnsi="Georgia" w:cs="Arial"/>
      <w:snapToGrid w:val="0"/>
      <w:sz w:val="20"/>
      <w:lang w:eastAsia="en-US"/>
    </w:rPr>
  </w:style>
  <w:style w:type="paragraph" w:styleId="BodyTextIndent">
    <w:name w:val="Body Text Indent"/>
    <w:basedOn w:val="Normal"/>
    <w:link w:val="BodyTextIndentChar"/>
    <w:semiHidden/>
    <w:locked/>
    <w:rsid w:val="007D1C0E"/>
    <w:pPr>
      <w:spacing w:after="120"/>
      <w:ind w:left="283"/>
    </w:pPr>
  </w:style>
  <w:style w:type="character" w:customStyle="1" w:styleId="BodyTextIndentChar">
    <w:name w:val="Body Text Indent Char"/>
    <w:basedOn w:val="DefaultParagraphFont"/>
    <w:link w:val="BodyTextIndent"/>
    <w:semiHidden/>
    <w:rsid w:val="007D1C0E"/>
    <w:rPr>
      <w:rFonts w:ascii="Georgia" w:hAnsi="Georgia" w:cs="Arial"/>
      <w:snapToGrid w:val="0"/>
      <w:sz w:val="20"/>
      <w:lang w:eastAsia="en-US"/>
    </w:rPr>
  </w:style>
  <w:style w:type="paragraph" w:styleId="BodyTextFirstIndent2">
    <w:name w:val="Body Text First Indent 2"/>
    <w:basedOn w:val="BodyTextIndent"/>
    <w:link w:val="BodyTextFirstIndent2Char"/>
    <w:semiHidden/>
    <w:locked/>
    <w:rsid w:val="007D1C0E"/>
    <w:pPr>
      <w:spacing w:after="0"/>
      <w:ind w:left="360" w:firstLine="360"/>
    </w:pPr>
  </w:style>
  <w:style w:type="character" w:customStyle="1" w:styleId="BodyTextFirstIndent2Char">
    <w:name w:val="Body Text First Indent 2 Char"/>
    <w:basedOn w:val="BodyTextIndentChar"/>
    <w:link w:val="BodyTextFirstIndent2"/>
    <w:semiHidden/>
    <w:rsid w:val="007D1C0E"/>
    <w:rPr>
      <w:rFonts w:ascii="Georgia" w:hAnsi="Georgia" w:cs="Arial"/>
      <w:snapToGrid w:val="0"/>
      <w:sz w:val="20"/>
      <w:lang w:eastAsia="en-US"/>
    </w:rPr>
  </w:style>
  <w:style w:type="paragraph" w:styleId="BodyTextIndent2">
    <w:name w:val="Body Text Indent 2"/>
    <w:basedOn w:val="Normal"/>
    <w:link w:val="BodyTextIndent2Char"/>
    <w:semiHidden/>
    <w:locked/>
    <w:rsid w:val="007D1C0E"/>
    <w:pPr>
      <w:spacing w:after="120" w:line="480" w:lineRule="auto"/>
      <w:ind w:left="283"/>
    </w:pPr>
  </w:style>
  <w:style w:type="character" w:customStyle="1" w:styleId="BodyTextIndent2Char">
    <w:name w:val="Body Text Indent 2 Char"/>
    <w:basedOn w:val="DefaultParagraphFont"/>
    <w:link w:val="BodyTextIndent2"/>
    <w:semiHidden/>
    <w:rsid w:val="007D1C0E"/>
    <w:rPr>
      <w:rFonts w:ascii="Georgia" w:hAnsi="Georgia" w:cs="Arial"/>
      <w:snapToGrid w:val="0"/>
      <w:sz w:val="20"/>
      <w:lang w:eastAsia="en-US"/>
    </w:rPr>
  </w:style>
  <w:style w:type="paragraph" w:styleId="BodyTextIndent3">
    <w:name w:val="Body Text Indent 3"/>
    <w:basedOn w:val="Normal"/>
    <w:link w:val="BodyTextIndent3Char"/>
    <w:semiHidden/>
    <w:locked/>
    <w:rsid w:val="007D1C0E"/>
    <w:pPr>
      <w:spacing w:after="120"/>
      <w:ind w:left="283"/>
    </w:pPr>
    <w:rPr>
      <w:sz w:val="16"/>
      <w:szCs w:val="16"/>
    </w:rPr>
  </w:style>
  <w:style w:type="character" w:customStyle="1" w:styleId="BodyTextIndent3Char">
    <w:name w:val="Body Text Indent 3 Char"/>
    <w:basedOn w:val="DefaultParagraphFont"/>
    <w:link w:val="BodyTextIndent3"/>
    <w:semiHidden/>
    <w:rsid w:val="007D1C0E"/>
    <w:rPr>
      <w:rFonts w:ascii="Georgia" w:hAnsi="Georgia" w:cs="Arial"/>
      <w:snapToGrid w:val="0"/>
      <w:sz w:val="16"/>
      <w:szCs w:val="16"/>
      <w:lang w:eastAsia="en-US"/>
    </w:rPr>
  </w:style>
  <w:style w:type="character" w:styleId="BookTitle">
    <w:name w:val="Book Title"/>
    <w:basedOn w:val="DefaultParagraphFont"/>
    <w:uiPriority w:val="33"/>
    <w:semiHidden/>
    <w:qFormat/>
    <w:locked/>
    <w:rsid w:val="007D1C0E"/>
    <w:rPr>
      <w:rFonts w:ascii="Georgia" w:hAnsi="Georgia"/>
      <w:b/>
      <w:bCs/>
      <w:smallCaps/>
      <w:spacing w:val="5"/>
    </w:rPr>
  </w:style>
  <w:style w:type="paragraph" w:styleId="Closing">
    <w:name w:val="Closing"/>
    <w:basedOn w:val="Normal"/>
    <w:link w:val="ClosingChar"/>
    <w:semiHidden/>
    <w:unhideWhenUsed/>
    <w:rsid w:val="007D1C0E"/>
    <w:pPr>
      <w:ind w:left="4252"/>
    </w:pPr>
  </w:style>
  <w:style w:type="character" w:customStyle="1" w:styleId="ClosingChar">
    <w:name w:val="Closing Char"/>
    <w:basedOn w:val="DefaultParagraphFont"/>
    <w:link w:val="Closing"/>
    <w:semiHidden/>
    <w:rsid w:val="007D1C0E"/>
    <w:rPr>
      <w:rFonts w:ascii="Georgia" w:hAnsi="Georgia" w:cs="Arial"/>
      <w:snapToGrid w:val="0"/>
      <w:sz w:val="20"/>
      <w:lang w:eastAsia="en-US"/>
    </w:rPr>
  </w:style>
  <w:style w:type="character" w:styleId="CommentReference">
    <w:name w:val="annotation reference"/>
    <w:basedOn w:val="DefaultParagraphFont"/>
    <w:rsid w:val="007D1C0E"/>
    <w:rPr>
      <w:rFonts w:ascii="Georgia" w:hAnsi="Georgia"/>
      <w:sz w:val="16"/>
      <w:szCs w:val="16"/>
    </w:rPr>
  </w:style>
  <w:style w:type="paragraph" w:styleId="CommentText">
    <w:name w:val="annotation text"/>
    <w:basedOn w:val="Normal"/>
    <w:link w:val="CommentTextChar"/>
    <w:rsid w:val="007D1C0E"/>
  </w:style>
  <w:style w:type="character" w:customStyle="1" w:styleId="CommentTextChar">
    <w:name w:val="Comment Text Char"/>
    <w:basedOn w:val="DefaultParagraphFont"/>
    <w:link w:val="CommentText"/>
    <w:rsid w:val="007D1C0E"/>
    <w:rPr>
      <w:rFonts w:ascii="Georgia" w:hAnsi="Georgia" w:cs="Arial"/>
      <w:snapToGrid w:val="0"/>
      <w:sz w:val="20"/>
      <w:szCs w:val="20"/>
      <w:lang w:eastAsia="en-US"/>
    </w:rPr>
  </w:style>
  <w:style w:type="paragraph" w:styleId="CommentSubject">
    <w:name w:val="annotation subject"/>
    <w:basedOn w:val="CommentText"/>
    <w:next w:val="CommentText"/>
    <w:link w:val="CommentSubjectChar"/>
    <w:semiHidden/>
    <w:rsid w:val="007D1C0E"/>
    <w:rPr>
      <w:b/>
      <w:bCs/>
    </w:rPr>
  </w:style>
  <w:style w:type="character" w:customStyle="1" w:styleId="CommentSubjectChar">
    <w:name w:val="Comment Subject Char"/>
    <w:basedOn w:val="CommentTextChar"/>
    <w:link w:val="CommentSubject"/>
    <w:semiHidden/>
    <w:rsid w:val="007D1C0E"/>
    <w:rPr>
      <w:rFonts w:ascii="Georgia" w:hAnsi="Georgia" w:cs="Arial"/>
      <w:b/>
      <w:bCs/>
      <w:snapToGrid w:val="0"/>
      <w:sz w:val="20"/>
      <w:szCs w:val="20"/>
      <w:lang w:eastAsia="en-US"/>
    </w:rPr>
  </w:style>
  <w:style w:type="paragraph" w:styleId="EnvelopeAddress">
    <w:name w:val="envelope address"/>
    <w:basedOn w:val="Normal"/>
    <w:semiHidden/>
    <w:unhideWhenUsed/>
    <w:locked/>
    <w:rsid w:val="007D1C0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locked/>
    <w:rsid w:val="007D1C0E"/>
    <w:rPr>
      <w:rFonts w:asciiTheme="majorHAnsi" w:eastAsiaTheme="majorEastAsia" w:hAnsiTheme="majorHAnsi" w:cstheme="majorBidi"/>
    </w:rPr>
  </w:style>
  <w:style w:type="character" w:styleId="FollowedHyperlink">
    <w:name w:val="FollowedHyperlink"/>
    <w:basedOn w:val="DefaultParagraphFont"/>
    <w:semiHidden/>
    <w:rsid w:val="007D1C0E"/>
    <w:rPr>
      <w:color w:val="0000FF" w:themeColor="followedHyperlink"/>
      <w:u w:val="single"/>
    </w:rPr>
  </w:style>
  <w:style w:type="character" w:styleId="Hyperlink">
    <w:name w:val="Hyperlink"/>
    <w:basedOn w:val="DefaultParagraphFont"/>
    <w:uiPriority w:val="99"/>
    <w:rsid w:val="00185720"/>
    <w:rPr>
      <w:color w:val="A32020" w:themeColor="text2"/>
      <w:u w:val="single"/>
    </w:rPr>
  </w:style>
  <w:style w:type="paragraph" w:styleId="IndexHeading">
    <w:name w:val="index heading"/>
    <w:basedOn w:val="Normal"/>
    <w:next w:val="Normal"/>
    <w:semiHidden/>
    <w:rsid w:val="007D1C0E"/>
    <w:rPr>
      <w:rFonts w:asciiTheme="majorHAnsi" w:eastAsiaTheme="majorEastAsia" w:hAnsiTheme="majorHAnsi" w:cstheme="majorBidi"/>
      <w:b/>
      <w:bCs/>
    </w:rPr>
  </w:style>
  <w:style w:type="paragraph" w:customStyle="1" w:styleId="BlockTextClient">
    <w:name w:val="Block Text Client"/>
    <w:basedOn w:val="BlockText"/>
    <w:rsid w:val="004138E6"/>
    <w:pPr>
      <w:spacing w:after="0"/>
    </w:pPr>
    <w:rPr>
      <w:b w:val="0"/>
      <w:sz w:val="20"/>
    </w:rPr>
  </w:style>
  <w:style w:type="paragraph" w:customStyle="1" w:styleId="BlockTextPosition">
    <w:name w:val="Block Text Position"/>
    <w:basedOn w:val="BlockText"/>
    <w:rsid w:val="004138E6"/>
    <w:rPr>
      <w:b w:val="0"/>
      <w:i w:val="0"/>
      <w:sz w:val="20"/>
    </w:rPr>
  </w:style>
  <w:style w:type="paragraph" w:customStyle="1" w:styleId="BlockText2Client">
    <w:name w:val="Block Text 2 Client"/>
    <w:basedOn w:val="BlockText2"/>
    <w:rsid w:val="004138E6"/>
    <w:pPr>
      <w:spacing w:after="0"/>
    </w:pPr>
    <w:rPr>
      <w:sz w:val="20"/>
      <w:szCs w:val="20"/>
    </w:rPr>
  </w:style>
  <w:style w:type="paragraph" w:customStyle="1" w:styleId="BlockText2Position">
    <w:name w:val="Block Text 2 Position"/>
    <w:basedOn w:val="BlockText2"/>
    <w:rsid w:val="004138E6"/>
    <w:rPr>
      <w:i w:val="0"/>
      <w:sz w:val="20"/>
      <w:szCs w:val="20"/>
    </w:rPr>
  </w:style>
  <w:style w:type="character" w:styleId="LineNumber">
    <w:name w:val="line number"/>
    <w:basedOn w:val="DefaultParagraphFont"/>
    <w:semiHidden/>
    <w:rsid w:val="007D1C0E"/>
  </w:style>
  <w:style w:type="paragraph" w:styleId="ListBullet">
    <w:name w:val="List Bullet"/>
    <w:basedOn w:val="Normal"/>
    <w:qFormat/>
    <w:locked/>
    <w:rsid w:val="00805111"/>
    <w:pPr>
      <w:numPr>
        <w:numId w:val="5"/>
      </w:numPr>
      <w:spacing w:before="240" w:after="240"/>
    </w:pPr>
  </w:style>
  <w:style w:type="paragraph" w:styleId="ListBullet5">
    <w:name w:val="List Bullet 5"/>
    <w:basedOn w:val="ListBullet4"/>
    <w:unhideWhenUsed/>
    <w:locked/>
    <w:rsid w:val="00CC25DA"/>
    <w:pPr>
      <w:numPr>
        <w:ilvl w:val="4"/>
      </w:numPr>
      <w:contextualSpacing/>
    </w:pPr>
  </w:style>
  <w:style w:type="paragraph" w:styleId="ListNumber">
    <w:name w:val="List Number"/>
    <w:basedOn w:val="Normal"/>
    <w:uiPriority w:val="13"/>
    <w:unhideWhenUsed/>
    <w:qFormat/>
    <w:locked/>
    <w:rsid w:val="009E54C5"/>
    <w:pPr>
      <w:numPr>
        <w:numId w:val="19"/>
      </w:numPr>
      <w:contextualSpacing/>
    </w:pPr>
  </w:style>
  <w:style w:type="paragraph" w:styleId="ListNumber2">
    <w:name w:val="List Number 2"/>
    <w:basedOn w:val="ListNumber"/>
    <w:uiPriority w:val="13"/>
    <w:unhideWhenUsed/>
    <w:qFormat/>
    <w:locked/>
    <w:rsid w:val="009E54C5"/>
    <w:pPr>
      <w:numPr>
        <w:ilvl w:val="1"/>
      </w:numPr>
    </w:pPr>
  </w:style>
  <w:style w:type="paragraph" w:styleId="ListNumber3">
    <w:name w:val="List Number 3"/>
    <w:basedOn w:val="ListNumber2"/>
    <w:uiPriority w:val="13"/>
    <w:unhideWhenUsed/>
    <w:qFormat/>
    <w:locked/>
    <w:rsid w:val="009E54C5"/>
    <w:pPr>
      <w:numPr>
        <w:ilvl w:val="2"/>
      </w:numPr>
    </w:pPr>
  </w:style>
  <w:style w:type="paragraph" w:styleId="ListNumber4">
    <w:name w:val="List Number 4"/>
    <w:basedOn w:val="ListNumber3"/>
    <w:uiPriority w:val="13"/>
    <w:unhideWhenUsed/>
    <w:locked/>
    <w:rsid w:val="009E54C5"/>
    <w:pPr>
      <w:numPr>
        <w:ilvl w:val="3"/>
      </w:numPr>
    </w:pPr>
  </w:style>
  <w:style w:type="paragraph" w:styleId="ListNumber5">
    <w:name w:val="List Number 5"/>
    <w:basedOn w:val="ListNumber4"/>
    <w:uiPriority w:val="13"/>
    <w:unhideWhenUsed/>
    <w:locked/>
    <w:rsid w:val="009E54C5"/>
    <w:pPr>
      <w:numPr>
        <w:ilvl w:val="4"/>
      </w:numPr>
    </w:pPr>
  </w:style>
  <w:style w:type="paragraph" w:styleId="ListParagraph">
    <w:name w:val="List Paragraph"/>
    <w:aliases w:val="SWA List Paragraph,Indent,List Paragraph1,List Paragraph11,Bullet point,bullet point list,List Paragraph111,L,F5 List Paragraph,Dot pt,CV text,Table text,Medium Grid 1 - Accent 21,Numbered Paragraph,List Paragraph2,NFP GP Bulleted List"/>
    <w:basedOn w:val="Normal"/>
    <w:link w:val="ListParagraphChar"/>
    <w:uiPriority w:val="34"/>
    <w:qFormat/>
    <w:locked/>
    <w:rsid w:val="007D1C0E"/>
    <w:pPr>
      <w:ind w:left="720"/>
      <w:contextualSpacing/>
    </w:pPr>
  </w:style>
  <w:style w:type="paragraph" w:styleId="MessageHeader">
    <w:name w:val="Message Header"/>
    <w:basedOn w:val="Normal"/>
    <w:link w:val="MessageHeaderChar"/>
    <w:semiHidden/>
    <w:rsid w:val="007D1C0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7D1C0E"/>
    <w:rPr>
      <w:rFonts w:asciiTheme="majorHAnsi" w:eastAsiaTheme="majorEastAsia" w:hAnsiTheme="majorHAnsi" w:cstheme="majorBidi"/>
      <w:snapToGrid w:val="0"/>
      <w:sz w:val="24"/>
      <w:szCs w:val="24"/>
      <w:shd w:val="pct20" w:color="auto" w:fill="auto"/>
      <w:lang w:eastAsia="en-US"/>
    </w:rPr>
  </w:style>
  <w:style w:type="paragraph" w:styleId="NoSpacing">
    <w:name w:val="No Spacing"/>
    <w:uiPriority w:val="1"/>
    <w:semiHidden/>
    <w:qFormat/>
    <w:rsid w:val="007D1C0E"/>
    <w:pPr>
      <w:kinsoku w:val="0"/>
      <w:overflowPunct w:val="0"/>
      <w:autoSpaceDE w:val="0"/>
      <w:autoSpaceDN w:val="0"/>
      <w:adjustRightInd w:val="0"/>
      <w:snapToGrid w:val="0"/>
    </w:pPr>
    <w:rPr>
      <w:rFonts w:cs="Arial"/>
      <w:snapToGrid w:val="0"/>
      <w:lang w:eastAsia="en-US"/>
    </w:rPr>
  </w:style>
  <w:style w:type="paragraph" w:styleId="NormalIndent">
    <w:name w:val="Normal Indent"/>
    <w:basedOn w:val="Normal"/>
    <w:semiHidden/>
    <w:rsid w:val="007D1C0E"/>
    <w:pPr>
      <w:ind w:left="720"/>
    </w:pPr>
  </w:style>
  <w:style w:type="paragraph" w:styleId="NoteHeading">
    <w:name w:val="Note Heading"/>
    <w:basedOn w:val="Normal"/>
    <w:next w:val="Normal"/>
    <w:link w:val="NoteHeadingChar"/>
    <w:semiHidden/>
    <w:unhideWhenUsed/>
    <w:rsid w:val="007D1C0E"/>
  </w:style>
  <w:style w:type="character" w:customStyle="1" w:styleId="NoteHeadingChar">
    <w:name w:val="Note Heading Char"/>
    <w:basedOn w:val="DefaultParagraphFont"/>
    <w:link w:val="NoteHeading"/>
    <w:semiHidden/>
    <w:rsid w:val="007D1C0E"/>
    <w:rPr>
      <w:rFonts w:cs="Arial"/>
      <w:snapToGrid w:val="0"/>
      <w:lang w:eastAsia="en-US"/>
    </w:rPr>
  </w:style>
  <w:style w:type="character" w:styleId="PlaceholderText">
    <w:name w:val="Placeholder Text"/>
    <w:basedOn w:val="DefaultParagraphFont"/>
    <w:uiPriority w:val="99"/>
    <w:semiHidden/>
    <w:rsid w:val="007D1C0E"/>
    <w:rPr>
      <w:color w:val="808080"/>
    </w:rPr>
  </w:style>
  <w:style w:type="paragraph" w:styleId="PlainText">
    <w:name w:val="Plain Text"/>
    <w:basedOn w:val="Normal"/>
    <w:link w:val="PlainTextChar"/>
    <w:semiHidden/>
    <w:rsid w:val="007D1C0E"/>
    <w:rPr>
      <w:rFonts w:ascii="Consolas" w:hAnsi="Consolas"/>
    </w:rPr>
  </w:style>
  <w:style w:type="character" w:customStyle="1" w:styleId="PlainTextChar">
    <w:name w:val="Plain Text Char"/>
    <w:basedOn w:val="DefaultParagraphFont"/>
    <w:link w:val="PlainText"/>
    <w:semiHidden/>
    <w:rsid w:val="007D1C0E"/>
    <w:rPr>
      <w:rFonts w:ascii="Consolas" w:hAnsi="Consolas" w:cs="Arial"/>
      <w:snapToGrid w:val="0"/>
      <w:lang w:eastAsia="en-US"/>
    </w:rPr>
  </w:style>
  <w:style w:type="paragraph" w:styleId="Quote">
    <w:name w:val="Quote"/>
    <w:basedOn w:val="Normal"/>
    <w:next w:val="Normal"/>
    <w:link w:val="QuoteChar"/>
    <w:uiPriority w:val="29"/>
    <w:semiHidden/>
    <w:qFormat/>
    <w:rsid w:val="007D1C0E"/>
    <w:rPr>
      <w:i/>
      <w:iCs/>
      <w:color w:val="000000" w:themeColor="text1"/>
    </w:rPr>
  </w:style>
  <w:style w:type="character" w:customStyle="1" w:styleId="QuoteChar">
    <w:name w:val="Quote Char"/>
    <w:basedOn w:val="DefaultParagraphFont"/>
    <w:link w:val="Quote"/>
    <w:uiPriority w:val="29"/>
    <w:semiHidden/>
    <w:rsid w:val="007D1C0E"/>
    <w:rPr>
      <w:rFonts w:cs="Arial"/>
      <w:i/>
      <w:iCs/>
      <w:snapToGrid w:val="0"/>
      <w:color w:val="000000" w:themeColor="text1"/>
      <w:lang w:eastAsia="en-US"/>
    </w:rPr>
  </w:style>
  <w:style w:type="paragraph" w:styleId="Salutation">
    <w:name w:val="Salutation"/>
    <w:basedOn w:val="Normal"/>
    <w:next w:val="Normal"/>
    <w:link w:val="SalutationChar"/>
    <w:semiHidden/>
    <w:unhideWhenUsed/>
    <w:rsid w:val="007D1C0E"/>
  </w:style>
  <w:style w:type="character" w:customStyle="1" w:styleId="SalutationChar">
    <w:name w:val="Salutation Char"/>
    <w:basedOn w:val="DefaultParagraphFont"/>
    <w:link w:val="Salutation"/>
    <w:semiHidden/>
    <w:rsid w:val="007D1C0E"/>
    <w:rPr>
      <w:rFonts w:cs="Arial"/>
      <w:snapToGrid w:val="0"/>
      <w:lang w:eastAsia="en-US"/>
    </w:rPr>
  </w:style>
  <w:style w:type="paragraph" w:styleId="Signature">
    <w:name w:val="Signature"/>
    <w:basedOn w:val="Normal"/>
    <w:link w:val="SignatureChar"/>
    <w:semiHidden/>
    <w:rsid w:val="007D1C0E"/>
    <w:pPr>
      <w:ind w:left="4252"/>
    </w:pPr>
  </w:style>
  <w:style w:type="character" w:customStyle="1" w:styleId="SignatureChar">
    <w:name w:val="Signature Char"/>
    <w:basedOn w:val="DefaultParagraphFont"/>
    <w:link w:val="Signature"/>
    <w:semiHidden/>
    <w:rsid w:val="007D1C0E"/>
    <w:rPr>
      <w:rFonts w:cs="Arial"/>
      <w:snapToGrid w:val="0"/>
      <w:lang w:eastAsia="en-US"/>
    </w:rPr>
  </w:style>
  <w:style w:type="paragraph" w:styleId="TableofAuthorities">
    <w:name w:val="table of authorities"/>
    <w:basedOn w:val="Normal"/>
    <w:next w:val="Normal"/>
    <w:semiHidden/>
    <w:unhideWhenUsed/>
    <w:rsid w:val="007D1C0E"/>
    <w:pPr>
      <w:ind w:left="210" w:hanging="210"/>
    </w:pPr>
  </w:style>
  <w:style w:type="paragraph" w:styleId="TableofFigures">
    <w:name w:val="table of figures"/>
    <w:basedOn w:val="Normal"/>
    <w:next w:val="Normal"/>
    <w:semiHidden/>
    <w:unhideWhenUsed/>
    <w:rsid w:val="007D1C0E"/>
  </w:style>
  <w:style w:type="paragraph" w:styleId="TOAHeading">
    <w:name w:val="toa heading"/>
    <w:basedOn w:val="Normal"/>
    <w:next w:val="Normal"/>
    <w:semiHidden/>
    <w:unhideWhenUsed/>
    <w:rsid w:val="007D1C0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D1C0E"/>
    <w:pPr>
      <w:keepNext/>
      <w:keepLines/>
      <w:spacing w:before="480" w:line="240" w:lineRule="auto"/>
      <w:outlineLvl w:val="9"/>
    </w:pPr>
    <w:rPr>
      <w:rFonts w:eastAsiaTheme="majorEastAsia" w:cstheme="majorBidi"/>
      <w:color w:val="7A1818" w:themeColor="accent1" w:themeShade="BF"/>
      <w:sz w:val="28"/>
      <w:szCs w:val="28"/>
    </w:rPr>
  </w:style>
  <w:style w:type="paragraph" w:customStyle="1" w:styleId="CoverPanelFrame">
    <w:name w:val="Cover Panel Frame"/>
    <w:basedOn w:val="Coverpulloutframe"/>
    <w:rsid w:val="0059630D"/>
    <w:pPr>
      <w:framePr w:w="7441" w:wrap="notBeside" w:vAnchor="margin" w:hAnchor="text" w:x="-112" w:y="1"/>
      <w:pBdr>
        <w:top w:val="single" w:sz="4" w:space="1" w:color="auto"/>
        <w:left w:val="single" w:sz="4" w:space="4" w:color="auto"/>
      </w:pBdr>
    </w:pPr>
    <w:rPr>
      <w:rFonts w:eastAsia="+mn-ea"/>
    </w:rPr>
  </w:style>
  <w:style w:type="paragraph" w:customStyle="1" w:styleId="LogoActivated">
    <w:name w:val="Logo Activated"/>
    <w:basedOn w:val="Normal"/>
    <w:rsid w:val="00993DBB"/>
    <w:pPr>
      <w:framePr w:w="3119" w:h="1412" w:hRule="exact" w:wrap="around" w:vAnchor="page" w:hAnchor="page" w:x="1543" w:y="15299"/>
      <w:tabs>
        <w:tab w:val="center" w:pos="2551"/>
        <w:tab w:val="right" w:pos="7682"/>
      </w:tabs>
      <w:spacing w:line="0" w:lineRule="atLeast"/>
    </w:pPr>
    <w:rPr>
      <w:rFonts w:asciiTheme="majorHAnsi" w:hAnsiTheme="majorHAnsi"/>
      <w:noProof/>
      <w:snapToGrid/>
      <w:sz w:val="18"/>
      <w:szCs w:val="32"/>
      <w:lang w:eastAsia="en-AU"/>
    </w:rPr>
  </w:style>
  <w:style w:type="paragraph" w:customStyle="1" w:styleId="FirstPagePanelFrame">
    <w:name w:val="First Page Panel Frame"/>
    <w:basedOn w:val="CoverPanelFrame"/>
    <w:rsid w:val="00C54A4F"/>
    <w:pPr>
      <w:framePr w:w="8334" w:h="227" w:hRule="exact" w:wrap="notBeside" w:y="-169"/>
      <w:pBdr>
        <w:top w:val="single" w:sz="6" w:space="1" w:color="A32020" w:themeColor="text2"/>
        <w:left w:val="single" w:sz="6" w:space="4" w:color="A32020" w:themeColor="text2"/>
      </w:pBdr>
    </w:pPr>
  </w:style>
  <w:style w:type="paragraph" w:customStyle="1" w:styleId="URLCover">
    <w:name w:val="URL Cover"/>
    <w:basedOn w:val="Normal"/>
    <w:rsid w:val="00270144"/>
    <w:rPr>
      <w:color w:val="000000" w:themeColor="text1"/>
      <w:sz w:val="19"/>
    </w:rPr>
  </w:style>
  <w:style w:type="paragraph" w:customStyle="1" w:styleId="Coverpulloutframe">
    <w:name w:val="Cover pull out frame"/>
    <w:basedOn w:val="KeySentenceInside"/>
    <w:rsid w:val="007625E6"/>
    <w:pPr>
      <w:framePr w:w="2189" w:h="227" w:wrap="notBeside" w:vAnchor="page" w:hAnchor="page" w:x="908" w:y="8415"/>
      <w:pBdr>
        <w:top w:val="dotted" w:sz="8" w:space="1" w:color="A32020" w:themeColor="text2"/>
        <w:left w:val="dotted" w:sz="8" w:space="4" w:color="A32020" w:themeColor="text2"/>
      </w:pBdr>
      <w:spacing w:after="0" w:line="0" w:lineRule="atLeast"/>
    </w:pPr>
    <w:rPr>
      <w:color w:val="auto"/>
      <w:sz w:val="8"/>
      <w:lang w:val="en-GB"/>
    </w:rPr>
  </w:style>
  <w:style w:type="paragraph" w:customStyle="1" w:styleId="CoverOutcomeHeadline">
    <w:name w:val="Cover Outcome Headline"/>
    <w:basedOn w:val="PwCNormal"/>
    <w:rsid w:val="00617CBF"/>
    <w:pPr>
      <w:numPr>
        <w:numId w:val="0"/>
      </w:numPr>
      <w:spacing w:after="0" w:line="960" w:lineRule="atLeast"/>
      <w:ind w:right="1701"/>
    </w:pPr>
    <w:rPr>
      <w:b/>
      <w:i/>
      <w:color w:val="FFFFFF" w:themeColor="background1"/>
      <w:sz w:val="88"/>
      <w:szCs w:val="88"/>
      <w:lang w:val="en-GB"/>
    </w:rPr>
  </w:style>
  <w:style w:type="paragraph" w:customStyle="1" w:styleId="CoverOutcomeSubtitle">
    <w:name w:val="Cover Outcome Subtitle"/>
    <w:basedOn w:val="CoverOutcomeHeadline"/>
    <w:rsid w:val="00A93A63"/>
    <w:rPr>
      <w:b w:val="0"/>
      <w:i w:val="0"/>
    </w:rPr>
  </w:style>
  <w:style w:type="paragraph" w:customStyle="1" w:styleId="LogoFixed">
    <w:name w:val="Logo Fixed"/>
    <w:basedOn w:val="LogoActivated"/>
    <w:rsid w:val="003D28AE"/>
    <w:pPr>
      <w:framePr w:h="2733" w:hRule="exact" w:wrap="around" w:x="1322" w:y="14125"/>
    </w:pPr>
  </w:style>
  <w:style w:type="paragraph" w:customStyle="1" w:styleId="NumericCaption">
    <w:name w:val="Numeric Caption"/>
    <w:basedOn w:val="Caption"/>
    <w:rsid w:val="00053B82"/>
    <w:rPr>
      <w:rFonts w:ascii="Arial" w:hAnsi="Arial"/>
    </w:rPr>
  </w:style>
  <w:style w:type="paragraph" w:customStyle="1" w:styleId="NumericTableColumnHeadingNormal">
    <w:name w:val="Numeric Table Column Heading Normal"/>
    <w:basedOn w:val="TableColumnHeadingNormal"/>
    <w:rsid w:val="00053B82"/>
    <w:rPr>
      <w:rFonts w:ascii="Arial" w:hAnsi="Arial"/>
    </w:rPr>
  </w:style>
  <w:style w:type="paragraph" w:customStyle="1" w:styleId="NumericTableTextNormal">
    <w:name w:val="Numeric Table Text Normal"/>
    <w:basedOn w:val="TableTextNormal"/>
    <w:rsid w:val="00053B82"/>
    <w:rPr>
      <w:rFonts w:ascii="Arial" w:hAnsi="Arial"/>
    </w:rPr>
  </w:style>
  <w:style w:type="paragraph" w:customStyle="1" w:styleId="NumericSources">
    <w:name w:val="Numeric Sources"/>
    <w:basedOn w:val="Sources"/>
    <w:rsid w:val="00053B82"/>
    <w:rPr>
      <w:rFonts w:ascii="Arial" w:hAnsi="Arial"/>
    </w:rPr>
  </w:style>
  <w:style w:type="paragraph" w:customStyle="1" w:styleId="NumericTableColumnHeadingSmall">
    <w:name w:val="Numeric Table Column Heading Small"/>
    <w:basedOn w:val="NumericTableColumnHeadingNormal"/>
    <w:rsid w:val="0052509C"/>
    <w:rPr>
      <w:sz w:val="16"/>
      <w:szCs w:val="16"/>
    </w:rPr>
  </w:style>
  <w:style w:type="paragraph" w:customStyle="1" w:styleId="NumericTableTextSmall">
    <w:name w:val="Numeric Table Text Small"/>
    <w:basedOn w:val="NumericTableTextNormal"/>
    <w:rsid w:val="0052509C"/>
    <w:rPr>
      <w:sz w:val="16"/>
      <w:szCs w:val="16"/>
    </w:rPr>
  </w:style>
  <w:style w:type="paragraph" w:customStyle="1" w:styleId="NumericTableTextDecimalNormal">
    <w:name w:val="Numeric Table Text Decimal Normal"/>
    <w:basedOn w:val="NumericTableTextNormal"/>
    <w:rsid w:val="006304C7"/>
    <w:pPr>
      <w:tabs>
        <w:tab w:val="decimal" w:pos="1004"/>
      </w:tabs>
    </w:pPr>
  </w:style>
  <w:style w:type="paragraph" w:customStyle="1" w:styleId="NumericTableTextDecimalSmall">
    <w:name w:val="Numeric Table Text Decimal Small"/>
    <w:basedOn w:val="NumericTableTextDecimalNormal"/>
    <w:rsid w:val="006304C7"/>
    <w:rPr>
      <w:sz w:val="16"/>
      <w:szCs w:val="16"/>
    </w:rPr>
  </w:style>
  <w:style w:type="paragraph" w:customStyle="1" w:styleId="Heading2Nospacing">
    <w:name w:val="Heading 2 No spacing"/>
    <w:basedOn w:val="Heading2"/>
    <w:rsid w:val="00F8314A"/>
    <w:pPr>
      <w:spacing w:after="0" w:line="0" w:lineRule="atLeast"/>
      <w:ind w:left="851" w:hanging="851"/>
    </w:pPr>
  </w:style>
  <w:style w:type="paragraph" w:customStyle="1" w:styleId="TableNumberedList1">
    <w:name w:val="Table Numbered List 1"/>
    <w:basedOn w:val="TableTextNormal"/>
    <w:rsid w:val="00EA47AB"/>
    <w:pPr>
      <w:numPr>
        <w:numId w:val="15"/>
      </w:numPr>
    </w:pPr>
  </w:style>
  <w:style w:type="paragraph" w:customStyle="1" w:styleId="TableNumberedList2">
    <w:name w:val="Table Numbered List 2"/>
    <w:basedOn w:val="TableNumberedList1"/>
    <w:rsid w:val="00EA47AB"/>
    <w:pPr>
      <w:numPr>
        <w:ilvl w:val="1"/>
      </w:numPr>
      <w:spacing w:before="40" w:after="40"/>
    </w:pPr>
  </w:style>
  <w:style w:type="paragraph" w:customStyle="1" w:styleId="TableNumberedList3">
    <w:name w:val="Table Numbered List 3"/>
    <w:basedOn w:val="TableNumberedList2"/>
    <w:rsid w:val="00EA47AB"/>
    <w:pPr>
      <w:numPr>
        <w:ilvl w:val="2"/>
      </w:numPr>
    </w:pPr>
  </w:style>
  <w:style w:type="paragraph" w:customStyle="1" w:styleId="TableNumberedListSmall1">
    <w:name w:val="Table Numbered List Small 1"/>
    <w:basedOn w:val="TableTextSmall"/>
    <w:rsid w:val="00EA47AB"/>
    <w:pPr>
      <w:numPr>
        <w:numId w:val="17"/>
      </w:numPr>
    </w:pPr>
  </w:style>
  <w:style w:type="paragraph" w:customStyle="1" w:styleId="TableNumberedListSmall2">
    <w:name w:val="Table Numbered List Small 2"/>
    <w:basedOn w:val="TableNumberedListSmall1"/>
    <w:rsid w:val="00EA47AB"/>
    <w:pPr>
      <w:numPr>
        <w:ilvl w:val="1"/>
      </w:numPr>
    </w:pPr>
    <w:rPr>
      <w:szCs w:val="21"/>
    </w:rPr>
  </w:style>
  <w:style w:type="paragraph" w:customStyle="1" w:styleId="TableNumberedListSmall3">
    <w:name w:val="Table Numbered List Small 3"/>
    <w:basedOn w:val="TableNumberedListSmall2"/>
    <w:rsid w:val="00EA47AB"/>
    <w:pPr>
      <w:numPr>
        <w:ilvl w:val="2"/>
      </w:numPr>
    </w:pPr>
  </w:style>
  <w:style w:type="numbering" w:customStyle="1" w:styleId="ListNumberList">
    <w:name w:val="List Number List"/>
    <w:uiPriority w:val="99"/>
    <w:rsid w:val="009E54C5"/>
    <w:pPr>
      <w:numPr>
        <w:numId w:val="18"/>
      </w:numPr>
    </w:pPr>
  </w:style>
  <w:style w:type="numbering" w:styleId="111111">
    <w:name w:val="Outline List 2"/>
    <w:basedOn w:val="NoList"/>
    <w:rsid w:val="00070164"/>
    <w:pPr>
      <w:numPr>
        <w:numId w:val="20"/>
      </w:numPr>
    </w:pPr>
  </w:style>
  <w:style w:type="numbering" w:styleId="1ai">
    <w:name w:val="Outline List 1"/>
    <w:basedOn w:val="NoList"/>
    <w:rsid w:val="00070164"/>
    <w:pPr>
      <w:numPr>
        <w:numId w:val="21"/>
      </w:numPr>
    </w:pPr>
  </w:style>
  <w:style w:type="numbering" w:styleId="ArticleSection">
    <w:name w:val="Outline List 3"/>
    <w:basedOn w:val="NoList"/>
    <w:rsid w:val="00070164"/>
    <w:pPr>
      <w:numPr>
        <w:numId w:val="22"/>
      </w:numPr>
    </w:pPr>
  </w:style>
  <w:style w:type="paragraph" w:customStyle="1" w:styleId="Minorheading3">
    <w:name w:val="Minor heading 3"/>
    <w:basedOn w:val="Minorheading2"/>
    <w:rsid w:val="00D657FC"/>
    <w:rPr>
      <w:b w:val="0"/>
      <w:i/>
    </w:rPr>
  </w:style>
  <w:style w:type="table" w:customStyle="1" w:styleId="Tables-APLines">
    <w:name w:val="Tables - AP Lines"/>
    <w:basedOn w:val="TableNormal"/>
    <w:rsid w:val="00127829"/>
    <w:tblPr>
      <w:tblStyleRowBandSize w:val="1"/>
      <w:tblStyleColBandSize w:val="1"/>
      <w:tblBorders>
        <w:insideH w:val="single" w:sz="4" w:space="0" w:color="A32020" w:themeColor="text2"/>
        <w:insideV w:val="single" w:sz="4" w:space="0" w:color="A32020" w:themeColor="text2"/>
      </w:tblBorders>
    </w:tblPr>
    <w:tcPr>
      <w:shd w:val="clear" w:color="auto" w:fill="auto"/>
    </w:tcPr>
    <w:tblStylePr w:type="firstRow">
      <w:pPr>
        <w:jc w:val="center"/>
      </w:pPr>
      <w:rPr>
        <w:rFonts w:asciiTheme="minorHAnsi" w:hAnsiTheme="minorHAnsi"/>
        <w:color w:val="auto"/>
      </w:rPr>
      <w:tblPr/>
      <w:tcPr>
        <w:vAlign w:val="bottom"/>
      </w:tcPr>
    </w:tblStylePr>
    <w:tblStylePr w:type="lastRow">
      <w:rPr>
        <w:color w:val="FFFFFF" w:themeColor="background1"/>
      </w:rPr>
    </w:tblStylePr>
    <w:tblStylePr w:type="nwCell">
      <w:pPr>
        <w:jc w:val="left"/>
      </w:pPr>
      <w:tblPr/>
      <w:tcPr>
        <w:vAlign w:val="bottom"/>
      </w:tcPr>
    </w:tblStylePr>
  </w:style>
  <w:style w:type="table" w:customStyle="1" w:styleId="PwCPanelframe">
    <w:name w:val="PwC Panel frame"/>
    <w:basedOn w:val="TableNormal"/>
    <w:uiPriority w:val="99"/>
    <w:qFormat/>
    <w:rsid w:val="004B1E27"/>
    <w:pPr>
      <w:spacing w:line="227" w:lineRule="exact"/>
    </w:pPr>
    <w:rPr>
      <w:sz w:val="8"/>
    </w:rPr>
    <w:tblPr>
      <w:tblBorders>
        <w:top w:val="single" w:sz="8" w:space="0" w:color="A32020" w:themeColor="text2"/>
        <w:left w:val="single" w:sz="8" w:space="0" w:color="A32020" w:themeColor="text2"/>
      </w:tblBorders>
      <w:tblCellMar>
        <w:left w:w="227" w:type="dxa"/>
        <w:right w:w="0" w:type="dxa"/>
      </w:tblCellMar>
    </w:tblPr>
    <w:tcPr>
      <w:shd w:val="clear" w:color="auto" w:fill="auto"/>
    </w:tcPr>
  </w:style>
  <w:style w:type="table" w:customStyle="1" w:styleId="PwCpull-outframe">
    <w:name w:val="PwC pull-out frame"/>
    <w:basedOn w:val="PwCPanelframe"/>
    <w:uiPriority w:val="99"/>
    <w:rsid w:val="007167DF"/>
    <w:tblPr>
      <w:tblBorders>
        <w:top w:val="dotted" w:sz="8" w:space="0" w:color="A32020" w:themeColor="text2"/>
        <w:left w:val="dotted" w:sz="8" w:space="0" w:color="A32020" w:themeColor="text2"/>
      </w:tblBorders>
    </w:tblPr>
    <w:tcPr>
      <w:shd w:val="clear" w:color="auto" w:fill="auto"/>
    </w:tcPr>
  </w:style>
  <w:style w:type="paragraph" w:customStyle="1" w:styleId="Bullet1">
    <w:name w:val="Bullet 1"/>
    <w:aliases w:val="FACS,MA Bullet 1,Alt.,b1,Bullet for no #'s,Bullet for no #'s Char,MA Bullet 1 Char,Alt. Char,Bullet,body,Bullet ...,body Char Char,body Char Char Char5,body Char Char Char Char,body Char Char Char Char Char Char Char Char,Bullet 1 Char1"/>
    <w:basedOn w:val="PwCNormal"/>
    <w:link w:val="Bullet1CharChar"/>
    <w:rsid w:val="00BE4F03"/>
    <w:pPr>
      <w:numPr>
        <w:numId w:val="26"/>
      </w:numPr>
      <w:spacing w:after="80"/>
    </w:pPr>
  </w:style>
  <w:style w:type="paragraph" w:customStyle="1" w:styleId="Bullet2">
    <w:name w:val="Bullet 2"/>
    <w:basedOn w:val="Bullet1"/>
    <w:rsid w:val="003522D8"/>
    <w:pPr>
      <w:numPr>
        <w:ilvl w:val="1"/>
      </w:numPr>
    </w:pPr>
  </w:style>
  <w:style w:type="paragraph" w:customStyle="1" w:styleId="Bullet3">
    <w:name w:val="Bullet 3"/>
    <w:basedOn w:val="Bullet2"/>
    <w:rsid w:val="003522D8"/>
    <w:pPr>
      <w:numPr>
        <w:ilvl w:val="2"/>
      </w:numPr>
    </w:pPr>
  </w:style>
  <w:style w:type="paragraph" w:customStyle="1" w:styleId="Bullet4">
    <w:name w:val="Bullet 4"/>
    <w:basedOn w:val="Bullet3"/>
    <w:rsid w:val="003522D8"/>
    <w:pPr>
      <w:numPr>
        <w:ilvl w:val="3"/>
      </w:numPr>
    </w:pPr>
  </w:style>
  <w:style w:type="numbering" w:customStyle="1" w:styleId="Bullets">
    <w:name w:val="Bullets"/>
    <w:uiPriority w:val="99"/>
    <w:rsid w:val="00BE4F03"/>
    <w:pPr>
      <w:numPr>
        <w:numId w:val="23"/>
      </w:numPr>
    </w:pPr>
  </w:style>
  <w:style w:type="paragraph" w:customStyle="1" w:styleId="FirstPagePanelFrame-Contents">
    <w:name w:val="First Page Panel Frame - Contents"/>
    <w:basedOn w:val="FirstPagePanelFrame"/>
    <w:rsid w:val="00C54A4F"/>
    <w:pPr>
      <w:framePr w:wrap="notBeside"/>
    </w:pPr>
  </w:style>
  <w:style w:type="numbering" w:customStyle="1" w:styleId="ChapterNumberingList">
    <w:name w:val="Chapter Numbering List"/>
    <w:uiPriority w:val="99"/>
    <w:rsid w:val="00BE4F03"/>
    <w:pPr>
      <w:numPr>
        <w:numId w:val="25"/>
      </w:numPr>
    </w:pPr>
  </w:style>
  <w:style w:type="table" w:customStyle="1" w:styleId="LightShading-Accent12">
    <w:name w:val="Light Shading - Accent 12"/>
    <w:basedOn w:val="TableNormal"/>
    <w:uiPriority w:val="60"/>
    <w:locked/>
    <w:rsid w:val="00476CCE"/>
    <w:rPr>
      <w:rFonts w:ascii="Arial" w:hAnsi="Arial"/>
      <w:color w:val="7A1818" w:themeColor="accent1" w:themeShade="BF"/>
      <w:sz w:val="21"/>
      <w:szCs w:val="21"/>
    </w:rPr>
    <w:tblPr>
      <w:tblStyleRowBandSize w:val="1"/>
      <w:tblStyleColBandSize w:val="1"/>
      <w:tblBorders>
        <w:top w:val="single" w:sz="8" w:space="0" w:color="A32020" w:themeColor="accent1"/>
        <w:bottom w:val="single" w:sz="8" w:space="0" w:color="A32020" w:themeColor="accent1"/>
      </w:tblBorders>
    </w:tblPr>
    <w:tblStylePr w:type="firstRow">
      <w:pPr>
        <w:spacing w:before="0" w:after="0" w:line="240" w:lineRule="auto"/>
      </w:pPr>
      <w:rPr>
        <w:b/>
        <w:bCs/>
      </w:rPr>
      <w:tblPr/>
      <w:tcPr>
        <w:tcBorders>
          <w:top w:val="single" w:sz="8" w:space="0" w:color="A32020" w:themeColor="accent1"/>
          <w:left w:val="nil"/>
          <w:bottom w:val="single" w:sz="8" w:space="0" w:color="A32020" w:themeColor="accent1"/>
          <w:right w:val="nil"/>
          <w:insideH w:val="nil"/>
          <w:insideV w:val="nil"/>
        </w:tcBorders>
      </w:tcPr>
    </w:tblStylePr>
    <w:tblStylePr w:type="lastRow">
      <w:pPr>
        <w:spacing w:before="0" w:after="0" w:line="240" w:lineRule="auto"/>
      </w:pPr>
      <w:rPr>
        <w:b/>
        <w:bCs/>
      </w:rPr>
      <w:tblPr/>
      <w:tcPr>
        <w:tcBorders>
          <w:top w:val="single" w:sz="8" w:space="0" w:color="A32020" w:themeColor="accent1"/>
          <w:left w:val="nil"/>
          <w:bottom w:val="single" w:sz="8" w:space="0" w:color="A320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DBD" w:themeFill="accent1" w:themeFillTint="3F"/>
      </w:tcPr>
    </w:tblStylePr>
    <w:tblStylePr w:type="band1Horz">
      <w:tblPr/>
      <w:tcPr>
        <w:tcBorders>
          <w:left w:val="nil"/>
          <w:right w:val="nil"/>
          <w:insideH w:val="nil"/>
          <w:insideV w:val="nil"/>
        </w:tcBorders>
        <w:shd w:val="clear" w:color="auto" w:fill="F2BDBD" w:themeFill="accent1" w:themeFillTint="3F"/>
      </w:tcPr>
    </w:tblStylePr>
  </w:style>
  <w:style w:type="character" w:customStyle="1" w:styleId="Heading2Char">
    <w:name w:val="Heading 2 Char"/>
    <w:aliases w:val="Chapter Heading (Short) Char"/>
    <w:link w:val="Heading2"/>
    <w:rsid w:val="00C90DD6"/>
    <w:rPr>
      <w:rFonts w:asciiTheme="majorHAnsi" w:hAnsiTheme="majorHAnsi" w:cs="Arial"/>
      <w:b/>
      <w:bCs/>
      <w:i/>
      <w:iCs/>
      <w:snapToGrid w:val="0"/>
      <w:color w:val="000000" w:themeColor="text1"/>
      <w:sz w:val="56"/>
      <w:szCs w:val="36"/>
      <w:lang w:eastAsia="en-US"/>
    </w:rPr>
  </w:style>
  <w:style w:type="character" w:customStyle="1" w:styleId="FootnoteTextChar">
    <w:name w:val="Footnote Text Char"/>
    <w:basedOn w:val="DefaultParagraphFont"/>
    <w:link w:val="FootnoteText"/>
    <w:rsid w:val="002A73C8"/>
    <w:rPr>
      <w:rFonts w:cs="Arial"/>
      <w:snapToGrid w:val="0"/>
      <w:sz w:val="14"/>
      <w:lang w:eastAsia="en-US"/>
    </w:rPr>
  </w:style>
  <w:style w:type="paragraph" w:styleId="NormalWeb">
    <w:name w:val="Normal (Web)"/>
    <w:basedOn w:val="Normal"/>
    <w:uiPriority w:val="99"/>
    <w:semiHidden/>
    <w:unhideWhenUsed/>
    <w:rsid w:val="002A73C8"/>
    <w:pPr>
      <w:kinsoku/>
      <w:overflowPunct/>
      <w:autoSpaceDE/>
      <w:autoSpaceDN/>
      <w:adjustRightInd/>
      <w:snapToGrid/>
      <w:spacing w:before="100" w:beforeAutospacing="1" w:after="100" w:afterAutospacing="1"/>
    </w:pPr>
    <w:rPr>
      <w:rFonts w:ascii="Times New Roman" w:eastAsiaTheme="minorEastAsia" w:hAnsi="Times New Roman" w:cs="Times New Roman"/>
      <w:snapToGrid/>
      <w:sz w:val="24"/>
      <w:szCs w:val="24"/>
      <w:lang w:eastAsia="en-AU"/>
    </w:rPr>
  </w:style>
  <w:style w:type="character" w:customStyle="1" w:styleId="Bullet1CharChar">
    <w:name w:val="Bullet 1 Char Char"/>
    <w:basedOn w:val="DefaultParagraphFont"/>
    <w:link w:val="Bullet1"/>
    <w:locked/>
    <w:rsid w:val="004331E8"/>
    <w:rPr>
      <w:rFonts w:cs="Arial"/>
      <w:snapToGrid w:val="0"/>
      <w:lang w:eastAsia="en-US"/>
    </w:rPr>
  </w:style>
  <w:style w:type="table" w:customStyle="1" w:styleId="GridTable4-Accent11">
    <w:name w:val="Grid Table 4 - Accent 11"/>
    <w:basedOn w:val="TableNormal"/>
    <w:uiPriority w:val="49"/>
    <w:rsid w:val="00F10180"/>
    <w:tblPr>
      <w:tblStyleRowBandSize w:val="1"/>
      <w:tblStyleColBandSize w:val="1"/>
      <w:tblBorders>
        <w:top w:val="single" w:sz="4" w:space="0" w:color="E06161" w:themeColor="accent1" w:themeTint="99"/>
        <w:left w:val="single" w:sz="4" w:space="0" w:color="E06161" w:themeColor="accent1" w:themeTint="99"/>
        <w:bottom w:val="single" w:sz="4" w:space="0" w:color="E06161" w:themeColor="accent1" w:themeTint="99"/>
        <w:right w:val="single" w:sz="4" w:space="0" w:color="E06161" w:themeColor="accent1" w:themeTint="99"/>
        <w:insideH w:val="single" w:sz="4" w:space="0" w:color="E06161" w:themeColor="accent1" w:themeTint="99"/>
        <w:insideV w:val="single" w:sz="4" w:space="0" w:color="E06161" w:themeColor="accent1" w:themeTint="99"/>
      </w:tblBorders>
    </w:tblPr>
    <w:tblStylePr w:type="firstRow">
      <w:rPr>
        <w:b/>
        <w:bCs/>
        <w:color w:val="FFFFFF" w:themeColor="background1"/>
      </w:rPr>
      <w:tblPr/>
      <w:tcPr>
        <w:tcBorders>
          <w:top w:val="single" w:sz="4" w:space="0" w:color="A32020" w:themeColor="accent1"/>
          <w:left w:val="single" w:sz="4" w:space="0" w:color="A32020" w:themeColor="accent1"/>
          <w:bottom w:val="single" w:sz="4" w:space="0" w:color="A32020" w:themeColor="accent1"/>
          <w:right w:val="single" w:sz="4" w:space="0" w:color="A32020" w:themeColor="accent1"/>
          <w:insideH w:val="nil"/>
          <w:insideV w:val="nil"/>
        </w:tcBorders>
        <w:shd w:val="clear" w:color="auto" w:fill="A32020" w:themeFill="accent1"/>
      </w:tcPr>
    </w:tblStylePr>
    <w:tblStylePr w:type="lastRow">
      <w:rPr>
        <w:b/>
        <w:bCs/>
      </w:rPr>
      <w:tblPr/>
      <w:tcPr>
        <w:tcBorders>
          <w:top w:val="double" w:sz="4" w:space="0" w:color="A32020" w:themeColor="accent1"/>
        </w:tcBorders>
      </w:tcPr>
    </w:tblStylePr>
    <w:tblStylePr w:type="firstCol">
      <w:rPr>
        <w:b/>
        <w:bCs/>
      </w:rPr>
    </w:tblStylePr>
    <w:tblStylePr w:type="lastCol">
      <w:rPr>
        <w:b/>
        <w:bCs/>
      </w:rPr>
    </w:tblStylePr>
    <w:tblStylePr w:type="band1Vert">
      <w:tblPr/>
      <w:tcPr>
        <w:shd w:val="clear" w:color="auto" w:fill="F4CACA" w:themeFill="accent1" w:themeFillTint="33"/>
      </w:tcPr>
    </w:tblStylePr>
    <w:tblStylePr w:type="band1Horz">
      <w:tblPr/>
      <w:tcPr>
        <w:shd w:val="clear" w:color="auto" w:fill="F4CACA" w:themeFill="accent1" w:themeFillTint="33"/>
      </w:tcPr>
    </w:tblStylePr>
  </w:style>
  <w:style w:type="table" w:customStyle="1" w:styleId="GridTable3-Accent31">
    <w:name w:val="Grid Table 3 - Accent 31"/>
    <w:basedOn w:val="TableNormal"/>
    <w:uiPriority w:val="48"/>
    <w:rsid w:val="00F10180"/>
    <w:tblPr>
      <w:tblStyleRowBandSize w:val="1"/>
      <w:tblStyleColBandSize w:val="1"/>
      <w:tblBorders>
        <w:top w:val="single" w:sz="4" w:space="0" w:color="C55753" w:themeColor="accent3" w:themeTint="99"/>
        <w:left w:val="single" w:sz="4" w:space="0" w:color="C55753" w:themeColor="accent3" w:themeTint="99"/>
        <w:bottom w:val="single" w:sz="4" w:space="0" w:color="C55753" w:themeColor="accent3" w:themeTint="99"/>
        <w:right w:val="single" w:sz="4" w:space="0" w:color="C55753" w:themeColor="accent3" w:themeTint="99"/>
        <w:insideH w:val="single" w:sz="4" w:space="0" w:color="C55753" w:themeColor="accent3" w:themeTint="99"/>
        <w:insideV w:val="single" w:sz="4" w:space="0" w:color="C5575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C7C5" w:themeFill="accent3" w:themeFillTint="33"/>
      </w:tcPr>
    </w:tblStylePr>
    <w:tblStylePr w:type="band1Horz">
      <w:tblPr/>
      <w:tcPr>
        <w:shd w:val="clear" w:color="auto" w:fill="EBC7C5" w:themeFill="accent3" w:themeFillTint="33"/>
      </w:tcPr>
    </w:tblStylePr>
    <w:tblStylePr w:type="neCell">
      <w:tblPr/>
      <w:tcPr>
        <w:tcBorders>
          <w:bottom w:val="single" w:sz="4" w:space="0" w:color="C55753" w:themeColor="accent3" w:themeTint="99"/>
        </w:tcBorders>
      </w:tcPr>
    </w:tblStylePr>
    <w:tblStylePr w:type="nwCell">
      <w:tblPr/>
      <w:tcPr>
        <w:tcBorders>
          <w:bottom w:val="single" w:sz="4" w:space="0" w:color="C55753" w:themeColor="accent3" w:themeTint="99"/>
        </w:tcBorders>
      </w:tcPr>
    </w:tblStylePr>
    <w:tblStylePr w:type="seCell">
      <w:tblPr/>
      <w:tcPr>
        <w:tcBorders>
          <w:top w:val="single" w:sz="4" w:space="0" w:color="C55753" w:themeColor="accent3" w:themeTint="99"/>
        </w:tcBorders>
      </w:tcPr>
    </w:tblStylePr>
    <w:tblStylePr w:type="swCell">
      <w:tblPr/>
      <w:tcPr>
        <w:tcBorders>
          <w:top w:val="single" w:sz="4" w:space="0" w:color="C55753" w:themeColor="accent3" w:themeTint="99"/>
        </w:tcBorders>
      </w:tcPr>
    </w:tblStylePr>
  </w:style>
  <w:style w:type="table" w:customStyle="1" w:styleId="ListTable3-Accent11">
    <w:name w:val="List Table 3 - Accent 11"/>
    <w:basedOn w:val="TableNormal"/>
    <w:uiPriority w:val="48"/>
    <w:rsid w:val="009F1FC2"/>
    <w:tblPr>
      <w:tblStyleRowBandSize w:val="1"/>
      <w:tblStyleColBandSize w:val="1"/>
      <w:tblBorders>
        <w:top w:val="single" w:sz="4" w:space="0" w:color="A32020" w:themeColor="accent1"/>
        <w:left w:val="single" w:sz="4" w:space="0" w:color="A32020" w:themeColor="accent1"/>
        <w:bottom w:val="single" w:sz="4" w:space="0" w:color="A32020" w:themeColor="accent1"/>
        <w:right w:val="single" w:sz="4" w:space="0" w:color="A32020" w:themeColor="accent1"/>
      </w:tblBorders>
    </w:tblPr>
    <w:tblStylePr w:type="firstRow">
      <w:rPr>
        <w:b/>
        <w:bCs/>
        <w:color w:val="FFFFFF" w:themeColor="background1"/>
      </w:rPr>
      <w:tblPr/>
      <w:tcPr>
        <w:shd w:val="clear" w:color="auto" w:fill="A32020" w:themeFill="accent1"/>
      </w:tcPr>
    </w:tblStylePr>
    <w:tblStylePr w:type="lastRow">
      <w:rPr>
        <w:b/>
        <w:bCs/>
      </w:rPr>
      <w:tblPr/>
      <w:tcPr>
        <w:tcBorders>
          <w:top w:val="double" w:sz="4" w:space="0" w:color="A3202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1"/>
          <w:right w:val="single" w:sz="4" w:space="0" w:color="A32020" w:themeColor="accent1"/>
        </w:tcBorders>
      </w:tcPr>
    </w:tblStylePr>
    <w:tblStylePr w:type="band1Horz">
      <w:tblPr/>
      <w:tcPr>
        <w:tcBorders>
          <w:top w:val="single" w:sz="4" w:space="0" w:color="A32020" w:themeColor="accent1"/>
          <w:bottom w:val="single" w:sz="4" w:space="0" w:color="A3202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1"/>
          <w:left w:val="nil"/>
        </w:tcBorders>
      </w:tcPr>
    </w:tblStylePr>
    <w:tblStylePr w:type="swCell">
      <w:tblPr/>
      <w:tcPr>
        <w:tcBorders>
          <w:top w:val="double" w:sz="4" w:space="0" w:color="A32020" w:themeColor="accent1"/>
          <w:right w:val="nil"/>
        </w:tcBorders>
      </w:tcPr>
    </w:tblStylePr>
  </w:style>
  <w:style w:type="character" w:customStyle="1" w:styleId="EndnoteTextChar">
    <w:name w:val="Endnote Text Char"/>
    <w:basedOn w:val="DefaultParagraphFont"/>
    <w:link w:val="EndnoteText"/>
    <w:uiPriority w:val="99"/>
    <w:semiHidden/>
    <w:rsid w:val="00450608"/>
    <w:rPr>
      <w:rFonts w:cs="Arial"/>
      <w:snapToGrid w:val="0"/>
      <w:sz w:val="14"/>
      <w:lang w:eastAsia="en-US"/>
    </w:rPr>
  </w:style>
  <w:style w:type="paragraph" w:customStyle="1" w:styleId="DescriptorI">
    <w:name w:val="Descriptor I"/>
    <w:basedOn w:val="Normal"/>
    <w:next w:val="DescriptorII"/>
    <w:unhideWhenUsed/>
    <w:rsid w:val="00A006F3"/>
    <w:pPr>
      <w:spacing w:line="360" w:lineRule="atLeast"/>
    </w:pPr>
    <w:rPr>
      <w:rFonts w:asciiTheme="majorHAnsi" w:hAnsiTheme="majorHAnsi"/>
      <w:color w:val="FFFFFF"/>
      <w:sz w:val="36"/>
    </w:rPr>
  </w:style>
  <w:style w:type="paragraph" w:customStyle="1" w:styleId="DescriptorII">
    <w:name w:val="Descriptor II"/>
    <w:basedOn w:val="DescriptorI"/>
    <w:next w:val="PwCNormal"/>
    <w:unhideWhenUsed/>
    <w:rsid w:val="00A006F3"/>
    <w:rPr>
      <w:szCs w:val="24"/>
    </w:rPr>
  </w:style>
  <w:style w:type="paragraph" w:customStyle="1" w:styleId="connectedthinking">
    <w:name w:val="connectedthinking"/>
    <w:basedOn w:val="DescriptorI"/>
    <w:rsid w:val="00A006F3"/>
    <w:pPr>
      <w:spacing w:line="240" w:lineRule="auto"/>
    </w:pPr>
    <w:rPr>
      <w:rFonts w:asciiTheme="minorHAnsi" w:hAnsiTheme="minorHAnsi"/>
    </w:rPr>
  </w:style>
  <w:style w:type="table" w:customStyle="1" w:styleId="LightList-Accent13">
    <w:name w:val="Light List - Accent 13"/>
    <w:basedOn w:val="TableNormal"/>
    <w:uiPriority w:val="61"/>
    <w:locked/>
    <w:rsid w:val="00A60160"/>
    <w:rPr>
      <w:rFonts w:ascii="Arial" w:hAnsi="Arial"/>
      <w:sz w:val="21"/>
      <w:szCs w:val="21"/>
    </w:rPr>
    <w:tblPr>
      <w:tblStyleRowBandSize w:val="1"/>
      <w:tblStyleColBandSize w:val="1"/>
      <w:tblBorders>
        <w:top w:val="single" w:sz="8" w:space="0" w:color="A32020" w:themeColor="accent1"/>
        <w:left w:val="single" w:sz="8" w:space="0" w:color="A32020" w:themeColor="accent1"/>
        <w:bottom w:val="single" w:sz="8" w:space="0" w:color="A32020" w:themeColor="accent1"/>
        <w:right w:val="single" w:sz="8" w:space="0" w:color="A32020" w:themeColor="accent1"/>
      </w:tblBorders>
    </w:tblPr>
    <w:tblStylePr w:type="firstRow">
      <w:pPr>
        <w:spacing w:before="0" w:after="0" w:line="240" w:lineRule="auto"/>
      </w:pPr>
      <w:rPr>
        <w:b/>
        <w:bCs/>
        <w:color w:val="FFFFFF" w:themeColor="background1"/>
      </w:rPr>
      <w:tblPr/>
      <w:tcPr>
        <w:shd w:val="clear" w:color="auto" w:fill="A32020" w:themeFill="accent1"/>
      </w:tcPr>
    </w:tblStylePr>
    <w:tblStylePr w:type="lastRow">
      <w:pPr>
        <w:spacing w:before="0" w:after="0" w:line="240" w:lineRule="auto"/>
      </w:pPr>
      <w:rPr>
        <w:b/>
        <w:bCs/>
      </w:rPr>
      <w:tblPr/>
      <w:tcPr>
        <w:tcBorders>
          <w:top w:val="double" w:sz="6" w:space="0" w:color="A32020" w:themeColor="accent1"/>
          <w:left w:val="single" w:sz="8" w:space="0" w:color="A32020" w:themeColor="accent1"/>
          <w:bottom w:val="single" w:sz="8" w:space="0" w:color="A32020" w:themeColor="accent1"/>
          <w:right w:val="single" w:sz="8" w:space="0" w:color="A32020" w:themeColor="accent1"/>
        </w:tcBorders>
      </w:tcPr>
    </w:tblStylePr>
    <w:tblStylePr w:type="firstCol">
      <w:rPr>
        <w:b/>
        <w:bCs/>
      </w:rPr>
    </w:tblStylePr>
    <w:tblStylePr w:type="lastCol">
      <w:rPr>
        <w:b/>
        <w:bCs/>
      </w:rPr>
    </w:tblStylePr>
    <w:tblStylePr w:type="band1Vert">
      <w:tblPr/>
      <w:tcPr>
        <w:tcBorders>
          <w:top w:val="single" w:sz="8" w:space="0" w:color="A32020" w:themeColor="accent1"/>
          <w:left w:val="single" w:sz="8" w:space="0" w:color="A32020" w:themeColor="accent1"/>
          <w:bottom w:val="single" w:sz="8" w:space="0" w:color="A32020" w:themeColor="accent1"/>
          <w:right w:val="single" w:sz="8" w:space="0" w:color="A32020" w:themeColor="accent1"/>
        </w:tcBorders>
      </w:tcPr>
    </w:tblStylePr>
    <w:tblStylePr w:type="band1Horz">
      <w:tblPr/>
      <w:tcPr>
        <w:tcBorders>
          <w:top w:val="single" w:sz="8" w:space="0" w:color="A32020" w:themeColor="accent1"/>
          <w:left w:val="single" w:sz="8" w:space="0" w:color="A32020" w:themeColor="accent1"/>
          <w:bottom w:val="single" w:sz="8" w:space="0" w:color="A32020" w:themeColor="accent1"/>
          <w:right w:val="single" w:sz="8" w:space="0" w:color="A32020" w:themeColor="accent1"/>
        </w:tcBorders>
      </w:tcPr>
    </w:tblStylePr>
  </w:style>
  <w:style w:type="character" w:customStyle="1" w:styleId="ListParagraphChar">
    <w:name w:val="List Paragraph Char"/>
    <w:aliases w:val="SWA List Paragraph Char,Indent Char,List Paragraph1 Char,List Paragraph11 Char,Bullet point Char,bullet point list Char,List Paragraph111 Char,L Char,F5 List Paragraph Char,Dot pt Char,CV text Char,Table text Char"/>
    <w:basedOn w:val="DefaultParagraphFont"/>
    <w:link w:val="ListParagraph"/>
    <w:uiPriority w:val="34"/>
    <w:qFormat/>
    <w:rsid w:val="00360B5C"/>
    <w:rPr>
      <w:rFonts w:cs="Arial"/>
      <w:snapToGrid w:val="0"/>
      <w:lang w:eastAsia="en-US"/>
    </w:rPr>
  </w:style>
  <w:style w:type="paragraph" w:customStyle="1" w:styleId="SWALink">
    <w:name w:val="SWA Link"/>
    <w:basedOn w:val="Normal"/>
    <w:link w:val="SWALinkChar"/>
    <w:qFormat/>
    <w:rsid w:val="008676C8"/>
    <w:pPr>
      <w:kinsoku/>
      <w:overflowPunct/>
      <w:autoSpaceDE/>
      <w:autoSpaceDN/>
      <w:adjustRightInd/>
      <w:snapToGrid/>
      <w:spacing w:after="120"/>
    </w:pPr>
    <w:rPr>
      <w:rFonts w:ascii="Arial" w:hAnsi="Arial" w:cs="Times New Roman"/>
      <w:snapToGrid/>
      <w:szCs w:val="24"/>
      <w:u w:val="single"/>
      <w:lang w:eastAsia="en-AU"/>
    </w:rPr>
  </w:style>
  <w:style w:type="character" w:customStyle="1" w:styleId="SWALinkChar">
    <w:name w:val="SWA Link Char"/>
    <w:basedOn w:val="DefaultParagraphFont"/>
    <w:link w:val="SWALink"/>
    <w:rsid w:val="008676C8"/>
    <w:rPr>
      <w:rFonts w:ascii="Arial" w:hAnsi="Arial"/>
      <w:szCs w:val="24"/>
      <w:u w:val="single"/>
    </w:rPr>
  </w:style>
  <w:style w:type="numbering" w:customStyle="1" w:styleId="Numbers">
    <w:name w:val="Numbers"/>
    <w:rsid w:val="00FA3DE9"/>
    <w:pPr>
      <w:numPr>
        <w:numId w:val="50"/>
      </w:numPr>
    </w:pPr>
  </w:style>
  <w:style w:type="paragraph" w:customStyle="1" w:styleId="DPCnumberdigit">
    <w:name w:val="DPC number digit"/>
    <w:basedOn w:val="Normal"/>
    <w:uiPriority w:val="4"/>
    <w:rsid w:val="00FA3DE9"/>
    <w:pPr>
      <w:numPr>
        <w:numId w:val="50"/>
      </w:numPr>
      <w:kinsoku/>
      <w:overflowPunct/>
      <w:autoSpaceDE/>
      <w:autoSpaceDN/>
      <w:adjustRightInd/>
      <w:snapToGrid/>
      <w:spacing w:after="160" w:line="300" w:lineRule="atLeast"/>
    </w:pPr>
    <w:rPr>
      <w:rFonts w:asciiTheme="minorHAnsi" w:eastAsia="Times" w:hAnsiTheme="minorHAnsi"/>
      <w:snapToGrid/>
      <w:color w:val="000000" w:themeColor="text1"/>
      <w:sz w:val="22"/>
      <w:szCs w:val="22"/>
    </w:rPr>
  </w:style>
  <w:style w:type="paragraph" w:customStyle="1" w:styleId="DPCnumberloweralphaindent">
    <w:name w:val="DPC number lower alpha indent"/>
    <w:basedOn w:val="Normal"/>
    <w:uiPriority w:val="4"/>
    <w:qFormat/>
    <w:rsid w:val="00FA3DE9"/>
    <w:pPr>
      <w:numPr>
        <w:ilvl w:val="3"/>
        <w:numId w:val="50"/>
      </w:numPr>
      <w:kinsoku/>
      <w:overflowPunct/>
      <w:autoSpaceDE/>
      <w:autoSpaceDN/>
      <w:adjustRightInd/>
      <w:snapToGrid/>
      <w:spacing w:after="160" w:line="300" w:lineRule="atLeast"/>
    </w:pPr>
    <w:rPr>
      <w:rFonts w:asciiTheme="minorHAnsi" w:eastAsia="Times" w:hAnsiTheme="minorHAnsi"/>
      <w:snapToGrid/>
      <w:color w:val="000000" w:themeColor="text1"/>
      <w:sz w:val="22"/>
      <w:szCs w:val="22"/>
    </w:rPr>
  </w:style>
  <w:style w:type="paragraph" w:customStyle="1" w:styleId="DPCnumberdigitindent">
    <w:name w:val="DPC number digit indent"/>
    <w:basedOn w:val="DPCnumberloweralphaindent"/>
    <w:uiPriority w:val="4"/>
    <w:qFormat/>
    <w:rsid w:val="00FA3DE9"/>
    <w:pPr>
      <w:numPr>
        <w:ilvl w:val="1"/>
      </w:numPr>
    </w:pPr>
  </w:style>
  <w:style w:type="paragraph" w:customStyle="1" w:styleId="DPCnumberloweralpha">
    <w:name w:val="DPC number lower alpha"/>
    <w:basedOn w:val="Normal"/>
    <w:uiPriority w:val="4"/>
    <w:qFormat/>
    <w:rsid w:val="00FA3DE9"/>
    <w:pPr>
      <w:numPr>
        <w:ilvl w:val="2"/>
        <w:numId w:val="50"/>
      </w:numPr>
      <w:kinsoku/>
      <w:overflowPunct/>
      <w:autoSpaceDE/>
      <w:autoSpaceDN/>
      <w:adjustRightInd/>
      <w:snapToGrid/>
      <w:spacing w:after="160" w:line="300" w:lineRule="atLeast"/>
    </w:pPr>
    <w:rPr>
      <w:rFonts w:asciiTheme="minorHAnsi" w:eastAsia="Times" w:hAnsiTheme="minorHAnsi"/>
      <w:snapToGrid/>
      <w:color w:val="000000" w:themeColor="text1"/>
      <w:sz w:val="22"/>
      <w:szCs w:val="22"/>
    </w:rPr>
  </w:style>
  <w:style w:type="paragraph" w:customStyle="1" w:styleId="DPCnumberlowerroman">
    <w:name w:val="DPC number lower roman"/>
    <w:basedOn w:val="Normal"/>
    <w:uiPriority w:val="4"/>
    <w:qFormat/>
    <w:rsid w:val="00FA3DE9"/>
    <w:pPr>
      <w:numPr>
        <w:ilvl w:val="4"/>
        <w:numId w:val="50"/>
      </w:numPr>
      <w:kinsoku/>
      <w:overflowPunct/>
      <w:autoSpaceDE/>
      <w:autoSpaceDN/>
      <w:adjustRightInd/>
      <w:snapToGrid/>
      <w:spacing w:after="160" w:line="300" w:lineRule="atLeast"/>
    </w:pPr>
    <w:rPr>
      <w:rFonts w:asciiTheme="minorHAnsi" w:eastAsia="Times" w:hAnsiTheme="minorHAnsi"/>
      <w:snapToGrid/>
      <w:color w:val="000000" w:themeColor="text1"/>
      <w:sz w:val="22"/>
      <w:szCs w:val="22"/>
    </w:rPr>
  </w:style>
  <w:style w:type="paragraph" w:customStyle="1" w:styleId="DPCnumberlowerromanindent">
    <w:name w:val="DPC number lower roman indent"/>
    <w:basedOn w:val="Normal"/>
    <w:uiPriority w:val="4"/>
    <w:qFormat/>
    <w:rsid w:val="00FA3DE9"/>
    <w:pPr>
      <w:numPr>
        <w:ilvl w:val="5"/>
        <w:numId w:val="50"/>
      </w:numPr>
      <w:kinsoku/>
      <w:overflowPunct/>
      <w:autoSpaceDE/>
      <w:autoSpaceDN/>
      <w:adjustRightInd/>
      <w:snapToGrid/>
      <w:spacing w:after="160" w:line="300" w:lineRule="atLeast"/>
    </w:pPr>
    <w:rPr>
      <w:rFonts w:asciiTheme="minorHAnsi" w:eastAsia="Times" w:hAnsiTheme="minorHAnsi"/>
      <w:snapToGrid/>
      <w:color w:val="000000" w:themeColor="text1"/>
      <w:sz w:val="22"/>
      <w:szCs w:val="22"/>
    </w:rPr>
  </w:style>
  <w:style w:type="paragraph" w:styleId="Revision">
    <w:name w:val="Revision"/>
    <w:hidden/>
    <w:uiPriority w:val="99"/>
    <w:semiHidden/>
    <w:rsid w:val="000B38DC"/>
    <w:rPr>
      <w:rFonts w:cs="Ari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2434">
      <w:bodyDiv w:val="1"/>
      <w:marLeft w:val="0"/>
      <w:marRight w:val="0"/>
      <w:marTop w:val="0"/>
      <w:marBottom w:val="0"/>
      <w:divBdr>
        <w:top w:val="none" w:sz="0" w:space="0" w:color="auto"/>
        <w:left w:val="none" w:sz="0" w:space="0" w:color="auto"/>
        <w:bottom w:val="none" w:sz="0" w:space="0" w:color="auto"/>
        <w:right w:val="none" w:sz="0" w:space="0" w:color="auto"/>
      </w:divBdr>
    </w:div>
    <w:div w:id="971903237">
      <w:bodyDiv w:val="1"/>
      <w:marLeft w:val="0"/>
      <w:marRight w:val="0"/>
      <w:marTop w:val="0"/>
      <w:marBottom w:val="0"/>
      <w:divBdr>
        <w:top w:val="none" w:sz="0" w:space="0" w:color="auto"/>
        <w:left w:val="none" w:sz="0" w:space="0" w:color="auto"/>
        <w:bottom w:val="none" w:sz="0" w:space="0" w:color="auto"/>
        <w:right w:val="none" w:sz="0" w:space="0" w:color="auto"/>
      </w:divBdr>
    </w:div>
    <w:div w:id="1102457309">
      <w:bodyDiv w:val="1"/>
      <w:marLeft w:val="0"/>
      <w:marRight w:val="0"/>
      <w:marTop w:val="0"/>
      <w:marBottom w:val="0"/>
      <w:divBdr>
        <w:top w:val="none" w:sz="0" w:space="0" w:color="auto"/>
        <w:left w:val="none" w:sz="0" w:space="0" w:color="auto"/>
        <w:bottom w:val="none" w:sz="0" w:space="0" w:color="auto"/>
        <w:right w:val="none" w:sz="0" w:space="0" w:color="auto"/>
      </w:divBdr>
    </w:div>
    <w:div w:id="1396931335">
      <w:bodyDiv w:val="1"/>
      <w:marLeft w:val="0"/>
      <w:marRight w:val="0"/>
      <w:marTop w:val="0"/>
      <w:marBottom w:val="0"/>
      <w:divBdr>
        <w:top w:val="none" w:sz="0" w:space="0" w:color="auto"/>
        <w:left w:val="none" w:sz="0" w:space="0" w:color="auto"/>
        <w:bottom w:val="none" w:sz="0" w:space="0" w:color="auto"/>
        <w:right w:val="none" w:sz="0" w:space="0" w:color="auto"/>
      </w:divBdr>
    </w:div>
    <w:div w:id="1442845352">
      <w:bodyDiv w:val="1"/>
      <w:marLeft w:val="0"/>
      <w:marRight w:val="0"/>
      <w:marTop w:val="0"/>
      <w:marBottom w:val="0"/>
      <w:divBdr>
        <w:top w:val="none" w:sz="0" w:space="0" w:color="auto"/>
        <w:left w:val="none" w:sz="0" w:space="0" w:color="auto"/>
        <w:bottom w:val="none" w:sz="0" w:space="0" w:color="auto"/>
        <w:right w:val="none" w:sz="0" w:space="0" w:color="auto"/>
      </w:divBdr>
    </w:div>
    <w:div w:id="1478113423">
      <w:bodyDiv w:val="1"/>
      <w:marLeft w:val="0"/>
      <w:marRight w:val="0"/>
      <w:marTop w:val="0"/>
      <w:marBottom w:val="0"/>
      <w:divBdr>
        <w:top w:val="none" w:sz="0" w:space="0" w:color="auto"/>
        <w:left w:val="none" w:sz="0" w:space="0" w:color="auto"/>
        <w:bottom w:val="none" w:sz="0" w:space="0" w:color="auto"/>
        <w:right w:val="none" w:sz="0" w:space="0" w:color="auto"/>
      </w:divBdr>
    </w:div>
    <w:div w:id="1548685955">
      <w:bodyDiv w:val="1"/>
      <w:marLeft w:val="0"/>
      <w:marRight w:val="0"/>
      <w:marTop w:val="0"/>
      <w:marBottom w:val="0"/>
      <w:divBdr>
        <w:top w:val="none" w:sz="0" w:space="0" w:color="auto"/>
        <w:left w:val="none" w:sz="0" w:space="0" w:color="auto"/>
        <w:bottom w:val="none" w:sz="0" w:space="0" w:color="auto"/>
        <w:right w:val="none" w:sz="0" w:space="0" w:color="auto"/>
      </w:divBdr>
    </w:div>
    <w:div w:id="1597791625">
      <w:bodyDiv w:val="1"/>
      <w:marLeft w:val="0"/>
      <w:marRight w:val="0"/>
      <w:marTop w:val="0"/>
      <w:marBottom w:val="0"/>
      <w:divBdr>
        <w:top w:val="none" w:sz="0" w:space="0" w:color="auto"/>
        <w:left w:val="none" w:sz="0" w:space="0" w:color="auto"/>
        <w:bottom w:val="none" w:sz="0" w:space="0" w:color="auto"/>
        <w:right w:val="none" w:sz="0" w:space="0" w:color="auto"/>
      </w:divBdr>
    </w:div>
    <w:div w:id="1983805622">
      <w:bodyDiv w:val="1"/>
      <w:marLeft w:val="0"/>
      <w:marRight w:val="0"/>
      <w:marTop w:val="0"/>
      <w:marBottom w:val="0"/>
      <w:divBdr>
        <w:top w:val="none" w:sz="0" w:space="0" w:color="auto"/>
        <w:left w:val="none" w:sz="0" w:space="0" w:color="auto"/>
        <w:bottom w:val="none" w:sz="0" w:space="0" w:color="auto"/>
        <w:right w:val="none" w:sz="0" w:space="0" w:color="auto"/>
      </w:divBdr>
    </w:div>
    <w:div w:id="20653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header" Target="header10.xml"/><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header" Target="header19.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7.png"/><Relationship Id="rId38" Type="http://schemas.openxmlformats.org/officeDocument/2006/relationships/header" Target="header12.xml"/><Relationship Id="rId46" Type="http://schemas.openxmlformats.org/officeDocument/2006/relationships/hyperlink" Target="http://www.legislation.vic.gov.au/domino/Web_notes/LDMS/LTObject_Store/LTObjSt1.nsf/d1a8d8a9bed958efca25761600042ef5/773f9b5676739761ca25776100164378/$FILE/72-8273a050doc.do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4.png"/><Relationship Id="rId41" Type="http://schemas.openxmlformats.org/officeDocument/2006/relationships/header" Target="header14.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footer" Target="footer15.xml"/><Relationship Id="rId53"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footer" Target="footer10.xml"/><Relationship Id="rId49"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png"/><Relationship Id="rId44" Type="http://schemas.openxmlformats.org/officeDocument/2006/relationships/header" Target="header15.xml"/><Relationship Id="rId52"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8.xml"/><Relationship Id="rId27" Type="http://schemas.openxmlformats.org/officeDocument/2006/relationships/hyperlink" Target="https://www.vic.gov.au/aboriginalvictoria/heritage/" TargetMode="External"/><Relationship Id="rId30" Type="http://schemas.openxmlformats.org/officeDocument/2006/relationships/chart" Target="charts/chart1.xml"/><Relationship Id="rId35" Type="http://schemas.openxmlformats.org/officeDocument/2006/relationships/header" Target="header11.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0.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mckinsey.com/industries/social-sector/our-insights/measuring-what-matters-in-nonprofits" TargetMode="External"/><Relationship Id="rId3" Type="http://schemas.openxmlformats.org/officeDocument/2006/relationships/hyperlink" Target="http://alc.org.au/media/74358/parliament%20e-brief%20aboriginal%20disadvantage%5b2%5d.pdf" TargetMode="External"/><Relationship Id="rId7" Type="http://schemas.openxmlformats.org/officeDocument/2006/relationships/hyperlink" Target="https://www.bkd.com/docs/pdf/wp_outcome_measures.pdf" TargetMode="External"/><Relationship Id="rId2" Type="http://schemas.openxmlformats.org/officeDocument/2006/relationships/hyperlink" Target="https://www.humanrights.gov.au/submission-ratification-2003-unesco-convention-safeguarding-intangible-cultural-heritage-2008" TargetMode="External"/><Relationship Id="rId1" Type="http://schemas.openxmlformats.org/officeDocument/2006/relationships/hyperlink" Target="http://www.australia.gov.au/about-australia/australian-story/austn-indigenous-cultural-heritage" TargetMode="External"/><Relationship Id="rId6" Type="http://schemas.openxmlformats.org/officeDocument/2006/relationships/hyperlink" Target="http://www.dtf.vic.gov.au/Publications/Victoria-Economy-publications/Fees-and-fines-fact-sheet" TargetMode="External"/><Relationship Id="rId5" Type="http://schemas.openxmlformats.org/officeDocument/2006/relationships/hyperlink" Target="http://www.business.vic.gov.au/__data/assets/pdf_file/0009/1551753/Tourism_Domestic_Infographic_YEJun17_FINAL.PDF" TargetMode="External"/><Relationship Id="rId10" Type="http://schemas.openxmlformats.org/officeDocument/2006/relationships/hyperlink" Target="http://www.abs.gov.au/AUSSTATS/abs@.nsf/Lookup/2071.0Main+Features852016?OpenDocument" TargetMode="External"/><Relationship Id="rId4" Type="http://schemas.openxmlformats.org/officeDocument/2006/relationships/hyperlink" Target="http://www.business.vic.gov.au/__data/assets/pdf_file/0007/1597525/Tourism-International-Infographic-September-2017-FINAL.pdf" TargetMode="External"/><Relationship Id="rId9" Type="http://schemas.openxmlformats.org/officeDocument/2006/relationships/hyperlink" Target="http://www.budget.vic.gov.a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20A%20Robinson\AppData\Roaming\Microsoft\Templates\PwCWL_Report%20Georgia.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pwcau\syd$\data\Advisory\Restricted\Economics%20and%20Policy\Client%20C-E\Depts%20of%20VIC%20Govt\Dept%20of%20Premier%20and%20Cabinet\AV%20-%20RIS%20on%20Aboriginal%20Heritage%20Regs%202018\Model\AV%20RIS%20model%20v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'Other RIS outputs'!$B$8</c:f>
              <c:strCache>
                <c:ptCount val="1"/>
                <c:pt idx="0">
                  <c:v>CHMPs approved by AV</c:v>
                </c:pt>
              </c:strCache>
            </c:strRef>
          </c:tx>
          <c:spPr>
            <a:solidFill>
              <a:schemeClr val="accent1"/>
            </a:solidFill>
            <a:ln>
              <a:noFill/>
            </a:ln>
            <a:effectLst/>
          </c:spPr>
          <c:invertIfNegative val="0"/>
          <c:cat>
            <c:numRef>
              <c:f>'Other RIS outputs'!$F$4:$M$4</c:f>
              <c:numCache>
                <c:formatCode>General</c:formatCode>
                <c:ptCount val="8"/>
                <c:pt idx="0">
                  <c:v>2009</c:v>
                </c:pt>
                <c:pt idx="1">
                  <c:v>2010</c:v>
                </c:pt>
                <c:pt idx="2">
                  <c:v>2011</c:v>
                </c:pt>
                <c:pt idx="3">
                  <c:v>2012</c:v>
                </c:pt>
                <c:pt idx="4">
                  <c:v>2013</c:v>
                </c:pt>
                <c:pt idx="5">
                  <c:v>2014</c:v>
                </c:pt>
                <c:pt idx="6">
                  <c:v>2015</c:v>
                </c:pt>
                <c:pt idx="7">
                  <c:v>2016</c:v>
                </c:pt>
              </c:numCache>
            </c:numRef>
          </c:cat>
          <c:val>
            <c:numRef>
              <c:f>'Other RIS outputs'!$F$8:$M$8</c:f>
              <c:numCache>
                <c:formatCode>General</c:formatCode>
                <c:ptCount val="8"/>
                <c:pt idx="0">
                  <c:v>242</c:v>
                </c:pt>
                <c:pt idx="1">
                  <c:v>233</c:v>
                </c:pt>
                <c:pt idx="2">
                  <c:v>229</c:v>
                </c:pt>
                <c:pt idx="3">
                  <c:v>284</c:v>
                </c:pt>
                <c:pt idx="4">
                  <c:v>218</c:v>
                </c:pt>
                <c:pt idx="5">
                  <c:v>228</c:v>
                </c:pt>
                <c:pt idx="6">
                  <c:v>293</c:v>
                </c:pt>
                <c:pt idx="7">
                  <c:v>340</c:v>
                </c:pt>
              </c:numCache>
            </c:numRef>
          </c:val>
          <c:extLst>
            <c:ext xmlns:c16="http://schemas.microsoft.com/office/drawing/2014/chart" uri="{C3380CC4-5D6E-409C-BE32-E72D297353CC}">
              <c16:uniqueId val="{00000000-1111-4129-947F-F3B385B33AD1}"/>
            </c:ext>
          </c:extLst>
        </c:ser>
        <c:ser>
          <c:idx val="1"/>
          <c:order val="1"/>
          <c:tx>
            <c:strRef>
              <c:f>'Other RIS outputs'!$B$9</c:f>
              <c:strCache>
                <c:ptCount val="1"/>
                <c:pt idx="0">
                  <c:v>CHMPs approved by RAPs</c:v>
                </c:pt>
              </c:strCache>
            </c:strRef>
          </c:tx>
          <c:spPr>
            <a:solidFill>
              <a:schemeClr val="accent2"/>
            </a:solidFill>
            <a:ln>
              <a:noFill/>
            </a:ln>
            <a:effectLst/>
          </c:spPr>
          <c:invertIfNegative val="0"/>
          <c:cat>
            <c:numRef>
              <c:f>'Other RIS outputs'!$F$4:$M$4</c:f>
              <c:numCache>
                <c:formatCode>General</c:formatCode>
                <c:ptCount val="8"/>
                <c:pt idx="0">
                  <c:v>2009</c:v>
                </c:pt>
                <c:pt idx="1">
                  <c:v>2010</c:v>
                </c:pt>
                <c:pt idx="2">
                  <c:v>2011</c:v>
                </c:pt>
                <c:pt idx="3">
                  <c:v>2012</c:v>
                </c:pt>
                <c:pt idx="4">
                  <c:v>2013</c:v>
                </c:pt>
                <c:pt idx="5">
                  <c:v>2014</c:v>
                </c:pt>
                <c:pt idx="6">
                  <c:v>2015</c:v>
                </c:pt>
                <c:pt idx="7">
                  <c:v>2016</c:v>
                </c:pt>
              </c:numCache>
            </c:numRef>
          </c:cat>
          <c:val>
            <c:numRef>
              <c:f>'Other RIS outputs'!$F$9:$M$9</c:f>
              <c:numCache>
                <c:formatCode>General</c:formatCode>
                <c:ptCount val="8"/>
                <c:pt idx="0">
                  <c:v>70</c:v>
                </c:pt>
                <c:pt idx="1">
                  <c:v>167</c:v>
                </c:pt>
                <c:pt idx="2">
                  <c:v>171</c:v>
                </c:pt>
                <c:pt idx="3">
                  <c:v>176</c:v>
                </c:pt>
                <c:pt idx="4">
                  <c:v>180</c:v>
                </c:pt>
                <c:pt idx="5">
                  <c:v>203</c:v>
                </c:pt>
                <c:pt idx="6">
                  <c:v>198</c:v>
                </c:pt>
                <c:pt idx="7">
                  <c:v>291</c:v>
                </c:pt>
              </c:numCache>
            </c:numRef>
          </c:val>
          <c:extLst>
            <c:ext xmlns:c16="http://schemas.microsoft.com/office/drawing/2014/chart" uri="{C3380CC4-5D6E-409C-BE32-E72D297353CC}">
              <c16:uniqueId val="{00000001-1111-4129-947F-F3B385B33AD1}"/>
            </c:ext>
          </c:extLst>
        </c:ser>
        <c:dLbls>
          <c:showLegendKey val="0"/>
          <c:showVal val="0"/>
          <c:showCatName val="0"/>
          <c:showSerName val="0"/>
          <c:showPercent val="0"/>
          <c:showBubbleSize val="0"/>
        </c:dLbls>
        <c:gapWidth val="150"/>
        <c:overlap val="100"/>
        <c:axId val="378926208"/>
        <c:axId val="378927744"/>
      </c:barChart>
      <c:catAx>
        <c:axId val="37892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27744"/>
        <c:crosses val="autoZero"/>
        <c:auto val="1"/>
        <c:lblAlgn val="ctr"/>
        <c:lblOffset val="100"/>
        <c:noMultiLvlLbl val="0"/>
      </c:catAx>
      <c:valAx>
        <c:axId val="37892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CHMPs approved per year</a:t>
                </a:r>
              </a:p>
            </c:rich>
          </c:tx>
          <c:layout>
            <c:manualLayout>
              <c:xMode val="edge"/>
              <c:yMode val="edge"/>
              <c:x val="1.94444444444444E-2"/>
              <c:y val="0.1933182350992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2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968C6D"/>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lnSpc>
            <a:spcPts val="2400"/>
          </a:lnSpc>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6F9D-9C8A-4B2B-8EBC-20E48DFC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PwCWL_Report Georgia.dotm</Template>
  <TotalTime>1</TotalTime>
  <Pages>9</Pages>
  <Words>38465</Words>
  <Characters>219251</Characters>
  <Application>Microsoft Office Word</Application>
  <DocSecurity>4</DocSecurity>
  <Lines>1827</Lines>
  <Paragraphs>514</Paragraphs>
  <ScaleCrop>false</ScaleCrop>
  <HeadingPairs>
    <vt:vector size="2" baseType="variant">
      <vt:variant>
        <vt:lpstr>Title</vt:lpstr>
      </vt:variant>
      <vt:variant>
        <vt:i4>1</vt:i4>
      </vt:variant>
    </vt:vector>
  </HeadingPairs>
  <TitlesOfParts>
    <vt:vector size="1" baseType="lpstr">
      <vt:lpstr>PwC Report</vt:lpstr>
    </vt:vector>
  </TitlesOfParts>
  <Company>PricewaterhouseCoopers</Company>
  <LinksUpToDate>false</LinksUpToDate>
  <CharactersWithSpaces>257202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PwC Report</dc:title>
  <dc:creator>Nick A Robinson</dc:creator>
  <cp:lastModifiedBy>Kanha Min (DTF)</cp:lastModifiedBy>
  <cp:revision>2</cp:revision>
  <cp:lastPrinted>2018-03-13T01:25:00Z</cp:lastPrinted>
  <dcterms:created xsi:type="dcterms:W3CDTF">2019-01-10T07:56:00Z</dcterms:created>
  <dcterms:modified xsi:type="dcterms:W3CDTF">2019-01-10T07:56:00Z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ace included">
    <vt:bool>false</vt:bool>
  </property>
  <property fmtid="{D5CDD505-2E9C-101B-9397-08002B2CF9AE}" pid="3" name="ToC levels">
    <vt:i4>1</vt:i4>
  </property>
  <property fmtid="{D5CDD505-2E9C-101B-9397-08002B2CF9AE}" pid="4" name="Document format">
    <vt:lpwstr>SHORT</vt:lpwstr>
  </property>
  <property fmtid="{D5CDD505-2E9C-101B-9397-08002B2CF9AE}" pid="5" name="Chapter number">
    <vt:i4>2</vt:i4>
  </property>
  <property fmtid="{D5CDD505-2E9C-101B-9397-08002B2CF9AE}" pid="6" name="Appendix format">
    <vt:lpwstr>SHORT</vt:lpwstr>
  </property>
  <property fmtid="{D5CDD505-2E9C-101B-9397-08002B2CF9AE}" pid="7" name="Appendix number">
    <vt:i4>3</vt:i4>
  </property>
  <property fmtid="{D5CDD505-2E9C-101B-9397-08002B2CF9AE}" pid="8" name="Letterhead included">
    <vt:bool>false</vt:bool>
  </property>
  <property fmtid="{D5CDD505-2E9C-101B-9397-08002B2CF9AE}" pid="9" name="Color">
    <vt:lpwstr>sBurgundy</vt:lpwstr>
  </property>
  <property fmtid="{D5CDD505-2E9C-101B-9397-08002B2CF9AE}" pid="10" name="Numbering Style">
    <vt:bool>true</vt:bool>
  </property>
  <property fmtid="{D5CDD505-2E9C-101B-9397-08002B2CF9AE}" pid="11" name="TOC Color">
    <vt:bool>true</vt:bool>
  </property>
  <property fmtid="{D5CDD505-2E9C-101B-9397-08002B2CF9AE}" pid="12" name="Point Size">
    <vt:lpwstr>10</vt:lpwstr>
  </property>
  <property fmtid="{D5CDD505-2E9C-101B-9397-08002B2CF9AE}" pid="13" name="Font">
    <vt:lpwstr>Georgia</vt:lpwstr>
  </property>
  <property fmtid="{D5CDD505-2E9C-101B-9397-08002B2CF9AE}" pid="14" name="Portrait Document">
    <vt:bool>true</vt:bool>
  </property>
  <property fmtid="{D5CDD505-2E9C-101B-9397-08002B2CF9AE}" pid="15" name="Key Sentences">
    <vt:bool>false</vt:bool>
  </property>
  <property fmtid="{D5CDD505-2E9C-101B-9397-08002B2CF9AE}" pid="16" name="KeySentenceFormat">
    <vt:lpwstr>N1A</vt:lpwstr>
  </property>
  <property fmtid="{D5CDD505-2E9C-101B-9397-08002B2CF9AE}" pid="17" name="New Report">
    <vt:bool>false</vt:bool>
  </property>
  <property fmtid="{D5CDD505-2E9C-101B-9397-08002B2CF9AE}" pid="18" name="Mirror Margins">
    <vt:bool>false</vt:bool>
  </property>
  <property fmtid="{D5CDD505-2E9C-101B-9397-08002B2CF9AE}" pid="19" name="Number of Columns">
    <vt:i4>1</vt:i4>
  </property>
  <property fmtid="{D5CDD505-2E9C-101B-9397-08002B2CF9AE}" pid="20" name="Double">
    <vt:bool>true</vt:bool>
  </property>
  <property fmtid="{D5CDD505-2E9C-101B-9397-08002B2CF9AE}" pid="21" name="Version">
    <vt:lpwstr>2016_01_13</vt:lpwstr>
  </property>
  <property fmtid="{D5CDD505-2E9C-101B-9397-08002B2CF9AE}" pid="22" name="AP report or proposal">
    <vt:bool>true</vt:bool>
  </property>
  <property fmtid="{D5CDD505-2E9C-101B-9397-08002B2CF9AE}" pid="23" name="VersionNo">
    <vt:lpwstr>9.4</vt:lpwstr>
  </property>
  <property fmtid="{D5CDD505-2E9C-101B-9397-08002B2CF9AE}" pid="24" name="TopBinding">
    <vt:bool>false</vt:bool>
  </property>
  <property fmtid="{D5CDD505-2E9C-101B-9397-08002B2CF9AE}" pid="25" name="TableProperties">
    <vt:lpwstr>B1|R0.2|R0.4|R1|R1|</vt:lpwstr>
  </property>
  <property fmtid="{D5CDD505-2E9C-101B-9397-08002B2CF9AE}" pid="26" name="NotPrinted">
    <vt:bool>false</vt:bool>
  </property>
  <property fmtid="{D5CDD505-2E9C-101B-9397-08002B2CF9AE}" pid="27" name="Grid">
    <vt:bool>false</vt:bool>
  </property>
  <property fmtid="{D5CDD505-2E9C-101B-9397-08002B2CF9AE}" pid="28" name="Disclaimer">
    <vt:lpwstr>PwC’s Consulting Services</vt:lpwstr>
  </property>
  <property fmtid="{D5CDD505-2E9C-101B-9397-08002B2CF9AE}" pid="29" name="chkDisclaimer">
    <vt:bool>false</vt:bool>
  </property>
  <property fmtid="{D5CDD505-2E9C-101B-9397-08002B2CF9AE}" pid="30" name="chkDescriptor">
    <vt:bool>false</vt:bool>
  </property>
  <property fmtid="{D5CDD505-2E9C-101B-9397-08002B2CF9AE}" pid="31" name="TitusGUID">
    <vt:lpwstr>514e7a29-3edf-47d8-97a9-99016213ba19</vt:lpwstr>
  </property>
  <property fmtid="{D5CDD505-2E9C-101B-9397-08002B2CF9AE}" pid="32" name="PSPFClassification">
    <vt:lpwstr>Do Not Mark</vt:lpwstr>
  </property>
</Properties>
</file>