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vertAnchor="page" w:horzAnchor="margin" w:tblpY="1135"/>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921"/>
      </w:tblGrid>
      <w:tr w:rsidR="00192CD4" w14:paraId="03B1F31C" w14:textId="77777777" w:rsidTr="00CD1219">
        <w:trPr>
          <w:trHeight w:hRule="exact" w:val="3969"/>
        </w:trPr>
        <w:tc>
          <w:tcPr>
            <w:tcW w:w="5000" w:type="pct"/>
            <w:tcBorders>
              <w:top w:val="nil"/>
              <w:left w:val="nil"/>
              <w:bottom w:val="nil"/>
              <w:right w:val="nil"/>
            </w:tcBorders>
            <w:shd w:val="clear" w:color="auto" w:fill="auto"/>
            <w:vAlign w:val="bottom"/>
          </w:tcPr>
          <w:p w14:paraId="0BBB3D94" w14:textId="763946DD" w:rsidR="00192CD4" w:rsidRPr="00CD1219" w:rsidRDefault="004B487D" w:rsidP="00CD1219">
            <w:pPr>
              <w:pStyle w:val="Reporttitle"/>
              <w:rPr>
                <w:lang w:val="en-US"/>
              </w:rPr>
            </w:pPr>
            <w:bookmarkStart w:id="0" w:name="CoverPage"/>
            <w:bookmarkStart w:id="1" w:name="_GoBack"/>
            <w:bookmarkEnd w:id="1"/>
            <w:r>
              <w:t>Firearms Regulations 2018</w:t>
            </w:r>
          </w:p>
          <w:p w14:paraId="212F0DFE" w14:textId="7208B147" w:rsidR="004B487D" w:rsidRDefault="004B487D" w:rsidP="00CD1219">
            <w:pPr>
              <w:pStyle w:val="Subtitle"/>
              <w:rPr>
                <w:noProof/>
              </w:rPr>
            </w:pPr>
            <w:r>
              <w:rPr>
                <w:noProof/>
              </w:rPr>
              <w:t>Regulatory Impact Statement</w:t>
            </w:r>
          </w:p>
          <w:p w14:paraId="0C5067FC" w14:textId="75810779" w:rsidR="00192CD4" w:rsidRDefault="00052799" w:rsidP="00052799">
            <w:pPr>
              <w:pStyle w:val="Subtitle2"/>
            </w:pPr>
            <w:r>
              <w:t xml:space="preserve"> </w:t>
            </w:r>
          </w:p>
        </w:tc>
      </w:tr>
    </w:tbl>
    <w:p w14:paraId="5CC8345D" w14:textId="59E67F35" w:rsidR="00192CD4" w:rsidRDefault="00560703" w:rsidP="00192CD4">
      <w:pPr>
        <w:pStyle w:val="NoStyle"/>
      </w:pPr>
      <w:r w:rsidRPr="00D4330F">
        <w:rPr>
          <w:color w:val="FFFFFF"/>
        </w:rPr>
        <w:t xml:space="preserve">Do not delete section break </w:t>
      </w:r>
      <w:r>
        <w:rPr>
          <w:color w:val="FFFFFF"/>
        </w:rPr>
        <w:t xml:space="preserve">below </w:t>
      </w:r>
      <w:r w:rsidRPr="00D4330F">
        <w:rPr>
          <w:color w:val="FFFFFF"/>
        </w:rPr>
        <w:t xml:space="preserve">this </w:t>
      </w:r>
      <w:r>
        <w:rPr>
          <w:color w:val="FFFFFF"/>
        </w:rPr>
        <w:t>paragraph.  To change headings, click on Edit Front Page button.</w:t>
      </w:r>
    </w:p>
    <w:p w14:paraId="078DC0A9" w14:textId="77777777" w:rsidR="00560703" w:rsidRDefault="00560703" w:rsidP="00192CD4">
      <w:pPr>
        <w:pStyle w:val="NoStyle"/>
      </w:pPr>
    </w:p>
    <w:p w14:paraId="6424C3F2" w14:textId="77777777" w:rsidR="00192CD4" w:rsidRPr="001D7086" w:rsidRDefault="00192CD4" w:rsidP="00192CD4">
      <w:pPr>
        <w:pStyle w:val="NoStyle"/>
        <w:sectPr w:rsidR="00192CD4" w:rsidRPr="001D7086" w:rsidSect="00C84F79">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134" w:right="851" w:bottom="567" w:left="1134" w:header="284" w:footer="284" w:gutter="0"/>
          <w:cols w:space="708"/>
          <w:docGrid w:linePitch="544"/>
        </w:sectPr>
      </w:pPr>
      <w:bookmarkStart w:id="5" w:name="ReturnHere"/>
      <w:bookmarkEnd w:id="5"/>
    </w:p>
    <w:p w14:paraId="717E0FB9" w14:textId="77777777" w:rsidR="00C44FF6" w:rsidRDefault="00C44FF6" w:rsidP="00D4330F">
      <w:pPr>
        <w:pStyle w:val="Heading-notinTOC"/>
        <w:pageBreakBefore/>
      </w:pPr>
      <w:bookmarkStart w:id="6" w:name="TOCPage"/>
      <w:bookmarkEnd w:id="0"/>
      <w:r w:rsidRPr="00044BF1">
        <w:lastRenderedPageBreak/>
        <w:t>Contents</w:t>
      </w:r>
    </w:p>
    <w:p w14:paraId="176F6412" w14:textId="77777777" w:rsidR="008E1F33" w:rsidRDefault="008D53B1">
      <w:pPr>
        <w:pStyle w:val="TOC1"/>
        <w:rPr>
          <w:rFonts w:asciiTheme="minorHAnsi" w:eastAsiaTheme="minorEastAsia" w:hAnsiTheme="minorHAnsi" w:cstheme="minorBidi"/>
          <w:b w:val="0"/>
          <w:sz w:val="22"/>
          <w:szCs w:val="22"/>
        </w:rPr>
      </w:pPr>
      <w:r w:rsidRPr="00044BF1">
        <w:fldChar w:fldCharType="begin"/>
      </w:r>
      <w:r w:rsidRPr="00044BF1">
        <w:instrText xml:space="preserve"> TOC \o "</w:instrText>
      </w:r>
      <w:r>
        <w:instrText>1</w:instrText>
      </w:r>
      <w:r w:rsidRPr="00044BF1">
        <w:instrText>-3"</w:instrText>
      </w:r>
      <w:r>
        <w:instrText xml:space="preserve"> \f</w:instrText>
      </w:r>
      <w:r w:rsidRPr="00044BF1">
        <w:instrText xml:space="preserve"> \h \z \t "Heading 1,1,Heading 2,2,Appendix Heading 1,5,Appendix Heading 2,6" </w:instrText>
      </w:r>
      <w:r w:rsidRPr="00044BF1">
        <w:fldChar w:fldCharType="separate"/>
      </w:r>
      <w:hyperlink w:anchor="_Toc501539138" w:history="1">
        <w:r w:rsidR="008E1F33" w:rsidRPr="00FF1C8F">
          <w:rPr>
            <w:rStyle w:val="Hyperlink"/>
          </w:rPr>
          <w:t>1</w:t>
        </w:r>
        <w:r w:rsidR="008E1F33">
          <w:rPr>
            <w:rFonts w:asciiTheme="minorHAnsi" w:eastAsiaTheme="minorEastAsia" w:hAnsiTheme="minorHAnsi" w:cstheme="minorBidi"/>
            <w:b w:val="0"/>
            <w:sz w:val="22"/>
            <w:szCs w:val="22"/>
          </w:rPr>
          <w:tab/>
        </w:r>
        <w:r w:rsidR="008E1F33" w:rsidRPr="00FF1C8F">
          <w:rPr>
            <w:rStyle w:val="Hyperlink"/>
          </w:rPr>
          <w:t>Executive Summary</w:t>
        </w:r>
        <w:r w:rsidR="008E1F33">
          <w:rPr>
            <w:webHidden/>
          </w:rPr>
          <w:tab/>
        </w:r>
        <w:r w:rsidR="008E1F33">
          <w:rPr>
            <w:webHidden/>
          </w:rPr>
          <w:fldChar w:fldCharType="begin"/>
        </w:r>
        <w:r w:rsidR="008E1F33">
          <w:rPr>
            <w:webHidden/>
          </w:rPr>
          <w:instrText xml:space="preserve"> PAGEREF _Toc501539138 \h </w:instrText>
        </w:r>
        <w:r w:rsidR="008E1F33">
          <w:rPr>
            <w:webHidden/>
          </w:rPr>
        </w:r>
        <w:r w:rsidR="008E1F33">
          <w:rPr>
            <w:webHidden/>
          </w:rPr>
          <w:fldChar w:fldCharType="separate"/>
        </w:r>
        <w:r w:rsidR="00526B9F">
          <w:rPr>
            <w:webHidden/>
          </w:rPr>
          <w:t>5</w:t>
        </w:r>
        <w:r w:rsidR="008E1F33">
          <w:rPr>
            <w:webHidden/>
          </w:rPr>
          <w:fldChar w:fldCharType="end"/>
        </w:r>
      </w:hyperlink>
    </w:p>
    <w:p w14:paraId="275ED2D1" w14:textId="77777777" w:rsidR="008E1F33" w:rsidRDefault="00AD3A43">
      <w:pPr>
        <w:pStyle w:val="TOC2"/>
        <w:rPr>
          <w:rFonts w:asciiTheme="minorHAnsi" w:eastAsiaTheme="minorEastAsia" w:hAnsiTheme="minorHAnsi" w:cstheme="minorBidi"/>
          <w:sz w:val="22"/>
          <w:szCs w:val="22"/>
        </w:rPr>
      </w:pPr>
      <w:hyperlink w:anchor="_Toc501539139" w:history="1">
        <w:r w:rsidR="008E1F33" w:rsidRPr="00FF1C8F">
          <w:rPr>
            <w:rStyle w:val="Hyperlink"/>
          </w:rPr>
          <w:t>1.1</w:t>
        </w:r>
        <w:r w:rsidR="008E1F33">
          <w:rPr>
            <w:rFonts w:asciiTheme="minorHAnsi" w:eastAsiaTheme="minorEastAsia" w:hAnsiTheme="minorHAnsi" w:cstheme="minorBidi"/>
            <w:sz w:val="22"/>
            <w:szCs w:val="22"/>
          </w:rPr>
          <w:tab/>
        </w:r>
        <w:r w:rsidR="008E1F33" w:rsidRPr="00FF1C8F">
          <w:rPr>
            <w:rStyle w:val="Hyperlink"/>
          </w:rPr>
          <w:t>Legislative context</w:t>
        </w:r>
        <w:r w:rsidR="008E1F33">
          <w:rPr>
            <w:webHidden/>
          </w:rPr>
          <w:tab/>
        </w:r>
        <w:r w:rsidR="008E1F33">
          <w:rPr>
            <w:webHidden/>
          </w:rPr>
          <w:fldChar w:fldCharType="begin"/>
        </w:r>
        <w:r w:rsidR="008E1F33">
          <w:rPr>
            <w:webHidden/>
          </w:rPr>
          <w:instrText xml:space="preserve"> PAGEREF _Toc501539139 \h </w:instrText>
        </w:r>
        <w:r w:rsidR="008E1F33">
          <w:rPr>
            <w:webHidden/>
          </w:rPr>
        </w:r>
        <w:r w:rsidR="008E1F33">
          <w:rPr>
            <w:webHidden/>
          </w:rPr>
          <w:fldChar w:fldCharType="separate"/>
        </w:r>
        <w:r w:rsidR="00526B9F">
          <w:rPr>
            <w:webHidden/>
          </w:rPr>
          <w:t>5</w:t>
        </w:r>
        <w:r w:rsidR="008E1F33">
          <w:rPr>
            <w:webHidden/>
          </w:rPr>
          <w:fldChar w:fldCharType="end"/>
        </w:r>
      </w:hyperlink>
    </w:p>
    <w:p w14:paraId="7BCA7251" w14:textId="77777777" w:rsidR="008E1F33" w:rsidRDefault="00AD3A43">
      <w:pPr>
        <w:pStyle w:val="TOC2"/>
        <w:rPr>
          <w:rFonts w:asciiTheme="minorHAnsi" w:eastAsiaTheme="minorEastAsia" w:hAnsiTheme="minorHAnsi" w:cstheme="minorBidi"/>
          <w:sz w:val="22"/>
          <w:szCs w:val="22"/>
        </w:rPr>
      </w:pPr>
      <w:hyperlink w:anchor="_Toc501539140" w:history="1">
        <w:r w:rsidR="008E1F33" w:rsidRPr="00FF1C8F">
          <w:rPr>
            <w:rStyle w:val="Hyperlink"/>
          </w:rPr>
          <w:t>1.2</w:t>
        </w:r>
        <w:r w:rsidR="008E1F33">
          <w:rPr>
            <w:rFonts w:asciiTheme="minorHAnsi" w:eastAsiaTheme="minorEastAsia" w:hAnsiTheme="minorHAnsi" w:cstheme="minorBidi"/>
            <w:sz w:val="22"/>
            <w:szCs w:val="22"/>
          </w:rPr>
          <w:tab/>
        </w:r>
        <w:r w:rsidR="008E1F33" w:rsidRPr="00FF1C8F">
          <w:rPr>
            <w:rStyle w:val="Hyperlink"/>
          </w:rPr>
          <w:t>Uses and risks of firearms</w:t>
        </w:r>
        <w:r w:rsidR="008E1F33">
          <w:rPr>
            <w:webHidden/>
          </w:rPr>
          <w:tab/>
        </w:r>
        <w:r w:rsidR="008E1F33">
          <w:rPr>
            <w:webHidden/>
          </w:rPr>
          <w:fldChar w:fldCharType="begin"/>
        </w:r>
        <w:r w:rsidR="008E1F33">
          <w:rPr>
            <w:webHidden/>
          </w:rPr>
          <w:instrText xml:space="preserve"> PAGEREF _Toc501539140 \h </w:instrText>
        </w:r>
        <w:r w:rsidR="008E1F33">
          <w:rPr>
            <w:webHidden/>
          </w:rPr>
        </w:r>
        <w:r w:rsidR="008E1F33">
          <w:rPr>
            <w:webHidden/>
          </w:rPr>
          <w:fldChar w:fldCharType="separate"/>
        </w:r>
        <w:r w:rsidR="00526B9F">
          <w:rPr>
            <w:webHidden/>
          </w:rPr>
          <w:t>6</w:t>
        </w:r>
        <w:r w:rsidR="008E1F33">
          <w:rPr>
            <w:webHidden/>
          </w:rPr>
          <w:fldChar w:fldCharType="end"/>
        </w:r>
      </w:hyperlink>
    </w:p>
    <w:p w14:paraId="209077D4" w14:textId="77777777" w:rsidR="008E1F33" w:rsidRDefault="00AD3A43">
      <w:pPr>
        <w:pStyle w:val="TOC2"/>
        <w:rPr>
          <w:rFonts w:asciiTheme="minorHAnsi" w:eastAsiaTheme="minorEastAsia" w:hAnsiTheme="minorHAnsi" w:cstheme="minorBidi"/>
          <w:sz w:val="22"/>
          <w:szCs w:val="22"/>
        </w:rPr>
      </w:pPr>
      <w:hyperlink w:anchor="_Toc501539141" w:history="1">
        <w:r w:rsidR="008E1F33" w:rsidRPr="00FF1C8F">
          <w:rPr>
            <w:rStyle w:val="Hyperlink"/>
          </w:rPr>
          <w:t>1.3</w:t>
        </w:r>
        <w:r w:rsidR="008E1F33">
          <w:rPr>
            <w:rFonts w:asciiTheme="minorHAnsi" w:eastAsiaTheme="minorEastAsia" w:hAnsiTheme="minorHAnsi" w:cstheme="minorBidi"/>
            <w:sz w:val="22"/>
            <w:szCs w:val="22"/>
          </w:rPr>
          <w:tab/>
        </w:r>
        <w:r w:rsidR="008E1F33" w:rsidRPr="00FF1C8F">
          <w:rPr>
            <w:rStyle w:val="Hyperlink"/>
          </w:rPr>
          <w:t>Scope of the regulated community</w:t>
        </w:r>
        <w:r w:rsidR="008E1F33">
          <w:rPr>
            <w:webHidden/>
          </w:rPr>
          <w:tab/>
        </w:r>
        <w:r w:rsidR="008E1F33">
          <w:rPr>
            <w:webHidden/>
          </w:rPr>
          <w:fldChar w:fldCharType="begin"/>
        </w:r>
        <w:r w:rsidR="008E1F33">
          <w:rPr>
            <w:webHidden/>
          </w:rPr>
          <w:instrText xml:space="preserve"> PAGEREF _Toc501539141 \h </w:instrText>
        </w:r>
        <w:r w:rsidR="008E1F33">
          <w:rPr>
            <w:webHidden/>
          </w:rPr>
        </w:r>
        <w:r w:rsidR="008E1F33">
          <w:rPr>
            <w:webHidden/>
          </w:rPr>
          <w:fldChar w:fldCharType="separate"/>
        </w:r>
        <w:r w:rsidR="00526B9F">
          <w:rPr>
            <w:webHidden/>
          </w:rPr>
          <w:t>6</w:t>
        </w:r>
        <w:r w:rsidR="008E1F33">
          <w:rPr>
            <w:webHidden/>
          </w:rPr>
          <w:fldChar w:fldCharType="end"/>
        </w:r>
      </w:hyperlink>
    </w:p>
    <w:p w14:paraId="6151B0CB" w14:textId="77777777" w:rsidR="008E1F33" w:rsidRDefault="00AD3A43">
      <w:pPr>
        <w:pStyle w:val="TOC2"/>
        <w:rPr>
          <w:rFonts w:asciiTheme="minorHAnsi" w:eastAsiaTheme="minorEastAsia" w:hAnsiTheme="minorHAnsi" w:cstheme="minorBidi"/>
          <w:sz w:val="22"/>
          <w:szCs w:val="22"/>
        </w:rPr>
      </w:pPr>
      <w:hyperlink w:anchor="_Toc501539142" w:history="1">
        <w:r w:rsidR="008E1F33" w:rsidRPr="00FF1C8F">
          <w:rPr>
            <w:rStyle w:val="Hyperlink"/>
          </w:rPr>
          <w:t>1.4</w:t>
        </w:r>
        <w:r w:rsidR="008E1F33">
          <w:rPr>
            <w:rFonts w:asciiTheme="minorHAnsi" w:eastAsiaTheme="minorEastAsia" w:hAnsiTheme="minorHAnsi" w:cstheme="minorBidi"/>
            <w:sz w:val="22"/>
            <w:szCs w:val="22"/>
          </w:rPr>
          <w:tab/>
        </w:r>
        <w:r w:rsidR="008E1F33" w:rsidRPr="00FF1C8F">
          <w:rPr>
            <w:rStyle w:val="Hyperlink"/>
          </w:rPr>
          <w:t>Objectives of the proposed Regulations</w:t>
        </w:r>
        <w:r w:rsidR="008E1F33">
          <w:rPr>
            <w:webHidden/>
          </w:rPr>
          <w:tab/>
        </w:r>
        <w:r w:rsidR="008E1F33">
          <w:rPr>
            <w:webHidden/>
          </w:rPr>
          <w:fldChar w:fldCharType="begin"/>
        </w:r>
        <w:r w:rsidR="008E1F33">
          <w:rPr>
            <w:webHidden/>
          </w:rPr>
          <w:instrText xml:space="preserve"> PAGEREF _Toc501539142 \h </w:instrText>
        </w:r>
        <w:r w:rsidR="008E1F33">
          <w:rPr>
            <w:webHidden/>
          </w:rPr>
        </w:r>
        <w:r w:rsidR="008E1F33">
          <w:rPr>
            <w:webHidden/>
          </w:rPr>
          <w:fldChar w:fldCharType="separate"/>
        </w:r>
        <w:r w:rsidR="00526B9F">
          <w:rPr>
            <w:webHidden/>
          </w:rPr>
          <w:t>6</w:t>
        </w:r>
        <w:r w:rsidR="008E1F33">
          <w:rPr>
            <w:webHidden/>
          </w:rPr>
          <w:fldChar w:fldCharType="end"/>
        </w:r>
      </w:hyperlink>
    </w:p>
    <w:p w14:paraId="15F83F1B" w14:textId="77777777" w:rsidR="008E1F33" w:rsidRDefault="00AD3A43">
      <w:pPr>
        <w:pStyle w:val="TOC2"/>
        <w:rPr>
          <w:rFonts w:asciiTheme="minorHAnsi" w:eastAsiaTheme="minorEastAsia" w:hAnsiTheme="minorHAnsi" w:cstheme="minorBidi"/>
          <w:sz w:val="22"/>
          <w:szCs w:val="22"/>
        </w:rPr>
      </w:pPr>
      <w:hyperlink w:anchor="_Toc501539143" w:history="1">
        <w:r w:rsidR="008E1F33" w:rsidRPr="00FF1C8F">
          <w:rPr>
            <w:rStyle w:val="Hyperlink"/>
          </w:rPr>
          <w:t>1.5</w:t>
        </w:r>
        <w:r w:rsidR="008E1F33">
          <w:rPr>
            <w:rFonts w:asciiTheme="minorHAnsi" w:eastAsiaTheme="minorEastAsia" w:hAnsiTheme="minorHAnsi" w:cstheme="minorBidi"/>
            <w:sz w:val="22"/>
            <w:szCs w:val="22"/>
          </w:rPr>
          <w:tab/>
        </w:r>
        <w:r w:rsidR="008E1F33" w:rsidRPr="00FF1C8F">
          <w:rPr>
            <w:rStyle w:val="Hyperlink"/>
          </w:rPr>
          <w:t>Impact of the Regulations</w:t>
        </w:r>
        <w:r w:rsidR="008E1F33">
          <w:rPr>
            <w:webHidden/>
          </w:rPr>
          <w:tab/>
        </w:r>
        <w:r w:rsidR="008E1F33">
          <w:rPr>
            <w:webHidden/>
          </w:rPr>
          <w:fldChar w:fldCharType="begin"/>
        </w:r>
        <w:r w:rsidR="008E1F33">
          <w:rPr>
            <w:webHidden/>
          </w:rPr>
          <w:instrText xml:space="preserve"> PAGEREF _Toc501539143 \h </w:instrText>
        </w:r>
        <w:r w:rsidR="008E1F33">
          <w:rPr>
            <w:webHidden/>
          </w:rPr>
        </w:r>
        <w:r w:rsidR="008E1F33">
          <w:rPr>
            <w:webHidden/>
          </w:rPr>
          <w:fldChar w:fldCharType="separate"/>
        </w:r>
        <w:r w:rsidR="00526B9F">
          <w:rPr>
            <w:webHidden/>
          </w:rPr>
          <w:t>6</w:t>
        </w:r>
        <w:r w:rsidR="008E1F33">
          <w:rPr>
            <w:webHidden/>
          </w:rPr>
          <w:fldChar w:fldCharType="end"/>
        </w:r>
      </w:hyperlink>
    </w:p>
    <w:p w14:paraId="6F999CBD" w14:textId="77777777" w:rsidR="008E1F33" w:rsidRDefault="00AD3A43">
      <w:pPr>
        <w:pStyle w:val="TOC2"/>
        <w:rPr>
          <w:rFonts w:asciiTheme="minorHAnsi" w:eastAsiaTheme="minorEastAsia" w:hAnsiTheme="minorHAnsi" w:cstheme="minorBidi"/>
          <w:sz w:val="22"/>
          <w:szCs w:val="22"/>
        </w:rPr>
      </w:pPr>
      <w:hyperlink w:anchor="_Toc501539144" w:history="1">
        <w:r w:rsidR="008E1F33" w:rsidRPr="00FF1C8F">
          <w:rPr>
            <w:rStyle w:val="Hyperlink"/>
          </w:rPr>
          <w:t>1.6</w:t>
        </w:r>
        <w:r w:rsidR="008E1F33">
          <w:rPr>
            <w:rFonts w:asciiTheme="minorHAnsi" w:eastAsiaTheme="minorEastAsia" w:hAnsiTheme="minorHAnsi" w:cstheme="minorBidi"/>
            <w:sz w:val="22"/>
            <w:szCs w:val="22"/>
          </w:rPr>
          <w:tab/>
        </w:r>
        <w:r w:rsidR="008E1F33" w:rsidRPr="00FF1C8F">
          <w:rPr>
            <w:rStyle w:val="Hyperlink"/>
          </w:rPr>
          <w:t>Non-fee options and objectives</w:t>
        </w:r>
        <w:r w:rsidR="008E1F33">
          <w:rPr>
            <w:webHidden/>
          </w:rPr>
          <w:tab/>
        </w:r>
        <w:r w:rsidR="008E1F33">
          <w:rPr>
            <w:webHidden/>
          </w:rPr>
          <w:fldChar w:fldCharType="begin"/>
        </w:r>
        <w:r w:rsidR="008E1F33">
          <w:rPr>
            <w:webHidden/>
          </w:rPr>
          <w:instrText xml:space="preserve"> PAGEREF _Toc501539144 \h </w:instrText>
        </w:r>
        <w:r w:rsidR="008E1F33">
          <w:rPr>
            <w:webHidden/>
          </w:rPr>
        </w:r>
        <w:r w:rsidR="008E1F33">
          <w:rPr>
            <w:webHidden/>
          </w:rPr>
          <w:fldChar w:fldCharType="separate"/>
        </w:r>
        <w:r w:rsidR="00526B9F">
          <w:rPr>
            <w:webHidden/>
          </w:rPr>
          <w:t>6</w:t>
        </w:r>
        <w:r w:rsidR="008E1F33">
          <w:rPr>
            <w:webHidden/>
          </w:rPr>
          <w:fldChar w:fldCharType="end"/>
        </w:r>
      </w:hyperlink>
    </w:p>
    <w:p w14:paraId="731EE5C2" w14:textId="77777777" w:rsidR="008E1F33" w:rsidRDefault="00AD3A43">
      <w:pPr>
        <w:pStyle w:val="TOC2"/>
        <w:rPr>
          <w:rFonts w:asciiTheme="minorHAnsi" w:eastAsiaTheme="minorEastAsia" w:hAnsiTheme="minorHAnsi" w:cstheme="minorBidi"/>
          <w:sz w:val="22"/>
          <w:szCs w:val="22"/>
        </w:rPr>
      </w:pPr>
      <w:hyperlink w:anchor="_Toc501539145" w:history="1">
        <w:r w:rsidR="008E1F33" w:rsidRPr="00FF1C8F">
          <w:rPr>
            <w:rStyle w:val="Hyperlink"/>
          </w:rPr>
          <w:t>1.7</w:t>
        </w:r>
        <w:r w:rsidR="008E1F33">
          <w:rPr>
            <w:rFonts w:asciiTheme="minorHAnsi" w:eastAsiaTheme="minorEastAsia" w:hAnsiTheme="minorHAnsi" w:cstheme="minorBidi"/>
            <w:sz w:val="22"/>
            <w:szCs w:val="22"/>
          </w:rPr>
          <w:tab/>
        </w:r>
        <w:r w:rsidR="008E1F33" w:rsidRPr="00FF1C8F">
          <w:rPr>
            <w:rStyle w:val="Hyperlink"/>
          </w:rPr>
          <w:t>Fee options and objectives</w:t>
        </w:r>
        <w:r w:rsidR="008E1F33">
          <w:rPr>
            <w:webHidden/>
          </w:rPr>
          <w:tab/>
        </w:r>
        <w:r w:rsidR="008E1F33">
          <w:rPr>
            <w:webHidden/>
          </w:rPr>
          <w:fldChar w:fldCharType="begin"/>
        </w:r>
        <w:r w:rsidR="008E1F33">
          <w:rPr>
            <w:webHidden/>
          </w:rPr>
          <w:instrText xml:space="preserve"> PAGEREF _Toc501539145 \h </w:instrText>
        </w:r>
        <w:r w:rsidR="008E1F33">
          <w:rPr>
            <w:webHidden/>
          </w:rPr>
        </w:r>
        <w:r w:rsidR="008E1F33">
          <w:rPr>
            <w:webHidden/>
          </w:rPr>
          <w:fldChar w:fldCharType="separate"/>
        </w:r>
        <w:r w:rsidR="00526B9F">
          <w:rPr>
            <w:webHidden/>
          </w:rPr>
          <w:t>8</w:t>
        </w:r>
        <w:r w:rsidR="008E1F33">
          <w:rPr>
            <w:webHidden/>
          </w:rPr>
          <w:fldChar w:fldCharType="end"/>
        </w:r>
      </w:hyperlink>
    </w:p>
    <w:p w14:paraId="03614149" w14:textId="77777777" w:rsidR="008E1F33" w:rsidRDefault="00AD3A43">
      <w:pPr>
        <w:pStyle w:val="TOC3"/>
        <w:rPr>
          <w:rFonts w:asciiTheme="minorHAnsi" w:eastAsiaTheme="minorEastAsia" w:hAnsiTheme="minorHAnsi" w:cstheme="minorBidi"/>
          <w:noProof/>
          <w:sz w:val="22"/>
          <w:szCs w:val="22"/>
          <w:lang w:eastAsia="en-AU"/>
        </w:rPr>
      </w:pPr>
      <w:hyperlink w:anchor="_Toc501539146" w:history="1">
        <w:r w:rsidR="008E1F33" w:rsidRPr="00FF1C8F">
          <w:rPr>
            <w:rStyle w:val="Hyperlink"/>
            <w:noProof/>
          </w:rPr>
          <w:t>1.7.1</w:t>
        </w:r>
        <w:r w:rsidR="008E1F33">
          <w:rPr>
            <w:rFonts w:asciiTheme="minorHAnsi" w:eastAsiaTheme="minorEastAsia" w:hAnsiTheme="minorHAnsi" w:cstheme="minorBidi"/>
            <w:noProof/>
            <w:sz w:val="22"/>
            <w:szCs w:val="22"/>
            <w:lang w:eastAsia="en-AU"/>
          </w:rPr>
          <w:tab/>
        </w:r>
        <w:r w:rsidR="008E1F33" w:rsidRPr="00FF1C8F">
          <w:rPr>
            <w:rStyle w:val="Hyperlink"/>
            <w:noProof/>
          </w:rPr>
          <w:t>The recoverable costs of regulation</w:t>
        </w:r>
        <w:r w:rsidR="008E1F33">
          <w:rPr>
            <w:noProof/>
            <w:webHidden/>
          </w:rPr>
          <w:tab/>
        </w:r>
        <w:r w:rsidR="008E1F33">
          <w:rPr>
            <w:noProof/>
            <w:webHidden/>
          </w:rPr>
          <w:fldChar w:fldCharType="begin"/>
        </w:r>
        <w:r w:rsidR="008E1F33">
          <w:rPr>
            <w:noProof/>
            <w:webHidden/>
          </w:rPr>
          <w:instrText xml:space="preserve"> PAGEREF _Toc501539146 \h </w:instrText>
        </w:r>
        <w:r w:rsidR="008E1F33">
          <w:rPr>
            <w:noProof/>
            <w:webHidden/>
          </w:rPr>
        </w:r>
        <w:r w:rsidR="008E1F33">
          <w:rPr>
            <w:noProof/>
            <w:webHidden/>
          </w:rPr>
          <w:fldChar w:fldCharType="separate"/>
        </w:r>
        <w:r w:rsidR="00526B9F">
          <w:rPr>
            <w:noProof/>
            <w:webHidden/>
          </w:rPr>
          <w:t>8</w:t>
        </w:r>
        <w:r w:rsidR="008E1F33">
          <w:rPr>
            <w:noProof/>
            <w:webHidden/>
          </w:rPr>
          <w:fldChar w:fldCharType="end"/>
        </w:r>
      </w:hyperlink>
    </w:p>
    <w:p w14:paraId="45124019" w14:textId="77777777" w:rsidR="008E1F33" w:rsidRDefault="00AD3A43">
      <w:pPr>
        <w:pStyle w:val="TOC3"/>
        <w:rPr>
          <w:rFonts w:asciiTheme="minorHAnsi" w:eastAsiaTheme="minorEastAsia" w:hAnsiTheme="minorHAnsi" w:cstheme="minorBidi"/>
          <w:noProof/>
          <w:sz w:val="22"/>
          <w:szCs w:val="22"/>
          <w:lang w:eastAsia="en-AU"/>
        </w:rPr>
      </w:pPr>
      <w:hyperlink w:anchor="_Toc501539147" w:history="1">
        <w:r w:rsidR="008E1F33" w:rsidRPr="00FF1C8F">
          <w:rPr>
            <w:rStyle w:val="Hyperlink"/>
            <w:noProof/>
          </w:rPr>
          <w:t>1.7.2</w:t>
        </w:r>
        <w:r w:rsidR="008E1F33">
          <w:rPr>
            <w:rFonts w:asciiTheme="minorHAnsi" w:eastAsiaTheme="minorEastAsia" w:hAnsiTheme="minorHAnsi" w:cstheme="minorBidi"/>
            <w:noProof/>
            <w:sz w:val="22"/>
            <w:szCs w:val="22"/>
            <w:lang w:eastAsia="en-AU"/>
          </w:rPr>
          <w:tab/>
        </w:r>
        <w:r w:rsidR="008E1F33" w:rsidRPr="00FF1C8F">
          <w:rPr>
            <w:rStyle w:val="Hyperlink"/>
            <w:noProof/>
          </w:rPr>
          <w:t>Objectives of cost recovery</w:t>
        </w:r>
        <w:r w:rsidR="008E1F33">
          <w:rPr>
            <w:noProof/>
            <w:webHidden/>
          </w:rPr>
          <w:tab/>
        </w:r>
        <w:r w:rsidR="008E1F33">
          <w:rPr>
            <w:noProof/>
            <w:webHidden/>
          </w:rPr>
          <w:fldChar w:fldCharType="begin"/>
        </w:r>
        <w:r w:rsidR="008E1F33">
          <w:rPr>
            <w:noProof/>
            <w:webHidden/>
          </w:rPr>
          <w:instrText xml:space="preserve"> PAGEREF _Toc501539147 \h </w:instrText>
        </w:r>
        <w:r w:rsidR="008E1F33">
          <w:rPr>
            <w:noProof/>
            <w:webHidden/>
          </w:rPr>
        </w:r>
        <w:r w:rsidR="008E1F33">
          <w:rPr>
            <w:noProof/>
            <w:webHidden/>
          </w:rPr>
          <w:fldChar w:fldCharType="separate"/>
        </w:r>
        <w:r w:rsidR="00526B9F">
          <w:rPr>
            <w:noProof/>
            <w:webHidden/>
          </w:rPr>
          <w:t>8</w:t>
        </w:r>
        <w:r w:rsidR="008E1F33">
          <w:rPr>
            <w:noProof/>
            <w:webHidden/>
          </w:rPr>
          <w:fldChar w:fldCharType="end"/>
        </w:r>
      </w:hyperlink>
    </w:p>
    <w:p w14:paraId="6831C9DC" w14:textId="77777777" w:rsidR="008E1F33" w:rsidRDefault="00AD3A43">
      <w:pPr>
        <w:pStyle w:val="TOC3"/>
        <w:rPr>
          <w:rFonts w:asciiTheme="minorHAnsi" w:eastAsiaTheme="minorEastAsia" w:hAnsiTheme="minorHAnsi" w:cstheme="minorBidi"/>
          <w:noProof/>
          <w:sz w:val="22"/>
          <w:szCs w:val="22"/>
          <w:lang w:eastAsia="en-AU"/>
        </w:rPr>
      </w:pPr>
      <w:hyperlink w:anchor="_Toc501539148" w:history="1">
        <w:r w:rsidR="008E1F33" w:rsidRPr="00FF1C8F">
          <w:rPr>
            <w:rStyle w:val="Hyperlink"/>
            <w:noProof/>
          </w:rPr>
          <w:t>1.7.3</w:t>
        </w:r>
        <w:r w:rsidR="008E1F33">
          <w:rPr>
            <w:rFonts w:asciiTheme="minorHAnsi" w:eastAsiaTheme="minorEastAsia" w:hAnsiTheme="minorHAnsi" w:cstheme="minorBidi"/>
            <w:noProof/>
            <w:sz w:val="22"/>
            <w:szCs w:val="22"/>
            <w:lang w:eastAsia="en-AU"/>
          </w:rPr>
          <w:tab/>
        </w:r>
        <w:r w:rsidR="008E1F33" w:rsidRPr="00FF1C8F">
          <w:rPr>
            <w:rStyle w:val="Hyperlink"/>
            <w:noProof/>
          </w:rPr>
          <w:t>Cost recovery under the current fee structure</w:t>
        </w:r>
        <w:r w:rsidR="008E1F33">
          <w:rPr>
            <w:noProof/>
            <w:webHidden/>
          </w:rPr>
          <w:tab/>
        </w:r>
        <w:r w:rsidR="008E1F33">
          <w:rPr>
            <w:noProof/>
            <w:webHidden/>
          </w:rPr>
          <w:fldChar w:fldCharType="begin"/>
        </w:r>
        <w:r w:rsidR="008E1F33">
          <w:rPr>
            <w:noProof/>
            <w:webHidden/>
          </w:rPr>
          <w:instrText xml:space="preserve"> PAGEREF _Toc501539148 \h </w:instrText>
        </w:r>
        <w:r w:rsidR="008E1F33">
          <w:rPr>
            <w:noProof/>
            <w:webHidden/>
          </w:rPr>
        </w:r>
        <w:r w:rsidR="008E1F33">
          <w:rPr>
            <w:noProof/>
            <w:webHidden/>
          </w:rPr>
          <w:fldChar w:fldCharType="separate"/>
        </w:r>
        <w:r w:rsidR="00526B9F">
          <w:rPr>
            <w:noProof/>
            <w:webHidden/>
          </w:rPr>
          <w:t>9</w:t>
        </w:r>
        <w:r w:rsidR="008E1F33">
          <w:rPr>
            <w:noProof/>
            <w:webHidden/>
          </w:rPr>
          <w:fldChar w:fldCharType="end"/>
        </w:r>
      </w:hyperlink>
    </w:p>
    <w:p w14:paraId="5919E166" w14:textId="77777777" w:rsidR="008E1F33" w:rsidRDefault="00AD3A43">
      <w:pPr>
        <w:pStyle w:val="TOC3"/>
        <w:rPr>
          <w:rFonts w:asciiTheme="minorHAnsi" w:eastAsiaTheme="minorEastAsia" w:hAnsiTheme="minorHAnsi" w:cstheme="minorBidi"/>
          <w:noProof/>
          <w:sz w:val="22"/>
          <w:szCs w:val="22"/>
          <w:lang w:eastAsia="en-AU"/>
        </w:rPr>
      </w:pPr>
      <w:hyperlink w:anchor="_Toc501539149" w:history="1">
        <w:r w:rsidR="008E1F33" w:rsidRPr="00FF1C8F">
          <w:rPr>
            <w:rStyle w:val="Hyperlink"/>
            <w:noProof/>
          </w:rPr>
          <w:t>1.7.4</w:t>
        </w:r>
        <w:r w:rsidR="008E1F33">
          <w:rPr>
            <w:rFonts w:asciiTheme="minorHAnsi" w:eastAsiaTheme="minorEastAsia" w:hAnsiTheme="minorHAnsi" w:cstheme="minorBidi"/>
            <w:noProof/>
            <w:sz w:val="22"/>
            <w:szCs w:val="22"/>
            <w:lang w:eastAsia="en-AU"/>
          </w:rPr>
          <w:tab/>
        </w:r>
        <w:r w:rsidR="008E1F33" w:rsidRPr="00FF1C8F">
          <w:rPr>
            <w:rStyle w:val="Hyperlink"/>
            <w:noProof/>
          </w:rPr>
          <w:t>Approach to setting fees</w:t>
        </w:r>
        <w:r w:rsidR="008E1F33">
          <w:rPr>
            <w:noProof/>
            <w:webHidden/>
          </w:rPr>
          <w:tab/>
        </w:r>
        <w:r w:rsidR="008E1F33">
          <w:rPr>
            <w:noProof/>
            <w:webHidden/>
          </w:rPr>
          <w:fldChar w:fldCharType="begin"/>
        </w:r>
        <w:r w:rsidR="008E1F33">
          <w:rPr>
            <w:noProof/>
            <w:webHidden/>
          </w:rPr>
          <w:instrText xml:space="preserve"> PAGEREF _Toc501539149 \h </w:instrText>
        </w:r>
        <w:r w:rsidR="008E1F33">
          <w:rPr>
            <w:noProof/>
            <w:webHidden/>
          </w:rPr>
        </w:r>
        <w:r w:rsidR="008E1F33">
          <w:rPr>
            <w:noProof/>
            <w:webHidden/>
          </w:rPr>
          <w:fldChar w:fldCharType="separate"/>
        </w:r>
        <w:r w:rsidR="00526B9F">
          <w:rPr>
            <w:noProof/>
            <w:webHidden/>
          </w:rPr>
          <w:t>9</w:t>
        </w:r>
        <w:r w:rsidR="008E1F33">
          <w:rPr>
            <w:noProof/>
            <w:webHidden/>
          </w:rPr>
          <w:fldChar w:fldCharType="end"/>
        </w:r>
      </w:hyperlink>
    </w:p>
    <w:p w14:paraId="50E8F626" w14:textId="77777777" w:rsidR="008E1F33" w:rsidRDefault="00AD3A43">
      <w:pPr>
        <w:pStyle w:val="TOC2"/>
        <w:rPr>
          <w:rFonts w:asciiTheme="minorHAnsi" w:eastAsiaTheme="minorEastAsia" w:hAnsiTheme="minorHAnsi" w:cstheme="minorBidi"/>
          <w:sz w:val="22"/>
          <w:szCs w:val="22"/>
        </w:rPr>
      </w:pPr>
      <w:hyperlink w:anchor="_Toc501539150" w:history="1">
        <w:r w:rsidR="008E1F33" w:rsidRPr="00FF1C8F">
          <w:rPr>
            <w:rStyle w:val="Hyperlink"/>
          </w:rPr>
          <w:t>1.8</w:t>
        </w:r>
        <w:r w:rsidR="008E1F33">
          <w:rPr>
            <w:rFonts w:asciiTheme="minorHAnsi" w:eastAsiaTheme="minorEastAsia" w:hAnsiTheme="minorHAnsi" w:cstheme="minorBidi"/>
            <w:sz w:val="22"/>
            <w:szCs w:val="22"/>
          </w:rPr>
          <w:tab/>
        </w:r>
        <w:r w:rsidR="008E1F33" w:rsidRPr="00FF1C8F">
          <w:rPr>
            <w:rStyle w:val="Hyperlink"/>
          </w:rPr>
          <w:t>Fee options considered</w:t>
        </w:r>
        <w:r w:rsidR="008E1F33">
          <w:rPr>
            <w:webHidden/>
          </w:rPr>
          <w:tab/>
        </w:r>
        <w:r w:rsidR="008E1F33">
          <w:rPr>
            <w:webHidden/>
          </w:rPr>
          <w:fldChar w:fldCharType="begin"/>
        </w:r>
        <w:r w:rsidR="008E1F33">
          <w:rPr>
            <w:webHidden/>
          </w:rPr>
          <w:instrText xml:space="preserve"> PAGEREF _Toc501539150 \h </w:instrText>
        </w:r>
        <w:r w:rsidR="008E1F33">
          <w:rPr>
            <w:webHidden/>
          </w:rPr>
        </w:r>
        <w:r w:rsidR="008E1F33">
          <w:rPr>
            <w:webHidden/>
          </w:rPr>
          <w:fldChar w:fldCharType="separate"/>
        </w:r>
        <w:r w:rsidR="00526B9F">
          <w:rPr>
            <w:webHidden/>
          </w:rPr>
          <w:t>10</w:t>
        </w:r>
        <w:r w:rsidR="008E1F33">
          <w:rPr>
            <w:webHidden/>
          </w:rPr>
          <w:fldChar w:fldCharType="end"/>
        </w:r>
      </w:hyperlink>
    </w:p>
    <w:p w14:paraId="1437DF75" w14:textId="77777777" w:rsidR="008E1F33" w:rsidRDefault="00AD3A43">
      <w:pPr>
        <w:pStyle w:val="TOC2"/>
        <w:rPr>
          <w:rFonts w:asciiTheme="minorHAnsi" w:eastAsiaTheme="minorEastAsia" w:hAnsiTheme="minorHAnsi" w:cstheme="minorBidi"/>
          <w:sz w:val="22"/>
          <w:szCs w:val="22"/>
        </w:rPr>
      </w:pPr>
      <w:hyperlink w:anchor="_Toc501539151" w:history="1">
        <w:r w:rsidR="008E1F33" w:rsidRPr="00FF1C8F">
          <w:rPr>
            <w:rStyle w:val="Hyperlink"/>
          </w:rPr>
          <w:t>1.9</w:t>
        </w:r>
        <w:r w:rsidR="008E1F33">
          <w:rPr>
            <w:rFonts w:asciiTheme="minorHAnsi" w:eastAsiaTheme="minorEastAsia" w:hAnsiTheme="minorHAnsi" w:cstheme="minorBidi"/>
            <w:sz w:val="22"/>
            <w:szCs w:val="22"/>
          </w:rPr>
          <w:tab/>
        </w:r>
        <w:r w:rsidR="008E1F33" w:rsidRPr="00FF1C8F">
          <w:rPr>
            <w:rStyle w:val="Hyperlink"/>
          </w:rPr>
          <w:t>Who has been consulted?</w:t>
        </w:r>
        <w:r w:rsidR="008E1F33">
          <w:rPr>
            <w:webHidden/>
          </w:rPr>
          <w:tab/>
        </w:r>
        <w:r w:rsidR="008E1F33">
          <w:rPr>
            <w:webHidden/>
          </w:rPr>
          <w:fldChar w:fldCharType="begin"/>
        </w:r>
        <w:r w:rsidR="008E1F33">
          <w:rPr>
            <w:webHidden/>
          </w:rPr>
          <w:instrText xml:space="preserve"> PAGEREF _Toc501539151 \h </w:instrText>
        </w:r>
        <w:r w:rsidR="008E1F33">
          <w:rPr>
            <w:webHidden/>
          </w:rPr>
        </w:r>
        <w:r w:rsidR="008E1F33">
          <w:rPr>
            <w:webHidden/>
          </w:rPr>
          <w:fldChar w:fldCharType="separate"/>
        </w:r>
        <w:r w:rsidR="00526B9F">
          <w:rPr>
            <w:webHidden/>
          </w:rPr>
          <w:t>13</w:t>
        </w:r>
        <w:r w:rsidR="008E1F33">
          <w:rPr>
            <w:webHidden/>
          </w:rPr>
          <w:fldChar w:fldCharType="end"/>
        </w:r>
      </w:hyperlink>
    </w:p>
    <w:p w14:paraId="3E844234" w14:textId="77777777" w:rsidR="008E1F33" w:rsidRDefault="00AD3A43">
      <w:pPr>
        <w:pStyle w:val="TOC1"/>
        <w:rPr>
          <w:rFonts w:asciiTheme="minorHAnsi" w:eastAsiaTheme="minorEastAsia" w:hAnsiTheme="minorHAnsi" w:cstheme="minorBidi"/>
          <w:b w:val="0"/>
          <w:sz w:val="22"/>
          <w:szCs w:val="22"/>
        </w:rPr>
      </w:pPr>
      <w:hyperlink w:anchor="_Toc501539152" w:history="1">
        <w:r w:rsidR="008E1F33" w:rsidRPr="00FF1C8F">
          <w:rPr>
            <w:rStyle w:val="Hyperlink"/>
          </w:rPr>
          <w:t>2</w:t>
        </w:r>
        <w:r w:rsidR="008E1F33">
          <w:rPr>
            <w:rFonts w:asciiTheme="minorHAnsi" w:eastAsiaTheme="minorEastAsia" w:hAnsiTheme="minorHAnsi" w:cstheme="minorBidi"/>
            <w:b w:val="0"/>
            <w:sz w:val="22"/>
            <w:szCs w:val="22"/>
          </w:rPr>
          <w:tab/>
        </w:r>
        <w:r w:rsidR="008E1F33" w:rsidRPr="00FF1C8F">
          <w:rPr>
            <w:rStyle w:val="Hyperlink"/>
          </w:rPr>
          <w:t>Introduction</w:t>
        </w:r>
        <w:r w:rsidR="008E1F33">
          <w:rPr>
            <w:webHidden/>
          </w:rPr>
          <w:tab/>
        </w:r>
        <w:r w:rsidR="008E1F33">
          <w:rPr>
            <w:webHidden/>
          </w:rPr>
          <w:fldChar w:fldCharType="begin"/>
        </w:r>
        <w:r w:rsidR="008E1F33">
          <w:rPr>
            <w:webHidden/>
          </w:rPr>
          <w:instrText xml:space="preserve"> PAGEREF _Toc501539152 \h </w:instrText>
        </w:r>
        <w:r w:rsidR="008E1F33">
          <w:rPr>
            <w:webHidden/>
          </w:rPr>
        </w:r>
        <w:r w:rsidR="008E1F33">
          <w:rPr>
            <w:webHidden/>
          </w:rPr>
          <w:fldChar w:fldCharType="separate"/>
        </w:r>
        <w:r w:rsidR="00526B9F">
          <w:rPr>
            <w:webHidden/>
          </w:rPr>
          <w:t>15</w:t>
        </w:r>
        <w:r w:rsidR="008E1F33">
          <w:rPr>
            <w:webHidden/>
          </w:rPr>
          <w:fldChar w:fldCharType="end"/>
        </w:r>
      </w:hyperlink>
    </w:p>
    <w:p w14:paraId="72EC8F4B" w14:textId="77777777" w:rsidR="008E1F33" w:rsidRDefault="00AD3A43">
      <w:pPr>
        <w:pStyle w:val="TOC2"/>
        <w:rPr>
          <w:rFonts w:asciiTheme="minorHAnsi" w:eastAsiaTheme="minorEastAsia" w:hAnsiTheme="minorHAnsi" w:cstheme="minorBidi"/>
          <w:sz w:val="22"/>
          <w:szCs w:val="22"/>
        </w:rPr>
      </w:pPr>
      <w:hyperlink w:anchor="_Toc501539153" w:history="1">
        <w:r w:rsidR="008E1F33" w:rsidRPr="00FF1C8F">
          <w:rPr>
            <w:rStyle w:val="Hyperlink"/>
          </w:rPr>
          <w:t>2.1</w:t>
        </w:r>
        <w:r w:rsidR="008E1F33">
          <w:rPr>
            <w:rFonts w:asciiTheme="minorHAnsi" w:eastAsiaTheme="minorEastAsia" w:hAnsiTheme="minorHAnsi" w:cstheme="minorBidi"/>
            <w:sz w:val="22"/>
            <w:szCs w:val="22"/>
          </w:rPr>
          <w:tab/>
        </w:r>
        <w:r w:rsidR="008E1F33" w:rsidRPr="00FF1C8F">
          <w:rPr>
            <w:rStyle w:val="Hyperlink"/>
          </w:rPr>
          <w:t>Requirements of a RIS</w:t>
        </w:r>
        <w:r w:rsidR="008E1F33">
          <w:rPr>
            <w:webHidden/>
          </w:rPr>
          <w:tab/>
        </w:r>
        <w:r w:rsidR="008E1F33">
          <w:rPr>
            <w:webHidden/>
          </w:rPr>
          <w:fldChar w:fldCharType="begin"/>
        </w:r>
        <w:r w:rsidR="008E1F33">
          <w:rPr>
            <w:webHidden/>
          </w:rPr>
          <w:instrText xml:space="preserve"> PAGEREF _Toc501539153 \h </w:instrText>
        </w:r>
        <w:r w:rsidR="008E1F33">
          <w:rPr>
            <w:webHidden/>
          </w:rPr>
        </w:r>
        <w:r w:rsidR="008E1F33">
          <w:rPr>
            <w:webHidden/>
          </w:rPr>
          <w:fldChar w:fldCharType="separate"/>
        </w:r>
        <w:r w:rsidR="00526B9F">
          <w:rPr>
            <w:webHidden/>
          </w:rPr>
          <w:t>16</w:t>
        </w:r>
        <w:r w:rsidR="008E1F33">
          <w:rPr>
            <w:webHidden/>
          </w:rPr>
          <w:fldChar w:fldCharType="end"/>
        </w:r>
      </w:hyperlink>
    </w:p>
    <w:p w14:paraId="7842183E" w14:textId="77777777" w:rsidR="008E1F33" w:rsidRDefault="00AD3A43">
      <w:pPr>
        <w:pStyle w:val="TOC2"/>
        <w:rPr>
          <w:rFonts w:asciiTheme="minorHAnsi" w:eastAsiaTheme="minorEastAsia" w:hAnsiTheme="minorHAnsi" w:cstheme="minorBidi"/>
          <w:sz w:val="22"/>
          <w:szCs w:val="22"/>
        </w:rPr>
      </w:pPr>
      <w:hyperlink w:anchor="_Toc501539154" w:history="1">
        <w:r w:rsidR="008E1F33" w:rsidRPr="00FF1C8F">
          <w:rPr>
            <w:rStyle w:val="Hyperlink"/>
          </w:rPr>
          <w:t>2.2</w:t>
        </w:r>
        <w:r w:rsidR="008E1F33">
          <w:rPr>
            <w:rFonts w:asciiTheme="minorHAnsi" w:eastAsiaTheme="minorEastAsia" w:hAnsiTheme="minorHAnsi" w:cstheme="minorBidi"/>
            <w:sz w:val="22"/>
            <w:szCs w:val="22"/>
          </w:rPr>
          <w:tab/>
        </w:r>
        <w:r w:rsidR="008E1F33" w:rsidRPr="00FF1C8F">
          <w:rPr>
            <w:rStyle w:val="Hyperlink"/>
          </w:rPr>
          <w:t>Contextualising the problem</w:t>
        </w:r>
        <w:r w:rsidR="008E1F33">
          <w:rPr>
            <w:webHidden/>
          </w:rPr>
          <w:tab/>
        </w:r>
        <w:r w:rsidR="008E1F33">
          <w:rPr>
            <w:webHidden/>
          </w:rPr>
          <w:fldChar w:fldCharType="begin"/>
        </w:r>
        <w:r w:rsidR="008E1F33">
          <w:rPr>
            <w:webHidden/>
          </w:rPr>
          <w:instrText xml:space="preserve"> PAGEREF _Toc501539154 \h </w:instrText>
        </w:r>
        <w:r w:rsidR="008E1F33">
          <w:rPr>
            <w:webHidden/>
          </w:rPr>
        </w:r>
        <w:r w:rsidR="008E1F33">
          <w:rPr>
            <w:webHidden/>
          </w:rPr>
          <w:fldChar w:fldCharType="separate"/>
        </w:r>
        <w:r w:rsidR="00526B9F">
          <w:rPr>
            <w:webHidden/>
          </w:rPr>
          <w:t>16</w:t>
        </w:r>
        <w:r w:rsidR="008E1F33">
          <w:rPr>
            <w:webHidden/>
          </w:rPr>
          <w:fldChar w:fldCharType="end"/>
        </w:r>
      </w:hyperlink>
    </w:p>
    <w:p w14:paraId="1AA90739" w14:textId="77777777" w:rsidR="008E1F33" w:rsidRDefault="00AD3A43">
      <w:pPr>
        <w:pStyle w:val="TOC3"/>
        <w:rPr>
          <w:rFonts w:asciiTheme="minorHAnsi" w:eastAsiaTheme="minorEastAsia" w:hAnsiTheme="minorHAnsi" w:cstheme="minorBidi"/>
          <w:noProof/>
          <w:sz w:val="22"/>
          <w:szCs w:val="22"/>
          <w:lang w:eastAsia="en-AU"/>
        </w:rPr>
      </w:pPr>
      <w:hyperlink w:anchor="_Toc501539155" w:history="1">
        <w:r w:rsidR="008E1F33" w:rsidRPr="00FF1C8F">
          <w:rPr>
            <w:rStyle w:val="Hyperlink"/>
            <w:noProof/>
          </w:rPr>
          <w:t>2.2.1</w:t>
        </w:r>
        <w:r w:rsidR="008E1F33">
          <w:rPr>
            <w:rFonts w:asciiTheme="minorHAnsi" w:eastAsiaTheme="minorEastAsia" w:hAnsiTheme="minorHAnsi" w:cstheme="minorBidi"/>
            <w:noProof/>
            <w:sz w:val="22"/>
            <w:szCs w:val="22"/>
            <w:lang w:eastAsia="en-AU"/>
          </w:rPr>
          <w:tab/>
        </w:r>
        <w:r w:rsidR="008E1F33" w:rsidRPr="00FF1C8F">
          <w:rPr>
            <w:rStyle w:val="Hyperlink"/>
            <w:noProof/>
          </w:rPr>
          <w:t>Risks posed by the use and availability of firearms</w:t>
        </w:r>
        <w:r w:rsidR="008E1F33">
          <w:rPr>
            <w:noProof/>
            <w:webHidden/>
          </w:rPr>
          <w:tab/>
        </w:r>
        <w:r w:rsidR="008E1F33">
          <w:rPr>
            <w:noProof/>
            <w:webHidden/>
          </w:rPr>
          <w:fldChar w:fldCharType="begin"/>
        </w:r>
        <w:r w:rsidR="008E1F33">
          <w:rPr>
            <w:noProof/>
            <w:webHidden/>
          </w:rPr>
          <w:instrText xml:space="preserve"> PAGEREF _Toc501539155 \h </w:instrText>
        </w:r>
        <w:r w:rsidR="008E1F33">
          <w:rPr>
            <w:noProof/>
            <w:webHidden/>
          </w:rPr>
        </w:r>
        <w:r w:rsidR="008E1F33">
          <w:rPr>
            <w:noProof/>
            <w:webHidden/>
          </w:rPr>
          <w:fldChar w:fldCharType="separate"/>
        </w:r>
        <w:r w:rsidR="00526B9F">
          <w:rPr>
            <w:noProof/>
            <w:webHidden/>
          </w:rPr>
          <w:t>16</w:t>
        </w:r>
        <w:r w:rsidR="008E1F33">
          <w:rPr>
            <w:noProof/>
            <w:webHidden/>
          </w:rPr>
          <w:fldChar w:fldCharType="end"/>
        </w:r>
      </w:hyperlink>
    </w:p>
    <w:p w14:paraId="6186E38E" w14:textId="77777777" w:rsidR="008E1F33" w:rsidRDefault="00AD3A43">
      <w:pPr>
        <w:pStyle w:val="TOC3"/>
        <w:rPr>
          <w:rFonts w:asciiTheme="minorHAnsi" w:eastAsiaTheme="minorEastAsia" w:hAnsiTheme="minorHAnsi" w:cstheme="minorBidi"/>
          <w:noProof/>
          <w:sz w:val="22"/>
          <w:szCs w:val="22"/>
          <w:lang w:eastAsia="en-AU"/>
        </w:rPr>
      </w:pPr>
      <w:hyperlink w:anchor="_Toc501539156" w:history="1">
        <w:r w:rsidR="008E1F33" w:rsidRPr="00FF1C8F">
          <w:rPr>
            <w:rStyle w:val="Hyperlink"/>
            <w:noProof/>
          </w:rPr>
          <w:t>2.2.2</w:t>
        </w:r>
        <w:r w:rsidR="008E1F33">
          <w:rPr>
            <w:rFonts w:asciiTheme="minorHAnsi" w:eastAsiaTheme="minorEastAsia" w:hAnsiTheme="minorHAnsi" w:cstheme="minorBidi"/>
            <w:noProof/>
            <w:sz w:val="22"/>
            <w:szCs w:val="22"/>
            <w:lang w:eastAsia="en-AU"/>
          </w:rPr>
          <w:tab/>
        </w:r>
        <w:r w:rsidR="008E1F33" w:rsidRPr="00FF1C8F">
          <w:rPr>
            <w:rStyle w:val="Hyperlink"/>
            <w:noProof/>
          </w:rPr>
          <w:t>Uses and benefits of firearms</w:t>
        </w:r>
        <w:r w:rsidR="008E1F33">
          <w:rPr>
            <w:noProof/>
            <w:webHidden/>
          </w:rPr>
          <w:tab/>
        </w:r>
        <w:r w:rsidR="008E1F33">
          <w:rPr>
            <w:noProof/>
            <w:webHidden/>
          </w:rPr>
          <w:fldChar w:fldCharType="begin"/>
        </w:r>
        <w:r w:rsidR="008E1F33">
          <w:rPr>
            <w:noProof/>
            <w:webHidden/>
          </w:rPr>
          <w:instrText xml:space="preserve"> PAGEREF _Toc501539156 \h </w:instrText>
        </w:r>
        <w:r w:rsidR="008E1F33">
          <w:rPr>
            <w:noProof/>
            <w:webHidden/>
          </w:rPr>
        </w:r>
        <w:r w:rsidR="008E1F33">
          <w:rPr>
            <w:noProof/>
            <w:webHidden/>
          </w:rPr>
          <w:fldChar w:fldCharType="separate"/>
        </w:r>
        <w:r w:rsidR="00526B9F">
          <w:rPr>
            <w:noProof/>
            <w:webHidden/>
          </w:rPr>
          <w:t>17</w:t>
        </w:r>
        <w:r w:rsidR="008E1F33">
          <w:rPr>
            <w:noProof/>
            <w:webHidden/>
          </w:rPr>
          <w:fldChar w:fldCharType="end"/>
        </w:r>
      </w:hyperlink>
    </w:p>
    <w:p w14:paraId="0ED4B43A" w14:textId="77777777" w:rsidR="008E1F33" w:rsidRDefault="00AD3A43">
      <w:pPr>
        <w:pStyle w:val="TOC3"/>
        <w:rPr>
          <w:rFonts w:asciiTheme="minorHAnsi" w:eastAsiaTheme="minorEastAsia" w:hAnsiTheme="minorHAnsi" w:cstheme="minorBidi"/>
          <w:noProof/>
          <w:sz w:val="22"/>
          <w:szCs w:val="22"/>
          <w:lang w:eastAsia="en-AU"/>
        </w:rPr>
      </w:pPr>
      <w:hyperlink w:anchor="_Toc501539157" w:history="1">
        <w:r w:rsidR="008E1F33" w:rsidRPr="00FF1C8F">
          <w:rPr>
            <w:rStyle w:val="Hyperlink"/>
            <w:noProof/>
          </w:rPr>
          <w:t>2.2.3</w:t>
        </w:r>
        <w:r w:rsidR="008E1F33">
          <w:rPr>
            <w:rFonts w:asciiTheme="minorHAnsi" w:eastAsiaTheme="minorEastAsia" w:hAnsiTheme="minorHAnsi" w:cstheme="minorBidi"/>
            <w:noProof/>
            <w:sz w:val="22"/>
            <w:szCs w:val="22"/>
            <w:lang w:eastAsia="en-AU"/>
          </w:rPr>
          <w:tab/>
        </w:r>
        <w:r w:rsidR="008E1F33" w:rsidRPr="00FF1C8F">
          <w:rPr>
            <w:rStyle w:val="Hyperlink"/>
            <w:noProof/>
          </w:rPr>
          <w:t>Illicit firearms and their connection with the legal market</w:t>
        </w:r>
        <w:r w:rsidR="008E1F33">
          <w:rPr>
            <w:noProof/>
            <w:webHidden/>
          </w:rPr>
          <w:tab/>
        </w:r>
        <w:r w:rsidR="008E1F33">
          <w:rPr>
            <w:noProof/>
            <w:webHidden/>
          </w:rPr>
          <w:fldChar w:fldCharType="begin"/>
        </w:r>
        <w:r w:rsidR="008E1F33">
          <w:rPr>
            <w:noProof/>
            <w:webHidden/>
          </w:rPr>
          <w:instrText xml:space="preserve"> PAGEREF _Toc501539157 \h </w:instrText>
        </w:r>
        <w:r w:rsidR="008E1F33">
          <w:rPr>
            <w:noProof/>
            <w:webHidden/>
          </w:rPr>
        </w:r>
        <w:r w:rsidR="008E1F33">
          <w:rPr>
            <w:noProof/>
            <w:webHidden/>
          </w:rPr>
          <w:fldChar w:fldCharType="separate"/>
        </w:r>
        <w:r w:rsidR="00526B9F">
          <w:rPr>
            <w:noProof/>
            <w:webHidden/>
          </w:rPr>
          <w:t>17</w:t>
        </w:r>
        <w:r w:rsidR="008E1F33">
          <w:rPr>
            <w:noProof/>
            <w:webHidden/>
          </w:rPr>
          <w:fldChar w:fldCharType="end"/>
        </w:r>
      </w:hyperlink>
    </w:p>
    <w:p w14:paraId="1112CF4B" w14:textId="77777777" w:rsidR="008E1F33" w:rsidRDefault="00AD3A43">
      <w:pPr>
        <w:pStyle w:val="TOC3"/>
        <w:rPr>
          <w:rFonts w:asciiTheme="minorHAnsi" w:eastAsiaTheme="minorEastAsia" w:hAnsiTheme="minorHAnsi" w:cstheme="minorBidi"/>
          <w:noProof/>
          <w:sz w:val="22"/>
          <w:szCs w:val="22"/>
          <w:lang w:eastAsia="en-AU"/>
        </w:rPr>
      </w:pPr>
      <w:hyperlink w:anchor="_Toc501539158" w:history="1">
        <w:r w:rsidR="008E1F33" w:rsidRPr="00FF1C8F">
          <w:rPr>
            <w:rStyle w:val="Hyperlink"/>
            <w:noProof/>
          </w:rPr>
          <w:t>2.2.4</w:t>
        </w:r>
        <w:r w:rsidR="008E1F33">
          <w:rPr>
            <w:rFonts w:asciiTheme="minorHAnsi" w:eastAsiaTheme="minorEastAsia" w:hAnsiTheme="minorHAnsi" w:cstheme="minorBidi"/>
            <w:noProof/>
            <w:sz w:val="22"/>
            <w:szCs w:val="22"/>
            <w:lang w:eastAsia="en-AU"/>
          </w:rPr>
          <w:tab/>
        </w:r>
        <w:r w:rsidR="008E1F33" w:rsidRPr="00FF1C8F">
          <w:rPr>
            <w:rStyle w:val="Hyperlink"/>
            <w:noProof/>
          </w:rPr>
          <w:t>Categories of firearms</w:t>
        </w:r>
        <w:r w:rsidR="008E1F33">
          <w:rPr>
            <w:noProof/>
            <w:webHidden/>
          </w:rPr>
          <w:tab/>
        </w:r>
        <w:r w:rsidR="008E1F33">
          <w:rPr>
            <w:noProof/>
            <w:webHidden/>
          </w:rPr>
          <w:fldChar w:fldCharType="begin"/>
        </w:r>
        <w:r w:rsidR="008E1F33">
          <w:rPr>
            <w:noProof/>
            <w:webHidden/>
          </w:rPr>
          <w:instrText xml:space="preserve"> PAGEREF _Toc501539158 \h </w:instrText>
        </w:r>
        <w:r w:rsidR="008E1F33">
          <w:rPr>
            <w:noProof/>
            <w:webHidden/>
          </w:rPr>
        </w:r>
        <w:r w:rsidR="008E1F33">
          <w:rPr>
            <w:noProof/>
            <w:webHidden/>
          </w:rPr>
          <w:fldChar w:fldCharType="separate"/>
        </w:r>
        <w:r w:rsidR="00526B9F">
          <w:rPr>
            <w:noProof/>
            <w:webHidden/>
          </w:rPr>
          <w:t>18</w:t>
        </w:r>
        <w:r w:rsidR="008E1F33">
          <w:rPr>
            <w:noProof/>
            <w:webHidden/>
          </w:rPr>
          <w:fldChar w:fldCharType="end"/>
        </w:r>
      </w:hyperlink>
    </w:p>
    <w:p w14:paraId="19A728E5" w14:textId="77777777" w:rsidR="008E1F33" w:rsidRDefault="00AD3A43">
      <w:pPr>
        <w:pStyle w:val="TOC3"/>
        <w:rPr>
          <w:rFonts w:asciiTheme="minorHAnsi" w:eastAsiaTheme="minorEastAsia" w:hAnsiTheme="minorHAnsi" w:cstheme="minorBidi"/>
          <w:noProof/>
          <w:sz w:val="22"/>
          <w:szCs w:val="22"/>
          <w:lang w:eastAsia="en-AU"/>
        </w:rPr>
      </w:pPr>
      <w:hyperlink w:anchor="_Toc501539159" w:history="1">
        <w:r w:rsidR="008E1F33" w:rsidRPr="00FF1C8F">
          <w:rPr>
            <w:rStyle w:val="Hyperlink"/>
            <w:noProof/>
          </w:rPr>
          <w:t>2.2.5</w:t>
        </w:r>
        <w:r w:rsidR="008E1F33">
          <w:rPr>
            <w:rFonts w:asciiTheme="minorHAnsi" w:eastAsiaTheme="minorEastAsia" w:hAnsiTheme="minorHAnsi" w:cstheme="minorBidi"/>
            <w:noProof/>
            <w:sz w:val="22"/>
            <w:szCs w:val="22"/>
            <w:lang w:eastAsia="en-AU"/>
          </w:rPr>
          <w:tab/>
        </w:r>
        <w:r w:rsidR="008E1F33" w:rsidRPr="00FF1C8F">
          <w:rPr>
            <w:rStyle w:val="Hyperlink"/>
            <w:noProof/>
          </w:rPr>
          <w:t>Scope of the regulated firearms trade in Victoria</w:t>
        </w:r>
        <w:r w:rsidR="008E1F33">
          <w:rPr>
            <w:noProof/>
            <w:webHidden/>
          </w:rPr>
          <w:tab/>
        </w:r>
        <w:r w:rsidR="008E1F33">
          <w:rPr>
            <w:noProof/>
            <w:webHidden/>
          </w:rPr>
          <w:fldChar w:fldCharType="begin"/>
        </w:r>
        <w:r w:rsidR="008E1F33">
          <w:rPr>
            <w:noProof/>
            <w:webHidden/>
          </w:rPr>
          <w:instrText xml:space="preserve"> PAGEREF _Toc501539159 \h </w:instrText>
        </w:r>
        <w:r w:rsidR="008E1F33">
          <w:rPr>
            <w:noProof/>
            <w:webHidden/>
          </w:rPr>
        </w:r>
        <w:r w:rsidR="008E1F33">
          <w:rPr>
            <w:noProof/>
            <w:webHidden/>
          </w:rPr>
          <w:fldChar w:fldCharType="separate"/>
        </w:r>
        <w:r w:rsidR="00526B9F">
          <w:rPr>
            <w:noProof/>
            <w:webHidden/>
          </w:rPr>
          <w:t>20</w:t>
        </w:r>
        <w:r w:rsidR="008E1F33">
          <w:rPr>
            <w:noProof/>
            <w:webHidden/>
          </w:rPr>
          <w:fldChar w:fldCharType="end"/>
        </w:r>
      </w:hyperlink>
    </w:p>
    <w:p w14:paraId="3CD898F5" w14:textId="77777777" w:rsidR="008E1F33" w:rsidRDefault="00AD3A43">
      <w:pPr>
        <w:pStyle w:val="TOC2"/>
        <w:rPr>
          <w:rFonts w:asciiTheme="minorHAnsi" w:eastAsiaTheme="minorEastAsia" w:hAnsiTheme="minorHAnsi" w:cstheme="minorBidi"/>
          <w:sz w:val="22"/>
          <w:szCs w:val="22"/>
        </w:rPr>
      </w:pPr>
      <w:hyperlink w:anchor="_Toc501539160" w:history="1">
        <w:r w:rsidR="008E1F33" w:rsidRPr="00FF1C8F">
          <w:rPr>
            <w:rStyle w:val="Hyperlink"/>
          </w:rPr>
          <w:t>2.3</w:t>
        </w:r>
        <w:r w:rsidR="008E1F33">
          <w:rPr>
            <w:rFonts w:asciiTheme="minorHAnsi" w:eastAsiaTheme="minorEastAsia" w:hAnsiTheme="minorHAnsi" w:cstheme="minorBidi"/>
            <w:sz w:val="22"/>
            <w:szCs w:val="22"/>
          </w:rPr>
          <w:tab/>
        </w:r>
        <w:r w:rsidR="008E1F33" w:rsidRPr="00FF1C8F">
          <w:rPr>
            <w:rStyle w:val="Hyperlink"/>
          </w:rPr>
          <w:t>Base case</w:t>
        </w:r>
        <w:r w:rsidR="008E1F33">
          <w:rPr>
            <w:webHidden/>
          </w:rPr>
          <w:tab/>
        </w:r>
        <w:r w:rsidR="008E1F33">
          <w:rPr>
            <w:webHidden/>
          </w:rPr>
          <w:fldChar w:fldCharType="begin"/>
        </w:r>
        <w:r w:rsidR="008E1F33">
          <w:rPr>
            <w:webHidden/>
          </w:rPr>
          <w:instrText xml:space="preserve"> PAGEREF _Toc501539160 \h </w:instrText>
        </w:r>
        <w:r w:rsidR="008E1F33">
          <w:rPr>
            <w:webHidden/>
          </w:rPr>
        </w:r>
        <w:r w:rsidR="008E1F33">
          <w:rPr>
            <w:webHidden/>
          </w:rPr>
          <w:fldChar w:fldCharType="separate"/>
        </w:r>
        <w:r w:rsidR="00526B9F">
          <w:rPr>
            <w:webHidden/>
          </w:rPr>
          <w:t>22</w:t>
        </w:r>
        <w:r w:rsidR="008E1F33">
          <w:rPr>
            <w:webHidden/>
          </w:rPr>
          <w:fldChar w:fldCharType="end"/>
        </w:r>
      </w:hyperlink>
    </w:p>
    <w:p w14:paraId="5C70B895" w14:textId="77777777" w:rsidR="008E1F33" w:rsidRDefault="00AD3A43">
      <w:pPr>
        <w:pStyle w:val="TOC1"/>
        <w:rPr>
          <w:rFonts w:asciiTheme="minorHAnsi" w:eastAsiaTheme="minorEastAsia" w:hAnsiTheme="minorHAnsi" w:cstheme="minorBidi"/>
          <w:b w:val="0"/>
          <w:sz w:val="22"/>
          <w:szCs w:val="22"/>
        </w:rPr>
      </w:pPr>
      <w:hyperlink w:anchor="_Toc501539161" w:history="1">
        <w:r w:rsidR="008E1F33" w:rsidRPr="00FF1C8F">
          <w:rPr>
            <w:rStyle w:val="Hyperlink"/>
          </w:rPr>
          <w:t>3</w:t>
        </w:r>
        <w:r w:rsidR="008E1F33">
          <w:rPr>
            <w:rFonts w:asciiTheme="minorHAnsi" w:eastAsiaTheme="minorEastAsia" w:hAnsiTheme="minorHAnsi" w:cstheme="minorBidi"/>
            <w:b w:val="0"/>
            <w:sz w:val="22"/>
            <w:szCs w:val="22"/>
          </w:rPr>
          <w:tab/>
        </w:r>
        <w:r w:rsidR="008E1F33" w:rsidRPr="00FF1C8F">
          <w:rPr>
            <w:rStyle w:val="Hyperlink"/>
          </w:rPr>
          <w:t>Non-fee-related decisions</w:t>
        </w:r>
        <w:r w:rsidR="008E1F33">
          <w:rPr>
            <w:webHidden/>
          </w:rPr>
          <w:tab/>
        </w:r>
        <w:r w:rsidR="008E1F33">
          <w:rPr>
            <w:webHidden/>
          </w:rPr>
          <w:fldChar w:fldCharType="begin"/>
        </w:r>
        <w:r w:rsidR="008E1F33">
          <w:rPr>
            <w:webHidden/>
          </w:rPr>
          <w:instrText xml:space="preserve"> PAGEREF _Toc501539161 \h </w:instrText>
        </w:r>
        <w:r w:rsidR="008E1F33">
          <w:rPr>
            <w:webHidden/>
          </w:rPr>
        </w:r>
        <w:r w:rsidR="008E1F33">
          <w:rPr>
            <w:webHidden/>
          </w:rPr>
          <w:fldChar w:fldCharType="separate"/>
        </w:r>
        <w:r w:rsidR="00526B9F">
          <w:rPr>
            <w:webHidden/>
          </w:rPr>
          <w:t>28</w:t>
        </w:r>
        <w:r w:rsidR="008E1F33">
          <w:rPr>
            <w:webHidden/>
          </w:rPr>
          <w:fldChar w:fldCharType="end"/>
        </w:r>
      </w:hyperlink>
    </w:p>
    <w:p w14:paraId="6B661434" w14:textId="77777777" w:rsidR="008E1F33" w:rsidRDefault="00AD3A43">
      <w:pPr>
        <w:pStyle w:val="TOC2"/>
        <w:rPr>
          <w:rFonts w:asciiTheme="minorHAnsi" w:eastAsiaTheme="minorEastAsia" w:hAnsiTheme="minorHAnsi" w:cstheme="minorBidi"/>
          <w:sz w:val="22"/>
          <w:szCs w:val="22"/>
        </w:rPr>
      </w:pPr>
      <w:hyperlink w:anchor="_Toc501539162" w:history="1">
        <w:r w:rsidR="008E1F33" w:rsidRPr="00FF1C8F">
          <w:rPr>
            <w:rStyle w:val="Hyperlink"/>
          </w:rPr>
          <w:t>3.1</w:t>
        </w:r>
        <w:r w:rsidR="008E1F33">
          <w:rPr>
            <w:rFonts w:asciiTheme="minorHAnsi" w:eastAsiaTheme="minorEastAsia" w:hAnsiTheme="minorHAnsi" w:cstheme="minorBidi"/>
            <w:sz w:val="22"/>
            <w:szCs w:val="22"/>
          </w:rPr>
          <w:tab/>
        </w:r>
        <w:r w:rsidR="008E1F33" w:rsidRPr="00FF1C8F">
          <w:rPr>
            <w:rStyle w:val="Hyperlink"/>
          </w:rPr>
          <w:t>Non-fee-related objectives and criteria</w:t>
        </w:r>
        <w:r w:rsidR="008E1F33">
          <w:rPr>
            <w:webHidden/>
          </w:rPr>
          <w:tab/>
        </w:r>
        <w:r w:rsidR="008E1F33">
          <w:rPr>
            <w:webHidden/>
          </w:rPr>
          <w:fldChar w:fldCharType="begin"/>
        </w:r>
        <w:r w:rsidR="008E1F33">
          <w:rPr>
            <w:webHidden/>
          </w:rPr>
          <w:instrText xml:space="preserve"> PAGEREF _Toc501539162 \h </w:instrText>
        </w:r>
        <w:r w:rsidR="008E1F33">
          <w:rPr>
            <w:webHidden/>
          </w:rPr>
        </w:r>
        <w:r w:rsidR="008E1F33">
          <w:rPr>
            <w:webHidden/>
          </w:rPr>
          <w:fldChar w:fldCharType="separate"/>
        </w:r>
        <w:r w:rsidR="00526B9F">
          <w:rPr>
            <w:webHidden/>
          </w:rPr>
          <w:t>28</w:t>
        </w:r>
        <w:r w:rsidR="008E1F33">
          <w:rPr>
            <w:webHidden/>
          </w:rPr>
          <w:fldChar w:fldCharType="end"/>
        </w:r>
      </w:hyperlink>
    </w:p>
    <w:p w14:paraId="4621F432" w14:textId="77777777" w:rsidR="008E1F33" w:rsidRDefault="00AD3A43">
      <w:pPr>
        <w:pStyle w:val="TOC2"/>
        <w:rPr>
          <w:rFonts w:asciiTheme="minorHAnsi" w:eastAsiaTheme="minorEastAsia" w:hAnsiTheme="minorHAnsi" w:cstheme="minorBidi"/>
          <w:sz w:val="22"/>
          <w:szCs w:val="22"/>
        </w:rPr>
      </w:pPr>
      <w:hyperlink w:anchor="_Toc501539163" w:history="1">
        <w:r w:rsidR="008E1F33" w:rsidRPr="00FF1C8F">
          <w:rPr>
            <w:rStyle w:val="Hyperlink"/>
          </w:rPr>
          <w:t>3.2</w:t>
        </w:r>
        <w:r w:rsidR="008E1F33">
          <w:rPr>
            <w:rFonts w:asciiTheme="minorHAnsi" w:eastAsiaTheme="minorEastAsia" w:hAnsiTheme="minorHAnsi" w:cstheme="minorBidi"/>
            <w:sz w:val="22"/>
            <w:szCs w:val="22"/>
          </w:rPr>
          <w:tab/>
        </w:r>
        <w:r w:rsidR="008E1F33" w:rsidRPr="00FF1C8F">
          <w:rPr>
            <w:rStyle w:val="Hyperlink"/>
          </w:rPr>
          <w:t>Non-fee-related options and assessment</w:t>
        </w:r>
        <w:r w:rsidR="008E1F33">
          <w:rPr>
            <w:webHidden/>
          </w:rPr>
          <w:tab/>
        </w:r>
        <w:r w:rsidR="008E1F33">
          <w:rPr>
            <w:webHidden/>
          </w:rPr>
          <w:fldChar w:fldCharType="begin"/>
        </w:r>
        <w:r w:rsidR="008E1F33">
          <w:rPr>
            <w:webHidden/>
          </w:rPr>
          <w:instrText xml:space="preserve"> PAGEREF _Toc501539163 \h </w:instrText>
        </w:r>
        <w:r w:rsidR="008E1F33">
          <w:rPr>
            <w:webHidden/>
          </w:rPr>
        </w:r>
        <w:r w:rsidR="008E1F33">
          <w:rPr>
            <w:webHidden/>
          </w:rPr>
          <w:fldChar w:fldCharType="separate"/>
        </w:r>
        <w:r w:rsidR="00526B9F">
          <w:rPr>
            <w:webHidden/>
          </w:rPr>
          <w:t>29</w:t>
        </w:r>
        <w:r w:rsidR="008E1F33">
          <w:rPr>
            <w:webHidden/>
          </w:rPr>
          <w:fldChar w:fldCharType="end"/>
        </w:r>
      </w:hyperlink>
    </w:p>
    <w:p w14:paraId="1FA1EBD2" w14:textId="77777777" w:rsidR="008E1F33" w:rsidRDefault="00AD3A43">
      <w:pPr>
        <w:pStyle w:val="TOC3"/>
        <w:rPr>
          <w:rFonts w:asciiTheme="minorHAnsi" w:eastAsiaTheme="minorEastAsia" w:hAnsiTheme="minorHAnsi" w:cstheme="minorBidi"/>
          <w:noProof/>
          <w:sz w:val="22"/>
          <w:szCs w:val="22"/>
          <w:lang w:eastAsia="en-AU"/>
        </w:rPr>
      </w:pPr>
      <w:hyperlink w:anchor="_Toc501539164" w:history="1">
        <w:r w:rsidR="008E1F33" w:rsidRPr="00FF1C8F">
          <w:rPr>
            <w:rStyle w:val="Hyperlink"/>
            <w:noProof/>
          </w:rPr>
          <w:t>3.2.1</w:t>
        </w:r>
        <w:r w:rsidR="008E1F33">
          <w:rPr>
            <w:rFonts w:asciiTheme="minorHAnsi" w:eastAsiaTheme="minorEastAsia" w:hAnsiTheme="minorHAnsi" w:cstheme="minorBidi"/>
            <w:noProof/>
            <w:sz w:val="22"/>
            <w:szCs w:val="22"/>
            <w:lang w:eastAsia="en-AU"/>
          </w:rPr>
          <w:tab/>
        </w:r>
        <w:r w:rsidR="008E1F33" w:rsidRPr="00FF1C8F">
          <w:rPr>
            <w:rStyle w:val="Hyperlink"/>
            <w:noProof/>
          </w:rPr>
          <w:t>Non-fee Option 1: Prescribing handgun chassis kits as a prescribed item, requiring a permit to be applied for under section 57 of the Act</w:t>
        </w:r>
        <w:r w:rsidR="008E1F33">
          <w:rPr>
            <w:noProof/>
            <w:webHidden/>
          </w:rPr>
          <w:tab/>
        </w:r>
        <w:r w:rsidR="008E1F33">
          <w:rPr>
            <w:noProof/>
            <w:webHidden/>
          </w:rPr>
          <w:fldChar w:fldCharType="begin"/>
        </w:r>
        <w:r w:rsidR="008E1F33">
          <w:rPr>
            <w:noProof/>
            <w:webHidden/>
          </w:rPr>
          <w:instrText xml:space="preserve"> PAGEREF _Toc501539164 \h </w:instrText>
        </w:r>
        <w:r w:rsidR="008E1F33">
          <w:rPr>
            <w:noProof/>
            <w:webHidden/>
          </w:rPr>
        </w:r>
        <w:r w:rsidR="008E1F33">
          <w:rPr>
            <w:noProof/>
            <w:webHidden/>
          </w:rPr>
          <w:fldChar w:fldCharType="separate"/>
        </w:r>
        <w:r w:rsidR="00526B9F">
          <w:rPr>
            <w:noProof/>
            <w:webHidden/>
          </w:rPr>
          <w:t>30</w:t>
        </w:r>
        <w:r w:rsidR="008E1F33">
          <w:rPr>
            <w:noProof/>
            <w:webHidden/>
          </w:rPr>
          <w:fldChar w:fldCharType="end"/>
        </w:r>
      </w:hyperlink>
    </w:p>
    <w:p w14:paraId="21E09FF9" w14:textId="77777777" w:rsidR="008E1F33" w:rsidRDefault="00AD3A43">
      <w:pPr>
        <w:pStyle w:val="TOC3"/>
        <w:rPr>
          <w:rFonts w:asciiTheme="minorHAnsi" w:eastAsiaTheme="minorEastAsia" w:hAnsiTheme="minorHAnsi" w:cstheme="minorBidi"/>
          <w:noProof/>
          <w:sz w:val="22"/>
          <w:szCs w:val="22"/>
          <w:lang w:eastAsia="en-AU"/>
        </w:rPr>
      </w:pPr>
      <w:hyperlink w:anchor="_Toc501539165" w:history="1">
        <w:r w:rsidR="008E1F33" w:rsidRPr="00FF1C8F">
          <w:rPr>
            <w:rStyle w:val="Hyperlink"/>
            <w:noProof/>
          </w:rPr>
          <w:t>3.2.2</w:t>
        </w:r>
        <w:r w:rsidR="008E1F33">
          <w:rPr>
            <w:rFonts w:asciiTheme="minorHAnsi" w:eastAsiaTheme="minorEastAsia" w:hAnsiTheme="minorHAnsi" w:cstheme="minorBidi"/>
            <w:noProof/>
            <w:sz w:val="22"/>
            <w:szCs w:val="22"/>
            <w:lang w:eastAsia="en-AU"/>
          </w:rPr>
          <w:tab/>
        </w:r>
        <w:r w:rsidR="008E1F33" w:rsidRPr="00FF1C8F">
          <w:rPr>
            <w:rStyle w:val="Hyperlink"/>
            <w:noProof/>
          </w:rPr>
          <w:t>Non-fee Option 2: Remaking the current list of exempt devices, and listing line throwers and dog-training devices as new exempt devices</w:t>
        </w:r>
        <w:r w:rsidR="008E1F33">
          <w:rPr>
            <w:noProof/>
            <w:webHidden/>
          </w:rPr>
          <w:tab/>
        </w:r>
        <w:r w:rsidR="008E1F33">
          <w:rPr>
            <w:noProof/>
            <w:webHidden/>
          </w:rPr>
          <w:fldChar w:fldCharType="begin"/>
        </w:r>
        <w:r w:rsidR="008E1F33">
          <w:rPr>
            <w:noProof/>
            <w:webHidden/>
          </w:rPr>
          <w:instrText xml:space="preserve"> PAGEREF _Toc501539165 \h </w:instrText>
        </w:r>
        <w:r w:rsidR="008E1F33">
          <w:rPr>
            <w:noProof/>
            <w:webHidden/>
          </w:rPr>
        </w:r>
        <w:r w:rsidR="008E1F33">
          <w:rPr>
            <w:noProof/>
            <w:webHidden/>
          </w:rPr>
          <w:fldChar w:fldCharType="separate"/>
        </w:r>
        <w:r w:rsidR="00526B9F">
          <w:rPr>
            <w:noProof/>
            <w:webHidden/>
          </w:rPr>
          <w:t>32</w:t>
        </w:r>
        <w:r w:rsidR="008E1F33">
          <w:rPr>
            <w:noProof/>
            <w:webHidden/>
          </w:rPr>
          <w:fldChar w:fldCharType="end"/>
        </w:r>
      </w:hyperlink>
    </w:p>
    <w:p w14:paraId="4165CE47" w14:textId="77777777" w:rsidR="008E1F33" w:rsidRDefault="00AD3A43">
      <w:pPr>
        <w:pStyle w:val="TOC3"/>
        <w:rPr>
          <w:rFonts w:asciiTheme="minorHAnsi" w:eastAsiaTheme="minorEastAsia" w:hAnsiTheme="minorHAnsi" w:cstheme="minorBidi"/>
          <w:noProof/>
          <w:sz w:val="22"/>
          <w:szCs w:val="22"/>
          <w:lang w:eastAsia="en-AU"/>
        </w:rPr>
      </w:pPr>
      <w:hyperlink w:anchor="_Toc501539166" w:history="1">
        <w:r w:rsidR="008E1F33" w:rsidRPr="00FF1C8F">
          <w:rPr>
            <w:rStyle w:val="Hyperlink"/>
            <w:noProof/>
          </w:rPr>
          <w:t>3.2.3</w:t>
        </w:r>
        <w:r w:rsidR="008E1F33">
          <w:rPr>
            <w:rFonts w:asciiTheme="minorHAnsi" w:eastAsiaTheme="minorEastAsia" w:hAnsiTheme="minorHAnsi" w:cstheme="minorBidi"/>
            <w:noProof/>
            <w:sz w:val="22"/>
            <w:szCs w:val="22"/>
            <w:lang w:eastAsia="en-AU"/>
          </w:rPr>
          <w:tab/>
        </w:r>
        <w:r w:rsidR="008E1F33" w:rsidRPr="00FF1C8F">
          <w:rPr>
            <w:rStyle w:val="Hyperlink"/>
            <w:noProof/>
          </w:rPr>
          <w:t>Non-fee-Option 3: Remaking the maximum amount that a licensed firearms dealer may charge when acting as an agent, but setting this amount in fee units</w:t>
        </w:r>
        <w:r w:rsidR="008E1F33">
          <w:rPr>
            <w:noProof/>
            <w:webHidden/>
          </w:rPr>
          <w:tab/>
        </w:r>
        <w:r w:rsidR="008E1F33">
          <w:rPr>
            <w:noProof/>
            <w:webHidden/>
          </w:rPr>
          <w:fldChar w:fldCharType="begin"/>
        </w:r>
        <w:r w:rsidR="008E1F33">
          <w:rPr>
            <w:noProof/>
            <w:webHidden/>
          </w:rPr>
          <w:instrText xml:space="preserve"> PAGEREF _Toc501539166 \h </w:instrText>
        </w:r>
        <w:r w:rsidR="008E1F33">
          <w:rPr>
            <w:noProof/>
            <w:webHidden/>
          </w:rPr>
        </w:r>
        <w:r w:rsidR="008E1F33">
          <w:rPr>
            <w:noProof/>
            <w:webHidden/>
          </w:rPr>
          <w:fldChar w:fldCharType="separate"/>
        </w:r>
        <w:r w:rsidR="00526B9F">
          <w:rPr>
            <w:noProof/>
            <w:webHidden/>
          </w:rPr>
          <w:t>35</w:t>
        </w:r>
        <w:r w:rsidR="008E1F33">
          <w:rPr>
            <w:noProof/>
            <w:webHidden/>
          </w:rPr>
          <w:fldChar w:fldCharType="end"/>
        </w:r>
      </w:hyperlink>
    </w:p>
    <w:p w14:paraId="79A743D2" w14:textId="77777777" w:rsidR="008E1F33" w:rsidRDefault="00AD3A43">
      <w:pPr>
        <w:pStyle w:val="TOC3"/>
        <w:rPr>
          <w:rFonts w:asciiTheme="minorHAnsi" w:eastAsiaTheme="minorEastAsia" w:hAnsiTheme="minorHAnsi" w:cstheme="minorBidi"/>
          <w:noProof/>
          <w:sz w:val="22"/>
          <w:szCs w:val="22"/>
          <w:lang w:eastAsia="en-AU"/>
        </w:rPr>
      </w:pPr>
      <w:hyperlink w:anchor="_Toc501539167" w:history="1">
        <w:r w:rsidR="008E1F33" w:rsidRPr="00FF1C8F">
          <w:rPr>
            <w:rStyle w:val="Hyperlink"/>
            <w:noProof/>
          </w:rPr>
          <w:t>3.2.4</w:t>
        </w:r>
        <w:r w:rsidR="008E1F33">
          <w:rPr>
            <w:rFonts w:asciiTheme="minorHAnsi" w:eastAsiaTheme="minorEastAsia" w:hAnsiTheme="minorHAnsi" w:cstheme="minorBidi"/>
            <w:noProof/>
            <w:sz w:val="22"/>
            <w:szCs w:val="22"/>
            <w:lang w:eastAsia="en-AU"/>
          </w:rPr>
          <w:tab/>
        </w:r>
        <w:r w:rsidR="008E1F33" w:rsidRPr="00FF1C8F">
          <w:rPr>
            <w:rStyle w:val="Hyperlink"/>
            <w:noProof/>
          </w:rPr>
          <w:t>Non-fee-Option 4: Remaking infringement penalties in the current regulations, and the associated schedule of offences for which infringement notices can be issued, and adding further prescribed offences</w:t>
        </w:r>
        <w:r w:rsidR="008E1F33">
          <w:rPr>
            <w:noProof/>
            <w:webHidden/>
          </w:rPr>
          <w:tab/>
        </w:r>
        <w:r w:rsidR="008E1F33">
          <w:rPr>
            <w:noProof/>
            <w:webHidden/>
          </w:rPr>
          <w:fldChar w:fldCharType="begin"/>
        </w:r>
        <w:r w:rsidR="008E1F33">
          <w:rPr>
            <w:noProof/>
            <w:webHidden/>
          </w:rPr>
          <w:instrText xml:space="preserve"> PAGEREF _Toc501539167 \h </w:instrText>
        </w:r>
        <w:r w:rsidR="008E1F33">
          <w:rPr>
            <w:noProof/>
            <w:webHidden/>
          </w:rPr>
        </w:r>
        <w:r w:rsidR="008E1F33">
          <w:rPr>
            <w:noProof/>
            <w:webHidden/>
          </w:rPr>
          <w:fldChar w:fldCharType="separate"/>
        </w:r>
        <w:r w:rsidR="00526B9F">
          <w:rPr>
            <w:noProof/>
            <w:webHidden/>
          </w:rPr>
          <w:t>36</w:t>
        </w:r>
        <w:r w:rsidR="008E1F33">
          <w:rPr>
            <w:noProof/>
            <w:webHidden/>
          </w:rPr>
          <w:fldChar w:fldCharType="end"/>
        </w:r>
      </w:hyperlink>
    </w:p>
    <w:p w14:paraId="20E1BAD0" w14:textId="77777777" w:rsidR="008E1F33" w:rsidRDefault="00AD3A43">
      <w:pPr>
        <w:pStyle w:val="TOC3"/>
        <w:rPr>
          <w:rFonts w:asciiTheme="minorHAnsi" w:eastAsiaTheme="minorEastAsia" w:hAnsiTheme="minorHAnsi" w:cstheme="minorBidi"/>
          <w:noProof/>
          <w:sz w:val="22"/>
          <w:szCs w:val="22"/>
          <w:lang w:eastAsia="en-AU"/>
        </w:rPr>
      </w:pPr>
      <w:hyperlink w:anchor="_Toc501539168" w:history="1">
        <w:r w:rsidR="008E1F33" w:rsidRPr="00FF1C8F">
          <w:rPr>
            <w:rStyle w:val="Hyperlink"/>
            <w:noProof/>
          </w:rPr>
          <w:t>3.2.5</w:t>
        </w:r>
        <w:r w:rsidR="008E1F33">
          <w:rPr>
            <w:rFonts w:asciiTheme="minorHAnsi" w:eastAsiaTheme="minorEastAsia" w:hAnsiTheme="minorHAnsi" w:cstheme="minorBidi"/>
            <w:noProof/>
            <w:sz w:val="22"/>
            <w:szCs w:val="22"/>
            <w:lang w:eastAsia="en-AU"/>
          </w:rPr>
          <w:tab/>
        </w:r>
        <w:r w:rsidR="008E1F33" w:rsidRPr="00FF1C8F">
          <w:rPr>
            <w:rStyle w:val="Hyperlink"/>
            <w:noProof/>
          </w:rPr>
          <w:t>Non-fee Option 5: Updating licence categories and permit fees</w:t>
        </w:r>
        <w:r w:rsidR="008E1F33">
          <w:rPr>
            <w:noProof/>
            <w:webHidden/>
          </w:rPr>
          <w:tab/>
        </w:r>
        <w:r w:rsidR="008E1F33">
          <w:rPr>
            <w:noProof/>
            <w:webHidden/>
          </w:rPr>
          <w:fldChar w:fldCharType="begin"/>
        </w:r>
        <w:r w:rsidR="008E1F33">
          <w:rPr>
            <w:noProof/>
            <w:webHidden/>
          </w:rPr>
          <w:instrText xml:space="preserve"> PAGEREF _Toc501539168 \h </w:instrText>
        </w:r>
        <w:r w:rsidR="008E1F33">
          <w:rPr>
            <w:noProof/>
            <w:webHidden/>
          </w:rPr>
        </w:r>
        <w:r w:rsidR="008E1F33">
          <w:rPr>
            <w:noProof/>
            <w:webHidden/>
          </w:rPr>
          <w:fldChar w:fldCharType="separate"/>
        </w:r>
        <w:r w:rsidR="00526B9F">
          <w:rPr>
            <w:noProof/>
            <w:webHidden/>
          </w:rPr>
          <w:t>38</w:t>
        </w:r>
        <w:r w:rsidR="008E1F33">
          <w:rPr>
            <w:noProof/>
            <w:webHidden/>
          </w:rPr>
          <w:fldChar w:fldCharType="end"/>
        </w:r>
      </w:hyperlink>
    </w:p>
    <w:p w14:paraId="0EC88A38" w14:textId="77777777" w:rsidR="008E1F33" w:rsidRDefault="00AD3A43">
      <w:pPr>
        <w:pStyle w:val="TOC1"/>
        <w:rPr>
          <w:rFonts w:asciiTheme="minorHAnsi" w:eastAsiaTheme="minorEastAsia" w:hAnsiTheme="minorHAnsi" w:cstheme="minorBidi"/>
          <w:b w:val="0"/>
          <w:sz w:val="22"/>
          <w:szCs w:val="22"/>
        </w:rPr>
      </w:pPr>
      <w:hyperlink w:anchor="_Toc501539169" w:history="1">
        <w:r w:rsidR="008E1F33" w:rsidRPr="00FF1C8F">
          <w:rPr>
            <w:rStyle w:val="Hyperlink"/>
          </w:rPr>
          <w:t>4</w:t>
        </w:r>
        <w:r w:rsidR="008E1F33">
          <w:rPr>
            <w:rFonts w:asciiTheme="minorHAnsi" w:eastAsiaTheme="minorEastAsia" w:hAnsiTheme="minorHAnsi" w:cstheme="minorBidi"/>
            <w:b w:val="0"/>
            <w:sz w:val="22"/>
            <w:szCs w:val="22"/>
          </w:rPr>
          <w:tab/>
        </w:r>
        <w:r w:rsidR="008E1F33" w:rsidRPr="00FF1C8F">
          <w:rPr>
            <w:rStyle w:val="Hyperlink"/>
          </w:rPr>
          <w:t>Fee-related decisions</w:t>
        </w:r>
        <w:r w:rsidR="008E1F33">
          <w:rPr>
            <w:webHidden/>
          </w:rPr>
          <w:tab/>
        </w:r>
        <w:r w:rsidR="008E1F33">
          <w:rPr>
            <w:webHidden/>
          </w:rPr>
          <w:fldChar w:fldCharType="begin"/>
        </w:r>
        <w:r w:rsidR="008E1F33">
          <w:rPr>
            <w:webHidden/>
          </w:rPr>
          <w:instrText xml:space="preserve"> PAGEREF _Toc501539169 \h </w:instrText>
        </w:r>
        <w:r w:rsidR="008E1F33">
          <w:rPr>
            <w:webHidden/>
          </w:rPr>
        </w:r>
        <w:r w:rsidR="008E1F33">
          <w:rPr>
            <w:webHidden/>
          </w:rPr>
          <w:fldChar w:fldCharType="separate"/>
        </w:r>
        <w:r w:rsidR="00526B9F">
          <w:rPr>
            <w:webHidden/>
          </w:rPr>
          <w:t>42</w:t>
        </w:r>
        <w:r w:rsidR="008E1F33">
          <w:rPr>
            <w:webHidden/>
          </w:rPr>
          <w:fldChar w:fldCharType="end"/>
        </w:r>
      </w:hyperlink>
    </w:p>
    <w:p w14:paraId="3E6B32DA" w14:textId="77777777" w:rsidR="008E1F33" w:rsidRDefault="00AD3A43">
      <w:pPr>
        <w:pStyle w:val="TOC2"/>
        <w:rPr>
          <w:rFonts w:asciiTheme="minorHAnsi" w:eastAsiaTheme="minorEastAsia" w:hAnsiTheme="minorHAnsi" w:cstheme="minorBidi"/>
          <w:sz w:val="22"/>
          <w:szCs w:val="22"/>
        </w:rPr>
      </w:pPr>
      <w:hyperlink w:anchor="_Toc501539170" w:history="1">
        <w:r w:rsidR="008E1F33" w:rsidRPr="00FF1C8F">
          <w:rPr>
            <w:rStyle w:val="Hyperlink"/>
          </w:rPr>
          <w:t>4.1</w:t>
        </w:r>
        <w:r w:rsidR="008E1F33">
          <w:rPr>
            <w:rFonts w:asciiTheme="minorHAnsi" w:eastAsiaTheme="minorEastAsia" w:hAnsiTheme="minorHAnsi" w:cstheme="minorBidi"/>
            <w:sz w:val="22"/>
            <w:szCs w:val="22"/>
          </w:rPr>
          <w:tab/>
        </w:r>
        <w:r w:rsidR="008E1F33" w:rsidRPr="00FF1C8F">
          <w:rPr>
            <w:rStyle w:val="Hyperlink"/>
          </w:rPr>
          <w:t>Fee-related residual problem</w:t>
        </w:r>
        <w:r w:rsidR="008E1F33">
          <w:rPr>
            <w:webHidden/>
          </w:rPr>
          <w:tab/>
        </w:r>
        <w:r w:rsidR="008E1F33">
          <w:rPr>
            <w:webHidden/>
          </w:rPr>
          <w:fldChar w:fldCharType="begin"/>
        </w:r>
        <w:r w:rsidR="008E1F33">
          <w:rPr>
            <w:webHidden/>
          </w:rPr>
          <w:instrText xml:space="preserve"> PAGEREF _Toc501539170 \h </w:instrText>
        </w:r>
        <w:r w:rsidR="008E1F33">
          <w:rPr>
            <w:webHidden/>
          </w:rPr>
        </w:r>
        <w:r w:rsidR="008E1F33">
          <w:rPr>
            <w:webHidden/>
          </w:rPr>
          <w:fldChar w:fldCharType="separate"/>
        </w:r>
        <w:r w:rsidR="00526B9F">
          <w:rPr>
            <w:webHidden/>
          </w:rPr>
          <w:t>42</w:t>
        </w:r>
        <w:r w:rsidR="008E1F33">
          <w:rPr>
            <w:webHidden/>
          </w:rPr>
          <w:fldChar w:fldCharType="end"/>
        </w:r>
      </w:hyperlink>
    </w:p>
    <w:p w14:paraId="318AAAFD" w14:textId="77777777" w:rsidR="008E1F33" w:rsidRDefault="00AD3A43">
      <w:pPr>
        <w:pStyle w:val="TOC2"/>
        <w:rPr>
          <w:rFonts w:asciiTheme="minorHAnsi" w:eastAsiaTheme="minorEastAsia" w:hAnsiTheme="minorHAnsi" w:cstheme="minorBidi"/>
          <w:sz w:val="22"/>
          <w:szCs w:val="22"/>
        </w:rPr>
      </w:pPr>
      <w:hyperlink w:anchor="_Toc501539171" w:history="1">
        <w:r w:rsidR="008E1F33" w:rsidRPr="00FF1C8F">
          <w:rPr>
            <w:rStyle w:val="Hyperlink"/>
          </w:rPr>
          <w:t>4.2</w:t>
        </w:r>
        <w:r w:rsidR="008E1F33">
          <w:rPr>
            <w:rFonts w:asciiTheme="minorHAnsi" w:eastAsiaTheme="minorEastAsia" w:hAnsiTheme="minorHAnsi" w:cstheme="minorBidi"/>
            <w:sz w:val="22"/>
            <w:szCs w:val="22"/>
          </w:rPr>
          <w:tab/>
        </w:r>
        <w:r w:rsidR="008E1F33" w:rsidRPr="00FF1C8F">
          <w:rPr>
            <w:rStyle w:val="Hyperlink"/>
          </w:rPr>
          <w:t>Fee-related objectives and criteria</w:t>
        </w:r>
        <w:r w:rsidR="008E1F33">
          <w:rPr>
            <w:webHidden/>
          </w:rPr>
          <w:tab/>
        </w:r>
        <w:r w:rsidR="008E1F33">
          <w:rPr>
            <w:webHidden/>
          </w:rPr>
          <w:fldChar w:fldCharType="begin"/>
        </w:r>
        <w:r w:rsidR="008E1F33">
          <w:rPr>
            <w:webHidden/>
          </w:rPr>
          <w:instrText xml:space="preserve"> PAGEREF _Toc501539171 \h </w:instrText>
        </w:r>
        <w:r w:rsidR="008E1F33">
          <w:rPr>
            <w:webHidden/>
          </w:rPr>
        </w:r>
        <w:r w:rsidR="008E1F33">
          <w:rPr>
            <w:webHidden/>
          </w:rPr>
          <w:fldChar w:fldCharType="separate"/>
        </w:r>
        <w:r w:rsidR="00526B9F">
          <w:rPr>
            <w:webHidden/>
          </w:rPr>
          <w:t>42</w:t>
        </w:r>
        <w:r w:rsidR="008E1F33">
          <w:rPr>
            <w:webHidden/>
          </w:rPr>
          <w:fldChar w:fldCharType="end"/>
        </w:r>
      </w:hyperlink>
    </w:p>
    <w:p w14:paraId="2FCE84ED" w14:textId="77777777" w:rsidR="008E1F33" w:rsidRDefault="00AD3A43">
      <w:pPr>
        <w:pStyle w:val="TOC2"/>
        <w:rPr>
          <w:rFonts w:asciiTheme="minorHAnsi" w:eastAsiaTheme="minorEastAsia" w:hAnsiTheme="minorHAnsi" w:cstheme="minorBidi"/>
          <w:sz w:val="22"/>
          <w:szCs w:val="22"/>
        </w:rPr>
      </w:pPr>
      <w:hyperlink w:anchor="_Toc501539172" w:history="1">
        <w:r w:rsidR="008E1F33" w:rsidRPr="00FF1C8F">
          <w:rPr>
            <w:rStyle w:val="Hyperlink"/>
          </w:rPr>
          <w:t>4.3</w:t>
        </w:r>
        <w:r w:rsidR="008E1F33">
          <w:rPr>
            <w:rFonts w:asciiTheme="minorHAnsi" w:eastAsiaTheme="minorEastAsia" w:hAnsiTheme="minorHAnsi" w:cstheme="minorBidi"/>
            <w:sz w:val="22"/>
            <w:szCs w:val="22"/>
          </w:rPr>
          <w:tab/>
        </w:r>
        <w:r w:rsidR="008E1F33" w:rsidRPr="00FF1C8F">
          <w:rPr>
            <w:rStyle w:val="Hyperlink"/>
          </w:rPr>
          <w:t>Appropriateness of the current fee levels</w:t>
        </w:r>
        <w:r w:rsidR="008E1F33">
          <w:rPr>
            <w:webHidden/>
          </w:rPr>
          <w:tab/>
        </w:r>
        <w:r w:rsidR="008E1F33">
          <w:rPr>
            <w:webHidden/>
          </w:rPr>
          <w:fldChar w:fldCharType="begin"/>
        </w:r>
        <w:r w:rsidR="008E1F33">
          <w:rPr>
            <w:webHidden/>
          </w:rPr>
          <w:instrText xml:space="preserve"> PAGEREF _Toc501539172 \h </w:instrText>
        </w:r>
        <w:r w:rsidR="008E1F33">
          <w:rPr>
            <w:webHidden/>
          </w:rPr>
        </w:r>
        <w:r w:rsidR="008E1F33">
          <w:rPr>
            <w:webHidden/>
          </w:rPr>
          <w:fldChar w:fldCharType="separate"/>
        </w:r>
        <w:r w:rsidR="00526B9F">
          <w:rPr>
            <w:webHidden/>
          </w:rPr>
          <w:t>44</w:t>
        </w:r>
        <w:r w:rsidR="008E1F33">
          <w:rPr>
            <w:webHidden/>
          </w:rPr>
          <w:fldChar w:fldCharType="end"/>
        </w:r>
      </w:hyperlink>
    </w:p>
    <w:p w14:paraId="20CE49D9" w14:textId="77777777" w:rsidR="008E1F33" w:rsidRDefault="00AD3A43">
      <w:pPr>
        <w:pStyle w:val="TOC2"/>
        <w:rPr>
          <w:rFonts w:asciiTheme="minorHAnsi" w:eastAsiaTheme="minorEastAsia" w:hAnsiTheme="minorHAnsi" w:cstheme="minorBidi"/>
          <w:sz w:val="22"/>
          <w:szCs w:val="22"/>
        </w:rPr>
      </w:pPr>
      <w:hyperlink w:anchor="_Toc501539173" w:history="1">
        <w:r w:rsidR="008E1F33" w:rsidRPr="00FF1C8F">
          <w:rPr>
            <w:rStyle w:val="Hyperlink"/>
          </w:rPr>
          <w:t>4.4</w:t>
        </w:r>
        <w:r w:rsidR="008E1F33">
          <w:rPr>
            <w:rFonts w:asciiTheme="minorHAnsi" w:eastAsiaTheme="minorEastAsia" w:hAnsiTheme="minorHAnsi" w:cstheme="minorBidi"/>
            <w:sz w:val="22"/>
            <w:szCs w:val="22"/>
          </w:rPr>
          <w:tab/>
        </w:r>
        <w:r w:rsidR="008E1F33" w:rsidRPr="00FF1C8F">
          <w:rPr>
            <w:rStyle w:val="Hyperlink"/>
          </w:rPr>
          <w:t>Overview of activities undertaken by Victoria Police</w:t>
        </w:r>
        <w:r w:rsidR="008E1F33">
          <w:rPr>
            <w:webHidden/>
          </w:rPr>
          <w:tab/>
        </w:r>
        <w:r w:rsidR="008E1F33">
          <w:rPr>
            <w:webHidden/>
          </w:rPr>
          <w:fldChar w:fldCharType="begin"/>
        </w:r>
        <w:r w:rsidR="008E1F33">
          <w:rPr>
            <w:webHidden/>
          </w:rPr>
          <w:instrText xml:space="preserve"> PAGEREF _Toc501539173 \h </w:instrText>
        </w:r>
        <w:r w:rsidR="008E1F33">
          <w:rPr>
            <w:webHidden/>
          </w:rPr>
        </w:r>
        <w:r w:rsidR="008E1F33">
          <w:rPr>
            <w:webHidden/>
          </w:rPr>
          <w:fldChar w:fldCharType="separate"/>
        </w:r>
        <w:r w:rsidR="00526B9F">
          <w:rPr>
            <w:webHidden/>
          </w:rPr>
          <w:t>45</w:t>
        </w:r>
        <w:r w:rsidR="008E1F33">
          <w:rPr>
            <w:webHidden/>
          </w:rPr>
          <w:fldChar w:fldCharType="end"/>
        </w:r>
      </w:hyperlink>
    </w:p>
    <w:p w14:paraId="24F3C3D4" w14:textId="77777777" w:rsidR="008E1F33" w:rsidRDefault="00AD3A43">
      <w:pPr>
        <w:pStyle w:val="TOC2"/>
        <w:rPr>
          <w:rFonts w:asciiTheme="minorHAnsi" w:eastAsiaTheme="minorEastAsia" w:hAnsiTheme="minorHAnsi" w:cstheme="minorBidi"/>
          <w:sz w:val="22"/>
          <w:szCs w:val="22"/>
        </w:rPr>
      </w:pPr>
      <w:hyperlink w:anchor="_Toc501539174" w:history="1">
        <w:r w:rsidR="008E1F33" w:rsidRPr="00FF1C8F">
          <w:rPr>
            <w:rStyle w:val="Hyperlink"/>
          </w:rPr>
          <w:t>4.5</w:t>
        </w:r>
        <w:r w:rsidR="008E1F33">
          <w:rPr>
            <w:rFonts w:asciiTheme="minorHAnsi" w:eastAsiaTheme="minorEastAsia" w:hAnsiTheme="minorHAnsi" w:cstheme="minorBidi"/>
            <w:sz w:val="22"/>
            <w:szCs w:val="22"/>
          </w:rPr>
          <w:tab/>
        </w:r>
        <w:r w:rsidR="008E1F33" w:rsidRPr="00FF1C8F">
          <w:rPr>
            <w:rStyle w:val="Hyperlink"/>
          </w:rPr>
          <w:t>Approach to calculating and attributing costs of regulation</w:t>
        </w:r>
        <w:r w:rsidR="008E1F33">
          <w:rPr>
            <w:webHidden/>
          </w:rPr>
          <w:tab/>
        </w:r>
        <w:r w:rsidR="008E1F33">
          <w:rPr>
            <w:webHidden/>
          </w:rPr>
          <w:fldChar w:fldCharType="begin"/>
        </w:r>
        <w:r w:rsidR="008E1F33">
          <w:rPr>
            <w:webHidden/>
          </w:rPr>
          <w:instrText xml:space="preserve"> PAGEREF _Toc501539174 \h </w:instrText>
        </w:r>
        <w:r w:rsidR="008E1F33">
          <w:rPr>
            <w:webHidden/>
          </w:rPr>
        </w:r>
        <w:r w:rsidR="008E1F33">
          <w:rPr>
            <w:webHidden/>
          </w:rPr>
          <w:fldChar w:fldCharType="separate"/>
        </w:r>
        <w:r w:rsidR="00526B9F">
          <w:rPr>
            <w:webHidden/>
          </w:rPr>
          <w:t>46</w:t>
        </w:r>
        <w:r w:rsidR="008E1F33">
          <w:rPr>
            <w:webHidden/>
          </w:rPr>
          <w:fldChar w:fldCharType="end"/>
        </w:r>
      </w:hyperlink>
    </w:p>
    <w:p w14:paraId="36AC661F" w14:textId="77777777" w:rsidR="008E1F33" w:rsidRDefault="00AD3A43">
      <w:pPr>
        <w:pStyle w:val="TOC3"/>
        <w:rPr>
          <w:rFonts w:asciiTheme="minorHAnsi" w:eastAsiaTheme="minorEastAsia" w:hAnsiTheme="minorHAnsi" w:cstheme="minorBidi"/>
          <w:noProof/>
          <w:sz w:val="22"/>
          <w:szCs w:val="22"/>
          <w:lang w:eastAsia="en-AU"/>
        </w:rPr>
      </w:pPr>
      <w:hyperlink w:anchor="_Toc501539175" w:history="1">
        <w:r w:rsidR="008E1F33" w:rsidRPr="00FF1C8F">
          <w:rPr>
            <w:rStyle w:val="Hyperlink"/>
            <w:noProof/>
          </w:rPr>
          <w:t>4.5.1</w:t>
        </w:r>
        <w:r w:rsidR="008E1F33">
          <w:rPr>
            <w:rFonts w:asciiTheme="minorHAnsi" w:eastAsiaTheme="minorEastAsia" w:hAnsiTheme="minorHAnsi" w:cstheme="minorBidi"/>
            <w:noProof/>
            <w:sz w:val="22"/>
            <w:szCs w:val="22"/>
            <w:lang w:eastAsia="en-AU"/>
          </w:rPr>
          <w:tab/>
        </w:r>
        <w:r w:rsidR="008E1F33" w:rsidRPr="00FF1C8F">
          <w:rPr>
            <w:rStyle w:val="Hyperlink"/>
            <w:noProof/>
          </w:rPr>
          <w:t>LRD activities and costs</w:t>
        </w:r>
        <w:r w:rsidR="008E1F33">
          <w:rPr>
            <w:noProof/>
            <w:webHidden/>
          </w:rPr>
          <w:tab/>
        </w:r>
        <w:r w:rsidR="008E1F33">
          <w:rPr>
            <w:noProof/>
            <w:webHidden/>
          </w:rPr>
          <w:fldChar w:fldCharType="begin"/>
        </w:r>
        <w:r w:rsidR="008E1F33">
          <w:rPr>
            <w:noProof/>
            <w:webHidden/>
          </w:rPr>
          <w:instrText xml:space="preserve"> PAGEREF _Toc501539175 \h </w:instrText>
        </w:r>
        <w:r w:rsidR="008E1F33">
          <w:rPr>
            <w:noProof/>
            <w:webHidden/>
          </w:rPr>
        </w:r>
        <w:r w:rsidR="008E1F33">
          <w:rPr>
            <w:noProof/>
            <w:webHidden/>
          </w:rPr>
          <w:fldChar w:fldCharType="separate"/>
        </w:r>
        <w:r w:rsidR="00526B9F">
          <w:rPr>
            <w:noProof/>
            <w:webHidden/>
          </w:rPr>
          <w:t>46</w:t>
        </w:r>
        <w:r w:rsidR="008E1F33">
          <w:rPr>
            <w:noProof/>
            <w:webHidden/>
          </w:rPr>
          <w:fldChar w:fldCharType="end"/>
        </w:r>
      </w:hyperlink>
    </w:p>
    <w:p w14:paraId="0ED67F64" w14:textId="77777777" w:rsidR="008E1F33" w:rsidRDefault="00AD3A43">
      <w:pPr>
        <w:pStyle w:val="TOC3"/>
        <w:rPr>
          <w:rFonts w:asciiTheme="minorHAnsi" w:eastAsiaTheme="minorEastAsia" w:hAnsiTheme="minorHAnsi" w:cstheme="minorBidi"/>
          <w:noProof/>
          <w:sz w:val="22"/>
          <w:szCs w:val="22"/>
          <w:lang w:eastAsia="en-AU"/>
        </w:rPr>
      </w:pPr>
      <w:hyperlink w:anchor="_Toc501539176" w:history="1">
        <w:r w:rsidR="008E1F33" w:rsidRPr="00FF1C8F">
          <w:rPr>
            <w:rStyle w:val="Hyperlink"/>
            <w:noProof/>
          </w:rPr>
          <w:t>4.5.2</w:t>
        </w:r>
        <w:r w:rsidR="008E1F33">
          <w:rPr>
            <w:rFonts w:asciiTheme="minorHAnsi" w:eastAsiaTheme="minorEastAsia" w:hAnsiTheme="minorHAnsi" w:cstheme="minorBidi"/>
            <w:noProof/>
            <w:sz w:val="22"/>
            <w:szCs w:val="22"/>
            <w:lang w:eastAsia="en-AU"/>
          </w:rPr>
          <w:tab/>
        </w:r>
        <w:r w:rsidR="008E1F33" w:rsidRPr="00FF1C8F">
          <w:rPr>
            <w:rStyle w:val="Hyperlink"/>
            <w:noProof/>
          </w:rPr>
          <w:t>Non-LRD activities and costs</w:t>
        </w:r>
        <w:r w:rsidR="008E1F33">
          <w:rPr>
            <w:noProof/>
            <w:webHidden/>
          </w:rPr>
          <w:tab/>
        </w:r>
        <w:r w:rsidR="008E1F33">
          <w:rPr>
            <w:noProof/>
            <w:webHidden/>
          </w:rPr>
          <w:fldChar w:fldCharType="begin"/>
        </w:r>
        <w:r w:rsidR="008E1F33">
          <w:rPr>
            <w:noProof/>
            <w:webHidden/>
          </w:rPr>
          <w:instrText xml:space="preserve"> PAGEREF _Toc501539176 \h </w:instrText>
        </w:r>
        <w:r w:rsidR="008E1F33">
          <w:rPr>
            <w:noProof/>
            <w:webHidden/>
          </w:rPr>
        </w:r>
        <w:r w:rsidR="008E1F33">
          <w:rPr>
            <w:noProof/>
            <w:webHidden/>
          </w:rPr>
          <w:fldChar w:fldCharType="separate"/>
        </w:r>
        <w:r w:rsidR="00526B9F">
          <w:rPr>
            <w:noProof/>
            <w:webHidden/>
          </w:rPr>
          <w:t>47</w:t>
        </w:r>
        <w:r w:rsidR="008E1F33">
          <w:rPr>
            <w:noProof/>
            <w:webHidden/>
          </w:rPr>
          <w:fldChar w:fldCharType="end"/>
        </w:r>
      </w:hyperlink>
    </w:p>
    <w:p w14:paraId="55E1E7C8" w14:textId="77777777" w:rsidR="008E1F33" w:rsidRDefault="00AD3A43">
      <w:pPr>
        <w:pStyle w:val="TOC2"/>
        <w:rPr>
          <w:rFonts w:asciiTheme="minorHAnsi" w:eastAsiaTheme="minorEastAsia" w:hAnsiTheme="minorHAnsi" w:cstheme="minorBidi"/>
          <w:sz w:val="22"/>
          <w:szCs w:val="22"/>
        </w:rPr>
      </w:pPr>
      <w:hyperlink w:anchor="_Toc501539177" w:history="1">
        <w:r w:rsidR="008E1F33" w:rsidRPr="00FF1C8F">
          <w:rPr>
            <w:rStyle w:val="Hyperlink"/>
          </w:rPr>
          <w:t>4.6</w:t>
        </w:r>
        <w:r w:rsidR="008E1F33">
          <w:rPr>
            <w:rFonts w:asciiTheme="minorHAnsi" w:eastAsiaTheme="minorEastAsia" w:hAnsiTheme="minorHAnsi" w:cstheme="minorBidi"/>
            <w:sz w:val="22"/>
            <w:szCs w:val="22"/>
          </w:rPr>
          <w:tab/>
        </w:r>
        <w:r w:rsidR="008E1F33" w:rsidRPr="00FF1C8F">
          <w:rPr>
            <w:rStyle w:val="Hyperlink"/>
          </w:rPr>
          <w:t>Efficiency of the cost base</w:t>
        </w:r>
        <w:r w:rsidR="008E1F33">
          <w:rPr>
            <w:webHidden/>
          </w:rPr>
          <w:tab/>
        </w:r>
        <w:r w:rsidR="008E1F33">
          <w:rPr>
            <w:webHidden/>
          </w:rPr>
          <w:fldChar w:fldCharType="begin"/>
        </w:r>
        <w:r w:rsidR="008E1F33">
          <w:rPr>
            <w:webHidden/>
          </w:rPr>
          <w:instrText xml:space="preserve"> PAGEREF _Toc501539177 \h </w:instrText>
        </w:r>
        <w:r w:rsidR="008E1F33">
          <w:rPr>
            <w:webHidden/>
          </w:rPr>
        </w:r>
        <w:r w:rsidR="008E1F33">
          <w:rPr>
            <w:webHidden/>
          </w:rPr>
          <w:fldChar w:fldCharType="separate"/>
        </w:r>
        <w:r w:rsidR="00526B9F">
          <w:rPr>
            <w:webHidden/>
          </w:rPr>
          <w:t>49</w:t>
        </w:r>
        <w:r w:rsidR="008E1F33">
          <w:rPr>
            <w:webHidden/>
          </w:rPr>
          <w:fldChar w:fldCharType="end"/>
        </w:r>
      </w:hyperlink>
    </w:p>
    <w:p w14:paraId="5685D64C" w14:textId="77777777" w:rsidR="008E1F33" w:rsidRDefault="00AD3A43">
      <w:pPr>
        <w:pStyle w:val="TOC3"/>
        <w:rPr>
          <w:rFonts w:asciiTheme="minorHAnsi" w:eastAsiaTheme="minorEastAsia" w:hAnsiTheme="minorHAnsi" w:cstheme="minorBidi"/>
          <w:noProof/>
          <w:sz w:val="22"/>
          <w:szCs w:val="22"/>
          <w:lang w:eastAsia="en-AU"/>
        </w:rPr>
      </w:pPr>
      <w:hyperlink w:anchor="_Toc501539178" w:history="1">
        <w:r w:rsidR="008E1F33" w:rsidRPr="00FF1C8F">
          <w:rPr>
            <w:rStyle w:val="Hyperlink"/>
            <w:noProof/>
          </w:rPr>
          <w:t>4.6.1</w:t>
        </w:r>
        <w:r w:rsidR="008E1F33">
          <w:rPr>
            <w:rFonts w:asciiTheme="minorHAnsi" w:eastAsiaTheme="minorEastAsia" w:hAnsiTheme="minorHAnsi" w:cstheme="minorBidi"/>
            <w:noProof/>
            <w:sz w:val="22"/>
            <w:szCs w:val="22"/>
            <w:lang w:eastAsia="en-AU"/>
          </w:rPr>
          <w:tab/>
        </w:r>
        <w:r w:rsidR="008E1F33" w:rsidRPr="00FF1C8F">
          <w:rPr>
            <w:rStyle w:val="Hyperlink"/>
            <w:noProof/>
          </w:rPr>
          <w:t>Efficiency improvements over the life of the 2008 Regulations</w:t>
        </w:r>
        <w:r w:rsidR="008E1F33">
          <w:rPr>
            <w:noProof/>
            <w:webHidden/>
          </w:rPr>
          <w:tab/>
        </w:r>
        <w:r w:rsidR="008E1F33">
          <w:rPr>
            <w:noProof/>
            <w:webHidden/>
          </w:rPr>
          <w:fldChar w:fldCharType="begin"/>
        </w:r>
        <w:r w:rsidR="008E1F33">
          <w:rPr>
            <w:noProof/>
            <w:webHidden/>
          </w:rPr>
          <w:instrText xml:space="preserve"> PAGEREF _Toc501539178 \h </w:instrText>
        </w:r>
        <w:r w:rsidR="008E1F33">
          <w:rPr>
            <w:noProof/>
            <w:webHidden/>
          </w:rPr>
        </w:r>
        <w:r w:rsidR="008E1F33">
          <w:rPr>
            <w:noProof/>
            <w:webHidden/>
          </w:rPr>
          <w:fldChar w:fldCharType="separate"/>
        </w:r>
        <w:r w:rsidR="00526B9F">
          <w:rPr>
            <w:noProof/>
            <w:webHidden/>
          </w:rPr>
          <w:t>50</w:t>
        </w:r>
        <w:r w:rsidR="008E1F33">
          <w:rPr>
            <w:noProof/>
            <w:webHidden/>
          </w:rPr>
          <w:fldChar w:fldCharType="end"/>
        </w:r>
      </w:hyperlink>
    </w:p>
    <w:p w14:paraId="677AF800" w14:textId="77777777" w:rsidR="008E1F33" w:rsidRDefault="00AD3A43">
      <w:pPr>
        <w:pStyle w:val="TOC2"/>
        <w:rPr>
          <w:rFonts w:asciiTheme="minorHAnsi" w:eastAsiaTheme="minorEastAsia" w:hAnsiTheme="minorHAnsi" w:cstheme="minorBidi"/>
          <w:sz w:val="22"/>
          <w:szCs w:val="22"/>
        </w:rPr>
      </w:pPr>
      <w:hyperlink w:anchor="_Toc501539179" w:history="1">
        <w:r w:rsidR="008E1F33" w:rsidRPr="00FF1C8F">
          <w:rPr>
            <w:rStyle w:val="Hyperlink"/>
          </w:rPr>
          <w:t>4.7</w:t>
        </w:r>
        <w:r w:rsidR="008E1F33">
          <w:rPr>
            <w:rFonts w:asciiTheme="minorHAnsi" w:eastAsiaTheme="minorEastAsia" w:hAnsiTheme="minorHAnsi" w:cstheme="minorBidi"/>
            <w:sz w:val="22"/>
            <w:szCs w:val="22"/>
          </w:rPr>
          <w:tab/>
        </w:r>
        <w:r w:rsidR="008E1F33" w:rsidRPr="00FF1C8F">
          <w:rPr>
            <w:rStyle w:val="Hyperlink"/>
          </w:rPr>
          <w:t>Fee-related strategic options and assessment</w:t>
        </w:r>
        <w:r w:rsidR="008E1F33">
          <w:rPr>
            <w:webHidden/>
          </w:rPr>
          <w:tab/>
        </w:r>
        <w:r w:rsidR="008E1F33">
          <w:rPr>
            <w:webHidden/>
          </w:rPr>
          <w:fldChar w:fldCharType="begin"/>
        </w:r>
        <w:r w:rsidR="008E1F33">
          <w:rPr>
            <w:webHidden/>
          </w:rPr>
          <w:instrText xml:space="preserve"> PAGEREF _Toc501539179 \h </w:instrText>
        </w:r>
        <w:r w:rsidR="008E1F33">
          <w:rPr>
            <w:webHidden/>
          </w:rPr>
        </w:r>
        <w:r w:rsidR="008E1F33">
          <w:rPr>
            <w:webHidden/>
          </w:rPr>
          <w:fldChar w:fldCharType="separate"/>
        </w:r>
        <w:r w:rsidR="00526B9F">
          <w:rPr>
            <w:webHidden/>
          </w:rPr>
          <w:t>52</w:t>
        </w:r>
        <w:r w:rsidR="008E1F33">
          <w:rPr>
            <w:webHidden/>
          </w:rPr>
          <w:fldChar w:fldCharType="end"/>
        </w:r>
      </w:hyperlink>
    </w:p>
    <w:p w14:paraId="73890265" w14:textId="77777777" w:rsidR="008E1F33" w:rsidRDefault="00AD3A43">
      <w:pPr>
        <w:pStyle w:val="TOC3"/>
        <w:rPr>
          <w:rFonts w:asciiTheme="minorHAnsi" w:eastAsiaTheme="minorEastAsia" w:hAnsiTheme="minorHAnsi" w:cstheme="minorBidi"/>
          <w:noProof/>
          <w:sz w:val="22"/>
          <w:szCs w:val="22"/>
          <w:lang w:eastAsia="en-AU"/>
        </w:rPr>
      </w:pPr>
      <w:hyperlink w:anchor="_Toc501539180" w:history="1">
        <w:r w:rsidR="008E1F33" w:rsidRPr="00FF1C8F">
          <w:rPr>
            <w:rStyle w:val="Hyperlink"/>
            <w:noProof/>
          </w:rPr>
          <w:t>4.7.1</w:t>
        </w:r>
        <w:r w:rsidR="008E1F33">
          <w:rPr>
            <w:rFonts w:asciiTheme="minorHAnsi" w:eastAsiaTheme="minorEastAsia" w:hAnsiTheme="minorHAnsi" w:cstheme="minorBidi"/>
            <w:noProof/>
            <w:sz w:val="22"/>
            <w:szCs w:val="22"/>
            <w:lang w:eastAsia="en-AU"/>
          </w:rPr>
          <w:tab/>
        </w:r>
        <w:r w:rsidR="008E1F33" w:rsidRPr="00FF1C8F">
          <w:rPr>
            <w:rStyle w:val="Hyperlink"/>
            <w:noProof/>
          </w:rPr>
          <w:t>Assessment approach</w:t>
        </w:r>
        <w:r w:rsidR="008E1F33">
          <w:rPr>
            <w:noProof/>
            <w:webHidden/>
          </w:rPr>
          <w:tab/>
        </w:r>
        <w:r w:rsidR="008E1F33">
          <w:rPr>
            <w:noProof/>
            <w:webHidden/>
          </w:rPr>
          <w:fldChar w:fldCharType="begin"/>
        </w:r>
        <w:r w:rsidR="008E1F33">
          <w:rPr>
            <w:noProof/>
            <w:webHidden/>
          </w:rPr>
          <w:instrText xml:space="preserve"> PAGEREF _Toc501539180 \h </w:instrText>
        </w:r>
        <w:r w:rsidR="008E1F33">
          <w:rPr>
            <w:noProof/>
            <w:webHidden/>
          </w:rPr>
        </w:r>
        <w:r w:rsidR="008E1F33">
          <w:rPr>
            <w:noProof/>
            <w:webHidden/>
          </w:rPr>
          <w:fldChar w:fldCharType="separate"/>
        </w:r>
        <w:r w:rsidR="00526B9F">
          <w:rPr>
            <w:noProof/>
            <w:webHidden/>
          </w:rPr>
          <w:t>53</w:t>
        </w:r>
        <w:r w:rsidR="008E1F33">
          <w:rPr>
            <w:noProof/>
            <w:webHidden/>
          </w:rPr>
          <w:fldChar w:fldCharType="end"/>
        </w:r>
      </w:hyperlink>
    </w:p>
    <w:p w14:paraId="6A2DDA32" w14:textId="77777777" w:rsidR="008E1F33" w:rsidRDefault="00AD3A43">
      <w:pPr>
        <w:pStyle w:val="TOC3"/>
        <w:rPr>
          <w:rFonts w:asciiTheme="minorHAnsi" w:eastAsiaTheme="minorEastAsia" w:hAnsiTheme="minorHAnsi" w:cstheme="minorBidi"/>
          <w:noProof/>
          <w:sz w:val="22"/>
          <w:szCs w:val="22"/>
          <w:lang w:eastAsia="en-AU"/>
        </w:rPr>
      </w:pPr>
      <w:hyperlink w:anchor="_Toc501539181" w:history="1">
        <w:r w:rsidR="008E1F33" w:rsidRPr="00FF1C8F">
          <w:rPr>
            <w:rStyle w:val="Hyperlink"/>
            <w:noProof/>
          </w:rPr>
          <w:t>4.7.2</w:t>
        </w:r>
        <w:r w:rsidR="008E1F33">
          <w:rPr>
            <w:rFonts w:asciiTheme="minorHAnsi" w:eastAsiaTheme="minorEastAsia" w:hAnsiTheme="minorHAnsi" w:cstheme="minorBidi"/>
            <w:noProof/>
            <w:sz w:val="22"/>
            <w:szCs w:val="22"/>
            <w:lang w:eastAsia="en-AU"/>
          </w:rPr>
          <w:tab/>
        </w:r>
        <w:r w:rsidR="008E1F33" w:rsidRPr="00FF1C8F">
          <w:rPr>
            <w:rStyle w:val="Hyperlink"/>
            <w:noProof/>
          </w:rPr>
          <w:t>Fee-Option 1 – Full cost recovery</w:t>
        </w:r>
        <w:r w:rsidR="008E1F33">
          <w:rPr>
            <w:noProof/>
            <w:webHidden/>
          </w:rPr>
          <w:tab/>
        </w:r>
        <w:r w:rsidR="008E1F33">
          <w:rPr>
            <w:noProof/>
            <w:webHidden/>
          </w:rPr>
          <w:fldChar w:fldCharType="begin"/>
        </w:r>
        <w:r w:rsidR="008E1F33">
          <w:rPr>
            <w:noProof/>
            <w:webHidden/>
          </w:rPr>
          <w:instrText xml:space="preserve"> PAGEREF _Toc501539181 \h </w:instrText>
        </w:r>
        <w:r w:rsidR="008E1F33">
          <w:rPr>
            <w:noProof/>
            <w:webHidden/>
          </w:rPr>
        </w:r>
        <w:r w:rsidR="008E1F33">
          <w:rPr>
            <w:noProof/>
            <w:webHidden/>
          </w:rPr>
          <w:fldChar w:fldCharType="separate"/>
        </w:r>
        <w:r w:rsidR="00526B9F">
          <w:rPr>
            <w:noProof/>
            <w:webHidden/>
          </w:rPr>
          <w:t>54</w:t>
        </w:r>
        <w:r w:rsidR="008E1F33">
          <w:rPr>
            <w:noProof/>
            <w:webHidden/>
          </w:rPr>
          <w:fldChar w:fldCharType="end"/>
        </w:r>
      </w:hyperlink>
    </w:p>
    <w:p w14:paraId="7C189397" w14:textId="77777777" w:rsidR="008E1F33" w:rsidRDefault="00AD3A43">
      <w:pPr>
        <w:pStyle w:val="TOC3"/>
        <w:rPr>
          <w:rFonts w:asciiTheme="minorHAnsi" w:eastAsiaTheme="minorEastAsia" w:hAnsiTheme="minorHAnsi" w:cstheme="minorBidi"/>
          <w:noProof/>
          <w:sz w:val="22"/>
          <w:szCs w:val="22"/>
          <w:lang w:eastAsia="en-AU"/>
        </w:rPr>
      </w:pPr>
      <w:hyperlink w:anchor="_Toc501539182" w:history="1">
        <w:r w:rsidR="008E1F33" w:rsidRPr="00FF1C8F">
          <w:rPr>
            <w:rStyle w:val="Hyperlink"/>
            <w:noProof/>
          </w:rPr>
          <w:t>4.7.3</w:t>
        </w:r>
        <w:r w:rsidR="008E1F33">
          <w:rPr>
            <w:rFonts w:asciiTheme="minorHAnsi" w:eastAsiaTheme="minorEastAsia" w:hAnsiTheme="minorHAnsi" w:cstheme="minorBidi"/>
            <w:noProof/>
            <w:sz w:val="22"/>
            <w:szCs w:val="22"/>
            <w:lang w:eastAsia="en-AU"/>
          </w:rPr>
          <w:tab/>
        </w:r>
        <w:r w:rsidR="008E1F33" w:rsidRPr="00FF1C8F">
          <w:rPr>
            <w:rStyle w:val="Hyperlink"/>
            <w:noProof/>
          </w:rPr>
          <w:t>Fee Option 2 – Partial cost recovery</w:t>
        </w:r>
        <w:r w:rsidR="008E1F33">
          <w:rPr>
            <w:noProof/>
            <w:webHidden/>
          </w:rPr>
          <w:tab/>
        </w:r>
        <w:r w:rsidR="008E1F33">
          <w:rPr>
            <w:noProof/>
            <w:webHidden/>
          </w:rPr>
          <w:fldChar w:fldCharType="begin"/>
        </w:r>
        <w:r w:rsidR="008E1F33">
          <w:rPr>
            <w:noProof/>
            <w:webHidden/>
          </w:rPr>
          <w:instrText xml:space="preserve"> PAGEREF _Toc501539182 \h </w:instrText>
        </w:r>
        <w:r w:rsidR="008E1F33">
          <w:rPr>
            <w:noProof/>
            <w:webHidden/>
          </w:rPr>
        </w:r>
        <w:r w:rsidR="008E1F33">
          <w:rPr>
            <w:noProof/>
            <w:webHidden/>
          </w:rPr>
          <w:fldChar w:fldCharType="separate"/>
        </w:r>
        <w:r w:rsidR="00526B9F">
          <w:rPr>
            <w:noProof/>
            <w:webHidden/>
          </w:rPr>
          <w:t>57</w:t>
        </w:r>
        <w:r w:rsidR="008E1F33">
          <w:rPr>
            <w:noProof/>
            <w:webHidden/>
          </w:rPr>
          <w:fldChar w:fldCharType="end"/>
        </w:r>
      </w:hyperlink>
    </w:p>
    <w:p w14:paraId="55E3097B" w14:textId="77777777" w:rsidR="008E1F33" w:rsidRDefault="00AD3A43">
      <w:pPr>
        <w:pStyle w:val="TOC1"/>
        <w:rPr>
          <w:rFonts w:asciiTheme="minorHAnsi" w:eastAsiaTheme="minorEastAsia" w:hAnsiTheme="minorHAnsi" w:cstheme="minorBidi"/>
          <w:b w:val="0"/>
          <w:sz w:val="22"/>
          <w:szCs w:val="22"/>
        </w:rPr>
      </w:pPr>
      <w:hyperlink w:anchor="_Toc501539183" w:history="1">
        <w:r w:rsidR="008E1F33" w:rsidRPr="00FF1C8F">
          <w:rPr>
            <w:rStyle w:val="Hyperlink"/>
          </w:rPr>
          <w:t>5</w:t>
        </w:r>
        <w:r w:rsidR="008E1F33">
          <w:rPr>
            <w:rFonts w:asciiTheme="minorHAnsi" w:eastAsiaTheme="minorEastAsia" w:hAnsiTheme="minorHAnsi" w:cstheme="minorBidi"/>
            <w:b w:val="0"/>
            <w:sz w:val="22"/>
            <w:szCs w:val="22"/>
          </w:rPr>
          <w:tab/>
        </w:r>
        <w:r w:rsidR="008E1F33" w:rsidRPr="00FF1C8F">
          <w:rPr>
            <w:rStyle w:val="Hyperlink"/>
          </w:rPr>
          <w:t>Small business and competition impacts</w:t>
        </w:r>
        <w:r w:rsidR="008E1F33">
          <w:rPr>
            <w:webHidden/>
          </w:rPr>
          <w:tab/>
        </w:r>
        <w:r w:rsidR="008E1F33">
          <w:rPr>
            <w:webHidden/>
          </w:rPr>
          <w:fldChar w:fldCharType="begin"/>
        </w:r>
        <w:r w:rsidR="008E1F33">
          <w:rPr>
            <w:webHidden/>
          </w:rPr>
          <w:instrText xml:space="preserve"> PAGEREF _Toc501539183 \h </w:instrText>
        </w:r>
        <w:r w:rsidR="008E1F33">
          <w:rPr>
            <w:webHidden/>
          </w:rPr>
        </w:r>
        <w:r w:rsidR="008E1F33">
          <w:rPr>
            <w:webHidden/>
          </w:rPr>
          <w:fldChar w:fldCharType="separate"/>
        </w:r>
        <w:r w:rsidR="00526B9F">
          <w:rPr>
            <w:webHidden/>
          </w:rPr>
          <w:t>71</w:t>
        </w:r>
        <w:r w:rsidR="008E1F33">
          <w:rPr>
            <w:webHidden/>
          </w:rPr>
          <w:fldChar w:fldCharType="end"/>
        </w:r>
      </w:hyperlink>
    </w:p>
    <w:p w14:paraId="01EF96D1" w14:textId="77777777" w:rsidR="008E1F33" w:rsidRDefault="00AD3A43">
      <w:pPr>
        <w:pStyle w:val="TOC1"/>
        <w:rPr>
          <w:rFonts w:asciiTheme="minorHAnsi" w:eastAsiaTheme="minorEastAsia" w:hAnsiTheme="minorHAnsi" w:cstheme="minorBidi"/>
          <w:b w:val="0"/>
          <w:sz w:val="22"/>
          <w:szCs w:val="22"/>
        </w:rPr>
      </w:pPr>
      <w:hyperlink w:anchor="_Toc501539184" w:history="1">
        <w:r w:rsidR="008E1F33" w:rsidRPr="00FF1C8F">
          <w:rPr>
            <w:rStyle w:val="Hyperlink"/>
          </w:rPr>
          <w:t>6</w:t>
        </w:r>
        <w:r w:rsidR="008E1F33">
          <w:rPr>
            <w:rFonts w:asciiTheme="minorHAnsi" w:eastAsiaTheme="minorEastAsia" w:hAnsiTheme="minorHAnsi" w:cstheme="minorBidi"/>
            <w:b w:val="0"/>
            <w:sz w:val="22"/>
            <w:szCs w:val="22"/>
          </w:rPr>
          <w:tab/>
        </w:r>
        <w:r w:rsidR="008E1F33" w:rsidRPr="00FF1C8F">
          <w:rPr>
            <w:rStyle w:val="Hyperlink"/>
          </w:rPr>
          <w:t>Implementation</w:t>
        </w:r>
        <w:r w:rsidR="008E1F33">
          <w:rPr>
            <w:webHidden/>
          </w:rPr>
          <w:tab/>
        </w:r>
        <w:r w:rsidR="008E1F33">
          <w:rPr>
            <w:webHidden/>
          </w:rPr>
          <w:fldChar w:fldCharType="begin"/>
        </w:r>
        <w:r w:rsidR="008E1F33">
          <w:rPr>
            <w:webHidden/>
          </w:rPr>
          <w:instrText xml:space="preserve"> PAGEREF _Toc501539184 \h </w:instrText>
        </w:r>
        <w:r w:rsidR="008E1F33">
          <w:rPr>
            <w:webHidden/>
          </w:rPr>
        </w:r>
        <w:r w:rsidR="008E1F33">
          <w:rPr>
            <w:webHidden/>
          </w:rPr>
          <w:fldChar w:fldCharType="separate"/>
        </w:r>
        <w:r w:rsidR="00526B9F">
          <w:rPr>
            <w:webHidden/>
          </w:rPr>
          <w:t>72</w:t>
        </w:r>
        <w:r w:rsidR="008E1F33">
          <w:rPr>
            <w:webHidden/>
          </w:rPr>
          <w:fldChar w:fldCharType="end"/>
        </w:r>
      </w:hyperlink>
    </w:p>
    <w:p w14:paraId="5F798F50" w14:textId="77777777" w:rsidR="008E1F33" w:rsidRDefault="00AD3A43">
      <w:pPr>
        <w:pStyle w:val="TOC1"/>
        <w:rPr>
          <w:rFonts w:asciiTheme="minorHAnsi" w:eastAsiaTheme="minorEastAsia" w:hAnsiTheme="minorHAnsi" w:cstheme="minorBidi"/>
          <w:b w:val="0"/>
          <w:sz w:val="22"/>
          <w:szCs w:val="22"/>
        </w:rPr>
      </w:pPr>
      <w:hyperlink w:anchor="_Toc501539185" w:history="1">
        <w:r w:rsidR="008E1F33" w:rsidRPr="00FF1C8F">
          <w:rPr>
            <w:rStyle w:val="Hyperlink"/>
          </w:rPr>
          <w:t>7</w:t>
        </w:r>
        <w:r w:rsidR="008E1F33">
          <w:rPr>
            <w:rFonts w:asciiTheme="minorHAnsi" w:eastAsiaTheme="minorEastAsia" w:hAnsiTheme="minorHAnsi" w:cstheme="minorBidi"/>
            <w:b w:val="0"/>
            <w:sz w:val="22"/>
            <w:szCs w:val="22"/>
          </w:rPr>
          <w:tab/>
        </w:r>
        <w:r w:rsidR="008E1F33" w:rsidRPr="00FF1C8F">
          <w:rPr>
            <w:rStyle w:val="Hyperlink"/>
          </w:rPr>
          <w:t>Evaluation</w:t>
        </w:r>
        <w:r w:rsidR="008E1F33">
          <w:rPr>
            <w:webHidden/>
          </w:rPr>
          <w:tab/>
        </w:r>
        <w:r w:rsidR="008E1F33">
          <w:rPr>
            <w:webHidden/>
          </w:rPr>
          <w:fldChar w:fldCharType="begin"/>
        </w:r>
        <w:r w:rsidR="008E1F33">
          <w:rPr>
            <w:webHidden/>
          </w:rPr>
          <w:instrText xml:space="preserve"> PAGEREF _Toc501539185 \h </w:instrText>
        </w:r>
        <w:r w:rsidR="008E1F33">
          <w:rPr>
            <w:webHidden/>
          </w:rPr>
        </w:r>
        <w:r w:rsidR="008E1F33">
          <w:rPr>
            <w:webHidden/>
          </w:rPr>
          <w:fldChar w:fldCharType="separate"/>
        </w:r>
        <w:r w:rsidR="00526B9F">
          <w:rPr>
            <w:webHidden/>
          </w:rPr>
          <w:t>73</w:t>
        </w:r>
        <w:r w:rsidR="008E1F33">
          <w:rPr>
            <w:webHidden/>
          </w:rPr>
          <w:fldChar w:fldCharType="end"/>
        </w:r>
      </w:hyperlink>
    </w:p>
    <w:p w14:paraId="557BE387" w14:textId="77777777" w:rsidR="008E1F33" w:rsidRDefault="00AD3A43">
      <w:pPr>
        <w:pStyle w:val="TOC1"/>
        <w:rPr>
          <w:rFonts w:asciiTheme="minorHAnsi" w:eastAsiaTheme="minorEastAsia" w:hAnsiTheme="minorHAnsi" w:cstheme="minorBidi"/>
          <w:b w:val="0"/>
          <w:sz w:val="22"/>
          <w:szCs w:val="22"/>
        </w:rPr>
      </w:pPr>
      <w:hyperlink w:anchor="_Toc501539186" w:history="1">
        <w:r w:rsidR="008E1F33" w:rsidRPr="00FF1C8F">
          <w:rPr>
            <w:rStyle w:val="Hyperlink"/>
          </w:rPr>
          <w:t>8</w:t>
        </w:r>
        <w:r w:rsidR="008E1F33">
          <w:rPr>
            <w:rFonts w:asciiTheme="minorHAnsi" w:eastAsiaTheme="minorEastAsia" w:hAnsiTheme="minorHAnsi" w:cstheme="minorBidi"/>
            <w:b w:val="0"/>
            <w:sz w:val="22"/>
            <w:szCs w:val="22"/>
          </w:rPr>
          <w:tab/>
        </w:r>
        <w:r w:rsidR="008E1F33" w:rsidRPr="00FF1C8F">
          <w:rPr>
            <w:rStyle w:val="Hyperlink"/>
          </w:rPr>
          <w:t>Consultation</w:t>
        </w:r>
        <w:r w:rsidR="008E1F33">
          <w:rPr>
            <w:webHidden/>
          </w:rPr>
          <w:tab/>
        </w:r>
        <w:r w:rsidR="008E1F33">
          <w:rPr>
            <w:webHidden/>
          </w:rPr>
          <w:fldChar w:fldCharType="begin"/>
        </w:r>
        <w:r w:rsidR="008E1F33">
          <w:rPr>
            <w:webHidden/>
          </w:rPr>
          <w:instrText xml:space="preserve"> PAGEREF _Toc501539186 \h </w:instrText>
        </w:r>
        <w:r w:rsidR="008E1F33">
          <w:rPr>
            <w:webHidden/>
          </w:rPr>
        </w:r>
        <w:r w:rsidR="008E1F33">
          <w:rPr>
            <w:webHidden/>
          </w:rPr>
          <w:fldChar w:fldCharType="separate"/>
        </w:r>
        <w:r w:rsidR="00526B9F">
          <w:rPr>
            <w:webHidden/>
          </w:rPr>
          <w:t>74</w:t>
        </w:r>
        <w:r w:rsidR="008E1F33">
          <w:rPr>
            <w:webHidden/>
          </w:rPr>
          <w:fldChar w:fldCharType="end"/>
        </w:r>
      </w:hyperlink>
    </w:p>
    <w:p w14:paraId="0CD49F5E" w14:textId="77777777" w:rsidR="008E1F33" w:rsidRDefault="00AD3A43">
      <w:pPr>
        <w:pStyle w:val="TOC2"/>
        <w:rPr>
          <w:rFonts w:asciiTheme="minorHAnsi" w:eastAsiaTheme="minorEastAsia" w:hAnsiTheme="minorHAnsi" w:cstheme="minorBidi"/>
          <w:sz w:val="22"/>
          <w:szCs w:val="22"/>
        </w:rPr>
      </w:pPr>
      <w:hyperlink w:anchor="_Toc501539187" w:history="1">
        <w:r w:rsidR="008E1F33" w:rsidRPr="00FF1C8F">
          <w:rPr>
            <w:rStyle w:val="Hyperlink"/>
          </w:rPr>
          <w:t>8.1</w:t>
        </w:r>
        <w:r w:rsidR="008E1F33">
          <w:rPr>
            <w:rFonts w:asciiTheme="minorHAnsi" w:eastAsiaTheme="minorEastAsia" w:hAnsiTheme="minorHAnsi" w:cstheme="minorBidi"/>
            <w:sz w:val="22"/>
            <w:szCs w:val="22"/>
          </w:rPr>
          <w:tab/>
        </w:r>
        <w:r w:rsidR="008E1F33" w:rsidRPr="00FF1C8F">
          <w:rPr>
            <w:rStyle w:val="Hyperlink"/>
          </w:rPr>
          <w:t>Consultation Background</w:t>
        </w:r>
        <w:r w:rsidR="008E1F33">
          <w:rPr>
            <w:webHidden/>
          </w:rPr>
          <w:tab/>
        </w:r>
        <w:r w:rsidR="008E1F33">
          <w:rPr>
            <w:webHidden/>
          </w:rPr>
          <w:fldChar w:fldCharType="begin"/>
        </w:r>
        <w:r w:rsidR="008E1F33">
          <w:rPr>
            <w:webHidden/>
          </w:rPr>
          <w:instrText xml:space="preserve"> PAGEREF _Toc501539187 \h </w:instrText>
        </w:r>
        <w:r w:rsidR="008E1F33">
          <w:rPr>
            <w:webHidden/>
          </w:rPr>
        </w:r>
        <w:r w:rsidR="008E1F33">
          <w:rPr>
            <w:webHidden/>
          </w:rPr>
          <w:fldChar w:fldCharType="separate"/>
        </w:r>
        <w:r w:rsidR="00526B9F">
          <w:rPr>
            <w:webHidden/>
          </w:rPr>
          <w:t>74</w:t>
        </w:r>
        <w:r w:rsidR="008E1F33">
          <w:rPr>
            <w:webHidden/>
          </w:rPr>
          <w:fldChar w:fldCharType="end"/>
        </w:r>
      </w:hyperlink>
    </w:p>
    <w:p w14:paraId="53F28D26" w14:textId="77777777" w:rsidR="008E1F33" w:rsidRDefault="00AD3A43">
      <w:pPr>
        <w:pStyle w:val="TOC2"/>
        <w:rPr>
          <w:rFonts w:asciiTheme="minorHAnsi" w:eastAsiaTheme="minorEastAsia" w:hAnsiTheme="minorHAnsi" w:cstheme="minorBidi"/>
          <w:sz w:val="22"/>
          <w:szCs w:val="22"/>
        </w:rPr>
      </w:pPr>
      <w:hyperlink w:anchor="_Toc501539188" w:history="1">
        <w:r w:rsidR="008E1F33" w:rsidRPr="00FF1C8F">
          <w:rPr>
            <w:rStyle w:val="Hyperlink"/>
          </w:rPr>
          <w:t>8.2</w:t>
        </w:r>
        <w:r w:rsidR="008E1F33">
          <w:rPr>
            <w:rFonts w:asciiTheme="minorHAnsi" w:eastAsiaTheme="minorEastAsia" w:hAnsiTheme="minorHAnsi" w:cstheme="minorBidi"/>
            <w:sz w:val="22"/>
            <w:szCs w:val="22"/>
          </w:rPr>
          <w:tab/>
        </w:r>
        <w:r w:rsidR="008E1F33" w:rsidRPr="00FF1C8F">
          <w:rPr>
            <w:rStyle w:val="Hyperlink"/>
          </w:rPr>
          <w:t>Key messages from consultations</w:t>
        </w:r>
        <w:r w:rsidR="008E1F33">
          <w:rPr>
            <w:webHidden/>
          </w:rPr>
          <w:tab/>
        </w:r>
        <w:r w:rsidR="008E1F33">
          <w:rPr>
            <w:webHidden/>
          </w:rPr>
          <w:fldChar w:fldCharType="begin"/>
        </w:r>
        <w:r w:rsidR="008E1F33">
          <w:rPr>
            <w:webHidden/>
          </w:rPr>
          <w:instrText xml:space="preserve"> PAGEREF _Toc501539188 \h </w:instrText>
        </w:r>
        <w:r w:rsidR="008E1F33">
          <w:rPr>
            <w:webHidden/>
          </w:rPr>
        </w:r>
        <w:r w:rsidR="008E1F33">
          <w:rPr>
            <w:webHidden/>
          </w:rPr>
          <w:fldChar w:fldCharType="separate"/>
        </w:r>
        <w:r w:rsidR="00526B9F">
          <w:rPr>
            <w:webHidden/>
          </w:rPr>
          <w:t>75</w:t>
        </w:r>
        <w:r w:rsidR="008E1F33">
          <w:rPr>
            <w:webHidden/>
          </w:rPr>
          <w:fldChar w:fldCharType="end"/>
        </w:r>
      </w:hyperlink>
    </w:p>
    <w:p w14:paraId="1B1DC6E5" w14:textId="77777777" w:rsidR="008E1F33" w:rsidRDefault="00AD3A43">
      <w:pPr>
        <w:pStyle w:val="TOC2"/>
        <w:rPr>
          <w:rFonts w:asciiTheme="minorHAnsi" w:eastAsiaTheme="minorEastAsia" w:hAnsiTheme="minorHAnsi" w:cstheme="minorBidi"/>
          <w:sz w:val="22"/>
          <w:szCs w:val="22"/>
        </w:rPr>
      </w:pPr>
      <w:hyperlink w:anchor="_Toc501539189" w:history="1">
        <w:r w:rsidR="008E1F33" w:rsidRPr="00FF1C8F">
          <w:rPr>
            <w:rStyle w:val="Hyperlink"/>
          </w:rPr>
          <w:t>8.3</w:t>
        </w:r>
        <w:r w:rsidR="008E1F33">
          <w:rPr>
            <w:rFonts w:asciiTheme="minorHAnsi" w:eastAsiaTheme="minorEastAsia" w:hAnsiTheme="minorHAnsi" w:cstheme="minorBidi"/>
            <w:sz w:val="22"/>
            <w:szCs w:val="22"/>
          </w:rPr>
          <w:tab/>
        </w:r>
        <w:r w:rsidR="008E1F33" w:rsidRPr="00FF1C8F">
          <w:rPr>
            <w:rStyle w:val="Hyperlink"/>
          </w:rPr>
          <w:t>Options or ideas for changes to the Regulations suggested during consultation</w:t>
        </w:r>
        <w:r w:rsidR="008E1F33">
          <w:rPr>
            <w:webHidden/>
          </w:rPr>
          <w:tab/>
        </w:r>
        <w:r w:rsidR="008E1F33">
          <w:rPr>
            <w:webHidden/>
          </w:rPr>
          <w:fldChar w:fldCharType="begin"/>
        </w:r>
        <w:r w:rsidR="008E1F33">
          <w:rPr>
            <w:webHidden/>
          </w:rPr>
          <w:instrText xml:space="preserve"> PAGEREF _Toc501539189 \h </w:instrText>
        </w:r>
        <w:r w:rsidR="008E1F33">
          <w:rPr>
            <w:webHidden/>
          </w:rPr>
        </w:r>
        <w:r w:rsidR="008E1F33">
          <w:rPr>
            <w:webHidden/>
          </w:rPr>
          <w:fldChar w:fldCharType="separate"/>
        </w:r>
        <w:r w:rsidR="00526B9F">
          <w:rPr>
            <w:webHidden/>
          </w:rPr>
          <w:t>76</w:t>
        </w:r>
        <w:r w:rsidR="008E1F33">
          <w:rPr>
            <w:webHidden/>
          </w:rPr>
          <w:fldChar w:fldCharType="end"/>
        </w:r>
      </w:hyperlink>
    </w:p>
    <w:p w14:paraId="6063FBBB" w14:textId="77777777" w:rsidR="008E1F33" w:rsidRDefault="00AD3A43">
      <w:pPr>
        <w:pStyle w:val="TOC3"/>
        <w:rPr>
          <w:rFonts w:asciiTheme="minorHAnsi" w:eastAsiaTheme="minorEastAsia" w:hAnsiTheme="minorHAnsi" w:cstheme="minorBidi"/>
          <w:noProof/>
          <w:sz w:val="22"/>
          <w:szCs w:val="22"/>
          <w:lang w:eastAsia="en-AU"/>
        </w:rPr>
      </w:pPr>
      <w:hyperlink w:anchor="_Toc501539190" w:history="1">
        <w:r w:rsidR="008E1F33" w:rsidRPr="00FF1C8F">
          <w:rPr>
            <w:rStyle w:val="Hyperlink"/>
            <w:noProof/>
          </w:rPr>
          <w:t>8.3.1</w:t>
        </w:r>
        <w:r w:rsidR="008E1F33">
          <w:rPr>
            <w:rFonts w:asciiTheme="minorHAnsi" w:eastAsiaTheme="minorEastAsia" w:hAnsiTheme="minorHAnsi" w:cstheme="minorBidi"/>
            <w:noProof/>
            <w:sz w:val="22"/>
            <w:szCs w:val="22"/>
            <w:lang w:eastAsia="en-AU"/>
          </w:rPr>
          <w:tab/>
        </w:r>
        <w:r w:rsidR="008E1F33" w:rsidRPr="00FF1C8F">
          <w:rPr>
            <w:rStyle w:val="Hyperlink"/>
            <w:noProof/>
          </w:rPr>
          <w:t>Prescribing additional bodies representing shooting organisations to nominate members of the Firearms Appeals Committee</w:t>
        </w:r>
        <w:r w:rsidR="008E1F33">
          <w:rPr>
            <w:noProof/>
            <w:webHidden/>
          </w:rPr>
          <w:tab/>
        </w:r>
        <w:r w:rsidR="008E1F33">
          <w:rPr>
            <w:noProof/>
            <w:webHidden/>
          </w:rPr>
          <w:fldChar w:fldCharType="begin"/>
        </w:r>
        <w:r w:rsidR="008E1F33">
          <w:rPr>
            <w:noProof/>
            <w:webHidden/>
          </w:rPr>
          <w:instrText xml:space="preserve"> PAGEREF _Toc501539190 \h </w:instrText>
        </w:r>
        <w:r w:rsidR="008E1F33">
          <w:rPr>
            <w:noProof/>
            <w:webHidden/>
          </w:rPr>
        </w:r>
        <w:r w:rsidR="008E1F33">
          <w:rPr>
            <w:noProof/>
            <w:webHidden/>
          </w:rPr>
          <w:fldChar w:fldCharType="separate"/>
        </w:r>
        <w:r w:rsidR="00526B9F">
          <w:rPr>
            <w:noProof/>
            <w:webHidden/>
          </w:rPr>
          <w:t>76</w:t>
        </w:r>
        <w:r w:rsidR="008E1F33">
          <w:rPr>
            <w:noProof/>
            <w:webHidden/>
          </w:rPr>
          <w:fldChar w:fldCharType="end"/>
        </w:r>
      </w:hyperlink>
    </w:p>
    <w:p w14:paraId="76BD2C24" w14:textId="77777777" w:rsidR="008E1F33" w:rsidRDefault="00AD3A43">
      <w:pPr>
        <w:pStyle w:val="TOC3"/>
        <w:rPr>
          <w:rFonts w:asciiTheme="minorHAnsi" w:eastAsiaTheme="minorEastAsia" w:hAnsiTheme="minorHAnsi" w:cstheme="minorBidi"/>
          <w:noProof/>
          <w:sz w:val="22"/>
          <w:szCs w:val="22"/>
          <w:lang w:eastAsia="en-AU"/>
        </w:rPr>
      </w:pPr>
      <w:hyperlink w:anchor="_Toc501539191" w:history="1">
        <w:r w:rsidR="008E1F33" w:rsidRPr="00FF1C8F">
          <w:rPr>
            <w:rStyle w:val="Hyperlink"/>
            <w:noProof/>
          </w:rPr>
          <w:t>8.3.2</w:t>
        </w:r>
        <w:r w:rsidR="008E1F33">
          <w:rPr>
            <w:rFonts w:asciiTheme="minorHAnsi" w:eastAsiaTheme="minorEastAsia" w:hAnsiTheme="minorHAnsi" w:cstheme="minorBidi"/>
            <w:noProof/>
            <w:sz w:val="22"/>
            <w:szCs w:val="22"/>
            <w:lang w:eastAsia="en-AU"/>
          </w:rPr>
          <w:tab/>
        </w:r>
        <w:r w:rsidR="008E1F33" w:rsidRPr="00FF1C8F">
          <w:rPr>
            <w:rStyle w:val="Hyperlink"/>
            <w:noProof/>
          </w:rPr>
          <w:t>Amending regulations applying to suppression of pest animals on primary production land to take into account the direction of fire</w:t>
        </w:r>
        <w:r w:rsidR="008E1F33">
          <w:rPr>
            <w:noProof/>
            <w:webHidden/>
          </w:rPr>
          <w:tab/>
        </w:r>
        <w:r w:rsidR="008E1F33">
          <w:rPr>
            <w:noProof/>
            <w:webHidden/>
          </w:rPr>
          <w:fldChar w:fldCharType="begin"/>
        </w:r>
        <w:r w:rsidR="008E1F33">
          <w:rPr>
            <w:noProof/>
            <w:webHidden/>
          </w:rPr>
          <w:instrText xml:space="preserve"> PAGEREF _Toc501539191 \h </w:instrText>
        </w:r>
        <w:r w:rsidR="008E1F33">
          <w:rPr>
            <w:noProof/>
            <w:webHidden/>
          </w:rPr>
        </w:r>
        <w:r w:rsidR="008E1F33">
          <w:rPr>
            <w:noProof/>
            <w:webHidden/>
          </w:rPr>
          <w:fldChar w:fldCharType="separate"/>
        </w:r>
        <w:r w:rsidR="00526B9F">
          <w:rPr>
            <w:noProof/>
            <w:webHidden/>
          </w:rPr>
          <w:t>76</w:t>
        </w:r>
        <w:r w:rsidR="008E1F33">
          <w:rPr>
            <w:noProof/>
            <w:webHidden/>
          </w:rPr>
          <w:fldChar w:fldCharType="end"/>
        </w:r>
      </w:hyperlink>
    </w:p>
    <w:p w14:paraId="525360E8" w14:textId="77777777" w:rsidR="008E1F33" w:rsidRDefault="00AD3A43">
      <w:pPr>
        <w:pStyle w:val="TOC3"/>
        <w:rPr>
          <w:rFonts w:asciiTheme="minorHAnsi" w:eastAsiaTheme="minorEastAsia" w:hAnsiTheme="minorHAnsi" w:cstheme="minorBidi"/>
          <w:noProof/>
          <w:sz w:val="22"/>
          <w:szCs w:val="22"/>
          <w:lang w:eastAsia="en-AU"/>
        </w:rPr>
      </w:pPr>
      <w:hyperlink w:anchor="_Toc501539192" w:history="1">
        <w:r w:rsidR="008E1F33" w:rsidRPr="00FF1C8F">
          <w:rPr>
            <w:rStyle w:val="Hyperlink"/>
            <w:noProof/>
          </w:rPr>
          <w:t>8.3.3</w:t>
        </w:r>
        <w:r w:rsidR="008E1F33">
          <w:rPr>
            <w:rFonts w:asciiTheme="minorHAnsi" w:eastAsiaTheme="minorEastAsia" w:hAnsiTheme="minorHAnsi" w:cstheme="minorBidi"/>
            <w:noProof/>
            <w:sz w:val="22"/>
            <w:szCs w:val="22"/>
            <w:lang w:eastAsia="en-AU"/>
          </w:rPr>
          <w:tab/>
        </w:r>
        <w:r w:rsidR="008E1F33" w:rsidRPr="00FF1C8F">
          <w:rPr>
            <w:rStyle w:val="Hyperlink"/>
            <w:noProof/>
          </w:rPr>
          <w:t>Waive firearms licence fees for firearm safety instructors</w:t>
        </w:r>
        <w:r w:rsidR="008E1F33">
          <w:rPr>
            <w:noProof/>
            <w:webHidden/>
          </w:rPr>
          <w:tab/>
        </w:r>
        <w:r w:rsidR="008E1F33">
          <w:rPr>
            <w:noProof/>
            <w:webHidden/>
          </w:rPr>
          <w:fldChar w:fldCharType="begin"/>
        </w:r>
        <w:r w:rsidR="008E1F33">
          <w:rPr>
            <w:noProof/>
            <w:webHidden/>
          </w:rPr>
          <w:instrText xml:space="preserve"> PAGEREF _Toc501539192 \h </w:instrText>
        </w:r>
        <w:r w:rsidR="008E1F33">
          <w:rPr>
            <w:noProof/>
            <w:webHidden/>
          </w:rPr>
        </w:r>
        <w:r w:rsidR="008E1F33">
          <w:rPr>
            <w:noProof/>
            <w:webHidden/>
          </w:rPr>
          <w:fldChar w:fldCharType="separate"/>
        </w:r>
        <w:r w:rsidR="00526B9F">
          <w:rPr>
            <w:noProof/>
            <w:webHidden/>
          </w:rPr>
          <w:t>76</w:t>
        </w:r>
        <w:r w:rsidR="008E1F33">
          <w:rPr>
            <w:noProof/>
            <w:webHidden/>
          </w:rPr>
          <w:fldChar w:fldCharType="end"/>
        </w:r>
      </w:hyperlink>
    </w:p>
    <w:p w14:paraId="63B9799F" w14:textId="77777777" w:rsidR="008E1F33" w:rsidRDefault="00AD3A43">
      <w:pPr>
        <w:pStyle w:val="TOC3"/>
        <w:rPr>
          <w:rFonts w:asciiTheme="minorHAnsi" w:eastAsiaTheme="minorEastAsia" w:hAnsiTheme="minorHAnsi" w:cstheme="minorBidi"/>
          <w:noProof/>
          <w:sz w:val="22"/>
          <w:szCs w:val="22"/>
          <w:lang w:eastAsia="en-AU"/>
        </w:rPr>
      </w:pPr>
      <w:hyperlink w:anchor="_Toc501539193" w:history="1">
        <w:r w:rsidR="008E1F33" w:rsidRPr="00FF1C8F">
          <w:rPr>
            <w:rStyle w:val="Hyperlink"/>
            <w:noProof/>
          </w:rPr>
          <w:t>8.3.4</w:t>
        </w:r>
        <w:r w:rsidR="008E1F33">
          <w:rPr>
            <w:rFonts w:asciiTheme="minorHAnsi" w:eastAsiaTheme="minorEastAsia" w:hAnsiTheme="minorHAnsi" w:cstheme="minorBidi"/>
            <w:noProof/>
            <w:sz w:val="22"/>
            <w:szCs w:val="22"/>
            <w:lang w:eastAsia="en-AU"/>
          </w:rPr>
          <w:tab/>
        </w:r>
        <w:r w:rsidR="008E1F33" w:rsidRPr="00FF1C8F">
          <w:rPr>
            <w:rStyle w:val="Hyperlink"/>
            <w:noProof/>
          </w:rPr>
          <w:t>Amending approved handgun target shooting club annual report form so that serial numbers need not be recorded</w:t>
        </w:r>
        <w:r w:rsidR="008E1F33">
          <w:rPr>
            <w:noProof/>
            <w:webHidden/>
          </w:rPr>
          <w:tab/>
        </w:r>
        <w:r w:rsidR="008E1F33">
          <w:rPr>
            <w:noProof/>
            <w:webHidden/>
          </w:rPr>
          <w:fldChar w:fldCharType="begin"/>
        </w:r>
        <w:r w:rsidR="008E1F33">
          <w:rPr>
            <w:noProof/>
            <w:webHidden/>
          </w:rPr>
          <w:instrText xml:space="preserve"> PAGEREF _Toc501539193 \h </w:instrText>
        </w:r>
        <w:r w:rsidR="008E1F33">
          <w:rPr>
            <w:noProof/>
            <w:webHidden/>
          </w:rPr>
        </w:r>
        <w:r w:rsidR="008E1F33">
          <w:rPr>
            <w:noProof/>
            <w:webHidden/>
          </w:rPr>
          <w:fldChar w:fldCharType="separate"/>
        </w:r>
        <w:r w:rsidR="00526B9F">
          <w:rPr>
            <w:noProof/>
            <w:webHidden/>
          </w:rPr>
          <w:t>77</w:t>
        </w:r>
        <w:r w:rsidR="008E1F33">
          <w:rPr>
            <w:noProof/>
            <w:webHidden/>
          </w:rPr>
          <w:fldChar w:fldCharType="end"/>
        </w:r>
      </w:hyperlink>
    </w:p>
    <w:p w14:paraId="5D7BC4B1" w14:textId="77777777" w:rsidR="008E1F33" w:rsidRDefault="00AD3A43">
      <w:pPr>
        <w:pStyle w:val="TOC3"/>
        <w:rPr>
          <w:rFonts w:asciiTheme="minorHAnsi" w:eastAsiaTheme="minorEastAsia" w:hAnsiTheme="minorHAnsi" w:cstheme="minorBidi"/>
          <w:noProof/>
          <w:sz w:val="22"/>
          <w:szCs w:val="22"/>
          <w:lang w:eastAsia="en-AU"/>
        </w:rPr>
      </w:pPr>
      <w:hyperlink w:anchor="_Toc501539194" w:history="1">
        <w:r w:rsidR="008E1F33" w:rsidRPr="00FF1C8F">
          <w:rPr>
            <w:rStyle w:val="Hyperlink"/>
            <w:noProof/>
          </w:rPr>
          <w:t>8.3.5</w:t>
        </w:r>
        <w:r w:rsidR="008E1F33">
          <w:rPr>
            <w:rFonts w:asciiTheme="minorHAnsi" w:eastAsiaTheme="minorEastAsia" w:hAnsiTheme="minorHAnsi" w:cstheme="minorBidi"/>
            <w:noProof/>
            <w:sz w:val="22"/>
            <w:szCs w:val="22"/>
            <w:lang w:eastAsia="en-AU"/>
          </w:rPr>
          <w:tab/>
        </w:r>
        <w:r w:rsidR="008E1F33" w:rsidRPr="00FF1C8F">
          <w:rPr>
            <w:rStyle w:val="Hyperlink"/>
            <w:noProof/>
          </w:rPr>
          <w:t>Providing a bulk/volume discount to bodies corporate applying for a very large number of permits to acquire at the same time</w:t>
        </w:r>
        <w:r w:rsidR="008E1F33">
          <w:rPr>
            <w:noProof/>
            <w:webHidden/>
          </w:rPr>
          <w:tab/>
        </w:r>
        <w:r w:rsidR="008E1F33">
          <w:rPr>
            <w:noProof/>
            <w:webHidden/>
          </w:rPr>
          <w:fldChar w:fldCharType="begin"/>
        </w:r>
        <w:r w:rsidR="008E1F33">
          <w:rPr>
            <w:noProof/>
            <w:webHidden/>
          </w:rPr>
          <w:instrText xml:space="preserve"> PAGEREF _Toc501539194 \h </w:instrText>
        </w:r>
        <w:r w:rsidR="008E1F33">
          <w:rPr>
            <w:noProof/>
            <w:webHidden/>
          </w:rPr>
        </w:r>
        <w:r w:rsidR="008E1F33">
          <w:rPr>
            <w:noProof/>
            <w:webHidden/>
          </w:rPr>
          <w:fldChar w:fldCharType="separate"/>
        </w:r>
        <w:r w:rsidR="00526B9F">
          <w:rPr>
            <w:noProof/>
            <w:webHidden/>
          </w:rPr>
          <w:t>77</w:t>
        </w:r>
        <w:r w:rsidR="008E1F33">
          <w:rPr>
            <w:noProof/>
            <w:webHidden/>
          </w:rPr>
          <w:fldChar w:fldCharType="end"/>
        </w:r>
      </w:hyperlink>
    </w:p>
    <w:p w14:paraId="7035A4C5" w14:textId="77777777" w:rsidR="008E1F33" w:rsidRDefault="00AD3A43">
      <w:pPr>
        <w:pStyle w:val="TOC3"/>
        <w:rPr>
          <w:rFonts w:asciiTheme="minorHAnsi" w:eastAsiaTheme="minorEastAsia" w:hAnsiTheme="minorHAnsi" w:cstheme="minorBidi"/>
          <w:noProof/>
          <w:sz w:val="22"/>
          <w:szCs w:val="22"/>
          <w:lang w:eastAsia="en-AU"/>
        </w:rPr>
      </w:pPr>
      <w:hyperlink w:anchor="_Toc501539195" w:history="1">
        <w:r w:rsidR="008E1F33" w:rsidRPr="00FF1C8F">
          <w:rPr>
            <w:rStyle w:val="Hyperlink"/>
            <w:noProof/>
          </w:rPr>
          <w:t>8.3.6</w:t>
        </w:r>
        <w:r w:rsidR="008E1F33">
          <w:rPr>
            <w:rFonts w:asciiTheme="minorHAnsi" w:eastAsiaTheme="minorEastAsia" w:hAnsiTheme="minorHAnsi" w:cstheme="minorBidi"/>
            <w:noProof/>
            <w:sz w:val="22"/>
            <w:szCs w:val="22"/>
            <w:lang w:eastAsia="en-AU"/>
          </w:rPr>
          <w:tab/>
        </w:r>
        <w:r w:rsidR="008E1F33" w:rsidRPr="00FF1C8F">
          <w:rPr>
            <w:rStyle w:val="Hyperlink"/>
            <w:noProof/>
          </w:rPr>
          <w:t>Amending the particulars required to be recorded in a firearms collectors register to remove the requirement to record from whom a firearm was acquired or to whom it was disposed of</w:t>
        </w:r>
        <w:r w:rsidR="008E1F33">
          <w:rPr>
            <w:noProof/>
            <w:webHidden/>
          </w:rPr>
          <w:tab/>
        </w:r>
        <w:r w:rsidR="008E1F33">
          <w:rPr>
            <w:noProof/>
            <w:webHidden/>
          </w:rPr>
          <w:fldChar w:fldCharType="begin"/>
        </w:r>
        <w:r w:rsidR="008E1F33">
          <w:rPr>
            <w:noProof/>
            <w:webHidden/>
          </w:rPr>
          <w:instrText xml:space="preserve"> PAGEREF _Toc501539195 \h </w:instrText>
        </w:r>
        <w:r w:rsidR="008E1F33">
          <w:rPr>
            <w:noProof/>
            <w:webHidden/>
          </w:rPr>
        </w:r>
        <w:r w:rsidR="008E1F33">
          <w:rPr>
            <w:noProof/>
            <w:webHidden/>
          </w:rPr>
          <w:fldChar w:fldCharType="separate"/>
        </w:r>
        <w:r w:rsidR="00526B9F">
          <w:rPr>
            <w:noProof/>
            <w:webHidden/>
          </w:rPr>
          <w:t>77</w:t>
        </w:r>
        <w:r w:rsidR="008E1F33">
          <w:rPr>
            <w:noProof/>
            <w:webHidden/>
          </w:rPr>
          <w:fldChar w:fldCharType="end"/>
        </w:r>
      </w:hyperlink>
    </w:p>
    <w:p w14:paraId="54FF1E0A" w14:textId="77777777" w:rsidR="008E1F33" w:rsidRDefault="00AD3A43">
      <w:pPr>
        <w:pStyle w:val="TOC2"/>
        <w:rPr>
          <w:rFonts w:asciiTheme="minorHAnsi" w:eastAsiaTheme="minorEastAsia" w:hAnsiTheme="minorHAnsi" w:cstheme="minorBidi"/>
          <w:sz w:val="22"/>
          <w:szCs w:val="22"/>
        </w:rPr>
      </w:pPr>
      <w:hyperlink w:anchor="_Toc501539196" w:history="1">
        <w:r w:rsidR="008E1F33" w:rsidRPr="00FF1C8F">
          <w:rPr>
            <w:rStyle w:val="Hyperlink"/>
          </w:rPr>
          <w:t>8.4</w:t>
        </w:r>
        <w:r w:rsidR="008E1F33">
          <w:rPr>
            <w:rFonts w:asciiTheme="minorHAnsi" w:eastAsiaTheme="minorEastAsia" w:hAnsiTheme="minorHAnsi" w:cstheme="minorBidi"/>
            <w:sz w:val="22"/>
            <w:szCs w:val="22"/>
          </w:rPr>
          <w:tab/>
        </w:r>
        <w:r w:rsidR="008E1F33" w:rsidRPr="00FF1C8F">
          <w:rPr>
            <w:rStyle w:val="Hyperlink"/>
          </w:rPr>
          <w:t>Suggestions for legislative change arising from consultation</w:t>
        </w:r>
        <w:r w:rsidR="008E1F33">
          <w:rPr>
            <w:webHidden/>
          </w:rPr>
          <w:tab/>
        </w:r>
        <w:r w:rsidR="008E1F33">
          <w:rPr>
            <w:webHidden/>
          </w:rPr>
          <w:fldChar w:fldCharType="begin"/>
        </w:r>
        <w:r w:rsidR="008E1F33">
          <w:rPr>
            <w:webHidden/>
          </w:rPr>
          <w:instrText xml:space="preserve"> PAGEREF _Toc501539196 \h </w:instrText>
        </w:r>
        <w:r w:rsidR="008E1F33">
          <w:rPr>
            <w:webHidden/>
          </w:rPr>
        </w:r>
        <w:r w:rsidR="008E1F33">
          <w:rPr>
            <w:webHidden/>
          </w:rPr>
          <w:fldChar w:fldCharType="separate"/>
        </w:r>
        <w:r w:rsidR="00526B9F">
          <w:rPr>
            <w:webHidden/>
          </w:rPr>
          <w:t>78</w:t>
        </w:r>
        <w:r w:rsidR="008E1F33">
          <w:rPr>
            <w:webHidden/>
          </w:rPr>
          <w:fldChar w:fldCharType="end"/>
        </w:r>
      </w:hyperlink>
    </w:p>
    <w:p w14:paraId="5A3044DE" w14:textId="77777777" w:rsidR="008E1F33" w:rsidRDefault="00AD3A43">
      <w:pPr>
        <w:pStyle w:val="TOC1"/>
        <w:tabs>
          <w:tab w:val="left" w:pos="2779"/>
        </w:tabs>
        <w:rPr>
          <w:rFonts w:asciiTheme="minorHAnsi" w:eastAsiaTheme="minorEastAsia" w:hAnsiTheme="minorHAnsi" w:cstheme="minorBidi"/>
          <w:b w:val="0"/>
          <w:sz w:val="22"/>
          <w:szCs w:val="22"/>
        </w:rPr>
      </w:pPr>
      <w:hyperlink w:anchor="_Toc501539197" w:history="1">
        <w:r w:rsidR="008E1F33" w:rsidRPr="00FF1C8F">
          <w:rPr>
            <w:rStyle w:val="Hyperlink"/>
          </w:rPr>
          <w:t>Appendix 1</w:t>
        </w:r>
        <w:r w:rsidR="008E1F33">
          <w:rPr>
            <w:rFonts w:asciiTheme="minorHAnsi" w:eastAsiaTheme="minorEastAsia" w:hAnsiTheme="minorHAnsi" w:cstheme="minorBidi"/>
            <w:b w:val="0"/>
            <w:sz w:val="22"/>
            <w:szCs w:val="22"/>
          </w:rPr>
          <w:tab/>
        </w:r>
        <w:r w:rsidR="008E1F33" w:rsidRPr="00FF1C8F">
          <w:rPr>
            <w:rStyle w:val="Hyperlink"/>
          </w:rPr>
          <w:t>Minor and machinery options considered</w:t>
        </w:r>
        <w:r w:rsidR="008E1F33">
          <w:rPr>
            <w:webHidden/>
          </w:rPr>
          <w:tab/>
        </w:r>
        <w:r w:rsidR="008E1F33">
          <w:rPr>
            <w:webHidden/>
          </w:rPr>
          <w:fldChar w:fldCharType="begin"/>
        </w:r>
        <w:r w:rsidR="008E1F33">
          <w:rPr>
            <w:webHidden/>
          </w:rPr>
          <w:instrText xml:space="preserve"> PAGEREF _Toc501539197 \h </w:instrText>
        </w:r>
        <w:r w:rsidR="008E1F33">
          <w:rPr>
            <w:webHidden/>
          </w:rPr>
        </w:r>
        <w:r w:rsidR="008E1F33">
          <w:rPr>
            <w:webHidden/>
          </w:rPr>
          <w:fldChar w:fldCharType="separate"/>
        </w:r>
        <w:r w:rsidR="00526B9F">
          <w:rPr>
            <w:webHidden/>
          </w:rPr>
          <w:t>79</w:t>
        </w:r>
        <w:r w:rsidR="008E1F33">
          <w:rPr>
            <w:webHidden/>
          </w:rPr>
          <w:fldChar w:fldCharType="end"/>
        </w:r>
      </w:hyperlink>
    </w:p>
    <w:p w14:paraId="08CECD52" w14:textId="77777777" w:rsidR="008E1F33" w:rsidRDefault="00AD3A43">
      <w:pPr>
        <w:pStyle w:val="TOC1"/>
        <w:tabs>
          <w:tab w:val="left" w:pos="2779"/>
        </w:tabs>
        <w:rPr>
          <w:rFonts w:asciiTheme="minorHAnsi" w:eastAsiaTheme="minorEastAsia" w:hAnsiTheme="minorHAnsi" w:cstheme="minorBidi"/>
          <w:b w:val="0"/>
          <w:sz w:val="22"/>
          <w:szCs w:val="22"/>
        </w:rPr>
      </w:pPr>
      <w:hyperlink w:anchor="_Toc501539198" w:history="1">
        <w:r w:rsidR="008E1F33" w:rsidRPr="00FF1C8F">
          <w:rPr>
            <w:rStyle w:val="Hyperlink"/>
          </w:rPr>
          <w:t>Appendix 2</w:t>
        </w:r>
        <w:r w:rsidR="008E1F33">
          <w:rPr>
            <w:rFonts w:asciiTheme="minorHAnsi" w:eastAsiaTheme="minorEastAsia" w:hAnsiTheme="minorHAnsi" w:cstheme="minorBidi"/>
            <w:b w:val="0"/>
            <w:sz w:val="22"/>
            <w:szCs w:val="22"/>
          </w:rPr>
          <w:tab/>
        </w:r>
        <w:r w:rsidR="008E1F33" w:rsidRPr="00FF1C8F">
          <w:rPr>
            <w:rStyle w:val="Hyperlink"/>
          </w:rPr>
          <w:t>Detailed fees table</w:t>
        </w:r>
        <w:r w:rsidR="008E1F33">
          <w:rPr>
            <w:webHidden/>
          </w:rPr>
          <w:tab/>
        </w:r>
        <w:r w:rsidR="008E1F33">
          <w:rPr>
            <w:webHidden/>
          </w:rPr>
          <w:fldChar w:fldCharType="begin"/>
        </w:r>
        <w:r w:rsidR="008E1F33">
          <w:rPr>
            <w:webHidden/>
          </w:rPr>
          <w:instrText xml:space="preserve"> PAGEREF _Toc501539198 \h </w:instrText>
        </w:r>
        <w:r w:rsidR="008E1F33">
          <w:rPr>
            <w:webHidden/>
          </w:rPr>
        </w:r>
        <w:r w:rsidR="008E1F33">
          <w:rPr>
            <w:webHidden/>
          </w:rPr>
          <w:fldChar w:fldCharType="separate"/>
        </w:r>
        <w:r w:rsidR="00526B9F">
          <w:rPr>
            <w:webHidden/>
          </w:rPr>
          <w:t>85</w:t>
        </w:r>
        <w:r w:rsidR="008E1F33">
          <w:rPr>
            <w:webHidden/>
          </w:rPr>
          <w:fldChar w:fldCharType="end"/>
        </w:r>
      </w:hyperlink>
    </w:p>
    <w:p w14:paraId="00A78002" w14:textId="77777777" w:rsidR="008E1F33" w:rsidRDefault="00AD3A43">
      <w:pPr>
        <w:pStyle w:val="TOC1"/>
        <w:tabs>
          <w:tab w:val="left" w:pos="2779"/>
        </w:tabs>
        <w:rPr>
          <w:rFonts w:asciiTheme="minorHAnsi" w:eastAsiaTheme="minorEastAsia" w:hAnsiTheme="minorHAnsi" w:cstheme="minorBidi"/>
          <w:b w:val="0"/>
          <w:sz w:val="22"/>
          <w:szCs w:val="22"/>
        </w:rPr>
      </w:pPr>
      <w:hyperlink w:anchor="_Toc501539199" w:history="1">
        <w:r w:rsidR="008E1F33" w:rsidRPr="00FF1C8F">
          <w:rPr>
            <w:rStyle w:val="Hyperlink"/>
          </w:rPr>
          <w:t>Appendix 3</w:t>
        </w:r>
        <w:r w:rsidR="008E1F33">
          <w:rPr>
            <w:rFonts w:asciiTheme="minorHAnsi" w:eastAsiaTheme="minorEastAsia" w:hAnsiTheme="minorHAnsi" w:cstheme="minorBidi"/>
            <w:b w:val="0"/>
            <w:sz w:val="22"/>
            <w:szCs w:val="22"/>
          </w:rPr>
          <w:tab/>
        </w:r>
        <w:r w:rsidR="008E1F33" w:rsidRPr="00FF1C8F">
          <w:rPr>
            <w:rStyle w:val="Hyperlink"/>
          </w:rPr>
          <w:t>Summary of activity-based costing</w:t>
        </w:r>
        <w:r w:rsidR="008E1F33">
          <w:rPr>
            <w:webHidden/>
          </w:rPr>
          <w:tab/>
        </w:r>
        <w:r w:rsidR="008E1F33">
          <w:rPr>
            <w:webHidden/>
          </w:rPr>
          <w:fldChar w:fldCharType="begin"/>
        </w:r>
        <w:r w:rsidR="008E1F33">
          <w:rPr>
            <w:webHidden/>
          </w:rPr>
          <w:instrText xml:space="preserve"> PAGEREF _Toc501539199 \h </w:instrText>
        </w:r>
        <w:r w:rsidR="008E1F33">
          <w:rPr>
            <w:webHidden/>
          </w:rPr>
        </w:r>
        <w:r w:rsidR="008E1F33">
          <w:rPr>
            <w:webHidden/>
          </w:rPr>
          <w:fldChar w:fldCharType="separate"/>
        </w:r>
        <w:r w:rsidR="00526B9F">
          <w:rPr>
            <w:webHidden/>
          </w:rPr>
          <w:t>89</w:t>
        </w:r>
        <w:r w:rsidR="008E1F33">
          <w:rPr>
            <w:webHidden/>
          </w:rPr>
          <w:fldChar w:fldCharType="end"/>
        </w:r>
      </w:hyperlink>
    </w:p>
    <w:p w14:paraId="136D97BE" w14:textId="77777777" w:rsidR="00243550" w:rsidRDefault="008D53B1" w:rsidP="008D53B1">
      <w:pPr>
        <w:pStyle w:val="BodyText"/>
      </w:pPr>
      <w:r w:rsidRPr="00044BF1">
        <w:fldChar w:fldCharType="end"/>
      </w:r>
    </w:p>
    <w:p w14:paraId="6E63197B" w14:textId="77777777" w:rsidR="00243550" w:rsidRDefault="00243550" w:rsidP="00243550">
      <w:pPr>
        <w:pStyle w:val="BodyText"/>
      </w:pPr>
      <w:r>
        <w:br w:type="page"/>
      </w:r>
    </w:p>
    <w:p w14:paraId="6AD56C22" w14:textId="77777777" w:rsidR="00243550" w:rsidRPr="00243550" w:rsidRDefault="00243550" w:rsidP="00243550">
      <w:pPr>
        <w:pStyle w:val="BodyText"/>
        <w:rPr>
          <w:rStyle w:val="BodyTextChar"/>
          <w:i/>
        </w:rPr>
      </w:pPr>
      <w:r w:rsidRPr="00243550">
        <w:rPr>
          <w:rStyle w:val="BodyTextChar"/>
          <w:i/>
        </w:rPr>
        <w:lastRenderedPageBreak/>
        <w:t xml:space="preserve">Disclaimer: This publication may be of assistance to you, but the State of Victoria and its employees do not guarantee that the publication is without flaw or is wholly appropriate for your particular purposes and therefore disclaims all liability for any error, loss or other consequence that may arise from you relying on any information in this publication. </w:t>
      </w:r>
    </w:p>
    <w:p w14:paraId="18A23649" w14:textId="77777777" w:rsidR="00052799" w:rsidRPr="00610D49" w:rsidRDefault="00D17970" w:rsidP="00243550">
      <w:pPr>
        <w:pStyle w:val="Heading1"/>
        <w:keepNext w:val="0"/>
      </w:pPr>
      <w:r>
        <w:br w:type="page"/>
      </w:r>
      <w:bookmarkStart w:id="7" w:name="_Toc497492978"/>
      <w:bookmarkStart w:id="8" w:name="_Toc500505443"/>
      <w:bookmarkStart w:id="9" w:name="_Toc501539138"/>
      <w:bookmarkStart w:id="10" w:name="_Toc58149986"/>
      <w:bookmarkStart w:id="11" w:name="_Ref171759389"/>
      <w:bookmarkStart w:id="12" w:name="_Toc373914669"/>
      <w:bookmarkStart w:id="13" w:name="_Toc41659991"/>
      <w:bookmarkEnd w:id="6"/>
      <w:r w:rsidR="00052799" w:rsidRPr="00610D49">
        <w:lastRenderedPageBreak/>
        <w:t>Executive Summary</w:t>
      </w:r>
      <w:bookmarkEnd w:id="7"/>
      <w:bookmarkEnd w:id="8"/>
      <w:bookmarkEnd w:id="9"/>
    </w:p>
    <w:p w14:paraId="22095195" w14:textId="77777777" w:rsidR="00052799" w:rsidRPr="00EA6C74" w:rsidRDefault="00052799" w:rsidP="00052799">
      <w:pPr>
        <w:pStyle w:val="BodyText"/>
      </w:pPr>
      <w:r w:rsidRPr="00F54164">
        <w:rPr>
          <w:szCs w:val="20"/>
        </w:rPr>
        <w:t>This Regulatory Impact Statement (RIS) has been prepared</w:t>
      </w:r>
      <w:r>
        <w:rPr>
          <w:szCs w:val="20"/>
        </w:rPr>
        <w:t>,</w:t>
      </w:r>
      <w:r w:rsidRPr="00F54164">
        <w:rPr>
          <w:szCs w:val="20"/>
        </w:rPr>
        <w:t xml:space="preserve"> with the assistance of KPMG</w:t>
      </w:r>
      <w:r>
        <w:rPr>
          <w:szCs w:val="20"/>
        </w:rPr>
        <w:t>,</w:t>
      </w:r>
      <w:r w:rsidRPr="00F54164">
        <w:rPr>
          <w:szCs w:val="20"/>
        </w:rPr>
        <w:t xml:space="preserve"> to fulfil the requirements of the </w:t>
      </w:r>
      <w:r w:rsidRPr="00A60C4C">
        <w:rPr>
          <w:i/>
          <w:szCs w:val="20"/>
        </w:rPr>
        <w:t>Subordinate Legislation Act</w:t>
      </w:r>
      <w:r w:rsidRPr="00D633FA">
        <w:rPr>
          <w:szCs w:val="20"/>
        </w:rPr>
        <w:t xml:space="preserve"> </w:t>
      </w:r>
      <w:r w:rsidRPr="007B47FC">
        <w:rPr>
          <w:i/>
          <w:szCs w:val="20"/>
        </w:rPr>
        <w:t>1994</w:t>
      </w:r>
      <w:r w:rsidRPr="00F54164">
        <w:rPr>
          <w:szCs w:val="20"/>
        </w:rPr>
        <w:t xml:space="preserve"> and to facilitate public consultation on the proposed </w:t>
      </w:r>
      <w:r w:rsidRPr="00052799">
        <w:rPr>
          <w:szCs w:val="20"/>
        </w:rPr>
        <w:t>Firearms Regulations</w:t>
      </w:r>
      <w:r w:rsidRPr="00F54164">
        <w:rPr>
          <w:szCs w:val="20"/>
        </w:rPr>
        <w:t xml:space="preserve"> 2018 (proposed regu</w:t>
      </w:r>
      <w:r w:rsidRPr="00EA6C74">
        <w:rPr>
          <w:szCs w:val="20"/>
        </w:rPr>
        <w:t>lations).</w:t>
      </w:r>
    </w:p>
    <w:p w14:paraId="5A8B8A68" w14:textId="77777777" w:rsidR="00052799" w:rsidRPr="00EA6C74" w:rsidRDefault="00052799" w:rsidP="00052799">
      <w:pPr>
        <w:pStyle w:val="BodyText"/>
      </w:pPr>
      <w:r w:rsidRPr="0067765C">
        <w:rPr>
          <w:szCs w:val="20"/>
        </w:rPr>
        <w:t xml:space="preserve">In accordance with the </w:t>
      </w:r>
      <w:r w:rsidRPr="007B47FC">
        <w:rPr>
          <w:i/>
          <w:szCs w:val="20"/>
        </w:rPr>
        <w:t xml:space="preserve">Victorian Guide to Regulation </w:t>
      </w:r>
      <w:r w:rsidRPr="00F54164">
        <w:rPr>
          <w:szCs w:val="20"/>
        </w:rPr>
        <w:t>(2016), the Victorian Government seeks to ensure that proposed regulations are well-targeted, effective and appropriate, and impose the lowest possible burden on Victorian businesses, individua</w:t>
      </w:r>
      <w:r w:rsidRPr="00EA6C74">
        <w:rPr>
          <w:szCs w:val="20"/>
        </w:rPr>
        <w:t>ls and the community.</w:t>
      </w:r>
    </w:p>
    <w:p w14:paraId="3649AA59" w14:textId="77777777" w:rsidR="00052799" w:rsidRPr="00090042" w:rsidRDefault="00052799" w:rsidP="00052799">
      <w:pPr>
        <w:pStyle w:val="BodyText"/>
      </w:pPr>
      <w:r w:rsidRPr="001F3D02">
        <w:rPr>
          <w:szCs w:val="20"/>
        </w:rPr>
        <w:t xml:space="preserve">A key function of the RIS process is to provide members of the public with the opportunity to comment on proposed regulations before they are finalised. Such public input provides valuable information and perspectives, and </w:t>
      </w:r>
      <w:r w:rsidRPr="00F420A2">
        <w:rPr>
          <w:szCs w:val="20"/>
        </w:rPr>
        <w:t>thus improves the overall quality of the regulations. An exposure draft of the proposed regulations is provided as an attachment to this RIS.</w:t>
      </w:r>
    </w:p>
    <w:p w14:paraId="4318E7C2" w14:textId="77777777" w:rsidR="00052799" w:rsidRPr="00FF11FA" w:rsidRDefault="00052799" w:rsidP="00052799">
      <w:pPr>
        <w:pStyle w:val="BodyText"/>
      </w:pPr>
      <w:r w:rsidRPr="00085B06">
        <w:rPr>
          <w:szCs w:val="20"/>
        </w:rPr>
        <w:t xml:space="preserve">Public comments and submissions are invited on the proposed regulations and in response to this RIS. </w:t>
      </w:r>
      <w:r w:rsidRPr="00077EBB">
        <w:rPr>
          <w:szCs w:val="20"/>
        </w:rPr>
        <w:t>All submissions will be treated as public documents.</w:t>
      </w:r>
      <w:r w:rsidRPr="00085B06">
        <w:rPr>
          <w:szCs w:val="20"/>
        </w:rPr>
        <w:t xml:space="preserve"> </w:t>
      </w:r>
    </w:p>
    <w:p w14:paraId="2D7FC5A2" w14:textId="4F668FB9" w:rsidR="00052799" w:rsidRPr="00D633FA" w:rsidRDefault="00052799" w:rsidP="00052799">
      <w:pPr>
        <w:pStyle w:val="BodyText"/>
      </w:pPr>
      <w:r w:rsidRPr="00FF11FA">
        <w:rPr>
          <w:szCs w:val="20"/>
        </w:rPr>
        <w:t xml:space="preserve">Written submissions should be provided to the </w:t>
      </w:r>
      <w:r w:rsidR="000514BF">
        <w:rPr>
          <w:szCs w:val="20"/>
        </w:rPr>
        <w:t>D</w:t>
      </w:r>
      <w:r w:rsidRPr="00FF11FA">
        <w:rPr>
          <w:szCs w:val="20"/>
        </w:rPr>
        <w:t xml:space="preserve">epartment by no later than 5.00pm AEST, 25 January 2017. Submissions can be uploaded through the Engage Victoria website at </w:t>
      </w:r>
      <w:hyperlink r:id="rId14" w:history="1">
        <w:r w:rsidR="0035748B" w:rsidRPr="0035748B">
          <w:rPr>
            <w:rStyle w:val="Hyperlink"/>
          </w:rPr>
          <w:t>www.engage.vic.gov.au/firearmsregulations</w:t>
        </w:r>
      </w:hyperlink>
      <w:r w:rsidRPr="00D633FA">
        <w:rPr>
          <w:szCs w:val="20"/>
        </w:rPr>
        <w:t xml:space="preserve"> or sent to:</w:t>
      </w:r>
    </w:p>
    <w:p w14:paraId="19CDAE9F" w14:textId="77777777" w:rsidR="00052799" w:rsidRPr="00D633FA" w:rsidRDefault="00052799" w:rsidP="00052799">
      <w:pPr>
        <w:ind w:left="794"/>
        <w:rPr>
          <w:sz w:val="20"/>
        </w:rPr>
      </w:pPr>
      <w:r w:rsidRPr="00D633FA">
        <w:rPr>
          <w:sz w:val="20"/>
        </w:rPr>
        <w:t>Firearms Regulation Review</w:t>
      </w:r>
      <w:r w:rsidRPr="00D633FA">
        <w:rPr>
          <w:sz w:val="20"/>
        </w:rPr>
        <w:br/>
        <w:t>Police Policy and Governance</w:t>
      </w:r>
      <w:r w:rsidRPr="00D633FA">
        <w:rPr>
          <w:sz w:val="20"/>
        </w:rPr>
        <w:br/>
        <w:t>Department of Justice and Regulation</w:t>
      </w:r>
      <w:r w:rsidRPr="00D633FA">
        <w:rPr>
          <w:sz w:val="20"/>
        </w:rPr>
        <w:br/>
        <w:t>GPO Box 4356</w:t>
      </w:r>
      <w:r w:rsidRPr="00D633FA">
        <w:rPr>
          <w:sz w:val="20"/>
        </w:rPr>
        <w:br/>
        <w:t>MELBOURNE  VIC  3001</w:t>
      </w:r>
    </w:p>
    <w:p w14:paraId="02B0CA47" w14:textId="3A91BCE8" w:rsidR="00052799" w:rsidRPr="00077EBB" w:rsidRDefault="00052799" w:rsidP="00052799">
      <w:pPr>
        <w:ind w:left="851"/>
        <w:rPr>
          <w:sz w:val="20"/>
        </w:rPr>
      </w:pPr>
      <w:r w:rsidRPr="00D633FA">
        <w:rPr>
          <w:sz w:val="20"/>
        </w:rPr>
        <w:t xml:space="preserve">or by email to: </w:t>
      </w:r>
      <w:r w:rsidRPr="0035748B">
        <w:rPr>
          <w:sz w:val="20"/>
        </w:rPr>
        <w:t>firearmsregulationreview@justice.vic.gov.au</w:t>
      </w:r>
      <w:r>
        <w:rPr>
          <w:sz w:val="20"/>
        </w:rPr>
        <w:br/>
      </w:r>
      <w:r>
        <w:rPr>
          <w:sz w:val="20"/>
        </w:rPr>
        <w:br/>
      </w:r>
      <w:r w:rsidRPr="00077EBB">
        <w:rPr>
          <w:sz w:val="20"/>
        </w:rPr>
        <w:t xml:space="preserve">All comments and submissions received by the due date will be considered </w:t>
      </w:r>
      <w:r>
        <w:rPr>
          <w:sz w:val="20"/>
        </w:rPr>
        <w:t>before</w:t>
      </w:r>
      <w:r w:rsidRPr="00077EBB">
        <w:rPr>
          <w:sz w:val="20"/>
        </w:rPr>
        <w:t xml:space="preserve"> the proposed regulations </w:t>
      </w:r>
      <w:r>
        <w:rPr>
          <w:sz w:val="20"/>
        </w:rPr>
        <w:t>are</w:t>
      </w:r>
      <w:r w:rsidRPr="00077EBB">
        <w:rPr>
          <w:sz w:val="20"/>
        </w:rPr>
        <w:t xml:space="preserve"> made.</w:t>
      </w:r>
    </w:p>
    <w:p w14:paraId="534CC854" w14:textId="77777777" w:rsidR="00052799" w:rsidRDefault="00052799" w:rsidP="00052799"/>
    <w:p w14:paraId="43AE23BF" w14:textId="77777777" w:rsidR="00052799" w:rsidRPr="001A0334" w:rsidRDefault="00052799" w:rsidP="00052799">
      <w:pPr>
        <w:pStyle w:val="Heading2"/>
      </w:pPr>
      <w:bookmarkStart w:id="14" w:name="_Toc500505444"/>
      <w:bookmarkStart w:id="15" w:name="_Toc501539139"/>
      <w:r w:rsidRPr="001A0334">
        <w:t>Legislative context</w:t>
      </w:r>
      <w:bookmarkEnd w:id="14"/>
      <w:bookmarkEnd w:id="15"/>
    </w:p>
    <w:p w14:paraId="0A9E3014" w14:textId="620AC249" w:rsidR="00052799" w:rsidRPr="00EA6C74" w:rsidRDefault="00052799" w:rsidP="00052799">
      <w:pPr>
        <w:pStyle w:val="BodyText"/>
      </w:pPr>
      <w:r w:rsidRPr="00EA6C74">
        <w:rPr>
          <w:szCs w:val="20"/>
        </w:rPr>
        <w:t xml:space="preserve">Firearms are regulated in Victoria by the </w:t>
      </w:r>
      <w:r w:rsidRPr="007B47FC">
        <w:rPr>
          <w:i/>
          <w:szCs w:val="20"/>
        </w:rPr>
        <w:t>Firearms Act 1996</w:t>
      </w:r>
      <w:r w:rsidRPr="00A60C4C">
        <w:rPr>
          <w:szCs w:val="20"/>
        </w:rPr>
        <w:t xml:space="preserve"> </w:t>
      </w:r>
      <w:r w:rsidRPr="00EA6C74">
        <w:rPr>
          <w:szCs w:val="20"/>
        </w:rPr>
        <w:t>(the Act). The Act gives effect to the principle that the possession, carriage, use, acquisition and disposal of firearms are conditional on the need to ensure public safety and peace.</w:t>
      </w:r>
      <w:r w:rsidRPr="00077EBB">
        <w:rPr>
          <w:vertAlign w:val="superscript"/>
        </w:rPr>
        <w:footnoteReference w:id="1"/>
      </w:r>
    </w:p>
    <w:p w14:paraId="71A73300" w14:textId="77777777" w:rsidR="00052799" w:rsidRPr="00F420A2" w:rsidRDefault="00052799" w:rsidP="00052799">
      <w:pPr>
        <w:pStyle w:val="BodyText"/>
      </w:pPr>
      <w:r w:rsidRPr="001F3D02">
        <w:rPr>
          <w:szCs w:val="20"/>
        </w:rPr>
        <w:t>The Firearms Regulations 2008 (the Regulations), which are made under the Act, are</w:t>
      </w:r>
      <w:r w:rsidRPr="00E51D04">
        <w:rPr>
          <w:szCs w:val="20"/>
        </w:rPr>
        <w:t xml:space="preserve"> due to expire on 8 April 2018. Among other matters, the Regulations prescribe:</w:t>
      </w:r>
    </w:p>
    <w:p w14:paraId="365C68A2" w14:textId="0C2F92F4" w:rsidR="00052799" w:rsidRDefault="00052799" w:rsidP="00052799">
      <w:pPr>
        <w:pStyle w:val="Bulletnormal"/>
        <w:tabs>
          <w:tab w:val="clear" w:pos="283"/>
        </w:tabs>
      </w:pPr>
      <w:r>
        <w:t>fees for the issue and renewal of licences and permits granted under the Act and for applications for review of deci</w:t>
      </w:r>
      <w:r w:rsidR="00AD7A4D">
        <w:t>sions of the Chief Commissioner</w:t>
      </w:r>
    </w:p>
    <w:p w14:paraId="1226DC68" w14:textId="77777777" w:rsidR="00052799" w:rsidRDefault="00052799" w:rsidP="00052799">
      <w:pPr>
        <w:pStyle w:val="Bulletnormal"/>
        <w:tabs>
          <w:tab w:val="clear" w:pos="283"/>
        </w:tabs>
      </w:pPr>
      <w:r>
        <w:t>devices that are excluded from the definition of ‘firearm’</w:t>
      </w:r>
    </w:p>
    <w:p w14:paraId="77E2352E" w14:textId="4772FB74" w:rsidR="00052799" w:rsidRDefault="00052799" w:rsidP="00052799">
      <w:pPr>
        <w:pStyle w:val="Bulletnormal"/>
        <w:tabs>
          <w:tab w:val="clear" w:pos="283"/>
        </w:tabs>
      </w:pPr>
      <w:r>
        <w:t>the particulars to be entered on firearm dea</w:t>
      </w:r>
      <w:r w:rsidR="00AD7A4D">
        <w:t>lers’ and collectors’ registers</w:t>
      </w:r>
    </w:p>
    <w:p w14:paraId="3C1F16C7" w14:textId="33665247" w:rsidR="00052799" w:rsidRDefault="00052799" w:rsidP="00052799">
      <w:pPr>
        <w:pStyle w:val="Bulletnormal"/>
        <w:tabs>
          <w:tab w:val="clear" w:pos="283"/>
        </w:tabs>
      </w:pPr>
      <w:r>
        <w:t>offences in respect of which infr</w:t>
      </w:r>
      <w:r w:rsidR="00AD7A4D">
        <w:t>ingement notices may be issued</w:t>
      </w:r>
    </w:p>
    <w:p w14:paraId="0FB9ADE2" w14:textId="0415F847" w:rsidR="00052799" w:rsidRDefault="00052799" w:rsidP="00052799">
      <w:pPr>
        <w:pStyle w:val="Bulletnormal"/>
        <w:tabs>
          <w:tab w:val="clear" w:pos="283"/>
        </w:tabs>
      </w:pPr>
      <w:r>
        <w:t>requirements for certain u</w:t>
      </w:r>
      <w:r w:rsidR="00AD7A4D">
        <w:t>ses of firearms on private land,</w:t>
      </w:r>
      <w:r>
        <w:t xml:space="preserve"> and</w:t>
      </w:r>
    </w:p>
    <w:p w14:paraId="6150658E" w14:textId="77777777" w:rsidR="00052799" w:rsidRDefault="00052799" w:rsidP="00052799">
      <w:pPr>
        <w:pStyle w:val="Bulletnormal"/>
        <w:tabs>
          <w:tab w:val="clear" w:pos="283"/>
        </w:tabs>
      </w:pPr>
      <w:r>
        <w:t xml:space="preserve">the manner in which searches without warrant may be conducted.  </w:t>
      </w:r>
    </w:p>
    <w:p w14:paraId="6454EA1A" w14:textId="4B4411A9" w:rsidR="00052799" w:rsidRDefault="00052799" w:rsidP="00052799">
      <w:pPr>
        <w:pStyle w:val="Body"/>
      </w:pPr>
      <w:r>
        <w:t>The Department is in the process of reviewing the Regulations. This process has included</w:t>
      </w:r>
      <w:r w:rsidR="000514BF">
        <w:t>:</w:t>
      </w:r>
      <w:r>
        <w:t xml:space="preserve"> </w:t>
      </w:r>
    </w:p>
    <w:p w14:paraId="28A5C867" w14:textId="59E261A1" w:rsidR="00052799" w:rsidRDefault="00052799" w:rsidP="00052799">
      <w:pPr>
        <w:pStyle w:val="Bulletnormal"/>
        <w:tabs>
          <w:tab w:val="clear" w:pos="283"/>
        </w:tabs>
      </w:pPr>
      <w:r>
        <w:t>considering the objectives and impact of the Regulations</w:t>
      </w:r>
      <w:r w:rsidR="00AD7A4D">
        <w:t>,</w:t>
      </w:r>
    </w:p>
    <w:p w14:paraId="7B05F2E7" w14:textId="77777777" w:rsidR="00052799" w:rsidRDefault="00052799" w:rsidP="00052799">
      <w:pPr>
        <w:pStyle w:val="Bulletnormal"/>
        <w:tabs>
          <w:tab w:val="clear" w:pos="283"/>
        </w:tabs>
      </w:pPr>
      <w:r>
        <w:t xml:space="preserve">consulting with key stakeholders in the industry and the regulator, Victoria Police, and </w:t>
      </w:r>
    </w:p>
    <w:p w14:paraId="2E447FCE" w14:textId="77777777" w:rsidR="00052799" w:rsidRDefault="00052799" w:rsidP="00052799">
      <w:pPr>
        <w:pStyle w:val="Bulletnormal"/>
        <w:tabs>
          <w:tab w:val="clear" w:pos="283"/>
        </w:tabs>
      </w:pPr>
      <w:r>
        <w:t xml:space="preserve">preparing a RIS for public comment. </w:t>
      </w:r>
    </w:p>
    <w:p w14:paraId="14E7CD4B" w14:textId="77777777" w:rsidR="00052799" w:rsidRDefault="00052799" w:rsidP="00052799">
      <w:pPr>
        <w:pStyle w:val="Body"/>
      </w:pPr>
      <w:r>
        <w:t xml:space="preserve">The Department has prepared an exposure draft of the proposed Firearms Regulations 2018 (the proposed Regulations) to accompany this RIS. </w:t>
      </w:r>
    </w:p>
    <w:p w14:paraId="1BBB665A" w14:textId="77777777" w:rsidR="00052799" w:rsidRPr="001A0334" w:rsidRDefault="00052799" w:rsidP="00052799">
      <w:pPr>
        <w:pStyle w:val="Heading2"/>
      </w:pPr>
      <w:bookmarkStart w:id="16" w:name="_Toc500505445"/>
      <w:bookmarkStart w:id="17" w:name="_Toc501539140"/>
      <w:r>
        <w:lastRenderedPageBreak/>
        <w:t>Uses and risks of firearms</w:t>
      </w:r>
      <w:bookmarkEnd w:id="16"/>
      <w:bookmarkEnd w:id="17"/>
    </w:p>
    <w:p w14:paraId="7F5255B2" w14:textId="51CC5CC9" w:rsidR="00052799" w:rsidRDefault="00052799" w:rsidP="00052799">
      <w:pPr>
        <w:pStyle w:val="Body"/>
      </w:pPr>
      <w:r>
        <w:t>Firearms are used in a number of occupational and recreational contexts, with many Victorians having</w:t>
      </w:r>
      <w:r w:rsidRPr="00CB7F55">
        <w:t xml:space="preserve"> a genuine reason to own </w:t>
      </w:r>
      <w:r w:rsidR="000514BF">
        <w:t>or</w:t>
      </w:r>
      <w:r w:rsidR="000514BF" w:rsidRPr="00CB7F55">
        <w:t xml:space="preserve"> </w:t>
      </w:r>
      <w:r w:rsidRPr="00CB7F55">
        <w:t xml:space="preserve">use </w:t>
      </w:r>
      <w:r>
        <w:t>them. A number of individuals require firearms for occupational reasons, including in the areas of law enforcement</w:t>
      </w:r>
      <w:r w:rsidRPr="001A0334">
        <w:t xml:space="preserve">, pest control, primary production, private security and prisons. </w:t>
      </w:r>
      <w:r w:rsidRPr="00610D49">
        <w:t>Other groups derive recreational benefits from the ownership and use of firearms, including those who engage in recreational hunting, collecting, or sport/target shooting</w:t>
      </w:r>
      <w:r w:rsidRPr="001A0334">
        <w:t>.</w:t>
      </w:r>
      <w:r>
        <w:t xml:space="preserve"> </w:t>
      </w:r>
    </w:p>
    <w:p w14:paraId="14AE870D" w14:textId="77777777" w:rsidR="00052799" w:rsidRDefault="00052799" w:rsidP="00052799">
      <w:pPr>
        <w:pStyle w:val="Body"/>
      </w:pPr>
      <w:r w:rsidRPr="001A0334">
        <w:t>Due to the inhere</w:t>
      </w:r>
      <w:r>
        <w:t>nt characteristics of firearms,</w:t>
      </w:r>
      <w:r w:rsidRPr="001A0334">
        <w:t xml:space="preserve"> they can give rise to a risk of harm to their owners and to the community</w:t>
      </w:r>
      <w:r>
        <w:t>. A</w:t>
      </w:r>
      <w:r w:rsidRPr="001A0334">
        <w:t xml:space="preserve"> firearm used in an unsafe manner can result in unintended injury, or intentional self-harm. Firearms can also be used unlawfully, </w:t>
      </w:r>
      <w:r>
        <w:t xml:space="preserve">for </w:t>
      </w:r>
      <w:r w:rsidRPr="001A0334">
        <w:t>instance</w:t>
      </w:r>
      <w:r>
        <w:t xml:space="preserve"> to aid</w:t>
      </w:r>
      <w:r w:rsidRPr="001A0334">
        <w:t xml:space="preserve"> </w:t>
      </w:r>
      <w:r>
        <w:t>in the commission of an offence, in a way that causes harm, injury or death.</w:t>
      </w:r>
    </w:p>
    <w:p w14:paraId="067FBB18" w14:textId="77777777" w:rsidR="00052799" w:rsidRDefault="00052799" w:rsidP="00052799">
      <w:pPr>
        <w:pStyle w:val="Body"/>
      </w:pPr>
      <w:r>
        <w:t xml:space="preserve">Although the evidence indicates that the vast majority of </w:t>
      </w:r>
      <w:r w:rsidRPr="001A0334">
        <w:t>licensed firearm users in Victoria comply with their responsibilities under the Act, and do not engage in unsafe or criminal activity</w:t>
      </w:r>
      <w:r>
        <w:t xml:space="preserve">, </w:t>
      </w:r>
      <w:r w:rsidRPr="001A0334">
        <w:t>the risk of harm inherent in firearms justifies regulation to ensure that appropriate controls are placed on who can access them and the circumstances in which they are acquired and used</w:t>
      </w:r>
      <w:r>
        <w:t xml:space="preserve">. </w:t>
      </w:r>
    </w:p>
    <w:p w14:paraId="6D393220" w14:textId="77777777" w:rsidR="00052799" w:rsidRDefault="00052799" w:rsidP="00052799">
      <w:pPr>
        <w:pStyle w:val="Body"/>
      </w:pPr>
      <w:r w:rsidRPr="00610D49">
        <w:t>The risk of illegal or unsafe use, accidents, theft, or other ways in which firearms might bring harm to the community is what the regulatory scheme for firearms, and the regulatory activity undertaken by Victoria Police</w:t>
      </w:r>
      <w:r>
        <w:t>, in particular its Licensing and Regulation Division</w:t>
      </w:r>
      <w:r w:rsidRPr="00610D49">
        <w:t>, is intended to mitigate</w:t>
      </w:r>
      <w:r>
        <w:t>. Further, as t</w:t>
      </w:r>
      <w:r w:rsidRPr="00CB7F55">
        <w:t>he diversion of legally held firearms into the illicit firearms market is a key concern</w:t>
      </w:r>
      <w:r>
        <w:t xml:space="preserve"> for the community, </w:t>
      </w:r>
      <w:r w:rsidRPr="00CB7F55">
        <w:t>limiting this diversion is one of the core objectives of the Act</w:t>
      </w:r>
      <w:r>
        <w:t xml:space="preserve"> and the Regulations.</w:t>
      </w:r>
    </w:p>
    <w:p w14:paraId="4644EE7C" w14:textId="77777777" w:rsidR="00052799" w:rsidRPr="00CB7F55" w:rsidRDefault="00052799" w:rsidP="00052799">
      <w:pPr>
        <w:pStyle w:val="Heading2"/>
      </w:pPr>
      <w:bookmarkStart w:id="18" w:name="_Toc500505446"/>
      <w:bookmarkStart w:id="19" w:name="_Toc501539141"/>
      <w:r w:rsidRPr="00CB7F55">
        <w:t>Scope of the regulated community</w:t>
      </w:r>
      <w:bookmarkEnd w:id="18"/>
      <w:bookmarkEnd w:id="19"/>
    </w:p>
    <w:p w14:paraId="5D7DE46F" w14:textId="17FCFD78" w:rsidR="00052799" w:rsidRDefault="00052799" w:rsidP="00052799">
      <w:pPr>
        <w:pStyle w:val="Body"/>
      </w:pPr>
      <w:r w:rsidRPr="00CB7F55">
        <w:t xml:space="preserve">As at 30 June 2017, there were 222,391 current Victorian firearm licences.  Of the current licence holders, </w:t>
      </w:r>
      <w:r>
        <w:t>nearly 90 percent held</w:t>
      </w:r>
      <w:r w:rsidRPr="00CB7F55">
        <w:t xml:space="preserve"> either only a category B or only a category A longarm licence, with junior licence holders making up the third</w:t>
      </w:r>
      <w:r w:rsidR="000514BF">
        <w:t>-</w:t>
      </w:r>
      <w:r w:rsidRPr="00CB7F55">
        <w:t xml:space="preserve">largest single class of licence holders </w:t>
      </w:r>
      <w:r w:rsidR="000514BF">
        <w:t>at</w:t>
      </w:r>
      <w:r w:rsidR="000514BF" w:rsidRPr="00CB7F55">
        <w:t xml:space="preserve"> </w:t>
      </w:r>
      <w:r w:rsidRPr="00CB7F55">
        <w:t xml:space="preserve">less than 7,000 unique licensees.  </w:t>
      </w:r>
    </w:p>
    <w:p w14:paraId="41B16AEA" w14:textId="77777777" w:rsidR="00052799" w:rsidRDefault="00052799" w:rsidP="00052799">
      <w:pPr>
        <w:pStyle w:val="Body"/>
      </w:pPr>
      <w:r w:rsidRPr="00CB7F55">
        <w:t xml:space="preserve">The regulated trade in firearms in Victoria is underpinned by licensed dealers who hold one of three classes of licence, each of which requires renewal every three years. These dealers serve an important interface role between Victoria Police and the licensed community. </w:t>
      </w:r>
      <w:r>
        <w:t>As at 10 September 2017, there were a total of 328 licensed firearms dealers in Victoria.</w:t>
      </w:r>
    </w:p>
    <w:p w14:paraId="4E5F5EC3" w14:textId="77777777" w:rsidR="00052799" w:rsidRPr="00CB7F55" w:rsidRDefault="00052799" w:rsidP="00052799">
      <w:pPr>
        <w:pStyle w:val="Heading2"/>
      </w:pPr>
      <w:bookmarkStart w:id="20" w:name="_Toc500505447"/>
      <w:bookmarkStart w:id="21" w:name="_Toc501539142"/>
      <w:r w:rsidRPr="00CB7F55">
        <w:t>Objectives of the proposed Regulations</w:t>
      </w:r>
      <w:bookmarkEnd w:id="20"/>
      <w:bookmarkEnd w:id="21"/>
    </w:p>
    <w:p w14:paraId="3BC32AD1" w14:textId="77777777" w:rsidR="00052799" w:rsidRDefault="00052799" w:rsidP="00052799">
      <w:pPr>
        <w:pStyle w:val="Body"/>
      </w:pPr>
      <w:r w:rsidRPr="00F94F70">
        <w:t xml:space="preserve">The vast majority of restrictions and requirements directed at firearms dealers and users are created by operation of the Act, while the regulations generally serve to specify, clarify, or supplement </w:t>
      </w:r>
      <w:r>
        <w:t>certain</w:t>
      </w:r>
      <w:r w:rsidRPr="00F94F70">
        <w:t xml:space="preserve"> requirements imposed by the Act. As </w:t>
      </w:r>
      <w:r>
        <w:t>a result</w:t>
      </w:r>
      <w:r w:rsidRPr="00F94F70">
        <w:t>, there is a relatively narrow scope for making changes to the overarching framework when remaking the Regulations</w:t>
      </w:r>
      <w:r>
        <w:t xml:space="preserve">. The provisions of the Regulations can be divided into two categories: those that deal with fees, and those that deal with other matters (‘non-fee’). </w:t>
      </w:r>
    </w:p>
    <w:p w14:paraId="494E74CF" w14:textId="5F94937F" w:rsidR="00052799" w:rsidRDefault="00052799" w:rsidP="00052799">
      <w:pPr>
        <w:pStyle w:val="Body"/>
      </w:pPr>
      <w:r>
        <w:t xml:space="preserve">In general, if the Regulations were not remade, the licensing and registration regime established by the Act would continue to control the ownership and use of firearms in Victoria. However, its operation would be restricted in </w:t>
      </w:r>
      <w:r w:rsidR="000514BF">
        <w:t xml:space="preserve">some </w:t>
      </w:r>
      <w:r>
        <w:t xml:space="preserve">specific contexts, such as the issuing of infringement notices and the conduct of searches. More importantly, in the absence of the Regulations, no fees could be charged for issuing licences or permits under the Act, meaning that the cost of regulating firearms in Victoria would be covered by the general public through taxation revenue, rather than by firearms users and dealers. </w:t>
      </w:r>
    </w:p>
    <w:p w14:paraId="61E3FDB7" w14:textId="77777777" w:rsidR="00052799" w:rsidRPr="009765C4" w:rsidRDefault="00052799" w:rsidP="00052799">
      <w:pPr>
        <w:pStyle w:val="Heading2"/>
      </w:pPr>
      <w:bookmarkStart w:id="22" w:name="_Toc500505448"/>
      <w:bookmarkStart w:id="23" w:name="_Toc501539143"/>
      <w:r>
        <w:t>Impact of the Regulations</w:t>
      </w:r>
      <w:bookmarkEnd w:id="22"/>
      <w:bookmarkEnd w:id="23"/>
    </w:p>
    <w:p w14:paraId="0289517E" w14:textId="77777777" w:rsidR="00052799" w:rsidRDefault="00052799" w:rsidP="00052799">
      <w:pPr>
        <w:pStyle w:val="Body"/>
      </w:pPr>
      <w:r>
        <w:t>The total estimated impact of the</w:t>
      </w:r>
      <w:r w:rsidRPr="00BE686F">
        <w:t xml:space="preserve"> </w:t>
      </w:r>
      <w:r>
        <w:t>aspects of the Act which are in-scope of the Regulations is $13.8m, which can be itemised as follows:</w:t>
      </w:r>
    </w:p>
    <w:p w14:paraId="6907F37C" w14:textId="207E95EE" w:rsidR="00052799" w:rsidRDefault="00052799" w:rsidP="00052799">
      <w:pPr>
        <w:pStyle w:val="Bulletnormal"/>
        <w:tabs>
          <w:tab w:val="clear" w:pos="283"/>
        </w:tabs>
      </w:pPr>
      <w:r>
        <w:t xml:space="preserve">the full cost of administering and enforcing </w:t>
      </w:r>
      <w:r w:rsidR="00473115">
        <w:t>the Act and Regulations in 2016–</w:t>
      </w:r>
      <w:r>
        <w:t xml:space="preserve">17 was $13.4m </w:t>
      </w:r>
    </w:p>
    <w:p w14:paraId="7114DC66" w14:textId="77777777" w:rsidR="00052799" w:rsidRDefault="00052799" w:rsidP="00052799">
      <w:pPr>
        <w:pStyle w:val="Bulletnormal"/>
        <w:tabs>
          <w:tab w:val="clear" w:pos="283"/>
        </w:tabs>
      </w:pPr>
      <w:r>
        <w:t>the estimated regulatory impact of non-fee Regulations is $0.4m per annum.</w:t>
      </w:r>
    </w:p>
    <w:p w14:paraId="48582BAA" w14:textId="77777777" w:rsidR="00052799" w:rsidRDefault="00052799" w:rsidP="00052799">
      <w:pPr>
        <w:pStyle w:val="Body"/>
      </w:pPr>
      <w:r w:rsidRPr="009765C4">
        <w:t>In considering the impact o</w:t>
      </w:r>
      <w:r>
        <w:t xml:space="preserve">f the Regulations, fee setting </w:t>
      </w:r>
      <w:r w:rsidRPr="009765C4">
        <w:t xml:space="preserve">is the most </w:t>
      </w:r>
      <w:r>
        <w:t>substantial</w:t>
      </w:r>
      <w:r w:rsidRPr="009765C4">
        <w:t xml:space="preserve"> component of the Regulations. Non-fee regulations account for only a small proportion of the </w:t>
      </w:r>
      <w:r>
        <w:t xml:space="preserve">total </w:t>
      </w:r>
      <w:r w:rsidRPr="009765C4">
        <w:t>impact of the regulations (</w:t>
      </w:r>
      <w:r>
        <w:t>approximately</w:t>
      </w:r>
      <w:r w:rsidRPr="009765C4">
        <w:t xml:space="preserve"> 3 per cent of the </w:t>
      </w:r>
      <w:r>
        <w:t>total impact).</w:t>
      </w:r>
    </w:p>
    <w:p w14:paraId="79900746" w14:textId="77777777" w:rsidR="00052799" w:rsidRDefault="00052799" w:rsidP="00052799">
      <w:pPr>
        <w:pStyle w:val="Heading2"/>
      </w:pPr>
      <w:bookmarkStart w:id="24" w:name="_Toc500505449"/>
      <w:bookmarkStart w:id="25" w:name="_Toc501539144"/>
      <w:r>
        <w:t>Non-fee options and objectives</w:t>
      </w:r>
      <w:bookmarkEnd w:id="24"/>
      <w:bookmarkEnd w:id="25"/>
    </w:p>
    <w:p w14:paraId="25740590" w14:textId="61EB6419" w:rsidR="00052799" w:rsidRDefault="00052799" w:rsidP="00052799">
      <w:pPr>
        <w:pStyle w:val="Body"/>
      </w:pPr>
      <w:r w:rsidRPr="009765C4">
        <w:t>Through consultations,</w:t>
      </w:r>
      <w:r>
        <w:t xml:space="preserve"> groups representing</w:t>
      </w:r>
      <w:r w:rsidRPr="009765C4">
        <w:t xml:space="preserve"> firearms </w:t>
      </w:r>
      <w:r>
        <w:t xml:space="preserve">dealers and users </w:t>
      </w:r>
      <w:r w:rsidRPr="009765C4">
        <w:t xml:space="preserve">generally supported remaking the vast majority of non-fee regulations, with only a few regulations attracting discussion or proposals for change. </w:t>
      </w:r>
      <w:r w:rsidRPr="00622D94">
        <w:t xml:space="preserve">However, four </w:t>
      </w:r>
      <w:r w:rsidR="000514BF">
        <w:t xml:space="preserve">substantial </w:t>
      </w:r>
      <w:r w:rsidRPr="00622D94">
        <w:t xml:space="preserve">options were identified as justifying </w:t>
      </w:r>
      <w:r>
        <w:t xml:space="preserve">detailed consideration, and </w:t>
      </w:r>
      <w:r>
        <w:lastRenderedPageBreak/>
        <w:t xml:space="preserve">are therefore assessed in </w:t>
      </w:r>
      <w:r w:rsidR="000514BF">
        <w:t xml:space="preserve">detail in </w:t>
      </w:r>
      <w:r>
        <w:t>th</w:t>
      </w:r>
      <w:r w:rsidR="000514BF">
        <w:t>is</w:t>
      </w:r>
      <w:r>
        <w:t xml:space="preserve"> RIS.</w:t>
      </w:r>
      <w:r w:rsidR="000514BF">
        <w:t xml:space="preserve"> (Some proposals with a smaller impact are discussed but not fully assessed later in the RIS.)</w:t>
      </w:r>
      <w:r>
        <w:t xml:space="preserve"> These options operate independently of one another and of the fee</w:t>
      </w:r>
      <w:r w:rsidR="00A46349">
        <w:t xml:space="preserve"> option</w:t>
      </w:r>
      <w:r>
        <w:t>s, and as a result are considered separately.</w:t>
      </w:r>
    </w:p>
    <w:p w14:paraId="6F0625F9" w14:textId="77777777" w:rsidR="00052799" w:rsidRDefault="00052799" w:rsidP="00052799">
      <w:pPr>
        <w:pStyle w:val="Body"/>
      </w:pPr>
      <w:r>
        <w:t>The options considered are:</w:t>
      </w:r>
    </w:p>
    <w:p w14:paraId="59EBB84B" w14:textId="77777777" w:rsidR="00052799" w:rsidRDefault="00052799" w:rsidP="00052799">
      <w:pPr>
        <w:pStyle w:val="Bulletnormal"/>
        <w:tabs>
          <w:tab w:val="clear" w:pos="283"/>
        </w:tabs>
      </w:pPr>
      <w:r w:rsidRPr="00EA6C74">
        <w:rPr>
          <w:b/>
        </w:rPr>
        <w:t>Making handgun chassis kits a prescribed item</w:t>
      </w:r>
      <w:r w:rsidRPr="00A60C4C">
        <w:t>.</w:t>
      </w:r>
      <w:r>
        <w:t xml:space="preserve"> A handgun chassis kit is a frame designed to attach to or around a handgun. </w:t>
      </w:r>
      <w:r w:rsidRPr="009765C4">
        <w:t>A chassis kit can increase the danger posed by any given handgun by altering its operating characteristics</w:t>
      </w:r>
      <w:r>
        <w:t>, and</w:t>
      </w:r>
      <w:r w:rsidRPr="009765C4">
        <w:t xml:space="preserve"> can also alter a handgun’s appearance, to give it the appearance of a submachine gun</w:t>
      </w:r>
      <w:r>
        <w:t>. Making it a prescribed item would require anyone who wishes to possess such a kit to obtain a permit under section 57 of the Act.</w:t>
      </w:r>
    </w:p>
    <w:p w14:paraId="4309F262" w14:textId="1E6C01AE" w:rsidR="00052799" w:rsidRDefault="00052799" w:rsidP="00052799">
      <w:pPr>
        <w:pStyle w:val="Bulletnormal"/>
        <w:tabs>
          <w:tab w:val="clear" w:pos="283"/>
        </w:tabs>
      </w:pPr>
      <w:r w:rsidRPr="00EA6C74">
        <w:rPr>
          <w:b/>
        </w:rPr>
        <w:t>Remaking the current list of exempt devices with additions</w:t>
      </w:r>
      <w:r w:rsidRPr="00A60C4C">
        <w:t>.</w:t>
      </w:r>
      <w:r>
        <w:t xml:space="preserve"> Certain devices technically within the definition of ‘firearm’ are exempted from the operation of the Act </w:t>
      </w:r>
      <w:r w:rsidR="00A46349">
        <w:t xml:space="preserve">by </w:t>
      </w:r>
      <w:r>
        <w:t>the Regulations. This option would remake the existing list of exempt devices, with the addition of arborist line throwers and dog-training devices as new exempt devices.</w:t>
      </w:r>
    </w:p>
    <w:p w14:paraId="6FA46AF9" w14:textId="30892796" w:rsidR="00052799" w:rsidRDefault="00052799" w:rsidP="00052799">
      <w:pPr>
        <w:pStyle w:val="Bulletnormal"/>
        <w:tabs>
          <w:tab w:val="clear" w:pos="283"/>
        </w:tabs>
      </w:pPr>
      <w:r w:rsidRPr="00EA6C74">
        <w:rPr>
          <w:b/>
        </w:rPr>
        <w:t>Setting the maximum fee for a dealer acting as agent in fee units</w:t>
      </w:r>
      <w:r w:rsidRPr="00A60C4C">
        <w:t>.</w:t>
      </w:r>
      <w:r>
        <w:t xml:space="preserve"> The Act provides that licensed firearms dealers may charge no more than the prescribed amount for acting as agent in the sale or purchase of a firearm (that is, in a transfer from one licence holder to another). This option would remake and increase </w:t>
      </w:r>
      <w:r w:rsidR="00284A42">
        <w:t>the maximum fee (from $25 to $42.66</w:t>
      </w:r>
      <w:r>
        <w:t xml:space="preserve"> in 2017</w:t>
      </w:r>
      <w:r w:rsidR="00A46349">
        <w:t>–</w:t>
      </w:r>
      <w:r>
        <w:t>18), but would also set this amount in fee units, which are subject to indexation.</w:t>
      </w:r>
    </w:p>
    <w:p w14:paraId="11A8B657" w14:textId="18C061E3" w:rsidR="00052799" w:rsidRDefault="00052799" w:rsidP="00052799">
      <w:pPr>
        <w:pStyle w:val="Bulletnormal"/>
        <w:tabs>
          <w:tab w:val="clear" w:pos="283"/>
        </w:tabs>
      </w:pPr>
      <w:r w:rsidRPr="00EA6C74">
        <w:rPr>
          <w:b/>
        </w:rPr>
        <w:t xml:space="preserve">Remaking infringement offences </w:t>
      </w:r>
      <w:r w:rsidR="00A46349">
        <w:rPr>
          <w:b/>
        </w:rPr>
        <w:t xml:space="preserve">and penalties, </w:t>
      </w:r>
      <w:r w:rsidRPr="00EA6C74">
        <w:rPr>
          <w:b/>
        </w:rPr>
        <w:t>with additional offences</w:t>
      </w:r>
      <w:r w:rsidRPr="00A60C4C">
        <w:t>.</w:t>
      </w:r>
      <w:r>
        <w:t xml:space="preserve"> Infringement notices can be issued for certain offences in the Act that are prescribed in the Regulations, and this option would retain those currently prescribed. In addition, it would add three new infringement offences: failure to record all required particulars in a dealer’s register of transactions (1 penalty unit); failure to securely store a category A or B longarm (2 penalty units); and failure to securely store ammunition for a category A or B longarm (2 penalty units).</w:t>
      </w:r>
    </w:p>
    <w:p w14:paraId="1067E008" w14:textId="424CB895" w:rsidR="00052799" w:rsidRDefault="00052799" w:rsidP="00052799">
      <w:pPr>
        <w:pStyle w:val="Bulletnormal"/>
        <w:tabs>
          <w:tab w:val="clear" w:pos="283"/>
        </w:tabs>
      </w:pPr>
      <w:r w:rsidRPr="00EA6C74">
        <w:rPr>
          <w:b/>
        </w:rPr>
        <w:t>Updating licence categories and permit fees</w:t>
      </w:r>
      <w:r w:rsidRPr="00A60C4C">
        <w:t>.</w:t>
      </w:r>
      <w:r>
        <w:t xml:space="preserve"> Under this option, dealer licence classes would be modified to be more appropriate to their business needs, by permitting dealers holding a Class</w:t>
      </w:r>
      <w:r w:rsidR="00A46349">
        <w:t> </w:t>
      </w:r>
      <w:r>
        <w:t>2 licence to sell category C longarms and creating a standalone category of dealer’s licence for paintball markers only. This option would also seek to recover additional costs by prescribing fees for the issue of permits under section 130 of the Act and permits to acquire for category D and E longarms.</w:t>
      </w:r>
    </w:p>
    <w:p w14:paraId="7C0A3DC3" w14:textId="77777777" w:rsidR="00052799" w:rsidRDefault="00052799" w:rsidP="00052799">
      <w:pPr>
        <w:pStyle w:val="Body"/>
      </w:pPr>
      <w:r>
        <w:t>The overall weighted scores of these options compared against the base case of no such regulations using a Multi-Criteria Analysis (MCA), is summarised in the following table and assessed against the criteria of safety, public peace, regulatory burden and administrative costs.</w:t>
      </w:r>
    </w:p>
    <w:p w14:paraId="2FF05E26" w14:textId="4ABB624E" w:rsidR="00052799" w:rsidRPr="007C2C00" w:rsidRDefault="00052799" w:rsidP="00052799">
      <w:pPr>
        <w:pStyle w:val="Caption"/>
      </w:pPr>
      <w:r>
        <w:t xml:space="preserve">Table </w:t>
      </w:r>
      <w:r w:rsidR="001C7D77">
        <w:rPr>
          <w:noProof/>
        </w:rPr>
        <w:t>1</w:t>
      </w:r>
      <w:r>
        <w:t xml:space="preserve">: </w:t>
      </w:r>
      <w:r w:rsidRPr="007C2C00">
        <w:t>Summary of non-fee options considered</w:t>
      </w:r>
    </w:p>
    <w:tbl>
      <w:tblPr>
        <w:tblW w:w="8964" w:type="dxa"/>
        <w:tblInd w:w="709" w:type="dxa"/>
        <w:tblBorders>
          <w:top w:val="single" w:sz="4" w:space="0" w:color="C9C9C9"/>
          <w:bottom w:val="single" w:sz="4" w:space="0" w:color="C9C9C9"/>
          <w:insideH w:val="single" w:sz="4" w:space="0" w:color="C9C9C9"/>
        </w:tblBorders>
        <w:tblLayout w:type="fixed"/>
        <w:tblCellMar>
          <w:left w:w="57" w:type="dxa"/>
          <w:right w:w="57" w:type="dxa"/>
        </w:tblCellMar>
        <w:tblLook w:val="0420" w:firstRow="1" w:lastRow="0" w:firstColumn="0" w:lastColumn="0" w:noHBand="0" w:noVBand="1"/>
        <w:tblCaption w:val="Table 1: Summary of non fee options considered"/>
      </w:tblPr>
      <w:tblGrid>
        <w:gridCol w:w="2614"/>
        <w:gridCol w:w="1072"/>
        <w:gridCol w:w="992"/>
        <w:gridCol w:w="1428"/>
        <w:gridCol w:w="1429"/>
        <w:gridCol w:w="1429"/>
      </w:tblGrid>
      <w:tr w:rsidR="00052799" w:rsidRPr="001F0435" w14:paraId="7B521D54" w14:textId="77777777" w:rsidTr="00871631">
        <w:tc>
          <w:tcPr>
            <w:tcW w:w="2614" w:type="dxa"/>
            <w:shd w:val="clear" w:color="auto" w:fill="002060"/>
          </w:tcPr>
          <w:p w14:paraId="33589878" w14:textId="77777777" w:rsidR="00052799" w:rsidRPr="00693D92" w:rsidRDefault="00052799" w:rsidP="00871631">
            <w:pPr>
              <w:spacing w:before="60" w:after="60"/>
              <w:jc w:val="center"/>
              <w:rPr>
                <w:sz w:val="18"/>
                <w:szCs w:val="18"/>
              </w:rPr>
            </w:pPr>
            <w:r w:rsidRPr="00693D92">
              <w:rPr>
                <w:sz w:val="18"/>
                <w:szCs w:val="18"/>
              </w:rPr>
              <w:t>Option</w:t>
            </w:r>
          </w:p>
        </w:tc>
        <w:tc>
          <w:tcPr>
            <w:tcW w:w="1072" w:type="dxa"/>
            <w:shd w:val="clear" w:color="auto" w:fill="002060"/>
          </w:tcPr>
          <w:p w14:paraId="68DE0411" w14:textId="77777777" w:rsidR="00052799" w:rsidRPr="00693D92" w:rsidRDefault="00052799" w:rsidP="00871631">
            <w:pPr>
              <w:spacing w:before="60" w:after="60"/>
              <w:jc w:val="center"/>
              <w:rPr>
                <w:color w:val="FFFFFF"/>
                <w:sz w:val="18"/>
                <w:szCs w:val="18"/>
              </w:rPr>
            </w:pPr>
            <w:r w:rsidRPr="00693D92">
              <w:rPr>
                <w:color w:val="FFFFFF"/>
                <w:sz w:val="18"/>
                <w:szCs w:val="18"/>
              </w:rPr>
              <w:t>Safety</w:t>
            </w:r>
          </w:p>
        </w:tc>
        <w:tc>
          <w:tcPr>
            <w:tcW w:w="992" w:type="dxa"/>
            <w:shd w:val="clear" w:color="auto" w:fill="002060"/>
          </w:tcPr>
          <w:p w14:paraId="284EDD2A" w14:textId="77777777" w:rsidR="00052799" w:rsidRPr="00693D92" w:rsidRDefault="00052799" w:rsidP="00871631">
            <w:pPr>
              <w:spacing w:before="60" w:after="60"/>
              <w:jc w:val="center"/>
              <w:rPr>
                <w:color w:val="FFFFFF"/>
                <w:sz w:val="18"/>
                <w:szCs w:val="18"/>
              </w:rPr>
            </w:pPr>
            <w:r w:rsidRPr="00693D92">
              <w:rPr>
                <w:color w:val="FFFFFF"/>
                <w:sz w:val="18"/>
                <w:szCs w:val="18"/>
              </w:rPr>
              <w:t>Public peace</w:t>
            </w:r>
          </w:p>
        </w:tc>
        <w:tc>
          <w:tcPr>
            <w:tcW w:w="1428" w:type="dxa"/>
            <w:shd w:val="clear" w:color="auto" w:fill="002060"/>
          </w:tcPr>
          <w:p w14:paraId="748757B1" w14:textId="77777777" w:rsidR="00052799" w:rsidRPr="00693D92" w:rsidRDefault="00052799" w:rsidP="00871631">
            <w:pPr>
              <w:spacing w:before="60" w:after="60"/>
              <w:jc w:val="center"/>
              <w:rPr>
                <w:color w:val="FFFFFF"/>
                <w:sz w:val="18"/>
                <w:szCs w:val="18"/>
              </w:rPr>
            </w:pPr>
            <w:r w:rsidRPr="00693D92">
              <w:rPr>
                <w:color w:val="FFFFFF"/>
                <w:sz w:val="18"/>
                <w:szCs w:val="18"/>
              </w:rPr>
              <w:t>Regulatory burden</w:t>
            </w:r>
          </w:p>
        </w:tc>
        <w:tc>
          <w:tcPr>
            <w:tcW w:w="1429" w:type="dxa"/>
            <w:shd w:val="clear" w:color="auto" w:fill="002060"/>
          </w:tcPr>
          <w:p w14:paraId="073C0D6D" w14:textId="77777777" w:rsidR="00052799" w:rsidRPr="00693D92" w:rsidRDefault="00052799" w:rsidP="00871631">
            <w:pPr>
              <w:spacing w:before="60" w:after="60"/>
              <w:jc w:val="center"/>
              <w:rPr>
                <w:color w:val="FFFFFF"/>
                <w:sz w:val="18"/>
                <w:szCs w:val="18"/>
              </w:rPr>
            </w:pPr>
            <w:r w:rsidRPr="00693D92">
              <w:rPr>
                <w:color w:val="FFFFFF"/>
                <w:sz w:val="18"/>
                <w:szCs w:val="18"/>
              </w:rPr>
              <w:t>Administrative costs</w:t>
            </w:r>
          </w:p>
        </w:tc>
        <w:tc>
          <w:tcPr>
            <w:tcW w:w="1429" w:type="dxa"/>
            <w:shd w:val="clear" w:color="auto" w:fill="002060"/>
          </w:tcPr>
          <w:p w14:paraId="25DBC645" w14:textId="77777777" w:rsidR="00052799" w:rsidRPr="00693D92" w:rsidRDefault="00052799" w:rsidP="00871631">
            <w:pPr>
              <w:spacing w:before="60" w:after="60"/>
              <w:jc w:val="center"/>
              <w:rPr>
                <w:color w:val="FFFFFF"/>
                <w:sz w:val="18"/>
                <w:szCs w:val="18"/>
              </w:rPr>
            </w:pPr>
            <w:r w:rsidRPr="00693D92">
              <w:rPr>
                <w:color w:val="FFFFFF"/>
                <w:sz w:val="18"/>
                <w:szCs w:val="18"/>
              </w:rPr>
              <w:t>Total</w:t>
            </w:r>
          </w:p>
        </w:tc>
      </w:tr>
      <w:tr w:rsidR="00052799" w:rsidRPr="001F0435" w14:paraId="7999CBD9" w14:textId="77777777" w:rsidTr="00871631">
        <w:tc>
          <w:tcPr>
            <w:tcW w:w="2614" w:type="dxa"/>
            <w:shd w:val="clear" w:color="auto" w:fill="auto"/>
          </w:tcPr>
          <w:p w14:paraId="183C1EAC" w14:textId="77777777" w:rsidR="00052799" w:rsidRPr="00693D92" w:rsidRDefault="00052799" w:rsidP="00871631">
            <w:pPr>
              <w:spacing w:before="60" w:after="60"/>
              <w:rPr>
                <w:sz w:val="18"/>
                <w:szCs w:val="18"/>
              </w:rPr>
            </w:pPr>
            <w:r w:rsidRPr="00693D92">
              <w:rPr>
                <w:sz w:val="18"/>
                <w:szCs w:val="18"/>
              </w:rPr>
              <w:t>Making handgun chassis kits prescribed items</w:t>
            </w:r>
          </w:p>
        </w:tc>
        <w:tc>
          <w:tcPr>
            <w:tcW w:w="1072" w:type="dxa"/>
            <w:shd w:val="clear" w:color="auto" w:fill="auto"/>
          </w:tcPr>
          <w:p w14:paraId="55716966" w14:textId="77777777" w:rsidR="00052799" w:rsidRPr="00693D92" w:rsidRDefault="00052799" w:rsidP="00871631">
            <w:pPr>
              <w:spacing w:before="60" w:after="60"/>
              <w:jc w:val="center"/>
              <w:rPr>
                <w:sz w:val="18"/>
                <w:szCs w:val="18"/>
              </w:rPr>
            </w:pPr>
            <w:r w:rsidRPr="00693D92">
              <w:rPr>
                <w:sz w:val="18"/>
                <w:szCs w:val="18"/>
              </w:rPr>
              <w:t>1.2</w:t>
            </w:r>
          </w:p>
        </w:tc>
        <w:tc>
          <w:tcPr>
            <w:tcW w:w="992" w:type="dxa"/>
            <w:shd w:val="clear" w:color="auto" w:fill="auto"/>
          </w:tcPr>
          <w:p w14:paraId="7AE561BE" w14:textId="77777777" w:rsidR="00052799" w:rsidRPr="00693D92" w:rsidRDefault="00052799" w:rsidP="00871631">
            <w:pPr>
              <w:spacing w:before="60" w:after="60"/>
              <w:jc w:val="center"/>
              <w:rPr>
                <w:sz w:val="18"/>
                <w:szCs w:val="18"/>
              </w:rPr>
            </w:pPr>
            <w:r w:rsidRPr="00693D92">
              <w:rPr>
                <w:sz w:val="18"/>
                <w:szCs w:val="18"/>
              </w:rPr>
              <w:t>0.6</w:t>
            </w:r>
          </w:p>
        </w:tc>
        <w:tc>
          <w:tcPr>
            <w:tcW w:w="1428" w:type="dxa"/>
            <w:shd w:val="clear" w:color="auto" w:fill="auto"/>
          </w:tcPr>
          <w:p w14:paraId="4CE3A13F" w14:textId="77777777" w:rsidR="00052799" w:rsidRPr="00693D92" w:rsidRDefault="00052799" w:rsidP="00871631">
            <w:pPr>
              <w:spacing w:before="60" w:after="60"/>
              <w:jc w:val="center"/>
              <w:rPr>
                <w:sz w:val="18"/>
                <w:szCs w:val="18"/>
              </w:rPr>
            </w:pPr>
            <w:r w:rsidRPr="00693D92">
              <w:rPr>
                <w:sz w:val="18"/>
                <w:szCs w:val="18"/>
              </w:rPr>
              <w:t>-0.3</w:t>
            </w:r>
          </w:p>
        </w:tc>
        <w:tc>
          <w:tcPr>
            <w:tcW w:w="1429" w:type="dxa"/>
            <w:shd w:val="clear" w:color="auto" w:fill="auto"/>
          </w:tcPr>
          <w:p w14:paraId="53ADC507" w14:textId="77777777" w:rsidR="00052799" w:rsidRPr="00693D92" w:rsidRDefault="00052799" w:rsidP="00871631">
            <w:pPr>
              <w:spacing w:before="60" w:after="60"/>
              <w:jc w:val="center"/>
              <w:rPr>
                <w:sz w:val="18"/>
                <w:szCs w:val="18"/>
              </w:rPr>
            </w:pPr>
            <w:r w:rsidRPr="00693D92">
              <w:rPr>
                <w:sz w:val="18"/>
                <w:szCs w:val="18"/>
              </w:rPr>
              <w:t>-0.2</w:t>
            </w:r>
          </w:p>
        </w:tc>
        <w:tc>
          <w:tcPr>
            <w:tcW w:w="1429" w:type="dxa"/>
            <w:shd w:val="clear" w:color="auto" w:fill="auto"/>
          </w:tcPr>
          <w:p w14:paraId="4C6C80E6" w14:textId="77777777" w:rsidR="00052799" w:rsidRPr="00693D92" w:rsidRDefault="00052799" w:rsidP="00871631">
            <w:pPr>
              <w:spacing w:before="60" w:after="60"/>
              <w:jc w:val="center"/>
              <w:rPr>
                <w:b/>
                <w:sz w:val="18"/>
                <w:szCs w:val="18"/>
              </w:rPr>
            </w:pPr>
            <w:r w:rsidRPr="00693D92">
              <w:rPr>
                <w:b/>
                <w:sz w:val="18"/>
                <w:szCs w:val="18"/>
              </w:rPr>
              <w:t>1.3</w:t>
            </w:r>
          </w:p>
        </w:tc>
      </w:tr>
      <w:tr w:rsidR="00052799" w:rsidRPr="001F0435" w14:paraId="78248974" w14:textId="77777777" w:rsidTr="00871631">
        <w:tc>
          <w:tcPr>
            <w:tcW w:w="2614" w:type="dxa"/>
            <w:shd w:val="clear" w:color="auto" w:fill="auto"/>
          </w:tcPr>
          <w:p w14:paraId="1C2E2AF0" w14:textId="77777777" w:rsidR="00052799" w:rsidRPr="00693D92" w:rsidRDefault="00052799" w:rsidP="00871631">
            <w:pPr>
              <w:spacing w:before="60" w:after="60"/>
              <w:rPr>
                <w:sz w:val="18"/>
                <w:szCs w:val="18"/>
              </w:rPr>
            </w:pPr>
            <w:r w:rsidRPr="00693D92">
              <w:rPr>
                <w:sz w:val="18"/>
                <w:szCs w:val="18"/>
              </w:rPr>
              <w:t>Remaking exempt devices list with additions</w:t>
            </w:r>
          </w:p>
        </w:tc>
        <w:tc>
          <w:tcPr>
            <w:tcW w:w="1072" w:type="dxa"/>
            <w:shd w:val="clear" w:color="auto" w:fill="auto"/>
          </w:tcPr>
          <w:p w14:paraId="3231EA44" w14:textId="77777777" w:rsidR="00052799" w:rsidRPr="00693D92" w:rsidRDefault="00052799" w:rsidP="00871631">
            <w:pPr>
              <w:spacing w:before="60" w:after="60"/>
              <w:jc w:val="center"/>
              <w:rPr>
                <w:sz w:val="18"/>
                <w:szCs w:val="18"/>
              </w:rPr>
            </w:pPr>
            <w:r w:rsidRPr="00693D92">
              <w:rPr>
                <w:sz w:val="18"/>
                <w:szCs w:val="18"/>
              </w:rPr>
              <w:t>0.0</w:t>
            </w:r>
          </w:p>
        </w:tc>
        <w:tc>
          <w:tcPr>
            <w:tcW w:w="992" w:type="dxa"/>
            <w:shd w:val="clear" w:color="auto" w:fill="auto"/>
          </w:tcPr>
          <w:p w14:paraId="3FF50B92" w14:textId="77777777" w:rsidR="00052799" w:rsidRPr="00693D92" w:rsidRDefault="00052799" w:rsidP="00871631">
            <w:pPr>
              <w:spacing w:before="60" w:after="60"/>
              <w:jc w:val="center"/>
              <w:rPr>
                <w:sz w:val="18"/>
                <w:szCs w:val="18"/>
              </w:rPr>
            </w:pPr>
            <w:r w:rsidRPr="00693D92">
              <w:rPr>
                <w:sz w:val="18"/>
                <w:szCs w:val="18"/>
              </w:rPr>
              <w:t>-0.2</w:t>
            </w:r>
          </w:p>
        </w:tc>
        <w:tc>
          <w:tcPr>
            <w:tcW w:w="1428" w:type="dxa"/>
            <w:shd w:val="clear" w:color="auto" w:fill="auto"/>
          </w:tcPr>
          <w:p w14:paraId="36C9A3DA" w14:textId="77777777" w:rsidR="00052799" w:rsidRPr="00693D92" w:rsidRDefault="00052799" w:rsidP="00871631">
            <w:pPr>
              <w:spacing w:before="60" w:after="60"/>
              <w:jc w:val="center"/>
              <w:rPr>
                <w:sz w:val="18"/>
                <w:szCs w:val="18"/>
              </w:rPr>
            </w:pPr>
            <w:r w:rsidRPr="00693D92">
              <w:rPr>
                <w:sz w:val="18"/>
                <w:szCs w:val="18"/>
              </w:rPr>
              <w:t>0.6</w:t>
            </w:r>
          </w:p>
        </w:tc>
        <w:tc>
          <w:tcPr>
            <w:tcW w:w="1429" w:type="dxa"/>
            <w:shd w:val="clear" w:color="auto" w:fill="auto"/>
          </w:tcPr>
          <w:p w14:paraId="709FA46E" w14:textId="77777777" w:rsidR="00052799" w:rsidRPr="00693D92" w:rsidRDefault="00052799" w:rsidP="00871631">
            <w:pPr>
              <w:spacing w:before="60" w:after="60"/>
              <w:jc w:val="center"/>
              <w:rPr>
                <w:sz w:val="18"/>
                <w:szCs w:val="18"/>
              </w:rPr>
            </w:pPr>
            <w:r w:rsidRPr="00693D92">
              <w:rPr>
                <w:sz w:val="18"/>
                <w:szCs w:val="18"/>
              </w:rPr>
              <w:t>0.2</w:t>
            </w:r>
          </w:p>
        </w:tc>
        <w:tc>
          <w:tcPr>
            <w:tcW w:w="1429" w:type="dxa"/>
            <w:shd w:val="clear" w:color="auto" w:fill="auto"/>
          </w:tcPr>
          <w:p w14:paraId="3773FFAE" w14:textId="77777777" w:rsidR="00052799" w:rsidRPr="00693D92" w:rsidRDefault="00052799" w:rsidP="00871631">
            <w:pPr>
              <w:spacing w:before="60" w:after="60"/>
              <w:jc w:val="center"/>
              <w:rPr>
                <w:b/>
                <w:sz w:val="18"/>
                <w:szCs w:val="18"/>
              </w:rPr>
            </w:pPr>
            <w:r w:rsidRPr="00693D92">
              <w:rPr>
                <w:b/>
                <w:sz w:val="18"/>
                <w:szCs w:val="18"/>
              </w:rPr>
              <w:t>0.6</w:t>
            </w:r>
          </w:p>
        </w:tc>
      </w:tr>
      <w:tr w:rsidR="00052799" w:rsidRPr="001F0435" w14:paraId="512C2059" w14:textId="77777777" w:rsidTr="00871631">
        <w:tc>
          <w:tcPr>
            <w:tcW w:w="2614" w:type="dxa"/>
            <w:shd w:val="clear" w:color="auto" w:fill="auto"/>
          </w:tcPr>
          <w:p w14:paraId="2CBA1FC7" w14:textId="77777777" w:rsidR="00052799" w:rsidRPr="00693D92" w:rsidRDefault="00052799" w:rsidP="00871631">
            <w:pPr>
              <w:spacing w:before="60" w:after="60"/>
              <w:rPr>
                <w:sz w:val="18"/>
                <w:szCs w:val="18"/>
              </w:rPr>
            </w:pPr>
            <w:r w:rsidRPr="00693D92">
              <w:rPr>
                <w:sz w:val="18"/>
                <w:szCs w:val="18"/>
              </w:rPr>
              <w:t>Setting the maximum fee for dealer acting as agent in fee units</w:t>
            </w:r>
          </w:p>
        </w:tc>
        <w:tc>
          <w:tcPr>
            <w:tcW w:w="1072" w:type="dxa"/>
            <w:shd w:val="clear" w:color="auto" w:fill="auto"/>
          </w:tcPr>
          <w:p w14:paraId="7B61D9D9" w14:textId="371ECEC7" w:rsidR="00052799" w:rsidRPr="00693D92" w:rsidRDefault="00052799" w:rsidP="00871631">
            <w:pPr>
              <w:spacing w:before="60" w:after="60"/>
              <w:jc w:val="center"/>
              <w:rPr>
                <w:sz w:val="18"/>
                <w:szCs w:val="18"/>
              </w:rPr>
            </w:pPr>
            <w:r w:rsidRPr="00693D92">
              <w:rPr>
                <w:sz w:val="18"/>
                <w:szCs w:val="18"/>
              </w:rPr>
              <w:t>0.</w:t>
            </w:r>
            <w:r w:rsidR="00A65F08" w:rsidRPr="00693D92">
              <w:rPr>
                <w:sz w:val="18"/>
                <w:szCs w:val="18"/>
              </w:rPr>
              <w:t>3</w:t>
            </w:r>
          </w:p>
        </w:tc>
        <w:tc>
          <w:tcPr>
            <w:tcW w:w="992" w:type="dxa"/>
            <w:shd w:val="clear" w:color="auto" w:fill="auto"/>
          </w:tcPr>
          <w:p w14:paraId="73EF61C0" w14:textId="33EF6A3B" w:rsidR="00052799" w:rsidRPr="00693D92" w:rsidRDefault="00A65F08" w:rsidP="00871631">
            <w:pPr>
              <w:spacing w:before="60" w:after="60"/>
              <w:jc w:val="center"/>
              <w:rPr>
                <w:sz w:val="18"/>
                <w:szCs w:val="18"/>
              </w:rPr>
            </w:pPr>
            <w:r w:rsidRPr="00693D92">
              <w:rPr>
                <w:sz w:val="18"/>
                <w:szCs w:val="18"/>
              </w:rPr>
              <w:t>0.2</w:t>
            </w:r>
          </w:p>
        </w:tc>
        <w:tc>
          <w:tcPr>
            <w:tcW w:w="1428" w:type="dxa"/>
            <w:shd w:val="clear" w:color="auto" w:fill="auto"/>
          </w:tcPr>
          <w:p w14:paraId="4185EFC5" w14:textId="77777777" w:rsidR="00052799" w:rsidRPr="00693D92" w:rsidRDefault="00052799" w:rsidP="00871631">
            <w:pPr>
              <w:spacing w:before="60" w:after="60"/>
              <w:jc w:val="center"/>
              <w:rPr>
                <w:sz w:val="18"/>
                <w:szCs w:val="18"/>
              </w:rPr>
            </w:pPr>
            <w:r w:rsidRPr="00693D92">
              <w:rPr>
                <w:sz w:val="18"/>
                <w:szCs w:val="18"/>
              </w:rPr>
              <w:t>-0.3</w:t>
            </w:r>
          </w:p>
        </w:tc>
        <w:tc>
          <w:tcPr>
            <w:tcW w:w="1429" w:type="dxa"/>
            <w:shd w:val="clear" w:color="auto" w:fill="auto"/>
          </w:tcPr>
          <w:p w14:paraId="4A4C3D7F" w14:textId="77777777" w:rsidR="00052799" w:rsidRPr="00693D92" w:rsidRDefault="00052799" w:rsidP="00871631">
            <w:pPr>
              <w:spacing w:before="60" w:after="60"/>
              <w:jc w:val="center"/>
              <w:rPr>
                <w:sz w:val="18"/>
                <w:szCs w:val="18"/>
              </w:rPr>
            </w:pPr>
            <w:r w:rsidRPr="00693D92">
              <w:rPr>
                <w:sz w:val="18"/>
                <w:szCs w:val="18"/>
              </w:rPr>
              <w:t>-0.2</w:t>
            </w:r>
          </w:p>
        </w:tc>
        <w:tc>
          <w:tcPr>
            <w:tcW w:w="1429" w:type="dxa"/>
            <w:shd w:val="clear" w:color="auto" w:fill="auto"/>
          </w:tcPr>
          <w:p w14:paraId="69DFFE50" w14:textId="4794E073" w:rsidR="00052799" w:rsidRPr="00693D92" w:rsidRDefault="00052799" w:rsidP="00A65F08">
            <w:pPr>
              <w:spacing w:before="60" w:after="60"/>
              <w:jc w:val="center"/>
              <w:rPr>
                <w:b/>
                <w:sz w:val="18"/>
                <w:szCs w:val="18"/>
              </w:rPr>
            </w:pPr>
            <w:r w:rsidRPr="00693D92">
              <w:rPr>
                <w:b/>
                <w:sz w:val="18"/>
                <w:szCs w:val="18"/>
              </w:rPr>
              <w:t>0.</w:t>
            </w:r>
            <w:r w:rsidR="00A65F08" w:rsidRPr="00693D92">
              <w:rPr>
                <w:b/>
                <w:sz w:val="18"/>
                <w:szCs w:val="18"/>
              </w:rPr>
              <w:t>0</w:t>
            </w:r>
          </w:p>
        </w:tc>
      </w:tr>
      <w:tr w:rsidR="00052799" w:rsidRPr="001F0435" w14:paraId="0ECAE7D2" w14:textId="77777777" w:rsidTr="00871631">
        <w:tc>
          <w:tcPr>
            <w:tcW w:w="2614" w:type="dxa"/>
            <w:shd w:val="clear" w:color="auto" w:fill="auto"/>
          </w:tcPr>
          <w:p w14:paraId="24E1D5A5" w14:textId="77777777" w:rsidR="00052799" w:rsidRPr="00693D92" w:rsidRDefault="00052799" w:rsidP="00871631">
            <w:pPr>
              <w:spacing w:before="60" w:after="60"/>
              <w:rPr>
                <w:sz w:val="18"/>
                <w:szCs w:val="18"/>
              </w:rPr>
            </w:pPr>
            <w:r w:rsidRPr="00693D92">
              <w:rPr>
                <w:sz w:val="18"/>
                <w:szCs w:val="18"/>
              </w:rPr>
              <w:t>Remaking infringement offences and penalties, with additional offences</w:t>
            </w:r>
          </w:p>
        </w:tc>
        <w:tc>
          <w:tcPr>
            <w:tcW w:w="1072" w:type="dxa"/>
            <w:shd w:val="clear" w:color="auto" w:fill="auto"/>
          </w:tcPr>
          <w:p w14:paraId="06CDD038" w14:textId="77777777" w:rsidR="00052799" w:rsidRPr="00693D92" w:rsidRDefault="00052799" w:rsidP="00871631">
            <w:pPr>
              <w:spacing w:before="60" w:after="60"/>
              <w:jc w:val="center"/>
              <w:rPr>
                <w:sz w:val="18"/>
                <w:szCs w:val="18"/>
              </w:rPr>
            </w:pPr>
            <w:r w:rsidRPr="00693D92">
              <w:rPr>
                <w:sz w:val="18"/>
                <w:szCs w:val="18"/>
              </w:rPr>
              <w:t>0.6</w:t>
            </w:r>
          </w:p>
        </w:tc>
        <w:tc>
          <w:tcPr>
            <w:tcW w:w="992" w:type="dxa"/>
            <w:shd w:val="clear" w:color="auto" w:fill="auto"/>
          </w:tcPr>
          <w:p w14:paraId="20B9AD71" w14:textId="77777777" w:rsidR="00052799" w:rsidRPr="00693D92" w:rsidRDefault="00052799" w:rsidP="00871631">
            <w:pPr>
              <w:spacing w:before="60" w:after="60"/>
              <w:jc w:val="center"/>
              <w:rPr>
                <w:sz w:val="18"/>
                <w:szCs w:val="18"/>
              </w:rPr>
            </w:pPr>
            <w:r w:rsidRPr="00693D92">
              <w:rPr>
                <w:sz w:val="18"/>
                <w:szCs w:val="18"/>
              </w:rPr>
              <w:t>0.2</w:t>
            </w:r>
          </w:p>
        </w:tc>
        <w:tc>
          <w:tcPr>
            <w:tcW w:w="1428" w:type="dxa"/>
            <w:shd w:val="clear" w:color="auto" w:fill="auto"/>
          </w:tcPr>
          <w:p w14:paraId="0E3F8B44" w14:textId="77777777" w:rsidR="00052799" w:rsidRPr="00693D92" w:rsidRDefault="00052799" w:rsidP="00871631">
            <w:pPr>
              <w:spacing w:before="60" w:after="60"/>
              <w:jc w:val="center"/>
              <w:rPr>
                <w:sz w:val="18"/>
                <w:szCs w:val="18"/>
              </w:rPr>
            </w:pPr>
            <w:r w:rsidRPr="00693D92">
              <w:rPr>
                <w:sz w:val="18"/>
                <w:szCs w:val="18"/>
              </w:rPr>
              <w:t>0.0</w:t>
            </w:r>
          </w:p>
        </w:tc>
        <w:tc>
          <w:tcPr>
            <w:tcW w:w="1429" w:type="dxa"/>
            <w:shd w:val="clear" w:color="auto" w:fill="auto"/>
          </w:tcPr>
          <w:p w14:paraId="36CE608F" w14:textId="77777777" w:rsidR="00052799" w:rsidRPr="00693D92" w:rsidRDefault="00052799" w:rsidP="00871631">
            <w:pPr>
              <w:spacing w:before="60" w:after="60"/>
              <w:jc w:val="center"/>
              <w:rPr>
                <w:sz w:val="18"/>
                <w:szCs w:val="18"/>
              </w:rPr>
            </w:pPr>
            <w:r w:rsidRPr="00693D92">
              <w:rPr>
                <w:sz w:val="18"/>
                <w:szCs w:val="18"/>
              </w:rPr>
              <w:t>0.4</w:t>
            </w:r>
          </w:p>
        </w:tc>
        <w:tc>
          <w:tcPr>
            <w:tcW w:w="1429" w:type="dxa"/>
            <w:shd w:val="clear" w:color="auto" w:fill="auto"/>
          </w:tcPr>
          <w:p w14:paraId="265B11E9" w14:textId="77777777" w:rsidR="00052799" w:rsidRPr="00693D92" w:rsidRDefault="00052799" w:rsidP="00871631">
            <w:pPr>
              <w:spacing w:before="60" w:after="60"/>
              <w:jc w:val="center"/>
              <w:rPr>
                <w:b/>
                <w:sz w:val="18"/>
                <w:szCs w:val="18"/>
              </w:rPr>
            </w:pPr>
            <w:r w:rsidRPr="00693D92">
              <w:rPr>
                <w:b/>
                <w:sz w:val="18"/>
                <w:szCs w:val="18"/>
              </w:rPr>
              <w:t>1.2</w:t>
            </w:r>
          </w:p>
        </w:tc>
      </w:tr>
      <w:tr w:rsidR="00052799" w:rsidRPr="001F0435" w14:paraId="78351D7F" w14:textId="77777777" w:rsidTr="00871631">
        <w:tc>
          <w:tcPr>
            <w:tcW w:w="2614" w:type="dxa"/>
            <w:shd w:val="clear" w:color="auto" w:fill="auto"/>
          </w:tcPr>
          <w:p w14:paraId="192C2468" w14:textId="77777777" w:rsidR="00052799" w:rsidRPr="00693D92" w:rsidRDefault="00052799" w:rsidP="00871631">
            <w:pPr>
              <w:spacing w:before="60" w:after="60"/>
              <w:rPr>
                <w:sz w:val="18"/>
                <w:szCs w:val="18"/>
              </w:rPr>
            </w:pPr>
            <w:r w:rsidRPr="00693D92">
              <w:rPr>
                <w:sz w:val="18"/>
                <w:szCs w:val="18"/>
              </w:rPr>
              <w:t xml:space="preserve">Updating licence categories and permit fees </w:t>
            </w:r>
          </w:p>
        </w:tc>
        <w:tc>
          <w:tcPr>
            <w:tcW w:w="1072" w:type="dxa"/>
            <w:shd w:val="clear" w:color="auto" w:fill="auto"/>
          </w:tcPr>
          <w:p w14:paraId="4D7D5756" w14:textId="77777777" w:rsidR="00052799" w:rsidRPr="00693D92" w:rsidRDefault="00052799" w:rsidP="00871631">
            <w:pPr>
              <w:spacing w:before="60" w:after="60"/>
              <w:jc w:val="center"/>
              <w:rPr>
                <w:sz w:val="18"/>
                <w:szCs w:val="18"/>
              </w:rPr>
            </w:pPr>
            <w:r w:rsidRPr="00693D92">
              <w:rPr>
                <w:sz w:val="18"/>
                <w:szCs w:val="18"/>
              </w:rPr>
              <w:t>0.9</w:t>
            </w:r>
          </w:p>
        </w:tc>
        <w:tc>
          <w:tcPr>
            <w:tcW w:w="992" w:type="dxa"/>
            <w:shd w:val="clear" w:color="auto" w:fill="auto"/>
          </w:tcPr>
          <w:p w14:paraId="5C8C68DD" w14:textId="77777777" w:rsidR="00052799" w:rsidRPr="00693D92" w:rsidRDefault="00052799" w:rsidP="00871631">
            <w:pPr>
              <w:spacing w:before="60" w:after="60"/>
              <w:jc w:val="center"/>
              <w:rPr>
                <w:sz w:val="18"/>
                <w:szCs w:val="18"/>
              </w:rPr>
            </w:pPr>
            <w:r w:rsidRPr="00693D92">
              <w:rPr>
                <w:sz w:val="18"/>
                <w:szCs w:val="18"/>
              </w:rPr>
              <w:t>0.4</w:t>
            </w:r>
          </w:p>
        </w:tc>
        <w:tc>
          <w:tcPr>
            <w:tcW w:w="1428" w:type="dxa"/>
            <w:shd w:val="clear" w:color="auto" w:fill="auto"/>
          </w:tcPr>
          <w:p w14:paraId="119FD256" w14:textId="77777777" w:rsidR="00052799" w:rsidRPr="00693D92" w:rsidRDefault="00052799" w:rsidP="00871631">
            <w:pPr>
              <w:spacing w:before="60" w:after="60"/>
              <w:jc w:val="center"/>
              <w:rPr>
                <w:sz w:val="18"/>
                <w:szCs w:val="18"/>
              </w:rPr>
            </w:pPr>
            <w:r w:rsidRPr="00693D92">
              <w:rPr>
                <w:sz w:val="18"/>
                <w:szCs w:val="18"/>
              </w:rPr>
              <w:t>0.3</w:t>
            </w:r>
          </w:p>
        </w:tc>
        <w:tc>
          <w:tcPr>
            <w:tcW w:w="1429" w:type="dxa"/>
            <w:shd w:val="clear" w:color="auto" w:fill="auto"/>
          </w:tcPr>
          <w:p w14:paraId="3B54DDDF" w14:textId="77777777" w:rsidR="00052799" w:rsidRPr="00693D92" w:rsidRDefault="00052799" w:rsidP="00871631">
            <w:pPr>
              <w:spacing w:before="60" w:after="60"/>
              <w:jc w:val="center"/>
              <w:rPr>
                <w:sz w:val="18"/>
                <w:szCs w:val="18"/>
              </w:rPr>
            </w:pPr>
            <w:r w:rsidRPr="00693D92">
              <w:rPr>
                <w:sz w:val="18"/>
                <w:szCs w:val="18"/>
              </w:rPr>
              <w:t>0.0</w:t>
            </w:r>
          </w:p>
        </w:tc>
        <w:tc>
          <w:tcPr>
            <w:tcW w:w="1429" w:type="dxa"/>
            <w:shd w:val="clear" w:color="auto" w:fill="auto"/>
          </w:tcPr>
          <w:p w14:paraId="41D0896E" w14:textId="77777777" w:rsidR="00052799" w:rsidRPr="00693D92" w:rsidRDefault="00052799" w:rsidP="00871631">
            <w:pPr>
              <w:spacing w:before="60" w:after="60"/>
              <w:jc w:val="center"/>
              <w:rPr>
                <w:b/>
                <w:sz w:val="18"/>
                <w:szCs w:val="18"/>
              </w:rPr>
            </w:pPr>
            <w:r w:rsidRPr="00693D92">
              <w:rPr>
                <w:b/>
                <w:sz w:val="18"/>
                <w:szCs w:val="18"/>
              </w:rPr>
              <w:t>1.6</w:t>
            </w:r>
          </w:p>
        </w:tc>
      </w:tr>
    </w:tbl>
    <w:p w14:paraId="28B9777E" w14:textId="77777777" w:rsidR="00052799" w:rsidRDefault="00052799" w:rsidP="00052799">
      <w:pPr>
        <w:pStyle w:val="Body"/>
      </w:pPr>
      <w:r>
        <w:t>Based on the positive MCA ratings for four of the options above, each of these non-fee options is considered to advance the objectives of the Act, the RIS proposes to implement all of them. In relation to the one neutral MCA score (for setting the maximum fee for dealers acting as an agent in fee units), stakeholders supported this approach (rather than not setting a maximum fee at all), and as such, while it does not have a positive MCA score, the Department supports it for inclusion in the remade Regulations.</w:t>
      </w:r>
    </w:p>
    <w:p w14:paraId="6E29D50B" w14:textId="77777777" w:rsidR="00052799" w:rsidRDefault="00052799" w:rsidP="00052799">
      <w:pPr>
        <w:pStyle w:val="Heading2"/>
      </w:pPr>
      <w:bookmarkStart w:id="26" w:name="_Toc500505450"/>
      <w:bookmarkStart w:id="27" w:name="_Toc501539145"/>
      <w:r>
        <w:lastRenderedPageBreak/>
        <w:t>Fee options and objectives</w:t>
      </w:r>
      <w:bookmarkEnd w:id="26"/>
      <w:bookmarkEnd w:id="27"/>
    </w:p>
    <w:p w14:paraId="55DEF0A5" w14:textId="14520093" w:rsidR="00052799" w:rsidRDefault="00052799" w:rsidP="00052799">
      <w:pPr>
        <w:pStyle w:val="Body"/>
      </w:pPr>
      <w:r>
        <w:t>As the Regulations set fees for licences, permits and approvals under the Act, allowing them to expire and not remaking them would mean that no fees could be charged. If this occurred, the costs of administering the regulatory framework for firearms licen</w:t>
      </w:r>
      <w:r w:rsidR="00A46349">
        <w:t>c</w:t>
      </w:r>
      <w:r>
        <w:t xml:space="preserve">es would be borne by all taxpayers, whether or not they are involved with the use of firearms. </w:t>
      </w:r>
    </w:p>
    <w:p w14:paraId="64C2C846" w14:textId="77777777" w:rsidR="00052799" w:rsidRDefault="00052799" w:rsidP="00052799">
      <w:pPr>
        <w:pStyle w:val="Body"/>
      </w:pPr>
      <w:r>
        <w:t>General Victorian Government policy is that fees should be set on a ‘full cost recovery’ basis. That means that the whole cost associated with regulating an activity is recovered from the individuals that give rise to or increase the need for regulation. In the case of firearms, it means recovering from licensed users the cost of regulatory efforts to reduce the risks posed by licensed firearms in the community.</w:t>
      </w:r>
    </w:p>
    <w:p w14:paraId="1F8A1992" w14:textId="28ECD614" w:rsidR="00052799" w:rsidRDefault="00052799" w:rsidP="00052799">
      <w:pPr>
        <w:pStyle w:val="Body"/>
      </w:pPr>
      <w:r>
        <w:t xml:space="preserve">In administering the regulatory scheme for firearms, </w:t>
      </w:r>
      <w:r w:rsidRPr="00BA516D">
        <w:t>Victoria Police undertake</w:t>
      </w:r>
      <w:r>
        <w:t>s</w:t>
      </w:r>
      <w:r w:rsidRPr="00BA516D">
        <w:t xml:space="preserve"> a number of compliance and enforcement activities</w:t>
      </w:r>
      <w:r>
        <w:t xml:space="preserve"> to reduce the risks to community safety they pose. This includes carrying out </w:t>
      </w:r>
      <w:r w:rsidRPr="00BA516D">
        <w:t xml:space="preserve">licensing and permit assessments, </w:t>
      </w:r>
      <w:r>
        <w:t>and undertaking</w:t>
      </w:r>
      <w:r w:rsidRPr="00BA516D">
        <w:t xml:space="preserve"> with a range of education, monitoring and enforcement activities, such as the inspection of storage arrangements at dealerships and at premises occupied by firearm owners, to ensure they meet the </w:t>
      </w:r>
      <w:r w:rsidR="00A46349">
        <w:t>legislated</w:t>
      </w:r>
      <w:r w:rsidR="00A46349" w:rsidRPr="00BA516D">
        <w:t xml:space="preserve"> </w:t>
      </w:r>
      <w:r w:rsidRPr="00BA516D">
        <w:t xml:space="preserve">standards. </w:t>
      </w:r>
    </w:p>
    <w:p w14:paraId="1003BE59" w14:textId="77777777" w:rsidR="00052799" w:rsidRPr="00BA516D" w:rsidRDefault="00052799" w:rsidP="00052799">
      <w:pPr>
        <w:pStyle w:val="Heading3"/>
      </w:pPr>
      <w:bookmarkStart w:id="28" w:name="_Toc500505451"/>
      <w:bookmarkStart w:id="29" w:name="_Toc501539146"/>
      <w:r>
        <w:t>The recoverable costs of regulation</w:t>
      </w:r>
      <w:bookmarkEnd w:id="28"/>
      <w:bookmarkEnd w:id="29"/>
    </w:p>
    <w:p w14:paraId="7AAA1AAB" w14:textId="77777777" w:rsidR="00052799" w:rsidRDefault="00052799" w:rsidP="00052799">
      <w:pPr>
        <w:pStyle w:val="Body"/>
      </w:pPr>
      <w:r>
        <w:t>As noted above, t</w:t>
      </w:r>
      <w:r w:rsidRPr="00BA516D">
        <w:t xml:space="preserve">he </w:t>
      </w:r>
      <w:r>
        <w:t>annual cost</w:t>
      </w:r>
      <w:r w:rsidRPr="00BA516D">
        <w:t xml:space="preserve"> of Government activities driven by the </w:t>
      </w:r>
      <w:r>
        <w:t>Regulations</w:t>
      </w:r>
      <w:r w:rsidRPr="00BA516D">
        <w:t xml:space="preserve"> </w:t>
      </w:r>
      <w:r>
        <w:t>are</w:t>
      </w:r>
      <w:r w:rsidRPr="00BA516D">
        <w:t xml:space="preserve"> estimated to have been $13.4m in 2016-17. This includes costs relating to assessment, monitoring and enforcement. </w:t>
      </w:r>
      <w:r>
        <w:t>Under full cost recovery, these costs would be recovered from licence holders and others who participate in the industry.</w:t>
      </w:r>
    </w:p>
    <w:p w14:paraId="6ACE171E" w14:textId="77777777" w:rsidR="00052799" w:rsidRDefault="00052799" w:rsidP="00052799">
      <w:pPr>
        <w:pStyle w:val="Body"/>
      </w:pPr>
      <w:r w:rsidRPr="00077DA0">
        <w:t xml:space="preserve">Decisions about licences, permits and approvals under the Act are the responsibility of the Chief Commissioner of Victoria Police. Alongside this, Victoria Police is responsible for enforcing offences committed under the Act. </w:t>
      </w:r>
    </w:p>
    <w:p w14:paraId="7F59C39E" w14:textId="77777777" w:rsidR="00052799" w:rsidRDefault="00052799" w:rsidP="00052799">
      <w:pPr>
        <w:pStyle w:val="Body"/>
      </w:pPr>
      <w:r>
        <w:t>Costs relating to the regulation of firearms that arise due to the Regulations can be split into two broad categories: costs incurred within Victoria Police’s Licensing and Regulation Division (LRD), on the one hand, and costs incurred across other areas of Victoria Police and government, on the other. The most notable cost incurred outside of LRD relates to the costs of Divisional Firearms Officers, who undertake a range of activities relating to the lawful use of firearms, such as storage inspections and safety training. These costs are summarised in Table 2.</w:t>
      </w:r>
    </w:p>
    <w:p w14:paraId="31B28FFE" w14:textId="785E721D" w:rsidR="00052799" w:rsidRPr="007C2C00" w:rsidRDefault="00052799" w:rsidP="00052799">
      <w:pPr>
        <w:pStyle w:val="Caption"/>
      </w:pPr>
      <w:r>
        <w:t xml:space="preserve">Table </w:t>
      </w:r>
      <w:r w:rsidR="001C7D77">
        <w:rPr>
          <w:noProof/>
        </w:rPr>
        <w:t>2</w:t>
      </w:r>
      <w:r>
        <w:t xml:space="preserve">: </w:t>
      </w:r>
      <w:r w:rsidRPr="007C2C00">
        <w:t>Summary of recoverable costs</w:t>
      </w:r>
    </w:p>
    <w:tbl>
      <w:tblPr>
        <w:tblW w:w="8964" w:type="dxa"/>
        <w:tblInd w:w="817" w:type="dxa"/>
        <w:tblLayout w:type="fixed"/>
        <w:tblLook w:val="04A0" w:firstRow="1" w:lastRow="0" w:firstColumn="1" w:lastColumn="0" w:noHBand="0" w:noVBand="1"/>
        <w:tblCaption w:val="Table 2: Summary of recoverable costs"/>
      </w:tblPr>
      <w:tblGrid>
        <w:gridCol w:w="4428"/>
        <w:gridCol w:w="4536"/>
      </w:tblGrid>
      <w:tr w:rsidR="00052799" w:rsidRPr="00610D49" w14:paraId="2CC62B52" w14:textId="77777777" w:rsidTr="00693D92">
        <w:trPr>
          <w:trHeight w:val="342"/>
        </w:trPr>
        <w:tc>
          <w:tcPr>
            <w:tcW w:w="4428" w:type="dxa"/>
            <w:tcBorders>
              <w:top w:val="nil"/>
              <w:left w:val="nil"/>
              <w:bottom w:val="nil"/>
              <w:right w:val="nil"/>
            </w:tcBorders>
            <w:shd w:val="clear" w:color="auto" w:fill="002060"/>
            <w:noWrap/>
            <w:vAlign w:val="center"/>
            <w:hideMark/>
          </w:tcPr>
          <w:p w14:paraId="2A4AC609" w14:textId="77777777" w:rsidR="00052799" w:rsidRPr="00693D92" w:rsidRDefault="00052799" w:rsidP="00871631">
            <w:pPr>
              <w:pStyle w:val="Tableheading0"/>
              <w:rPr>
                <w:rFonts w:ascii="Arial" w:hAnsi="Arial" w:cs="Arial"/>
                <w:sz w:val="18"/>
                <w:szCs w:val="18"/>
              </w:rPr>
            </w:pPr>
            <w:r w:rsidRPr="00693D92">
              <w:rPr>
                <w:rFonts w:ascii="Arial" w:hAnsi="Arial" w:cs="Arial"/>
                <w:sz w:val="18"/>
                <w:szCs w:val="18"/>
              </w:rPr>
              <w:t>Cost Type</w:t>
            </w:r>
          </w:p>
        </w:tc>
        <w:tc>
          <w:tcPr>
            <w:tcW w:w="4536" w:type="dxa"/>
            <w:tcBorders>
              <w:top w:val="nil"/>
              <w:left w:val="nil"/>
              <w:bottom w:val="nil"/>
              <w:right w:val="nil"/>
            </w:tcBorders>
            <w:shd w:val="clear" w:color="auto" w:fill="002060"/>
            <w:noWrap/>
            <w:vAlign w:val="center"/>
            <w:hideMark/>
          </w:tcPr>
          <w:p w14:paraId="119C1B0B" w14:textId="77777777" w:rsidR="00052799" w:rsidRPr="00693D92" w:rsidRDefault="00052799" w:rsidP="00871631">
            <w:pPr>
              <w:pStyle w:val="Tableheading0"/>
              <w:rPr>
                <w:rFonts w:ascii="Arial" w:hAnsi="Arial" w:cs="Arial"/>
                <w:sz w:val="18"/>
                <w:szCs w:val="18"/>
              </w:rPr>
            </w:pPr>
            <w:r w:rsidRPr="00693D92">
              <w:rPr>
                <w:rFonts w:ascii="Arial" w:hAnsi="Arial" w:cs="Arial"/>
                <w:sz w:val="18"/>
                <w:szCs w:val="18"/>
              </w:rPr>
              <w:t>Total Attributable Costs ($m)</w:t>
            </w:r>
          </w:p>
        </w:tc>
      </w:tr>
      <w:tr w:rsidR="00052799" w:rsidRPr="00610D49" w14:paraId="0AB975AC" w14:textId="77777777" w:rsidTr="00871631">
        <w:trPr>
          <w:trHeight w:val="342"/>
        </w:trPr>
        <w:tc>
          <w:tcPr>
            <w:tcW w:w="4428" w:type="dxa"/>
            <w:tcBorders>
              <w:top w:val="nil"/>
              <w:left w:val="nil"/>
              <w:bottom w:val="nil"/>
              <w:right w:val="nil"/>
            </w:tcBorders>
            <w:shd w:val="clear" w:color="000000" w:fill="FFFFFF"/>
            <w:vAlign w:val="center"/>
            <w:hideMark/>
          </w:tcPr>
          <w:p w14:paraId="4978B6B7" w14:textId="77777777" w:rsidR="00052799" w:rsidRPr="00693D92" w:rsidRDefault="00052799" w:rsidP="00871631">
            <w:pPr>
              <w:pStyle w:val="Tabletext0"/>
              <w:rPr>
                <w:rFonts w:cs="Arial"/>
                <w:sz w:val="18"/>
                <w:szCs w:val="18"/>
              </w:rPr>
            </w:pPr>
            <w:r w:rsidRPr="00693D92">
              <w:rPr>
                <w:sz w:val="18"/>
                <w:szCs w:val="18"/>
              </w:rPr>
              <w:t>Licensing and Regulation Division</w:t>
            </w:r>
            <w:r w:rsidRPr="00693D92" w:rsidDel="00A84841">
              <w:rPr>
                <w:rFonts w:cs="Arial"/>
                <w:sz w:val="18"/>
                <w:szCs w:val="18"/>
              </w:rPr>
              <w:t xml:space="preserve"> </w:t>
            </w:r>
            <w:r w:rsidRPr="00693D92">
              <w:rPr>
                <w:rFonts w:cs="Arial"/>
                <w:sz w:val="18"/>
                <w:szCs w:val="18"/>
              </w:rPr>
              <w:t>Costs</w:t>
            </w:r>
          </w:p>
        </w:tc>
        <w:tc>
          <w:tcPr>
            <w:tcW w:w="4536" w:type="dxa"/>
            <w:tcBorders>
              <w:top w:val="nil"/>
              <w:left w:val="nil"/>
              <w:bottom w:val="nil"/>
              <w:right w:val="nil"/>
            </w:tcBorders>
            <w:shd w:val="clear" w:color="000000" w:fill="FFFFFF"/>
            <w:noWrap/>
            <w:hideMark/>
          </w:tcPr>
          <w:p w14:paraId="370660B9" w14:textId="77777777" w:rsidR="00052799" w:rsidRPr="00693D92" w:rsidRDefault="00052799" w:rsidP="00871631">
            <w:pPr>
              <w:pStyle w:val="Tabletext0"/>
              <w:jc w:val="right"/>
              <w:rPr>
                <w:rFonts w:cs="Arial"/>
                <w:sz w:val="18"/>
                <w:szCs w:val="18"/>
              </w:rPr>
            </w:pPr>
            <w:r w:rsidRPr="00693D92">
              <w:rPr>
                <w:sz w:val="18"/>
                <w:szCs w:val="18"/>
              </w:rPr>
              <w:t xml:space="preserve"> 9.3 </w:t>
            </w:r>
          </w:p>
        </w:tc>
      </w:tr>
      <w:tr w:rsidR="00052799" w:rsidRPr="00610D49" w14:paraId="4400D1EE" w14:textId="77777777" w:rsidTr="00871631">
        <w:trPr>
          <w:trHeight w:val="342"/>
        </w:trPr>
        <w:tc>
          <w:tcPr>
            <w:tcW w:w="4428" w:type="dxa"/>
            <w:tcBorders>
              <w:top w:val="nil"/>
              <w:left w:val="nil"/>
              <w:bottom w:val="nil"/>
              <w:right w:val="nil"/>
            </w:tcBorders>
            <w:shd w:val="clear" w:color="000000" w:fill="FFFFFF"/>
            <w:vAlign w:val="center"/>
            <w:hideMark/>
          </w:tcPr>
          <w:p w14:paraId="07E40082" w14:textId="77777777" w:rsidR="00052799" w:rsidRPr="00693D92" w:rsidRDefault="00052799" w:rsidP="00871631">
            <w:pPr>
              <w:pStyle w:val="Tabletext0"/>
              <w:rPr>
                <w:rFonts w:cs="Arial"/>
                <w:sz w:val="18"/>
                <w:szCs w:val="18"/>
              </w:rPr>
            </w:pPr>
            <w:r w:rsidRPr="00693D92">
              <w:rPr>
                <w:rFonts w:cs="Arial"/>
                <w:sz w:val="18"/>
                <w:szCs w:val="18"/>
              </w:rPr>
              <w:t>Non -</w:t>
            </w:r>
            <w:r w:rsidRPr="00693D92">
              <w:rPr>
                <w:sz w:val="18"/>
                <w:szCs w:val="18"/>
              </w:rPr>
              <w:t xml:space="preserve"> Licensing and Regulation Division</w:t>
            </w:r>
            <w:r w:rsidRPr="00693D92" w:rsidDel="00A84841">
              <w:rPr>
                <w:rFonts w:cs="Arial"/>
                <w:sz w:val="18"/>
                <w:szCs w:val="18"/>
              </w:rPr>
              <w:t xml:space="preserve"> </w:t>
            </w:r>
            <w:r w:rsidRPr="00693D92">
              <w:rPr>
                <w:rFonts w:cs="Arial"/>
                <w:sz w:val="18"/>
                <w:szCs w:val="18"/>
              </w:rPr>
              <w:t>Costs</w:t>
            </w:r>
          </w:p>
        </w:tc>
        <w:tc>
          <w:tcPr>
            <w:tcW w:w="4536" w:type="dxa"/>
            <w:tcBorders>
              <w:top w:val="nil"/>
              <w:left w:val="nil"/>
              <w:bottom w:val="nil"/>
              <w:right w:val="nil"/>
            </w:tcBorders>
            <w:shd w:val="clear" w:color="000000" w:fill="FFFFFF"/>
            <w:noWrap/>
            <w:hideMark/>
          </w:tcPr>
          <w:p w14:paraId="50F43778" w14:textId="77777777" w:rsidR="00052799" w:rsidRPr="00693D92" w:rsidRDefault="00052799" w:rsidP="00871631">
            <w:pPr>
              <w:pStyle w:val="Tabletext0"/>
              <w:jc w:val="right"/>
              <w:rPr>
                <w:rFonts w:cs="Arial"/>
                <w:sz w:val="18"/>
                <w:szCs w:val="18"/>
              </w:rPr>
            </w:pPr>
            <w:r w:rsidRPr="00693D92">
              <w:rPr>
                <w:sz w:val="18"/>
                <w:szCs w:val="18"/>
              </w:rPr>
              <w:t xml:space="preserve"> 4.1 </w:t>
            </w:r>
          </w:p>
        </w:tc>
      </w:tr>
      <w:tr w:rsidR="00052799" w:rsidRPr="00610D49" w14:paraId="0E7B49E7" w14:textId="77777777" w:rsidTr="00871631">
        <w:trPr>
          <w:trHeight w:val="342"/>
        </w:trPr>
        <w:tc>
          <w:tcPr>
            <w:tcW w:w="4428" w:type="dxa"/>
            <w:tcBorders>
              <w:top w:val="nil"/>
              <w:left w:val="nil"/>
              <w:bottom w:val="nil"/>
              <w:right w:val="nil"/>
            </w:tcBorders>
            <w:shd w:val="clear" w:color="000000" w:fill="FFFFFF"/>
            <w:vAlign w:val="bottom"/>
            <w:hideMark/>
          </w:tcPr>
          <w:p w14:paraId="6E828168" w14:textId="77777777" w:rsidR="00052799" w:rsidRPr="00693D92" w:rsidRDefault="00052799" w:rsidP="00871631">
            <w:pPr>
              <w:pStyle w:val="Body"/>
              <w:ind w:left="0"/>
              <w:jc w:val="both"/>
              <w:rPr>
                <w:b/>
                <w:sz w:val="18"/>
                <w:szCs w:val="18"/>
              </w:rPr>
            </w:pPr>
            <w:r w:rsidRPr="00693D92">
              <w:rPr>
                <w:b/>
                <w:sz w:val="18"/>
                <w:szCs w:val="18"/>
              </w:rPr>
              <w:t>Total</w:t>
            </w:r>
          </w:p>
        </w:tc>
        <w:tc>
          <w:tcPr>
            <w:tcW w:w="4536" w:type="dxa"/>
            <w:tcBorders>
              <w:top w:val="nil"/>
              <w:left w:val="nil"/>
              <w:bottom w:val="nil"/>
              <w:right w:val="nil"/>
            </w:tcBorders>
            <w:shd w:val="clear" w:color="000000" w:fill="FFFFFF"/>
            <w:noWrap/>
            <w:hideMark/>
          </w:tcPr>
          <w:p w14:paraId="1FAB6CD7" w14:textId="77777777" w:rsidR="00052799" w:rsidRPr="00693D92" w:rsidRDefault="00052799" w:rsidP="00871631">
            <w:pPr>
              <w:pStyle w:val="Body"/>
              <w:jc w:val="right"/>
              <w:rPr>
                <w:b/>
                <w:sz w:val="18"/>
                <w:szCs w:val="18"/>
              </w:rPr>
            </w:pPr>
            <w:r w:rsidRPr="00693D92">
              <w:rPr>
                <w:b/>
                <w:sz w:val="18"/>
                <w:szCs w:val="18"/>
              </w:rPr>
              <w:t xml:space="preserve"> 13.4 </w:t>
            </w:r>
          </w:p>
        </w:tc>
      </w:tr>
    </w:tbl>
    <w:p w14:paraId="2ACED592" w14:textId="137ACA6A" w:rsidR="00052799" w:rsidRDefault="00052799" w:rsidP="00052799">
      <w:pPr>
        <w:pStyle w:val="Body"/>
      </w:pPr>
      <w:r>
        <w:t xml:space="preserve">Not all costs incurred by Victoria Police that relate to firearms are included in the recoverable cost base. Activities that are part of general policing, such as </w:t>
      </w:r>
      <w:r w:rsidRPr="00385416">
        <w:t>the costs of responding to firearm thefts, training to respond to ‘active shooter’ incidents, and responding to v</w:t>
      </w:r>
      <w:r>
        <w:t xml:space="preserve">iolent crime involving firearms, are not included </w:t>
      </w:r>
      <w:r w:rsidRPr="00385416">
        <w:t>in the set of costs sought to be recovered from firearms licensees</w:t>
      </w:r>
      <w:r>
        <w:t xml:space="preserve">. </w:t>
      </w:r>
      <w:r w:rsidRPr="00385416">
        <w:t>The reason that these costs have not been included in the recoverable cost base is that while th</w:t>
      </w:r>
      <w:r>
        <w:t xml:space="preserve">ey relate to firearms, for the most part </w:t>
      </w:r>
      <w:r w:rsidRPr="00385416">
        <w:t>these costs are driven by illegally possessed firearms or criminals more generally</w:t>
      </w:r>
      <w:r>
        <w:t xml:space="preserve">. </w:t>
      </w:r>
      <w:r w:rsidRPr="00385416">
        <w:t xml:space="preserve">While it is possible that a very small amount of these costs could be attributed to firearms licence holders, it is very difficult to disentangle </w:t>
      </w:r>
      <w:r w:rsidR="00A46349">
        <w:t>the</w:t>
      </w:r>
      <w:r w:rsidR="00A46349" w:rsidRPr="00385416">
        <w:t xml:space="preserve"> </w:t>
      </w:r>
      <w:r w:rsidRPr="00385416">
        <w:t>cost</w:t>
      </w:r>
      <w:r w:rsidR="00A46349">
        <w:t>s</w:t>
      </w:r>
      <w:r w:rsidRPr="00385416">
        <w:t xml:space="preserve"> drive</w:t>
      </w:r>
      <w:r w:rsidR="00A46349">
        <w:t>n</w:t>
      </w:r>
      <w:r w:rsidRPr="00385416">
        <w:t xml:space="preserve"> specifically </w:t>
      </w:r>
      <w:r w:rsidR="00A46349">
        <w:t>by</w:t>
      </w:r>
      <w:r w:rsidRPr="00385416">
        <w:t xml:space="preserve"> firearms licensees</w:t>
      </w:r>
      <w:r>
        <w:t>—therefore, these costs are not sought to be recovered.</w:t>
      </w:r>
    </w:p>
    <w:p w14:paraId="5BE413C9" w14:textId="77777777" w:rsidR="00052799" w:rsidRDefault="00052799" w:rsidP="00052799">
      <w:pPr>
        <w:pStyle w:val="Heading3"/>
      </w:pPr>
      <w:bookmarkStart w:id="30" w:name="_Toc500505452"/>
      <w:bookmarkStart w:id="31" w:name="_Toc501539147"/>
      <w:r>
        <w:t>Objectives of cost recovery</w:t>
      </w:r>
      <w:bookmarkEnd w:id="30"/>
      <w:bookmarkEnd w:id="31"/>
    </w:p>
    <w:p w14:paraId="57D7E660" w14:textId="491F3679" w:rsidR="00052799" w:rsidRDefault="00052799" w:rsidP="00052799">
      <w:pPr>
        <w:pStyle w:val="Body"/>
      </w:pPr>
      <w:r>
        <w:t xml:space="preserve">As noted above, the Victorian Government’s </w:t>
      </w:r>
      <w:r w:rsidRPr="000458EE">
        <w:rPr>
          <w:i/>
        </w:rPr>
        <w:t>Cost Recovery Guidelines</w:t>
      </w:r>
      <w:r>
        <w:t xml:space="preserve"> (2013), published by the Department of Treasury and Finance, state that the </w:t>
      </w:r>
      <w:r w:rsidR="00A46349">
        <w:t xml:space="preserve">Government’s </w:t>
      </w:r>
      <w:r w:rsidRPr="000458EE">
        <w:t>default position with regard to the costs of a regulatory scheme is full cost recovery</w:t>
      </w:r>
      <w:r>
        <w:t>.</w:t>
      </w:r>
    </w:p>
    <w:p w14:paraId="10ADE158" w14:textId="77777777" w:rsidR="00052799" w:rsidRDefault="00052799" w:rsidP="00052799">
      <w:pPr>
        <w:pStyle w:val="Body"/>
      </w:pPr>
      <w:r>
        <w:t>In relation to the regulation of firearms, full cost recovery means:</w:t>
      </w:r>
    </w:p>
    <w:p w14:paraId="79AAB918" w14:textId="23276006" w:rsidR="00052799" w:rsidRDefault="00A46349" w:rsidP="00052799">
      <w:pPr>
        <w:pStyle w:val="Bulletnormal"/>
        <w:tabs>
          <w:tab w:val="clear" w:pos="283"/>
        </w:tabs>
      </w:pPr>
      <w:r>
        <w:t>not seeking that</w:t>
      </w:r>
      <w:r w:rsidR="00052799" w:rsidRPr="000458EE">
        <w:t xml:space="preserve"> all taxpayers </w:t>
      </w:r>
      <w:r>
        <w:t>cover</w:t>
      </w:r>
      <w:r w:rsidR="00052799" w:rsidRPr="000458EE">
        <w:t xml:space="preserve"> the costs associated with regulating the firearms industry and firearms owners</w:t>
      </w:r>
      <w:r w:rsidR="00052799">
        <w:t>,</w:t>
      </w:r>
      <w:r w:rsidR="00052799" w:rsidRPr="000458EE">
        <w:t xml:space="preserve"> regardless of whether or not they contribute to the need for Government activity in this area</w:t>
      </w:r>
      <w:r w:rsidR="00052799">
        <w:t>, and</w:t>
      </w:r>
    </w:p>
    <w:p w14:paraId="258BBC8A" w14:textId="389B7982" w:rsidR="00052799" w:rsidRDefault="00052799" w:rsidP="00052799">
      <w:pPr>
        <w:pStyle w:val="Bulletnormal"/>
        <w:tabs>
          <w:tab w:val="clear" w:pos="283"/>
        </w:tabs>
      </w:pPr>
      <w:r>
        <w:t>ensur</w:t>
      </w:r>
      <w:r w:rsidR="00A46349">
        <w:t>ing</w:t>
      </w:r>
      <w:r>
        <w:t xml:space="preserve"> that fees </w:t>
      </w:r>
      <w:r w:rsidRPr="000458EE">
        <w:t>reflect differences in the extent of necessary regulatory activity conducted by Victoria Police in relation to different user groups. That is, groups that generate a larger amount of activity by the regulator attract a higher fee, and are not cross-subsidised by user groups whose activities require less regulatory activity</w:t>
      </w:r>
      <w:r>
        <w:t>.</w:t>
      </w:r>
    </w:p>
    <w:p w14:paraId="7CCCC67B" w14:textId="77777777" w:rsidR="00052799" w:rsidRDefault="00052799" w:rsidP="00052799">
      <w:pPr>
        <w:pStyle w:val="Body"/>
      </w:pPr>
      <w:r>
        <w:t xml:space="preserve">Although there are grounds for departing from full cost recovery in certain circumstances, the RIS concludes that, </w:t>
      </w:r>
      <w:r w:rsidRPr="000458EE">
        <w:t xml:space="preserve">in principle, pursuing full cost recovery is warranted for firearms regulation. However, </w:t>
      </w:r>
      <w:r>
        <w:t xml:space="preserve">it also concludes, as discussed below, that </w:t>
      </w:r>
      <w:r w:rsidRPr="000458EE">
        <w:t xml:space="preserve">there may be cause to under-recover in the case of specific licence or permit types that are closely related with positive </w:t>
      </w:r>
      <w:r>
        <w:t xml:space="preserve">benefits for the broader community </w:t>
      </w:r>
      <w:r w:rsidRPr="000458EE">
        <w:t xml:space="preserve">(such as </w:t>
      </w:r>
      <w:r>
        <w:t xml:space="preserve">supporting </w:t>
      </w:r>
      <w:r w:rsidRPr="000458EE">
        <w:t xml:space="preserve">pest control) or </w:t>
      </w:r>
      <w:r>
        <w:t xml:space="preserve">achieving other </w:t>
      </w:r>
      <w:r w:rsidRPr="000458EE">
        <w:t>government policy objectives</w:t>
      </w:r>
      <w:r>
        <w:t>.</w:t>
      </w:r>
    </w:p>
    <w:p w14:paraId="56E76068" w14:textId="77777777" w:rsidR="00052799" w:rsidRPr="003B590D" w:rsidRDefault="00052799" w:rsidP="00052799">
      <w:pPr>
        <w:pStyle w:val="Heading3"/>
      </w:pPr>
      <w:bookmarkStart w:id="32" w:name="_Toc500505453"/>
      <w:bookmarkStart w:id="33" w:name="_Toc501539148"/>
      <w:r w:rsidRPr="003B590D">
        <w:t>Cost recovery under the current fee structure</w:t>
      </w:r>
      <w:bookmarkEnd w:id="32"/>
      <w:bookmarkEnd w:id="33"/>
    </w:p>
    <w:p w14:paraId="056A5C36" w14:textId="40834600" w:rsidR="00052799" w:rsidRDefault="00052799" w:rsidP="00052799">
      <w:pPr>
        <w:pStyle w:val="Body"/>
      </w:pPr>
      <w:r>
        <w:t>As noted above, a</w:t>
      </w:r>
      <w:r w:rsidRPr="003B590D">
        <w:t>n Activity Based Costing (ABC) conducted in 2017 of the activities undertaken by Victoria Police</w:t>
      </w:r>
      <w:r w:rsidR="00A65F08">
        <w:t>, particularly its Licensing and Regulation Division,</w:t>
      </w:r>
      <w:r w:rsidRPr="003B590D">
        <w:t xml:space="preserve"> in the regulation of firearms, private security, and weapons in Victoria, estimated </w:t>
      </w:r>
      <w:r>
        <w:t xml:space="preserve">that the </w:t>
      </w:r>
      <w:r w:rsidRPr="003B590D">
        <w:t xml:space="preserve">annual costs </w:t>
      </w:r>
      <w:r>
        <w:t>attributable to</w:t>
      </w:r>
      <w:r w:rsidR="00A46349">
        <w:t xml:space="preserve"> the regulation of</w:t>
      </w:r>
      <w:r>
        <w:t xml:space="preserve"> firearms were $13.4 </w:t>
      </w:r>
      <w:r w:rsidRPr="003B590D">
        <w:t>million in 2016</w:t>
      </w:r>
      <w:r w:rsidR="00A46349">
        <w:t>–</w:t>
      </w:r>
      <w:r w:rsidRPr="003B590D">
        <w:t xml:space="preserve">17. </w:t>
      </w:r>
      <w:r>
        <w:t>R</w:t>
      </w:r>
      <w:r w:rsidRPr="003B590D">
        <w:t>evenue data show that the existing firearm fee scheme recovered $10.3 million in 2016</w:t>
      </w:r>
      <w:r w:rsidR="00A46349">
        <w:t>–</w:t>
      </w:r>
      <w:r w:rsidRPr="003B590D">
        <w:t>17. This under recovery is in large part due to the</w:t>
      </w:r>
      <w:r>
        <w:t xml:space="preserve"> ‘</w:t>
      </w:r>
      <w:r w:rsidRPr="003B590D">
        <w:t>primary production</w:t>
      </w:r>
      <w:r>
        <w:t>’</w:t>
      </w:r>
      <w:r w:rsidRPr="003B590D">
        <w:t xml:space="preserve"> fee waiver.  The analysis of the fees also identified a number of cross subsidies between different l</w:t>
      </w:r>
      <w:r>
        <w:t>icence categories</w:t>
      </w:r>
      <w:r w:rsidRPr="003B590D">
        <w:t>.</w:t>
      </w:r>
    </w:p>
    <w:p w14:paraId="5C6042B5" w14:textId="77777777" w:rsidR="00052799" w:rsidRDefault="00052799" w:rsidP="00052799">
      <w:pPr>
        <w:pStyle w:val="Heading3"/>
      </w:pPr>
      <w:bookmarkStart w:id="34" w:name="_Toc500505454"/>
      <w:bookmarkStart w:id="35" w:name="_Toc501539149"/>
      <w:r>
        <w:t>Approach to setting fees</w:t>
      </w:r>
      <w:bookmarkEnd w:id="34"/>
      <w:bookmarkEnd w:id="35"/>
    </w:p>
    <w:p w14:paraId="73EBF158" w14:textId="3A066FB9" w:rsidR="00052799" w:rsidRPr="00BA516D" w:rsidRDefault="00A46349" w:rsidP="00052799">
      <w:pPr>
        <w:pStyle w:val="Body"/>
      </w:pPr>
      <w:r>
        <w:t>As noted above, t</w:t>
      </w:r>
      <w:r w:rsidR="00052799" w:rsidRPr="00BA516D">
        <w:t xml:space="preserve">hese regulations set fees to recover the costs of processing, providing and regulating licences and permits for firearms. In reviewing the costs of these activities as part of the sunsetting process, the Department has sought to set fees that </w:t>
      </w:r>
      <w:r w:rsidR="00052799">
        <w:t xml:space="preserve">are consistent with </w:t>
      </w:r>
      <w:r w:rsidR="00052799" w:rsidRPr="00BA516D">
        <w:t>the Cost Recovery Guidelines</w:t>
      </w:r>
      <w:r>
        <w:t>,</w:t>
      </w:r>
      <w:r w:rsidR="00052799" w:rsidRPr="00BA516D">
        <w:t xml:space="preserve"> while also avoiding any substantial increase in </w:t>
      </w:r>
      <w:r>
        <w:t>individual</w:t>
      </w:r>
      <w:r w:rsidR="00052799" w:rsidRPr="00BA516D">
        <w:t xml:space="preserve"> fee</w:t>
      </w:r>
      <w:r>
        <w:t>s</w:t>
      </w:r>
      <w:r w:rsidR="00052799" w:rsidRPr="00BA516D">
        <w:t xml:space="preserve"> or introduction of any large new fees. The Department’s view is that any substantial increase in </w:t>
      </w:r>
      <w:r>
        <w:t>individual</w:t>
      </w:r>
      <w:r w:rsidR="00052799" w:rsidRPr="00BA516D">
        <w:t xml:space="preserve"> fee</w:t>
      </w:r>
      <w:r>
        <w:t>s</w:t>
      </w:r>
      <w:r w:rsidR="00052799" w:rsidRPr="00BA516D">
        <w:t xml:space="preserve"> or the introduction of a</w:t>
      </w:r>
      <w:r>
        <w:t>ny</w:t>
      </w:r>
      <w:r w:rsidR="00052799" w:rsidRPr="00BA516D">
        <w:t xml:space="preserve"> large new fee</w:t>
      </w:r>
      <w:r>
        <w:t>s</w:t>
      </w:r>
      <w:r w:rsidR="00052799" w:rsidRPr="00BA516D">
        <w:t xml:space="preserve"> would risk increasing non-compliance.</w:t>
      </w:r>
    </w:p>
    <w:p w14:paraId="3D96A3C5" w14:textId="77777777" w:rsidR="00052799" w:rsidRPr="00BA516D" w:rsidRDefault="00052799" w:rsidP="00052799">
      <w:pPr>
        <w:pStyle w:val="Body"/>
      </w:pPr>
      <w:r>
        <w:t>The</w:t>
      </w:r>
      <w:r w:rsidRPr="00BA516D">
        <w:t xml:space="preserve"> approach to preparing this RIS has therefore been to:</w:t>
      </w:r>
    </w:p>
    <w:p w14:paraId="57159E7F" w14:textId="24CFA147" w:rsidR="00052799" w:rsidRPr="00BA516D" w:rsidRDefault="00052799" w:rsidP="00052799">
      <w:pPr>
        <w:pStyle w:val="Bulletnormal"/>
        <w:tabs>
          <w:tab w:val="clear" w:pos="283"/>
        </w:tabs>
      </w:pPr>
      <w:r>
        <w:t xml:space="preserve">have </w:t>
      </w:r>
      <w:r w:rsidRPr="00BA516D">
        <w:t>a detailed review of the cost of regulating firearms in Victoria</w:t>
      </w:r>
      <w:r>
        <w:t xml:space="preserve"> undertaken</w:t>
      </w:r>
    </w:p>
    <w:p w14:paraId="736E577C" w14:textId="4C6ADADD" w:rsidR="00052799" w:rsidRPr="00BA516D" w:rsidRDefault="00052799" w:rsidP="00052799">
      <w:pPr>
        <w:pStyle w:val="Bulletnormal"/>
        <w:tabs>
          <w:tab w:val="clear" w:pos="283"/>
        </w:tabs>
      </w:pPr>
      <w:r w:rsidRPr="00BA516D">
        <w:t xml:space="preserve">consider what setting fees to fully recover the cost of each regulated activity would </w:t>
      </w:r>
      <w:r w:rsidR="00A46349">
        <w:t>involve</w:t>
      </w:r>
    </w:p>
    <w:p w14:paraId="6B1F18B8" w14:textId="551B8E6D" w:rsidR="00052799" w:rsidRPr="00BA516D" w:rsidRDefault="00052799" w:rsidP="00052799">
      <w:pPr>
        <w:pStyle w:val="Bulletnormal"/>
        <w:tabs>
          <w:tab w:val="clear" w:pos="283"/>
        </w:tabs>
      </w:pPr>
      <w:r w:rsidRPr="00BA516D">
        <w:t xml:space="preserve">keep current fees or waive fees where the Department has a </w:t>
      </w:r>
      <w:r>
        <w:t xml:space="preserve">policy </w:t>
      </w:r>
      <w:r w:rsidR="004A4E55">
        <w:t>rationale for doing so,</w:t>
      </w:r>
      <w:r w:rsidRPr="00BA516D">
        <w:t xml:space="preserve"> and</w:t>
      </w:r>
    </w:p>
    <w:p w14:paraId="2304419B" w14:textId="77777777" w:rsidR="00052799" w:rsidRPr="00BA516D" w:rsidRDefault="00052799" w:rsidP="00052799">
      <w:pPr>
        <w:pStyle w:val="Bulletnormal"/>
        <w:tabs>
          <w:tab w:val="clear" w:pos="283"/>
        </w:tabs>
      </w:pPr>
      <w:r w:rsidRPr="00BA516D">
        <w:t xml:space="preserve">limit the increase in all other fee categories to </w:t>
      </w:r>
      <w:r>
        <w:t>half</w:t>
      </w:r>
      <w:r w:rsidRPr="00BA516D">
        <w:t xml:space="preserve"> of the increase that would occur if full cost recovery</w:t>
      </w:r>
      <w:r>
        <w:t xml:space="preserve"> were pursued</w:t>
      </w:r>
      <w:r w:rsidRPr="00BA516D">
        <w:t>, with the reduction in recovery funded by keeping current fee levels for fee categories that would decrease only marginally under full cost recovery.</w:t>
      </w:r>
    </w:p>
    <w:p w14:paraId="7555AD66" w14:textId="77777777" w:rsidR="00052799" w:rsidRPr="00EA6C74" w:rsidRDefault="00052799" w:rsidP="00052799">
      <w:pPr>
        <w:pStyle w:val="Body"/>
      </w:pPr>
      <w:r w:rsidRPr="00EA6C74">
        <w:t>The outcome of this approach is that the proposed regulations under-recover the total costs of activities associated with licences and permits for firearms because they:</w:t>
      </w:r>
    </w:p>
    <w:p w14:paraId="72EA16F1" w14:textId="695D6680" w:rsidR="00052799" w:rsidRPr="00BA516D" w:rsidRDefault="00052799" w:rsidP="00052799">
      <w:pPr>
        <w:pStyle w:val="Bulletnormal"/>
        <w:tabs>
          <w:tab w:val="clear" w:pos="283"/>
        </w:tabs>
      </w:pPr>
      <w:r w:rsidRPr="00BA516D">
        <w:t>keep several fees (for junior licences, provisional licences and review of decisions) set at current levels, resulting in the under-recover</w:t>
      </w:r>
      <w:r w:rsidR="004A4E55">
        <w:t>y of costs of $640,000 per year</w:t>
      </w:r>
    </w:p>
    <w:p w14:paraId="197F032E" w14:textId="01B4E095" w:rsidR="00052799" w:rsidRPr="00BA516D" w:rsidRDefault="00052799" w:rsidP="00052799">
      <w:pPr>
        <w:pStyle w:val="Bulletnormal"/>
        <w:tabs>
          <w:tab w:val="clear" w:pos="283"/>
        </w:tabs>
      </w:pPr>
      <w:r w:rsidRPr="00BA516D">
        <w:t xml:space="preserve">retain the waiver for primary production licences, resulting in the under-recovery </w:t>
      </w:r>
      <w:r w:rsidR="004A4E55">
        <w:t>of costs of $2 million per year</w:t>
      </w:r>
    </w:p>
    <w:p w14:paraId="38A9B748" w14:textId="27407A08" w:rsidR="00052799" w:rsidRPr="00BA516D" w:rsidRDefault="00052799" w:rsidP="00052799">
      <w:pPr>
        <w:pStyle w:val="Bulletnormal"/>
        <w:tabs>
          <w:tab w:val="clear" w:pos="283"/>
        </w:tabs>
      </w:pPr>
      <w:r w:rsidRPr="00BA516D">
        <w:t>introduce a new discount for pensioners and the aged, resulting in the under-recovery of costs of around $</w:t>
      </w:r>
      <w:r>
        <w:t>4</w:t>
      </w:r>
      <w:r w:rsidR="004A4E55">
        <w:t>30,000 per year,</w:t>
      </w:r>
      <w:r w:rsidRPr="00BA516D">
        <w:t xml:space="preserve"> and</w:t>
      </w:r>
    </w:p>
    <w:p w14:paraId="61E90824" w14:textId="77777777" w:rsidR="00052799" w:rsidRPr="00BA516D" w:rsidRDefault="00052799" w:rsidP="00052799">
      <w:pPr>
        <w:pStyle w:val="Bulletnormal"/>
        <w:tabs>
          <w:tab w:val="clear" w:pos="283"/>
        </w:tabs>
      </w:pPr>
      <w:r w:rsidRPr="00BA516D">
        <w:t xml:space="preserve">limit any increase in any fee to only </w:t>
      </w:r>
      <w:r>
        <w:t>half</w:t>
      </w:r>
      <w:r w:rsidRPr="00BA516D">
        <w:t xml:space="preserve"> of the increase that would occur if full cost recovery</w:t>
      </w:r>
      <w:r>
        <w:t xml:space="preserve"> were pursued</w:t>
      </w:r>
      <w:r w:rsidRPr="00BA516D">
        <w:t>, resulting in the under</w:t>
      </w:r>
      <w:r>
        <w:t>-recovery of costs of around $85</w:t>
      </w:r>
      <w:r w:rsidRPr="00BA516D">
        <w:t>0,000 per year</w:t>
      </w:r>
      <w:r>
        <w:t>.</w:t>
      </w:r>
    </w:p>
    <w:p w14:paraId="43EA35C1" w14:textId="77777777" w:rsidR="00052799" w:rsidRPr="00BA516D" w:rsidRDefault="00052799" w:rsidP="00052799">
      <w:pPr>
        <w:pStyle w:val="Body"/>
      </w:pPr>
      <w:r w:rsidRPr="00BA516D">
        <w:t>In total, annual revenue falls short</w:t>
      </w:r>
      <w:r>
        <w:t xml:space="preserve"> of annual costs by around $3,92</w:t>
      </w:r>
      <w:r w:rsidRPr="00BA516D">
        <w:t>0,000. This shortfall could be funded either through consolidated revenue (in which case the cost would be borne by all Victorians), or by charging more than the cost of some activities to some firearms users (which would constitute cross-subsidisation between users). Either of these options results in the costs of activities undertaken for some regulated parties being funded by those who do not give rise to or directly benefit from the regulatory activity.</w:t>
      </w:r>
    </w:p>
    <w:p w14:paraId="0B1CFD71" w14:textId="77777777" w:rsidR="00052799" w:rsidRPr="00BA516D" w:rsidRDefault="00052799" w:rsidP="00052799">
      <w:pPr>
        <w:pStyle w:val="Body"/>
      </w:pPr>
      <w:r w:rsidRPr="00BA516D">
        <w:t xml:space="preserve">The proposed regulations fund this shortfall through a mix of continued over-recovery for some fees and funding through consolidated revenue. </w:t>
      </w:r>
    </w:p>
    <w:p w14:paraId="723380BC" w14:textId="77777777" w:rsidR="00052799" w:rsidRDefault="00052799" w:rsidP="00052799">
      <w:pPr>
        <w:pStyle w:val="Body"/>
      </w:pPr>
      <w:r w:rsidRPr="00BA516D">
        <w:t xml:space="preserve">The activity-based costing for this RIS found that ten different fees are currently set above the cost of </w:t>
      </w:r>
      <w:r>
        <w:t>a specific activity (see the following table</w:t>
      </w:r>
      <w:r w:rsidRPr="00BA516D">
        <w:t>). The level of over-recovery ranged from around $2 (for an individual licence for a Category A longarm) to $287 (for a business licence for a Category 1 firearms collector or for an antique handgun collector). Across all ten fees the total amount over-re</w:t>
      </w:r>
      <w:r>
        <w:t>covered per year is around $1.31</w:t>
      </w:r>
      <w:r w:rsidRPr="00BA516D">
        <w:t xml:space="preserve"> million. Almost all of this over recovery (approximately $1.30m) results from over-recovery in relation to category A and B longarm licences.</w:t>
      </w:r>
    </w:p>
    <w:p w14:paraId="3CDE9E57" w14:textId="77777777" w:rsidR="00052799" w:rsidRPr="00BA516D" w:rsidRDefault="00052799" w:rsidP="00052799">
      <w:pPr>
        <w:pStyle w:val="Body"/>
      </w:pPr>
    </w:p>
    <w:p w14:paraId="436D34C4" w14:textId="4D5D17F5" w:rsidR="00052799" w:rsidRPr="007C2C00" w:rsidRDefault="00052799" w:rsidP="00052799">
      <w:pPr>
        <w:pStyle w:val="Caption"/>
      </w:pPr>
      <w:r>
        <w:t xml:space="preserve">Table </w:t>
      </w:r>
      <w:r w:rsidR="001C7D77">
        <w:rPr>
          <w:noProof/>
        </w:rPr>
        <w:t>3</w:t>
      </w:r>
      <w:r>
        <w:t xml:space="preserve">: </w:t>
      </w:r>
      <w:r w:rsidRPr="007C2C00">
        <w:t>Fees that currently over-recover costs of activities</w:t>
      </w:r>
    </w:p>
    <w:tbl>
      <w:tblPr>
        <w:tblW w:w="8755" w:type="dxa"/>
        <w:jc w:val="center"/>
        <w:tblBorders>
          <w:top w:val="single" w:sz="4" w:space="0" w:color="C9C9C9"/>
          <w:bottom w:val="single" w:sz="4" w:space="0" w:color="C9C9C9"/>
          <w:insideH w:val="single" w:sz="4" w:space="0" w:color="C9C9C9"/>
        </w:tblBorders>
        <w:tblLayout w:type="fixed"/>
        <w:tblCellMar>
          <w:left w:w="57" w:type="dxa"/>
          <w:right w:w="57" w:type="dxa"/>
        </w:tblCellMar>
        <w:tblLook w:val="04A0" w:firstRow="1" w:lastRow="0" w:firstColumn="1" w:lastColumn="0" w:noHBand="0" w:noVBand="1"/>
        <w:tblCaption w:val="Table 3: Fees that currently over-recover costs of activities"/>
      </w:tblPr>
      <w:tblGrid>
        <w:gridCol w:w="2943"/>
        <w:gridCol w:w="1937"/>
        <w:gridCol w:w="1937"/>
        <w:gridCol w:w="1938"/>
      </w:tblGrid>
      <w:tr w:rsidR="00052799" w:rsidRPr="004E08DA" w14:paraId="5AB4895D" w14:textId="77777777" w:rsidTr="00693D92">
        <w:trPr>
          <w:trHeight w:val="309"/>
          <w:jc w:val="center"/>
        </w:trPr>
        <w:tc>
          <w:tcPr>
            <w:tcW w:w="2943" w:type="dxa"/>
            <w:shd w:val="clear" w:color="auto" w:fill="002060"/>
            <w:noWrap/>
          </w:tcPr>
          <w:p w14:paraId="4F8E0FC7" w14:textId="77777777" w:rsidR="00052799" w:rsidRPr="00693D92" w:rsidRDefault="00052799" w:rsidP="00871631">
            <w:pPr>
              <w:spacing w:before="60" w:after="60"/>
              <w:jc w:val="center"/>
              <w:rPr>
                <w:b/>
                <w:sz w:val="18"/>
                <w:szCs w:val="18"/>
              </w:rPr>
            </w:pPr>
            <w:r w:rsidRPr="00693D92">
              <w:rPr>
                <w:b/>
                <w:sz w:val="18"/>
                <w:szCs w:val="18"/>
              </w:rPr>
              <w:t>Activity</w:t>
            </w:r>
          </w:p>
        </w:tc>
        <w:tc>
          <w:tcPr>
            <w:tcW w:w="1937" w:type="dxa"/>
            <w:shd w:val="clear" w:color="auto" w:fill="002060"/>
            <w:noWrap/>
          </w:tcPr>
          <w:p w14:paraId="18003790" w14:textId="77777777" w:rsidR="00052799" w:rsidRPr="00693D92" w:rsidRDefault="00052799" w:rsidP="00871631">
            <w:pPr>
              <w:spacing w:before="60" w:after="60"/>
              <w:jc w:val="center"/>
              <w:rPr>
                <w:b/>
                <w:sz w:val="18"/>
                <w:szCs w:val="18"/>
              </w:rPr>
            </w:pPr>
            <w:r w:rsidRPr="00693D92">
              <w:rPr>
                <w:b/>
                <w:sz w:val="18"/>
                <w:szCs w:val="18"/>
              </w:rPr>
              <w:t>Current fee</w:t>
            </w:r>
          </w:p>
        </w:tc>
        <w:tc>
          <w:tcPr>
            <w:tcW w:w="1937" w:type="dxa"/>
            <w:shd w:val="clear" w:color="auto" w:fill="002060"/>
            <w:noWrap/>
          </w:tcPr>
          <w:p w14:paraId="5B6042DD" w14:textId="77777777" w:rsidR="00052799" w:rsidRPr="00693D92" w:rsidRDefault="00052799" w:rsidP="00871631">
            <w:pPr>
              <w:spacing w:before="60" w:after="60"/>
              <w:jc w:val="center"/>
              <w:rPr>
                <w:b/>
                <w:sz w:val="18"/>
                <w:szCs w:val="18"/>
              </w:rPr>
            </w:pPr>
            <w:r w:rsidRPr="00693D92">
              <w:rPr>
                <w:b/>
                <w:sz w:val="18"/>
                <w:szCs w:val="18"/>
              </w:rPr>
              <w:t>Cost of activity</w:t>
            </w:r>
          </w:p>
        </w:tc>
        <w:tc>
          <w:tcPr>
            <w:tcW w:w="1938" w:type="dxa"/>
            <w:shd w:val="clear" w:color="auto" w:fill="002060"/>
            <w:noWrap/>
          </w:tcPr>
          <w:p w14:paraId="16F1F0EE" w14:textId="77777777" w:rsidR="00052799" w:rsidRPr="00693D92" w:rsidRDefault="00052799" w:rsidP="00871631">
            <w:pPr>
              <w:spacing w:before="60" w:after="60"/>
              <w:jc w:val="center"/>
              <w:rPr>
                <w:b/>
                <w:sz w:val="18"/>
                <w:szCs w:val="18"/>
              </w:rPr>
            </w:pPr>
            <w:r w:rsidRPr="00693D92">
              <w:rPr>
                <w:b/>
                <w:sz w:val="18"/>
                <w:szCs w:val="18"/>
              </w:rPr>
              <w:t>Estimated current over-recovery (per licence issued)</w:t>
            </w:r>
          </w:p>
        </w:tc>
      </w:tr>
      <w:tr w:rsidR="00052799" w:rsidRPr="004E08DA" w14:paraId="1781AAE7" w14:textId="77777777" w:rsidTr="00693D92">
        <w:trPr>
          <w:trHeight w:val="309"/>
          <w:jc w:val="center"/>
        </w:trPr>
        <w:tc>
          <w:tcPr>
            <w:tcW w:w="2943" w:type="dxa"/>
            <w:shd w:val="clear" w:color="auto" w:fill="auto"/>
            <w:noWrap/>
            <w:hideMark/>
          </w:tcPr>
          <w:p w14:paraId="5B06A9BF" w14:textId="77777777" w:rsidR="00052799" w:rsidRPr="00693D92" w:rsidRDefault="00052799" w:rsidP="00871631">
            <w:pPr>
              <w:spacing w:before="60" w:after="60"/>
              <w:rPr>
                <w:sz w:val="18"/>
                <w:szCs w:val="18"/>
              </w:rPr>
            </w:pPr>
            <w:r w:rsidRPr="00693D92">
              <w:rPr>
                <w:sz w:val="18"/>
                <w:szCs w:val="18"/>
              </w:rPr>
              <w:t>Longarm Category A Licence (individual)</w:t>
            </w:r>
          </w:p>
        </w:tc>
        <w:tc>
          <w:tcPr>
            <w:tcW w:w="1937" w:type="dxa"/>
            <w:shd w:val="clear" w:color="auto" w:fill="auto"/>
            <w:noWrap/>
            <w:hideMark/>
          </w:tcPr>
          <w:p w14:paraId="29AAF2FC" w14:textId="1F1CA658" w:rsidR="00052799" w:rsidRPr="00693D92" w:rsidRDefault="00052799" w:rsidP="00871631">
            <w:pPr>
              <w:spacing w:before="60" w:after="60"/>
              <w:jc w:val="center"/>
              <w:rPr>
                <w:sz w:val="18"/>
                <w:szCs w:val="18"/>
              </w:rPr>
            </w:pPr>
            <w:r w:rsidRPr="00693D92">
              <w:rPr>
                <w:sz w:val="18"/>
                <w:szCs w:val="18"/>
              </w:rPr>
              <w:t>$233.2</w:t>
            </w:r>
          </w:p>
        </w:tc>
        <w:tc>
          <w:tcPr>
            <w:tcW w:w="1937" w:type="dxa"/>
            <w:shd w:val="clear" w:color="auto" w:fill="auto"/>
            <w:noWrap/>
            <w:hideMark/>
          </w:tcPr>
          <w:p w14:paraId="1E3864EC" w14:textId="77777777" w:rsidR="00052799" w:rsidRPr="00693D92" w:rsidRDefault="00052799" w:rsidP="00871631">
            <w:pPr>
              <w:spacing w:before="60" w:after="60"/>
              <w:jc w:val="center"/>
              <w:rPr>
                <w:sz w:val="18"/>
                <w:szCs w:val="18"/>
              </w:rPr>
            </w:pPr>
            <w:r w:rsidRPr="00693D92">
              <w:rPr>
                <w:sz w:val="18"/>
                <w:szCs w:val="18"/>
              </w:rPr>
              <w:t xml:space="preserve"> $231.3 </w:t>
            </w:r>
          </w:p>
        </w:tc>
        <w:tc>
          <w:tcPr>
            <w:tcW w:w="1938" w:type="dxa"/>
            <w:shd w:val="clear" w:color="auto" w:fill="auto"/>
            <w:noWrap/>
            <w:hideMark/>
          </w:tcPr>
          <w:p w14:paraId="74846E20" w14:textId="29263B7D" w:rsidR="00052799" w:rsidRPr="00693D92" w:rsidRDefault="00052799" w:rsidP="00871631">
            <w:pPr>
              <w:spacing w:before="60" w:after="60"/>
              <w:jc w:val="center"/>
              <w:rPr>
                <w:sz w:val="18"/>
                <w:szCs w:val="18"/>
              </w:rPr>
            </w:pPr>
            <w:r w:rsidRPr="00693D92">
              <w:rPr>
                <w:sz w:val="18"/>
                <w:szCs w:val="18"/>
              </w:rPr>
              <w:t xml:space="preserve"> $1.</w:t>
            </w:r>
            <w:r w:rsidR="00A46349">
              <w:rPr>
                <w:sz w:val="18"/>
                <w:szCs w:val="18"/>
              </w:rPr>
              <w:t>9</w:t>
            </w:r>
            <w:r w:rsidRPr="00693D92">
              <w:rPr>
                <w:sz w:val="18"/>
                <w:szCs w:val="18"/>
              </w:rPr>
              <w:t xml:space="preserve"> </w:t>
            </w:r>
          </w:p>
        </w:tc>
      </w:tr>
      <w:tr w:rsidR="00052799" w:rsidRPr="004E08DA" w14:paraId="7950F444" w14:textId="77777777" w:rsidTr="00693D92">
        <w:trPr>
          <w:trHeight w:val="309"/>
          <w:jc w:val="center"/>
        </w:trPr>
        <w:tc>
          <w:tcPr>
            <w:tcW w:w="2943" w:type="dxa"/>
            <w:shd w:val="clear" w:color="auto" w:fill="auto"/>
            <w:noWrap/>
            <w:hideMark/>
          </w:tcPr>
          <w:p w14:paraId="64861B56" w14:textId="77777777" w:rsidR="00052799" w:rsidRPr="00693D92" w:rsidRDefault="00052799" w:rsidP="00871631">
            <w:pPr>
              <w:spacing w:before="60" w:after="60"/>
              <w:rPr>
                <w:sz w:val="18"/>
                <w:szCs w:val="18"/>
              </w:rPr>
            </w:pPr>
            <w:r w:rsidRPr="00693D92">
              <w:rPr>
                <w:sz w:val="18"/>
                <w:szCs w:val="18"/>
              </w:rPr>
              <w:t>Longarm Category B Licence (individual)</w:t>
            </w:r>
          </w:p>
        </w:tc>
        <w:tc>
          <w:tcPr>
            <w:tcW w:w="1937" w:type="dxa"/>
            <w:shd w:val="clear" w:color="auto" w:fill="auto"/>
            <w:noWrap/>
            <w:hideMark/>
          </w:tcPr>
          <w:p w14:paraId="07D38DA9" w14:textId="3AC4E2C2" w:rsidR="00052799" w:rsidRPr="00693D92" w:rsidRDefault="00052799" w:rsidP="00871631">
            <w:pPr>
              <w:spacing w:before="60" w:after="60"/>
              <w:jc w:val="center"/>
              <w:rPr>
                <w:sz w:val="18"/>
                <w:szCs w:val="18"/>
              </w:rPr>
            </w:pPr>
            <w:r w:rsidRPr="00693D92">
              <w:rPr>
                <w:sz w:val="18"/>
                <w:szCs w:val="18"/>
              </w:rPr>
              <w:t>$269.5</w:t>
            </w:r>
          </w:p>
        </w:tc>
        <w:tc>
          <w:tcPr>
            <w:tcW w:w="1937" w:type="dxa"/>
            <w:shd w:val="clear" w:color="auto" w:fill="auto"/>
            <w:noWrap/>
            <w:hideMark/>
          </w:tcPr>
          <w:p w14:paraId="59EE3095" w14:textId="77777777" w:rsidR="00052799" w:rsidRPr="00693D92" w:rsidRDefault="00052799" w:rsidP="00871631">
            <w:pPr>
              <w:spacing w:before="60" w:after="60"/>
              <w:jc w:val="center"/>
              <w:rPr>
                <w:sz w:val="18"/>
                <w:szCs w:val="18"/>
              </w:rPr>
            </w:pPr>
            <w:r w:rsidRPr="00693D92">
              <w:rPr>
                <w:sz w:val="18"/>
                <w:szCs w:val="18"/>
              </w:rPr>
              <w:t xml:space="preserve"> $233.8 </w:t>
            </w:r>
          </w:p>
        </w:tc>
        <w:tc>
          <w:tcPr>
            <w:tcW w:w="1938" w:type="dxa"/>
            <w:shd w:val="clear" w:color="auto" w:fill="auto"/>
            <w:noWrap/>
          </w:tcPr>
          <w:p w14:paraId="21CABA11" w14:textId="2E3BF6BB" w:rsidR="00052799" w:rsidRPr="00693D92" w:rsidRDefault="00052799" w:rsidP="00871631">
            <w:pPr>
              <w:spacing w:before="60" w:after="60"/>
              <w:jc w:val="center"/>
              <w:rPr>
                <w:sz w:val="18"/>
                <w:szCs w:val="18"/>
              </w:rPr>
            </w:pPr>
            <w:r w:rsidRPr="00693D92">
              <w:rPr>
                <w:sz w:val="18"/>
                <w:szCs w:val="18"/>
              </w:rPr>
              <w:t xml:space="preserve"> $35.7 </w:t>
            </w:r>
          </w:p>
        </w:tc>
      </w:tr>
      <w:tr w:rsidR="00052799" w:rsidRPr="004E08DA" w14:paraId="16392F34" w14:textId="77777777" w:rsidTr="00693D92">
        <w:trPr>
          <w:trHeight w:val="309"/>
          <w:jc w:val="center"/>
        </w:trPr>
        <w:tc>
          <w:tcPr>
            <w:tcW w:w="2943" w:type="dxa"/>
            <w:shd w:val="clear" w:color="auto" w:fill="auto"/>
            <w:noWrap/>
            <w:hideMark/>
          </w:tcPr>
          <w:p w14:paraId="31B7C998" w14:textId="77777777" w:rsidR="00052799" w:rsidRPr="00693D92" w:rsidRDefault="00052799" w:rsidP="00871631">
            <w:pPr>
              <w:spacing w:before="60" w:after="60"/>
              <w:rPr>
                <w:sz w:val="18"/>
                <w:szCs w:val="18"/>
              </w:rPr>
            </w:pPr>
            <w:r w:rsidRPr="00693D92">
              <w:rPr>
                <w:sz w:val="18"/>
                <w:szCs w:val="18"/>
              </w:rPr>
              <w:t>Paintball marker Licence (individual)</w:t>
            </w:r>
          </w:p>
        </w:tc>
        <w:tc>
          <w:tcPr>
            <w:tcW w:w="1937" w:type="dxa"/>
            <w:shd w:val="clear" w:color="auto" w:fill="auto"/>
            <w:noWrap/>
            <w:hideMark/>
          </w:tcPr>
          <w:p w14:paraId="72BD8D7B" w14:textId="4D753DFF" w:rsidR="00052799" w:rsidRPr="00693D92" w:rsidRDefault="00052799" w:rsidP="00871631">
            <w:pPr>
              <w:spacing w:before="60" w:after="60"/>
              <w:jc w:val="center"/>
              <w:rPr>
                <w:sz w:val="18"/>
                <w:szCs w:val="18"/>
              </w:rPr>
            </w:pPr>
            <w:r w:rsidRPr="00693D92">
              <w:rPr>
                <w:sz w:val="18"/>
                <w:szCs w:val="18"/>
              </w:rPr>
              <w:t>$233.2</w:t>
            </w:r>
          </w:p>
        </w:tc>
        <w:tc>
          <w:tcPr>
            <w:tcW w:w="1937" w:type="dxa"/>
            <w:shd w:val="clear" w:color="auto" w:fill="auto"/>
            <w:noWrap/>
            <w:hideMark/>
          </w:tcPr>
          <w:p w14:paraId="6CE9898A" w14:textId="25D84637" w:rsidR="00052799" w:rsidRPr="00693D92" w:rsidRDefault="00052799" w:rsidP="00A46349">
            <w:pPr>
              <w:spacing w:before="60" w:after="60"/>
              <w:jc w:val="center"/>
              <w:rPr>
                <w:sz w:val="18"/>
                <w:szCs w:val="18"/>
              </w:rPr>
            </w:pPr>
            <w:r w:rsidRPr="00693D92">
              <w:rPr>
                <w:sz w:val="18"/>
                <w:szCs w:val="18"/>
              </w:rPr>
              <w:t xml:space="preserve"> $2</w:t>
            </w:r>
            <w:r w:rsidR="00A46349">
              <w:rPr>
                <w:sz w:val="18"/>
                <w:szCs w:val="18"/>
              </w:rPr>
              <w:t>31.3</w:t>
            </w:r>
            <w:r w:rsidRPr="00693D92">
              <w:rPr>
                <w:sz w:val="18"/>
                <w:szCs w:val="18"/>
              </w:rPr>
              <w:t xml:space="preserve"> </w:t>
            </w:r>
          </w:p>
        </w:tc>
        <w:tc>
          <w:tcPr>
            <w:tcW w:w="1938" w:type="dxa"/>
            <w:shd w:val="clear" w:color="auto" w:fill="auto"/>
            <w:noWrap/>
          </w:tcPr>
          <w:p w14:paraId="564E55AA" w14:textId="4888ED87" w:rsidR="00052799" w:rsidRPr="00693D92" w:rsidRDefault="00052799" w:rsidP="00871631">
            <w:pPr>
              <w:spacing w:before="60" w:after="60"/>
              <w:jc w:val="center"/>
              <w:rPr>
                <w:sz w:val="18"/>
                <w:szCs w:val="18"/>
              </w:rPr>
            </w:pPr>
            <w:r w:rsidRPr="00693D92">
              <w:rPr>
                <w:sz w:val="18"/>
                <w:szCs w:val="18"/>
              </w:rPr>
              <w:t xml:space="preserve"> $1.</w:t>
            </w:r>
            <w:r w:rsidR="00A46349">
              <w:rPr>
                <w:sz w:val="18"/>
                <w:szCs w:val="18"/>
              </w:rPr>
              <w:t>9</w:t>
            </w:r>
            <w:r w:rsidRPr="00693D92">
              <w:rPr>
                <w:sz w:val="18"/>
                <w:szCs w:val="18"/>
              </w:rPr>
              <w:t xml:space="preserve"> </w:t>
            </w:r>
          </w:p>
        </w:tc>
      </w:tr>
      <w:tr w:rsidR="00052799" w:rsidRPr="004E08DA" w14:paraId="2F2D3163" w14:textId="77777777" w:rsidTr="00693D92">
        <w:trPr>
          <w:trHeight w:val="309"/>
          <w:jc w:val="center"/>
        </w:trPr>
        <w:tc>
          <w:tcPr>
            <w:tcW w:w="2943" w:type="dxa"/>
            <w:shd w:val="clear" w:color="auto" w:fill="auto"/>
            <w:noWrap/>
            <w:hideMark/>
          </w:tcPr>
          <w:p w14:paraId="2AD4AC91" w14:textId="77777777" w:rsidR="00052799" w:rsidRPr="00693D92" w:rsidRDefault="00052799" w:rsidP="00871631">
            <w:pPr>
              <w:spacing w:before="60" w:after="60"/>
              <w:rPr>
                <w:sz w:val="18"/>
                <w:szCs w:val="18"/>
              </w:rPr>
            </w:pPr>
            <w:r w:rsidRPr="00693D92">
              <w:rPr>
                <w:sz w:val="18"/>
                <w:szCs w:val="18"/>
              </w:rPr>
              <w:t>General category handgun licence – security guard, prison guard, official or commercial purpose (individual)</w:t>
            </w:r>
          </w:p>
        </w:tc>
        <w:tc>
          <w:tcPr>
            <w:tcW w:w="1937" w:type="dxa"/>
            <w:shd w:val="clear" w:color="auto" w:fill="auto"/>
            <w:noWrap/>
            <w:hideMark/>
          </w:tcPr>
          <w:p w14:paraId="3BED05E0" w14:textId="480D35E6" w:rsidR="00052799" w:rsidRPr="00693D92" w:rsidRDefault="00052799" w:rsidP="00871631">
            <w:pPr>
              <w:spacing w:before="60" w:after="60"/>
              <w:jc w:val="center"/>
              <w:rPr>
                <w:sz w:val="18"/>
                <w:szCs w:val="18"/>
              </w:rPr>
            </w:pPr>
            <w:r w:rsidRPr="00693D92">
              <w:rPr>
                <w:sz w:val="18"/>
                <w:szCs w:val="18"/>
              </w:rPr>
              <w:t>$305.9</w:t>
            </w:r>
          </w:p>
        </w:tc>
        <w:tc>
          <w:tcPr>
            <w:tcW w:w="1937" w:type="dxa"/>
            <w:shd w:val="clear" w:color="auto" w:fill="auto"/>
            <w:noWrap/>
            <w:hideMark/>
          </w:tcPr>
          <w:p w14:paraId="0F073BFE" w14:textId="6019AF9E" w:rsidR="00052799" w:rsidRPr="00693D92" w:rsidRDefault="00052799" w:rsidP="00871631">
            <w:pPr>
              <w:spacing w:before="60" w:after="60"/>
              <w:jc w:val="center"/>
              <w:rPr>
                <w:sz w:val="18"/>
                <w:szCs w:val="18"/>
              </w:rPr>
            </w:pPr>
            <w:r w:rsidRPr="00693D92">
              <w:rPr>
                <w:sz w:val="18"/>
                <w:szCs w:val="18"/>
              </w:rPr>
              <w:t xml:space="preserve"> $2</w:t>
            </w:r>
            <w:r w:rsidR="00A46349">
              <w:rPr>
                <w:sz w:val="18"/>
                <w:szCs w:val="18"/>
              </w:rPr>
              <w:t>89</w:t>
            </w:r>
            <w:r w:rsidRPr="00693D92">
              <w:rPr>
                <w:sz w:val="18"/>
                <w:szCs w:val="18"/>
              </w:rPr>
              <w:t>.</w:t>
            </w:r>
            <w:r w:rsidR="00A46349">
              <w:rPr>
                <w:sz w:val="18"/>
                <w:szCs w:val="18"/>
              </w:rPr>
              <w:t>5</w:t>
            </w:r>
            <w:r w:rsidRPr="00693D92">
              <w:rPr>
                <w:sz w:val="18"/>
                <w:szCs w:val="18"/>
              </w:rPr>
              <w:t xml:space="preserve"> </w:t>
            </w:r>
          </w:p>
        </w:tc>
        <w:tc>
          <w:tcPr>
            <w:tcW w:w="1938" w:type="dxa"/>
            <w:shd w:val="clear" w:color="auto" w:fill="auto"/>
            <w:noWrap/>
          </w:tcPr>
          <w:p w14:paraId="23953C0B" w14:textId="6306B6B0" w:rsidR="00052799" w:rsidRPr="00693D92" w:rsidRDefault="00052799" w:rsidP="00A46349">
            <w:pPr>
              <w:spacing w:before="60" w:after="60"/>
              <w:jc w:val="center"/>
              <w:rPr>
                <w:sz w:val="18"/>
                <w:szCs w:val="18"/>
              </w:rPr>
            </w:pPr>
            <w:r w:rsidRPr="00693D92">
              <w:rPr>
                <w:sz w:val="18"/>
                <w:szCs w:val="18"/>
              </w:rPr>
              <w:t xml:space="preserve"> $1</w:t>
            </w:r>
            <w:r w:rsidR="00A46349">
              <w:rPr>
                <w:sz w:val="18"/>
                <w:szCs w:val="18"/>
              </w:rPr>
              <w:t>6</w:t>
            </w:r>
            <w:r w:rsidRPr="00693D92">
              <w:rPr>
                <w:sz w:val="18"/>
                <w:szCs w:val="18"/>
              </w:rPr>
              <w:t>.</w:t>
            </w:r>
            <w:r w:rsidR="00A46349">
              <w:rPr>
                <w:sz w:val="18"/>
                <w:szCs w:val="18"/>
              </w:rPr>
              <w:t>4</w:t>
            </w:r>
            <w:r w:rsidRPr="00693D92">
              <w:rPr>
                <w:sz w:val="18"/>
                <w:szCs w:val="18"/>
              </w:rPr>
              <w:t xml:space="preserve"> </w:t>
            </w:r>
          </w:p>
        </w:tc>
      </w:tr>
      <w:tr w:rsidR="00052799" w:rsidRPr="004E08DA" w14:paraId="5A6E1026" w14:textId="77777777" w:rsidTr="00693D92">
        <w:trPr>
          <w:trHeight w:val="309"/>
          <w:jc w:val="center"/>
        </w:trPr>
        <w:tc>
          <w:tcPr>
            <w:tcW w:w="2943" w:type="dxa"/>
            <w:shd w:val="clear" w:color="auto" w:fill="auto"/>
            <w:noWrap/>
            <w:hideMark/>
          </w:tcPr>
          <w:p w14:paraId="73CC7010" w14:textId="77777777" w:rsidR="00052799" w:rsidRPr="00693D92" w:rsidRDefault="00052799" w:rsidP="00871631">
            <w:pPr>
              <w:spacing w:before="60" w:after="60"/>
              <w:rPr>
                <w:sz w:val="18"/>
                <w:szCs w:val="18"/>
              </w:rPr>
            </w:pPr>
            <w:r w:rsidRPr="00693D92">
              <w:rPr>
                <w:sz w:val="18"/>
                <w:szCs w:val="18"/>
              </w:rPr>
              <w:t>Category 1 firearms collectors licence (individual)</w:t>
            </w:r>
          </w:p>
        </w:tc>
        <w:tc>
          <w:tcPr>
            <w:tcW w:w="1937" w:type="dxa"/>
            <w:shd w:val="clear" w:color="auto" w:fill="auto"/>
            <w:noWrap/>
            <w:hideMark/>
          </w:tcPr>
          <w:p w14:paraId="04F4127F" w14:textId="139B5E39" w:rsidR="00052799" w:rsidRPr="00693D92" w:rsidRDefault="00052799" w:rsidP="00871631">
            <w:pPr>
              <w:spacing w:before="60" w:after="60"/>
              <w:jc w:val="center"/>
              <w:rPr>
                <w:sz w:val="18"/>
                <w:szCs w:val="18"/>
              </w:rPr>
            </w:pPr>
            <w:r w:rsidRPr="00693D92">
              <w:rPr>
                <w:sz w:val="18"/>
                <w:szCs w:val="18"/>
              </w:rPr>
              <w:t>$342.0</w:t>
            </w:r>
          </w:p>
        </w:tc>
        <w:tc>
          <w:tcPr>
            <w:tcW w:w="1937" w:type="dxa"/>
            <w:shd w:val="clear" w:color="auto" w:fill="auto"/>
            <w:noWrap/>
            <w:hideMark/>
          </w:tcPr>
          <w:p w14:paraId="22764F35" w14:textId="77777777" w:rsidR="00052799" w:rsidRPr="00693D92" w:rsidRDefault="00052799" w:rsidP="00871631">
            <w:pPr>
              <w:spacing w:before="60" w:after="60"/>
              <w:jc w:val="center"/>
              <w:rPr>
                <w:sz w:val="18"/>
                <w:szCs w:val="18"/>
              </w:rPr>
            </w:pPr>
            <w:r w:rsidRPr="00693D92">
              <w:rPr>
                <w:sz w:val="18"/>
                <w:szCs w:val="18"/>
              </w:rPr>
              <w:t xml:space="preserve"> $243.1 </w:t>
            </w:r>
          </w:p>
        </w:tc>
        <w:tc>
          <w:tcPr>
            <w:tcW w:w="1938" w:type="dxa"/>
            <w:shd w:val="clear" w:color="auto" w:fill="auto"/>
            <w:noWrap/>
          </w:tcPr>
          <w:p w14:paraId="2FC95928" w14:textId="56BAF5B7" w:rsidR="00052799" w:rsidRPr="00693D92" w:rsidRDefault="00052799" w:rsidP="00871631">
            <w:pPr>
              <w:spacing w:before="60" w:after="60"/>
              <w:jc w:val="center"/>
              <w:rPr>
                <w:sz w:val="18"/>
                <w:szCs w:val="18"/>
              </w:rPr>
            </w:pPr>
            <w:r w:rsidRPr="00693D92">
              <w:rPr>
                <w:sz w:val="18"/>
                <w:szCs w:val="18"/>
              </w:rPr>
              <w:t xml:space="preserve"> $98.</w:t>
            </w:r>
            <w:r w:rsidR="00027B94">
              <w:rPr>
                <w:sz w:val="18"/>
                <w:szCs w:val="18"/>
              </w:rPr>
              <w:t>9</w:t>
            </w:r>
            <w:r w:rsidRPr="00693D92">
              <w:rPr>
                <w:sz w:val="18"/>
                <w:szCs w:val="18"/>
              </w:rPr>
              <w:t xml:space="preserve"> </w:t>
            </w:r>
          </w:p>
        </w:tc>
      </w:tr>
      <w:tr w:rsidR="00052799" w:rsidRPr="004E08DA" w14:paraId="2875CC72" w14:textId="77777777" w:rsidTr="00693D92">
        <w:trPr>
          <w:trHeight w:val="309"/>
          <w:jc w:val="center"/>
        </w:trPr>
        <w:tc>
          <w:tcPr>
            <w:tcW w:w="2943" w:type="dxa"/>
            <w:shd w:val="clear" w:color="auto" w:fill="auto"/>
            <w:noWrap/>
            <w:hideMark/>
          </w:tcPr>
          <w:p w14:paraId="4B6E599F" w14:textId="77777777" w:rsidR="00052799" w:rsidRPr="00693D92" w:rsidRDefault="00052799" w:rsidP="00871631">
            <w:pPr>
              <w:spacing w:before="60" w:after="60"/>
              <w:rPr>
                <w:sz w:val="18"/>
                <w:szCs w:val="18"/>
              </w:rPr>
            </w:pPr>
            <w:r w:rsidRPr="00693D92">
              <w:rPr>
                <w:sz w:val="18"/>
                <w:szCs w:val="18"/>
              </w:rPr>
              <w:t xml:space="preserve">Category 1 firearms collectors licence (business) </w:t>
            </w:r>
          </w:p>
        </w:tc>
        <w:tc>
          <w:tcPr>
            <w:tcW w:w="1937" w:type="dxa"/>
            <w:shd w:val="clear" w:color="auto" w:fill="auto"/>
            <w:noWrap/>
            <w:hideMark/>
          </w:tcPr>
          <w:p w14:paraId="6370FE1A" w14:textId="1B3ED631" w:rsidR="00052799" w:rsidRPr="00693D92" w:rsidRDefault="00052799" w:rsidP="00A46349">
            <w:pPr>
              <w:spacing w:before="60" w:after="60"/>
              <w:jc w:val="center"/>
              <w:rPr>
                <w:sz w:val="18"/>
                <w:szCs w:val="18"/>
              </w:rPr>
            </w:pPr>
            <w:r w:rsidRPr="00693D92">
              <w:rPr>
                <w:sz w:val="18"/>
                <w:szCs w:val="18"/>
              </w:rPr>
              <w:t>$67</w:t>
            </w:r>
            <w:r w:rsidR="00A46349">
              <w:rPr>
                <w:sz w:val="18"/>
                <w:szCs w:val="18"/>
              </w:rPr>
              <w:t>7</w:t>
            </w:r>
            <w:r w:rsidRPr="00693D92">
              <w:rPr>
                <w:sz w:val="18"/>
                <w:szCs w:val="18"/>
              </w:rPr>
              <w:t>.</w:t>
            </w:r>
            <w:r w:rsidR="00A46349">
              <w:rPr>
                <w:sz w:val="18"/>
                <w:szCs w:val="18"/>
              </w:rPr>
              <w:t>6</w:t>
            </w:r>
          </w:p>
        </w:tc>
        <w:tc>
          <w:tcPr>
            <w:tcW w:w="1937" w:type="dxa"/>
            <w:shd w:val="clear" w:color="auto" w:fill="auto"/>
            <w:noWrap/>
            <w:hideMark/>
          </w:tcPr>
          <w:p w14:paraId="00D12762" w14:textId="77777777" w:rsidR="00052799" w:rsidRPr="00693D92" w:rsidRDefault="00052799" w:rsidP="00871631">
            <w:pPr>
              <w:spacing w:before="60" w:after="60"/>
              <w:jc w:val="center"/>
              <w:rPr>
                <w:sz w:val="18"/>
                <w:szCs w:val="18"/>
              </w:rPr>
            </w:pPr>
            <w:r w:rsidRPr="00693D92">
              <w:rPr>
                <w:sz w:val="18"/>
                <w:szCs w:val="18"/>
              </w:rPr>
              <w:t xml:space="preserve"> $392.0 </w:t>
            </w:r>
          </w:p>
        </w:tc>
        <w:tc>
          <w:tcPr>
            <w:tcW w:w="1938" w:type="dxa"/>
            <w:shd w:val="clear" w:color="auto" w:fill="auto"/>
            <w:noWrap/>
          </w:tcPr>
          <w:p w14:paraId="72E07858" w14:textId="5F88E11E" w:rsidR="00052799" w:rsidRPr="00693D92" w:rsidRDefault="00052799" w:rsidP="00871631">
            <w:pPr>
              <w:spacing w:before="60" w:after="60"/>
              <w:jc w:val="center"/>
              <w:rPr>
                <w:sz w:val="18"/>
                <w:szCs w:val="18"/>
              </w:rPr>
            </w:pPr>
            <w:r w:rsidRPr="00693D92">
              <w:rPr>
                <w:sz w:val="18"/>
                <w:szCs w:val="18"/>
              </w:rPr>
              <w:t xml:space="preserve"> $285.</w:t>
            </w:r>
            <w:r w:rsidR="00027B94">
              <w:rPr>
                <w:sz w:val="18"/>
                <w:szCs w:val="18"/>
              </w:rPr>
              <w:t>6</w:t>
            </w:r>
            <w:r w:rsidRPr="00693D92">
              <w:rPr>
                <w:sz w:val="18"/>
                <w:szCs w:val="18"/>
              </w:rPr>
              <w:t xml:space="preserve"> </w:t>
            </w:r>
          </w:p>
        </w:tc>
      </w:tr>
      <w:tr w:rsidR="00052799" w:rsidRPr="004E08DA" w14:paraId="26D50A3C" w14:textId="77777777" w:rsidTr="00693D92">
        <w:trPr>
          <w:trHeight w:val="309"/>
          <w:jc w:val="center"/>
        </w:trPr>
        <w:tc>
          <w:tcPr>
            <w:tcW w:w="2943" w:type="dxa"/>
            <w:shd w:val="clear" w:color="auto" w:fill="auto"/>
            <w:noWrap/>
            <w:hideMark/>
          </w:tcPr>
          <w:p w14:paraId="4A30F5D3" w14:textId="77777777" w:rsidR="00052799" w:rsidRPr="00693D92" w:rsidRDefault="00052799" w:rsidP="00871631">
            <w:pPr>
              <w:spacing w:before="60" w:after="60"/>
              <w:rPr>
                <w:sz w:val="18"/>
                <w:szCs w:val="18"/>
              </w:rPr>
            </w:pPr>
            <w:r w:rsidRPr="00693D92">
              <w:rPr>
                <w:sz w:val="18"/>
                <w:szCs w:val="18"/>
              </w:rPr>
              <w:t xml:space="preserve">Category 2 firearms collectors licence (individual) </w:t>
            </w:r>
          </w:p>
        </w:tc>
        <w:tc>
          <w:tcPr>
            <w:tcW w:w="1937" w:type="dxa"/>
            <w:shd w:val="clear" w:color="auto" w:fill="auto"/>
            <w:noWrap/>
            <w:hideMark/>
          </w:tcPr>
          <w:p w14:paraId="53537345" w14:textId="72BA09BA" w:rsidR="00052799" w:rsidRPr="00693D92" w:rsidRDefault="00052799" w:rsidP="00871631">
            <w:pPr>
              <w:spacing w:before="60" w:after="60"/>
              <w:jc w:val="center"/>
              <w:rPr>
                <w:sz w:val="18"/>
                <w:szCs w:val="18"/>
              </w:rPr>
            </w:pPr>
            <w:r w:rsidRPr="00693D92">
              <w:rPr>
                <w:sz w:val="18"/>
                <w:szCs w:val="18"/>
              </w:rPr>
              <w:t>$408.</w:t>
            </w:r>
            <w:r w:rsidR="00A46349">
              <w:rPr>
                <w:sz w:val="18"/>
                <w:szCs w:val="18"/>
              </w:rPr>
              <w:t>1</w:t>
            </w:r>
          </w:p>
        </w:tc>
        <w:tc>
          <w:tcPr>
            <w:tcW w:w="1937" w:type="dxa"/>
            <w:shd w:val="clear" w:color="auto" w:fill="auto"/>
            <w:noWrap/>
            <w:hideMark/>
          </w:tcPr>
          <w:p w14:paraId="437A132E" w14:textId="77777777" w:rsidR="00052799" w:rsidRPr="00693D92" w:rsidRDefault="00052799" w:rsidP="00871631">
            <w:pPr>
              <w:spacing w:before="60" w:after="60"/>
              <w:jc w:val="center"/>
              <w:rPr>
                <w:sz w:val="18"/>
                <w:szCs w:val="18"/>
              </w:rPr>
            </w:pPr>
            <w:r w:rsidRPr="00693D92">
              <w:rPr>
                <w:sz w:val="18"/>
                <w:szCs w:val="18"/>
              </w:rPr>
              <w:t xml:space="preserve"> $257.3 </w:t>
            </w:r>
          </w:p>
        </w:tc>
        <w:tc>
          <w:tcPr>
            <w:tcW w:w="1938" w:type="dxa"/>
            <w:shd w:val="clear" w:color="auto" w:fill="auto"/>
            <w:noWrap/>
          </w:tcPr>
          <w:p w14:paraId="3D3EA1E1" w14:textId="661416FC" w:rsidR="00052799" w:rsidRPr="00693D92" w:rsidRDefault="00052799" w:rsidP="00871631">
            <w:pPr>
              <w:spacing w:before="60" w:after="60"/>
              <w:jc w:val="center"/>
              <w:rPr>
                <w:sz w:val="18"/>
                <w:szCs w:val="18"/>
              </w:rPr>
            </w:pPr>
            <w:r w:rsidRPr="00693D92">
              <w:rPr>
                <w:sz w:val="18"/>
                <w:szCs w:val="18"/>
              </w:rPr>
              <w:t xml:space="preserve"> $150.8 </w:t>
            </w:r>
          </w:p>
        </w:tc>
      </w:tr>
      <w:tr w:rsidR="00052799" w:rsidRPr="004E08DA" w14:paraId="5CBBFB72" w14:textId="77777777" w:rsidTr="00693D92">
        <w:trPr>
          <w:trHeight w:val="309"/>
          <w:jc w:val="center"/>
        </w:trPr>
        <w:tc>
          <w:tcPr>
            <w:tcW w:w="2943" w:type="dxa"/>
            <w:shd w:val="clear" w:color="auto" w:fill="auto"/>
            <w:noWrap/>
            <w:hideMark/>
          </w:tcPr>
          <w:p w14:paraId="55F65CF0" w14:textId="77777777" w:rsidR="00052799" w:rsidRPr="00693D92" w:rsidRDefault="00052799" w:rsidP="00871631">
            <w:pPr>
              <w:spacing w:before="60" w:after="60"/>
              <w:rPr>
                <w:sz w:val="18"/>
                <w:szCs w:val="18"/>
              </w:rPr>
            </w:pPr>
            <w:r w:rsidRPr="00693D92">
              <w:rPr>
                <w:sz w:val="18"/>
                <w:szCs w:val="18"/>
              </w:rPr>
              <w:t xml:space="preserve">Category 2 firearms collectors licence (business) </w:t>
            </w:r>
          </w:p>
        </w:tc>
        <w:tc>
          <w:tcPr>
            <w:tcW w:w="1937" w:type="dxa"/>
            <w:shd w:val="clear" w:color="auto" w:fill="auto"/>
            <w:noWrap/>
            <w:hideMark/>
          </w:tcPr>
          <w:p w14:paraId="6758456B" w14:textId="37EB680D" w:rsidR="00052799" w:rsidRPr="00693D92" w:rsidRDefault="00052799" w:rsidP="00A46349">
            <w:pPr>
              <w:spacing w:before="60" w:after="60"/>
              <w:jc w:val="center"/>
              <w:rPr>
                <w:sz w:val="18"/>
                <w:szCs w:val="18"/>
              </w:rPr>
            </w:pPr>
            <w:r w:rsidRPr="00693D92">
              <w:rPr>
                <w:sz w:val="18"/>
                <w:szCs w:val="18"/>
              </w:rPr>
              <w:t>$51</w:t>
            </w:r>
            <w:r w:rsidR="00A46349">
              <w:rPr>
                <w:sz w:val="18"/>
                <w:szCs w:val="18"/>
              </w:rPr>
              <w:t>6</w:t>
            </w:r>
            <w:r w:rsidRPr="00693D92">
              <w:rPr>
                <w:sz w:val="18"/>
                <w:szCs w:val="18"/>
              </w:rPr>
              <w:t>.</w:t>
            </w:r>
            <w:r w:rsidR="00A46349">
              <w:rPr>
                <w:sz w:val="18"/>
                <w:szCs w:val="18"/>
              </w:rPr>
              <w:t>9</w:t>
            </w:r>
          </w:p>
        </w:tc>
        <w:tc>
          <w:tcPr>
            <w:tcW w:w="1937" w:type="dxa"/>
            <w:shd w:val="clear" w:color="auto" w:fill="auto"/>
            <w:noWrap/>
            <w:hideMark/>
          </w:tcPr>
          <w:p w14:paraId="406BF8BB" w14:textId="77777777" w:rsidR="00052799" w:rsidRPr="00693D92" w:rsidRDefault="00052799" w:rsidP="00871631">
            <w:pPr>
              <w:spacing w:before="60" w:after="60"/>
              <w:jc w:val="center"/>
              <w:rPr>
                <w:sz w:val="18"/>
                <w:szCs w:val="18"/>
              </w:rPr>
            </w:pPr>
            <w:r w:rsidRPr="00693D92">
              <w:rPr>
                <w:sz w:val="18"/>
                <w:szCs w:val="18"/>
              </w:rPr>
              <w:t xml:space="preserve"> $409.3 </w:t>
            </w:r>
          </w:p>
        </w:tc>
        <w:tc>
          <w:tcPr>
            <w:tcW w:w="1938" w:type="dxa"/>
            <w:shd w:val="clear" w:color="auto" w:fill="auto"/>
            <w:noWrap/>
          </w:tcPr>
          <w:p w14:paraId="0931F621" w14:textId="5D0382A7" w:rsidR="00052799" w:rsidRPr="00693D92" w:rsidRDefault="00052799" w:rsidP="00871631">
            <w:pPr>
              <w:spacing w:before="60" w:after="60"/>
              <w:jc w:val="center"/>
              <w:rPr>
                <w:sz w:val="18"/>
                <w:szCs w:val="18"/>
              </w:rPr>
            </w:pPr>
            <w:r w:rsidRPr="00693D92">
              <w:rPr>
                <w:sz w:val="18"/>
                <w:szCs w:val="18"/>
              </w:rPr>
              <w:t xml:space="preserve"> $107.6 </w:t>
            </w:r>
          </w:p>
        </w:tc>
      </w:tr>
      <w:tr w:rsidR="00052799" w:rsidRPr="004E08DA" w14:paraId="191A9730" w14:textId="77777777" w:rsidTr="00693D92">
        <w:trPr>
          <w:trHeight w:val="309"/>
          <w:jc w:val="center"/>
        </w:trPr>
        <w:tc>
          <w:tcPr>
            <w:tcW w:w="2943" w:type="dxa"/>
            <w:shd w:val="clear" w:color="auto" w:fill="auto"/>
            <w:noWrap/>
            <w:hideMark/>
          </w:tcPr>
          <w:p w14:paraId="32AA2BBE" w14:textId="77777777" w:rsidR="00052799" w:rsidRPr="00693D92" w:rsidRDefault="00052799" w:rsidP="00871631">
            <w:pPr>
              <w:spacing w:before="60" w:after="60"/>
              <w:rPr>
                <w:sz w:val="18"/>
                <w:szCs w:val="18"/>
              </w:rPr>
            </w:pPr>
            <w:r w:rsidRPr="00693D92">
              <w:rPr>
                <w:sz w:val="18"/>
                <w:szCs w:val="18"/>
              </w:rPr>
              <w:t>Antique handgun collector’s licence (individual)</w:t>
            </w:r>
          </w:p>
        </w:tc>
        <w:tc>
          <w:tcPr>
            <w:tcW w:w="1937" w:type="dxa"/>
            <w:shd w:val="clear" w:color="auto" w:fill="auto"/>
            <w:noWrap/>
            <w:hideMark/>
          </w:tcPr>
          <w:p w14:paraId="455CDE02" w14:textId="6AB828E4" w:rsidR="00052799" w:rsidRPr="00693D92" w:rsidRDefault="00052799" w:rsidP="00871631">
            <w:pPr>
              <w:spacing w:before="60" w:after="60"/>
              <w:jc w:val="center"/>
              <w:rPr>
                <w:sz w:val="18"/>
                <w:szCs w:val="18"/>
              </w:rPr>
            </w:pPr>
            <w:r w:rsidRPr="00693D92">
              <w:rPr>
                <w:sz w:val="18"/>
                <w:szCs w:val="18"/>
              </w:rPr>
              <w:t>$342.0</w:t>
            </w:r>
          </w:p>
        </w:tc>
        <w:tc>
          <w:tcPr>
            <w:tcW w:w="1937" w:type="dxa"/>
            <w:shd w:val="clear" w:color="auto" w:fill="auto"/>
            <w:noWrap/>
            <w:hideMark/>
          </w:tcPr>
          <w:p w14:paraId="16BDBF3B" w14:textId="77777777" w:rsidR="00052799" w:rsidRPr="00693D92" w:rsidRDefault="00052799" w:rsidP="00871631">
            <w:pPr>
              <w:spacing w:before="60" w:after="60"/>
              <w:jc w:val="center"/>
              <w:rPr>
                <w:sz w:val="18"/>
                <w:szCs w:val="18"/>
              </w:rPr>
            </w:pPr>
            <w:r w:rsidRPr="00693D92">
              <w:rPr>
                <w:sz w:val="18"/>
                <w:szCs w:val="18"/>
              </w:rPr>
              <w:t xml:space="preserve"> $243.1 </w:t>
            </w:r>
          </w:p>
        </w:tc>
        <w:tc>
          <w:tcPr>
            <w:tcW w:w="1938" w:type="dxa"/>
            <w:shd w:val="clear" w:color="auto" w:fill="auto"/>
            <w:noWrap/>
          </w:tcPr>
          <w:p w14:paraId="085DFF5F" w14:textId="11C0C1F4" w:rsidR="00052799" w:rsidRPr="00693D92" w:rsidRDefault="00052799" w:rsidP="00871631">
            <w:pPr>
              <w:spacing w:before="60" w:after="60"/>
              <w:jc w:val="center"/>
              <w:rPr>
                <w:sz w:val="18"/>
                <w:szCs w:val="18"/>
              </w:rPr>
            </w:pPr>
            <w:r w:rsidRPr="00693D92">
              <w:rPr>
                <w:sz w:val="18"/>
                <w:szCs w:val="18"/>
              </w:rPr>
              <w:t xml:space="preserve"> $98.</w:t>
            </w:r>
            <w:r w:rsidR="00027B94">
              <w:rPr>
                <w:sz w:val="18"/>
                <w:szCs w:val="18"/>
              </w:rPr>
              <w:t>9</w:t>
            </w:r>
            <w:r w:rsidRPr="00693D92">
              <w:rPr>
                <w:sz w:val="18"/>
                <w:szCs w:val="18"/>
              </w:rPr>
              <w:t xml:space="preserve"> </w:t>
            </w:r>
          </w:p>
        </w:tc>
      </w:tr>
      <w:tr w:rsidR="00052799" w:rsidRPr="004E08DA" w14:paraId="1A3C77FE" w14:textId="77777777" w:rsidTr="00693D92">
        <w:trPr>
          <w:trHeight w:val="309"/>
          <w:jc w:val="center"/>
        </w:trPr>
        <w:tc>
          <w:tcPr>
            <w:tcW w:w="2943" w:type="dxa"/>
            <w:shd w:val="clear" w:color="auto" w:fill="auto"/>
            <w:noWrap/>
            <w:hideMark/>
          </w:tcPr>
          <w:p w14:paraId="2C26BE57" w14:textId="77777777" w:rsidR="00052799" w:rsidRPr="00693D92" w:rsidRDefault="00052799" w:rsidP="00871631">
            <w:pPr>
              <w:spacing w:before="60" w:after="60"/>
              <w:rPr>
                <w:sz w:val="18"/>
                <w:szCs w:val="18"/>
              </w:rPr>
            </w:pPr>
            <w:r w:rsidRPr="00693D92">
              <w:rPr>
                <w:sz w:val="18"/>
                <w:szCs w:val="18"/>
              </w:rPr>
              <w:t xml:space="preserve">Antique handgun collector’s licence (business) </w:t>
            </w:r>
          </w:p>
        </w:tc>
        <w:tc>
          <w:tcPr>
            <w:tcW w:w="1937" w:type="dxa"/>
            <w:shd w:val="clear" w:color="auto" w:fill="auto"/>
            <w:noWrap/>
            <w:hideMark/>
          </w:tcPr>
          <w:p w14:paraId="6560E865" w14:textId="30522565" w:rsidR="00052799" w:rsidRPr="00693D92" w:rsidRDefault="00052799" w:rsidP="00A46349">
            <w:pPr>
              <w:spacing w:before="60" w:after="60"/>
              <w:jc w:val="center"/>
              <w:rPr>
                <w:sz w:val="18"/>
                <w:szCs w:val="18"/>
              </w:rPr>
            </w:pPr>
            <w:r w:rsidRPr="00693D92">
              <w:rPr>
                <w:sz w:val="18"/>
                <w:szCs w:val="18"/>
              </w:rPr>
              <w:t>$67</w:t>
            </w:r>
            <w:r w:rsidR="00A46349">
              <w:rPr>
                <w:sz w:val="18"/>
                <w:szCs w:val="18"/>
              </w:rPr>
              <w:t>7</w:t>
            </w:r>
            <w:r w:rsidRPr="00693D92">
              <w:rPr>
                <w:sz w:val="18"/>
                <w:szCs w:val="18"/>
              </w:rPr>
              <w:t>.</w:t>
            </w:r>
            <w:r w:rsidR="00A46349">
              <w:rPr>
                <w:sz w:val="18"/>
                <w:szCs w:val="18"/>
              </w:rPr>
              <w:t>6</w:t>
            </w:r>
          </w:p>
        </w:tc>
        <w:tc>
          <w:tcPr>
            <w:tcW w:w="1937" w:type="dxa"/>
            <w:shd w:val="clear" w:color="auto" w:fill="auto"/>
            <w:noWrap/>
            <w:hideMark/>
          </w:tcPr>
          <w:p w14:paraId="51C04DE5" w14:textId="77777777" w:rsidR="00052799" w:rsidRPr="00693D92" w:rsidRDefault="00052799" w:rsidP="00871631">
            <w:pPr>
              <w:spacing w:before="60" w:after="60"/>
              <w:jc w:val="center"/>
              <w:rPr>
                <w:sz w:val="18"/>
                <w:szCs w:val="18"/>
              </w:rPr>
            </w:pPr>
            <w:r w:rsidRPr="00693D92">
              <w:rPr>
                <w:sz w:val="18"/>
                <w:szCs w:val="18"/>
              </w:rPr>
              <w:t xml:space="preserve"> $392.0 </w:t>
            </w:r>
          </w:p>
        </w:tc>
        <w:tc>
          <w:tcPr>
            <w:tcW w:w="1938" w:type="dxa"/>
            <w:shd w:val="clear" w:color="auto" w:fill="auto"/>
            <w:noWrap/>
          </w:tcPr>
          <w:p w14:paraId="597936E9" w14:textId="49FA294E" w:rsidR="00052799" w:rsidRPr="00693D92" w:rsidRDefault="00052799" w:rsidP="00027B94">
            <w:pPr>
              <w:spacing w:before="60" w:after="60"/>
              <w:jc w:val="center"/>
              <w:rPr>
                <w:sz w:val="18"/>
                <w:szCs w:val="18"/>
              </w:rPr>
            </w:pPr>
            <w:r w:rsidRPr="00693D92">
              <w:rPr>
                <w:sz w:val="18"/>
                <w:szCs w:val="18"/>
              </w:rPr>
              <w:t xml:space="preserve"> $285.</w:t>
            </w:r>
            <w:r w:rsidR="00027B94">
              <w:rPr>
                <w:sz w:val="18"/>
                <w:szCs w:val="18"/>
              </w:rPr>
              <w:t>6</w:t>
            </w:r>
            <w:r w:rsidRPr="00693D92">
              <w:rPr>
                <w:sz w:val="18"/>
                <w:szCs w:val="18"/>
              </w:rPr>
              <w:t xml:space="preserve"> </w:t>
            </w:r>
          </w:p>
        </w:tc>
      </w:tr>
    </w:tbl>
    <w:p w14:paraId="1CD3FB9B" w14:textId="77777777" w:rsidR="00052799" w:rsidRPr="00BA516D" w:rsidRDefault="00052799" w:rsidP="00052799">
      <w:pPr>
        <w:pStyle w:val="Body"/>
      </w:pPr>
      <w:r w:rsidRPr="00BA516D">
        <w:br/>
        <w:t>The Victorian Government’s Cost Recovery Guidelines emphasise that cross-subsidisation — where one group of users pay more for the cost of the services they receive and the ‘surplus’ is used to offset the cost of services provided to other users — should generally be avoided. The Department notes that retaining these ten fees at their current level will continue to cross-subsidise other firearms users by around $1.3 million per year. The Department’s view, having consulted with the Department of Treasury and Finance, is this is a reasonable trade-off in support of a proposed set of regulations that move closer to full cost recovery while mitigating the increases in fees. In particular, stakeholders emphasised that they supported forgoing a reduction in fees that were low or affected a small number of people over very large increases in specific fee categories.</w:t>
      </w:r>
    </w:p>
    <w:p w14:paraId="0B6822DB" w14:textId="5DA6CA22" w:rsidR="00052799" w:rsidRPr="00BA516D" w:rsidRDefault="00052799" w:rsidP="00052799">
      <w:pPr>
        <w:pStyle w:val="Body"/>
      </w:pPr>
      <w:r w:rsidRPr="00BA516D">
        <w:t xml:space="preserve">The continued over-recovery of $1.3 million per year from these ten fees, will reduce </w:t>
      </w:r>
      <w:r>
        <w:t>the revenue shortfall from $3,920,000 to $2,61</w:t>
      </w:r>
      <w:r w:rsidRPr="00BA516D">
        <w:t xml:space="preserve">0,000. </w:t>
      </w:r>
      <w:r w:rsidR="00284A42">
        <w:t xml:space="preserve">This $1.3 million will cover the $850,000 in revenue forgone as a result of limiting any increase in fees, leaving $450,000 of over-recovered revenue which is </w:t>
      </w:r>
      <w:r w:rsidR="00027B94">
        <w:t xml:space="preserve">notionally </w:t>
      </w:r>
      <w:r w:rsidR="00284A42">
        <w:t xml:space="preserve">allocated to covering some of the cost of keeping fees for junior licences at current levels. </w:t>
      </w:r>
      <w:r w:rsidRPr="00BA516D">
        <w:t>Funding any more of</w:t>
      </w:r>
      <w:r w:rsidR="00284A42">
        <w:t xml:space="preserve"> the cost of</w:t>
      </w:r>
      <w:r w:rsidRPr="00BA516D">
        <w:t xml:space="preserve"> the decisions above (such as the primary production waiver, concessions for pensioners and the aged, and the freeze on the junior licence fee) through</w:t>
      </w:r>
      <w:r w:rsidR="00284A42">
        <w:t xml:space="preserve"> further</w:t>
      </w:r>
      <w:r w:rsidRPr="00BA516D">
        <w:t xml:space="preserve"> increases in fees would constitute an increase in the existing level of cross-subsidisation which, as noted above, is discouraged by the Cost Recovery Guidelines. For this reason, and in consultation with the Department of Treasury and Finance, the Department proposes to fund the remaining shortfall (that is, the portion of the shortfall not recovered by limited fee increases) out of consolidated revenue. While this means that a substantial portion of the costs of the decisions above will be borne by all Victorians (including those not involved in the lawful, regulated use of firearms), it means that the increase in fees can be limited and waivers/discounts implemented without an increase in the current level of cross-subsidisation. It also means that a fee structure that is closer to achieving full cost recovery can be achieved, while avoiding very large increases in fees for particular categories of firearms users.</w:t>
      </w:r>
    </w:p>
    <w:p w14:paraId="350DF238" w14:textId="77777777" w:rsidR="00052799" w:rsidRPr="00D66B12" w:rsidRDefault="00052799" w:rsidP="00052799">
      <w:pPr>
        <w:pStyle w:val="Heading2"/>
      </w:pPr>
      <w:bookmarkStart w:id="36" w:name="_Toc500505455"/>
      <w:bookmarkStart w:id="37" w:name="_Toc501539150"/>
      <w:r w:rsidRPr="00D66B12">
        <w:t>Fee options considered</w:t>
      </w:r>
      <w:bookmarkEnd w:id="36"/>
      <w:bookmarkEnd w:id="37"/>
    </w:p>
    <w:p w14:paraId="73120CD5" w14:textId="77777777" w:rsidR="00052799" w:rsidRDefault="00052799" w:rsidP="00052799">
      <w:pPr>
        <w:pStyle w:val="Body"/>
      </w:pPr>
      <w:r>
        <w:t xml:space="preserve">Drawing on the approach above, two fee options, which reflect a number of distinct choices about how fees are set, are considered in this RIS. </w:t>
      </w:r>
    </w:p>
    <w:p w14:paraId="168333F4" w14:textId="1D0F795E" w:rsidR="00052799" w:rsidRDefault="00052799" w:rsidP="00243550">
      <w:pPr>
        <w:pStyle w:val="Body"/>
        <w:keepNext/>
      </w:pPr>
      <w:r>
        <w:t>In broad terms, the two options considered are as follows</w:t>
      </w:r>
      <w:r w:rsidR="00027B94">
        <w:t>.</w:t>
      </w:r>
    </w:p>
    <w:p w14:paraId="426CD2C2" w14:textId="493E7791" w:rsidR="00052799" w:rsidRDefault="00052799" w:rsidP="00052799">
      <w:pPr>
        <w:pStyle w:val="Bulletnormal"/>
        <w:tabs>
          <w:tab w:val="clear" w:pos="283"/>
        </w:tabs>
      </w:pPr>
      <w:r w:rsidRPr="004B487D">
        <w:rPr>
          <w:b/>
        </w:rPr>
        <w:t>Option 1</w:t>
      </w:r>
      <w:r w:rsidR="00027B94" w:rsidRPr="004B487D">
        <w:rPr>
          <w:b/>
        </w:rPr>
        <w:t>:</w:t>
      </w:r>
      <w:r>
        <w:t xml:space="preserve"> Modify the fee structure and levels to achieve full cost recovery</w:t>
      </w:r>
      <w:r w:rsidR="00027B94">
        <w:t>,</w:t>
      </w:r>
      <w:r>
        <w:t xml:space="preserve"> remove cross subsidies</w:t>
      </w:r>
      <w:r w:rsidR="00027B94">
        <w:t xml:space="preserve"> and waivers</w:t>
      </w:r>
      <w:r>
        <w:t xml:space="preserve">, in line with the Activity Based Costing, </w:t>
      </w:r>
      <w:r w:rsidR="00027B94">
        <w:t>and</w:t>
      </w:r>
      <w:r>
        <w:t xml:space="preserve"> introduc</w:t>
      </w:r>
      <w:r w:rsidR="00027B94">
        <w:t>e</w:t>
      </w:r>
      <w:r>
        <w:t xml:space="preserve"> an application fee. </w:t>
      </w:r>
    </w:p>
    <w:p w14:paraId="63DE4261" w14:textId="7C7DC2C6" w:rsidR="00052799" w:rsidRDefault="00052799" w:rsidP="00052799">
      <w:pPr>
        <w:pStyle w:val="Bulletnormal"/>
        <w:tabs>
          <w:tab w:val="clear" w:pos="283"/>
        </w:tabs>
      </w:pPr>
      <w:r w:rsidRPr="004B487D">
        <w:rPr>
          <w:b/>
        </w:rPr>
        <w:t>Option 2</w:t>
      </w:r>
      <w:r w:rsidR="00027B94">
        <w:rPr>
          <w:b/>
        </w:rPr>
        <w:t>:</w:t>
      </w:r>
      <w:r>
        <w:t xml:space="preserve"> Modify the fee structure and levels to move towards full cost recovery, but maintain the primary production waiver, keep fees for junior licences, provisional licences and decision reviews at their existing levels,</w:t>
      </w:r>
      <w:r w:rsidR="00027B94">
        <w:t xml:space="preserve"> and</w:t>
      </w:r>
      <w:r>
        <w:t xml:space="preserve"> introduce a discount for pensioners and the aged.</w:t>
      </w:r>
    </w:p>
    <w:p w14:paraId="60A55E46" w14:textId="77777777" w:rsidR="00052799" w:rsidRDefault="00052799" w:rsidP="00052799">
      <w:pPr>
        <w:pStyle w:val="Body"/>
      </w:pPr>
      <w:r>
        <w:t xml:space="preserve">The following table summarises these options and the consequences for revenue and cost recovery of introducing each one. </w:t>
      </w:r>
    </w:p>
    <w:p w14:paraId="431E97DE" w14:textId="663809E3" w:rsidR="00052799" w:rsidRPr="007C2C00" w:rsidRDefault="00052799" w:rsidP="009F677B">
      <w:pPr>
        <w:pStyle w:val="Caption"/>
      </w:pPr>
      <w:r>
        <w:t xml:space="preserve">Table </w:t>
      </w:r>
      <w:r w:rsidR="001C7D77">
        <w:rPr>
          <w:noProof/>
        </w:rPr>
        <w:t>4</w:t>
      </w:r>
      <w:r w:rsidR="009F677B">
        <w:rPr>
          <w:noProof/>
        </w:rPr>
        <w:t xml:space="preserve">: </w:t>
      </w:r>
      <w:r w:rsidRPr="007C2C00">
        <w:t xml:space="preserve">Summary of total projected revenue and rate of cost recovery for each option </w:t>
      </w:r>
    </w:p>
    <w:tbl>
      <w:tblPr>
        <w:tblW w:w="9221"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Table 4: Summary of total projected revenue and rate of cost recovery for each option"/>
      </w:tblPr>
      <w:tblGrid>
        <w:gridCol w:w="1737"/>
        <w:gridCol w:w="1417"/>
        <w:gridCol w:w="2098"/>
        <w:gridCol w:w="2268"/>
        <w:gridCol w:w="1701"/>
      </w:tblGrid>
      <w:tr w:rsidR="00052799" w:rsidRPr="00975D38" w14:paraId="7AE60422" w14:textId="77777777" w:rsidTr="00871631">
        <w:trPr>
          <w:trHeight w:val="256"/>
          <w:tblHeader/>
        </w:trPr>
        <w:tc>
          <w:tcPr>
            <w:tcW w:w="1737" w:type="dxa"/>
            <w:shd w:val="clear" w:color="auto" w:fill="002060"/>
          </w:tcPr>
          <w:p w14:paraId="07B503D5" w14:textId="77777777" w:rsidR="00052799" w:rsidRPr="00693D92" w:rsidRDefault="00052799" w:rsidP="00871631">
            <w:pPr>
              <w:pStyle w:val="Tabletext0"/>
              <w:jc w:val="center"/>
              <w:rPr>
                <w:color w:val="FFFFFF"/>
                <w:sz w:val="18"/>
                <w:szCs w:val="18"/>
              </w:rPr>
            </w:pPr>
          </w:p>
        </w:tc>
        <w:tc>
          <w:tcPr>
            <w:tcW w:w="1417" w:type="dxa"/>
            <w:shd w:val="clear" w:color="auto" w:fill="002060"/>
          </w:tcPr>
          <w:p w14:paraId="4660B03C" w14:textId="77777777" w:rsidR="00052799" w:rsidRPr="00693D92" w:rsidRDefault="00052799" w:rsidP="00871631">
            <w:pPr>
              <w:pStyle w:val="Tabletext0"/>
              <w:jc w:val="center"/>
              <w:rPr>
                <w:b/>
                <w:color w:val="FFFFFF"/>
                <w:sz w:val="18"/>
                <w:szCs w:val="18"/>
              </w:rPr>
            </w:pPr>
            <w:r w:rsidRPr="00693D92">
              <w:rPr>
                <w:b/>
                <w:color w:val="FFFFFF"/>
                <w:sz w:val="18"/>
                <w:szCs w:val="18"/>
              </w:rPr>
              <w:t>Base case</w:t>
            </w:r>
          </w:p>
        </w:tc>
        <w:tc>
          <w:tcPr>
            <w:tcW w:w="2098" w:type="dxa"/>
            <w:shd w:val="clear" w:color="auto" w:fill="002060"/>
          </w:tcPr>
          <w:p w14:paraId="0655CDEF" w14:textId="77777777" w:rsidR="00052799" w:rsidRPr="00693D92" w:rsidRDefault="00052799" w:rsidP="00871631">
            <w:pPr>
              <w:pStyle w:val="Tabletext0"/>
              <w:jc w:val="center"/>
              <w:rPr>
                <w:b/>
                <w:color w:val="FFFFFF"/>
                <w:sz w:val="18"/>
                <w:szCs w:val="18"/>
              </w:rPr>
            </w:pPr>
            <w:r w:rsidRPr="00693D92">
              <w:rPr>
                <w:b/>
                <w:color w:val="FFFFFF"/>
                <w:sz w:val="18"/>
                <w:szCs w:val="18"/>
              </w:rPr>
              <w:t xml:space="preserve">Option 1: </w:t>
            </w:r>
          </w:p>
          <w:p w14:paraId="24C9FF06" w14:textId="77777777" w:rsidR="00052799" w:rsidRPr="00693D92" w:rsidRDefault="00052799" w:rsidP="00871631">
            <w:pPr>
              <w:pStyle w:val="Tabletext0"/>
              <w:jc w:val="center"/>
              <w:rPr>
                <w:b/>
                <w:color w:val="FFFFFF"/>
                <w:sz w:val="18"/>
                <w:szCs w:val="18"/>
              </w:rPr>
            </w:pPr>
            <w:r w:rsidRPr="00693D92">
              <w:rPr>
                <w:b/>
                <w:color w:val="FFFFFF"/>
                <w:sz w:val="18"/>
                <w:szCs w:val="18"/>
              </w:rPr>
              <w:t>Full cost recovery</w:t>
            </w:r>
          </w:p>
        </w:tc>
        <w:tc>
          <w:tcPr>
            <w:tcW w:w="2268" w:type="dxa"/>
            <w:shd w:val="clear" w:color="auto" w:fill="002060"/>
          </w:tcPr>
          <w:p w14:paraId="744961AB" w14:textId="77777777" w:rsidR="00052799" w:rsidRPr="00693D92" w:rsidRDefault="00052799" w:rsidP="00871631">
            <w:pPr>
              <w:pStyle w:val="Tabletext0"/>
              <w:jc w:val="center"/>
              <w:rPr>
                <w:b/>
                <w:color w:val="FFFFFF"/>
                <w:sz w:val="18"/>
                <w:szCs w:val="18"/>
              </w:rPr>
            </w:pPr>
            <w:r w:rsidRPr="00693D92">
              <w:rPr>
                <w:b/>
                <w:color w:val="FFFFFF"/>
                <w:sz w:val="18"/>
                <w:szCs w:val="18"/>
              </w:rPr>
              <w:t>Option 2:</w:t>
            </w:r>
          </w:p>
          <w:p w14:paraId="3E34CAD1" w14:textId="77777777" w:rsidR="00052799" w:rsidRPr="00693D92" w:rsidRDefault="00052799" w:rsidP="00871631">
            <w:pPr>
              <w:pStyle w:val="Tabletext0"/>
              <w:jc w:val="center"/>
              <w:rPr>
                <w:b/>
                <w:color w:val="FFFFFF"/>
                <w:sz w:val="18"/>
                <w:szCs w:val="18"/>
              </w:rPr>
            </w:pPr>
            <w:r w:rsidRPr="00693D92">
              <w:rPr>
                <w:b/>
                <w:color w:val="FFFFFF"/>
                <w:sz w:val="18"/>
                <w:szCs w:val="18"/>
              </w:rPr>
              <w:t>Partial cost recovery</w:t>
            </w:r>
          </w:p>
        </w:tc>
        <w:tc>
          <w:tcPr>
            <w:tcW w:w="1701" w:type="dxa"/>
            <w:shd w:val="clear" w:color="auto" w:fill="595959"/>
          </w:tcPr>
          <w:p w14:paraId="0A558AC5" w14:textId="77777777" w:rsidR="00052799" w:rsidRPr="00693D92" w:rsidRDefault="00052799" w:rsidP="00871631">
            <w:pPr>
              <w:pStyle w:val="Tabletext0"/>
              <w:jc w:val="center"/>
              <w:rPr>
                <w:b/>
                <w:color w:val="FFFFFF"/>
                <w:sz w:val="18"/>
                <w:szCs w:val="18"/>
              </w:rPr>
            </w:pPr>
            <w:r w:rsidRPr="00693D92">
              <w:rPr>
                <w:b/>
                <w:color w:val="FFFFFF"/>
                <w:sz w:val="18"/>
                <w:szCs w:val="18"/>
              </w:rPr>
              <w:t>Current regulations:</w:t>
            </w:r>
          </w:p>
          <w:p w14:paraId="0EB96F0D" w14:textId="77777777" w:rsidR="00052799" w:rsidRPr="00693D92" w:rsidRDefault="00052799" w:rsidP="00871631">
            <w:pPr>
              <w:pStyle w:val="Tabletext0"/>
              <w:jc w:val="center"/>
              <w:rPr>
                <w:b/>
                <w:color w:val="FFFFFF"/>
                <w:sz w:val="18"/>
                <w:szCs w:val="18"/>
              </w:rPr>
            </w:pPr>
            <w:r w:rsidRPr="00693D92">
              <w:rPr>
                <w:b/>
                <w:color w:val="FFFFFF"/>
                <w:sz w:val="18"/>
                <w:szCs w:val="18"/>
              </w:rPr>
              <w:t>Partial cost recovery</w:t>
            </w:r>
          </w:p>
        </w:tc>
      </w:tr>
      <w:tr w:rsidR="00052799" w:rsidRPr="00975D38" w14:paraId="00BD9AC6" w14:textId="77777777" w:rsidTr="00871631">
        <w:trPr>
          <w:trHeight w:val="20"/>
        </w:trPr>
        <w:tc>
          <w:tcPr>
            <w:tcW w:w="1737" w:type="dxa"/>
            <w:shd w:val="clear" w:color="auto" w:fill="2F5496"/>
          </w:tcPr>
          <w:p w14:paraId="65399851" w14:textId="77777777" w:rsidR="00052799" w:rsidRPr="00693D92" w:rsidRDefault="00052799" w:rsidP="00871631">
            <w:pPr>
              <w:pStyle w:val="Tabletext0"/>
              <w:jc w:val="center"/>
              <w:rPr>
                <w:b/>
                <w:color w:val="FFFFFF"/>
                <w:sz w:val="18"/>
                <w:szCs w:val="18"/>
              </w:rPr>
            </w:pPr>
            <w:r w:rsidRPr="00693D92">
              <w:rPr>
                <w:b/>
                <w:color w:val="FFFFFF"/>
                <w:sz w:val="18"/>
                <w:szCs w:val="18"/>
              </w:rPr>
              <w:t>Total revenue</w:t>
            </w:r>
          </w:p>
          <w:p w14:paraId="6D9540F3" w14:textId="77777777" w:rsidR="00052799" w:rsidRPr="00693D92" w:rsidRDefault="00052799" w:rsidP="00871631">
            <w:pPr>
              <w:pStyle w:val="Tabletext0"/>
              <w:jc w:val="center"/>
              <w:rPr>
                <w:b/>
                <w:color w:val="FFFFFF"/>
                <w:sz w:val="18"/>
                <w:szCs w:val="18"/>
              </w:rPr>
            </w:pPr>
            <w:r w:rsidRPr="00693D92">
              <w:rPr>
                <w:b/>
                <w:color w:val="FFFFFF"/>
                <w:sz w:val="18"/>
                <w:szCs w:val="18"/>
              </w:rPr>
              <w:t>(17/18 $)</w:t>
            </w:r>
          </w:p>
        </w:tc>
        <w:tc>
          <w:tcPr>
            <w:tcW w:w="1417" w:type="dxa"/>
          </w:tcPr>
          <w:p w14:paraId="11E9AF34" w14:textId="77777777" w:rsidR="00052799" w:rsidRPr="00693D92" w:rsidRDefault="00052799" w:rsidP="00871631">
            <w:pPr>
              <w:pStyle w:val="Tabletext0"/>
              <w:jc w:val="center"/>
              <w:rPr>
                <w:sz w:val="18"/>
                <w:szCs w:val="18"/>
              </w:rPr>
            </w:pPr>
            <w:r w:rsidRPr="00693D92">
              <w:rPr>
                <w:sz w:val="18"/>
                <w:szCs w:val="18"/>
              </w:rPr>
              <w:t>$0.0 million</w:t>
            </w:r>
          </w:p>
        </w:tc>
        <w:tc>
          <w:tcPr>
            <w:tcW w:w="2098" w:type="dxa"/>
            <w:shd w:val="clear" w:color="auto" w:fill="auto"/>
            <w:noWrap/>
          </w:tcPr>
          <w:p w14:paraId="4CF31A5B" w14:textId="77777777" w:rsidR="00052799" w:rsidRPr="00693D92" w:rsidRDefault="00052799" w:rsidP="00871631">
            <w:pPr>
              <w:pStyle w:val="Tabletext0"/>
              <w:jc w:val="center"/>
              <w:rPr>
                <w:sz w:val="18"/>
                <w:szCs w:val="18"/>
              </w:rPr>
            </w:pPr>
            <w:r w:rsidRPr="00693D92">
              <w:rPr>
                <w:sz w:val="18"/>
                <w:szCs w:val="18"/>
              </w:rPr>
              <w:t>$13.7 million</w:t>
            </w:r>
          </w:p>
        </w:tc>
        <w:tc>
          <w:tcPr>
            <w:tcW w:w="2268" w:type="dxa"/>
            <w:shd w:val="clear" w:color="auto" w:fill="auto"/>
          </w:tcPr>
          <w:p w14:paraId="2547054E" w14:textId="511B458D" w:rsidR="00052799" w:rsidRPr="00693D92" w:rsidRDefault="007D4B3A" w:rsidP="00871631">
            <w:pPr>
              <w:pStyle w:val="Tabletext0"/>
              <w:jc w:val="center"/>
              <w:rPr>
                <w:sz w:val="18"/>
                <w:szCs w:val="18"/>
              </w:rPr>
            </w:pPr>
            <w:r>
              <w:rPr>
                <w:sz w:val="18"/>
                <w:szCs w:val="18"/>
              </w:rPr>
              <w:t>$11.1</w:t>
            </w:r>
            <w:r w:rsidR="00052799" w:rsidRPr="00693D92">
              <w:rPr>
                <w:sz w:val="18"/>
                <w:szCs w:val="18"/>
              </w:rPr>
              <w:t xml:space="preserve"> million</w:t>
            </w:r>
          </w:p>
        </w:tc>
        <w:tc>
          <w:tcPr>
            <w:tcW w:w="1701" w:type="dxa"/>
          </w:tcPr>
          <w:p w14:paraId="30A3388F" w14:textId="77777777" w:rsidR="00052799" w:rsidRPr="00693D92" w:rsidRDefault="00052799" w:rsidP="00871631">
            <w:pPr>
              <w:pStyle w:val="Tabletext0"/>
              <w:jc w:val="center"/>
              <w:rPr>
                <w:sz w:val="18"/>
                <w:szCs w:val="18"/>
              </w:rPr>
            </w:pPr>
            <w:r w:rsidRPr="00693D92">
              <w:rPr>
                <w:sz w:val="18"/>
                <w:szCs w:val="18"/>
              </w:rPr>
              <w:t>$10.7 million</w:t>
            </w:r>
          </w:p>
        </w:tc>
      </w:tr>
      <w:tr w:rsidR="00052799" w:rsidRPr="00975D38" w14:paraId="0A32CBD4" w14:textId="77777777" w:rsidTr="00871631">
        <w:trPr>
          <w:trHeight w:val="20"/>
        </w:trPr>
        <w:tc>
          <w:tcPr>
            <w:tcW w:w="1737" w:type="dxa"/>
            <w:shd w:val="clear" w:color="auto" w:fill="2F5496"/>
          </w:tcPr>
          <w:p w14:paraId="04E742B9" w14:textId="77777777" w:rsidR="00052799" w:rsidRPr="00693D92" w:rsidRDefault="00052799" w:rsidP="00871631">
            <w:pPr>
              <w:pStyle w:val="Tabletext0"/>
              <w:jc w:val="center"/>
              <w:rPr>
                <w:sz w:val="18"/>
                <w:szCs w:val="18"/>
              </w:rPr>
            </w:pPr>
            <w:r w:rsidRPr="00693D92">
              <w:rPr>
                <w:b/>
                <w:color w:val="FFFFFF"/>
                <w:sz w:val="18"/>
                <w:szCs w:val="18"/>
              </w:rPr>
              <w:t>Percentage of costs recovered</w:t>
            </w:r>
          </w:p>
        </w:tc>
        <w:tc>
          <w:tcPr>
            <w:tcW w:w="1417" w:type="dxa"/>
          </w:tcPr>
          <w:p w14:paraId="36F76DCE" w14:textId="77777777" w:rsidR="00052799" w:rsidRPr="00693D92" w:rsidRDefault="00052799" w:rsidP="00871631">
            <w:pPr>
              <w:pStyle w:val="Tabletext0"/>
              <w:jc w:val="center"/>
              <w:rPr>
                <w:sz w:val="18"/>
                <w:szCs w:val="18"/>
              </w:rPr>
            </w:pPr>
            <w:r w:rsidRPr="00693D92">
              <w:rPr>
                <w:sz w:val="18"/>
                <w:szCs w:val="18"/>
              </w:rPr>
              <w:t>0%</w:t>
            </w:r>
          </w:p>
        </w:tc>
        <w:tc>
          <w:tcPr>
            <w:tcW w:w="2098" w:type="dxa"/>
            <w:shd w:val="clear" w:color="auto" w:fill="auto"/>
            <w:noWrap/>
          </w:tcPr>
          <w:p w14:paraId="4D3C3875" w14:textId="77777777" w:rsidR="00052799" w:rsidRPr="00693D92" w:rsidRDefault="00052799" w:rsidP="00871631">
            <w:pPr>
              <w:pStyle w:val="Tabletext0"/>
              <w:jc w:val="center"/>
              <w:rPr>
                <w:sz w:val="18"/>
                <w:szCs w:val="18"/>
              </w:rPr>
            </w:pPr>
            <w:r w:rsidRPr="00693D92">
              <w:rPr>
                <w:sz w:val="18"/>
                <w:szCs w:val="18"/>
              </w:rPr>
              <w:t>100%</w:t>
            </w:r>
          </w:p>
        </w:tc>
        <w:tc>
          <w:tcPr>
            <w:tcW w:w="2268" w:type="dxa"/>
            <w:shd w:val="clear" w:color="auto" w:fill="auto"/>
          </w:tcPr>
          <w:p w14:paraId="1A4EB912" w14:textId="77777777" w:rsidR="00052799" w:rsidRPr="00693D92" w:rsidRDefault="00052799" w:rsidP="00871631">
            <w:pPr>
              <w:pStyle w:val="Tabletext0"/>
              <w:jc w:val="center"/>
              <w:rPr>
                <w:sz w:val="18"/>
                <w:szCs w:val="18"/>
              </w:rPr>
            </w:pPr>
            <w:r w:rsidRPr="00693D92">
              <w:rPr>
                <w:sz w:val="18"/>
                <w:szCs w:val="18"/>
              </w:rPr>
              <w:t>81%</w:t>
            </w:r>
          </w:p>
        </w:tc>
        <w:tc>
          <w:tcPr>
            <w:tcW w:w="1701" w:type="dxa"/>
          </w:tcPr>
          <w:p w14:paraId="591EB5D7" w14:textId="77777777" w:rsidR="00052799" w:rsidRPr="00693D92" w:rsidRDefault="00052799" w:rsidP="00871631">
            <w:pPr>
              <w:pStyle w:val="Tabletext0"/>
              <w:jc w:val="center"/>
              <w:rPr>
                <w:sz w:val="18"/>
                <w:szCs w:val="18"/>
              </w:rPr>
            </w:pPr>
            <w:r w:rsidRPr="00693D92">
              <w:rPr>
                <w:sz w:val="18"/>
                <w:szCs w:val="18"/>
              </w:rPr>
              <w:t>78%</w:t>
            </w:r>
          </w:p>
        </w:tc>
      </w:tr>
      <w:tr w:rsidR="00052799" w:rsidRPr="00975D38" w14:paraId="3934F348" w14:textId="77777777" w:rsidTr="00871631">
        <w:trPr>
          <w:trHeight w:val="20"/>
        </w:trPr>
        <w:tc>
          <w:tcPr>
            <w:tcW w:w="1737" w:type="dxa"/>
            <w:shd w:val="clear" w:color="auto" w:fill="2F5496"/>
          </w:tcPr>
          <w:p w14:paraId="59C24BDF" w14:textId="77777777" w:rsidR="00052799" w:rsidRPr="00693D92" w:rsidRDefault="00052799" w:rsidP="00871631">
            <w:pPr>
              <w:pStyle w:val="Tabletext0"/>
              <w:jc w:val="center"/>
              <w:rPr>
                <w:b/>
                <w:color w:val="FFFFFF"/>
                <w:sz w:val="18"/>
                <w:szCs w:val="18"/>
              </w:rPr>
            </w:pPr>
            <w:r w:rsidRPr="00693D92">
              <w:rPr>
                <w:b/>
                <w:color w:val="FFFFFF"/>
                <w:sz w:val="18"/>
                <w:szCs w:val="18"/>
              </w:rPr>
              <w:t>Multi-criteria assessment</w:t>
            </w:r>
          </w:p>
        </w:tc>
        <w:tc>
          <w:tcPr>
            <w:tcW w:w="1417" w:type="dxa"/>
          </w:tcPr>
          <w:p w14:paraId="0DE58B46" w14:textId="77777777" w:rsidR="00052799" w:rsidRPr="00693D92" w:rsidRDefault="00052799" w:rsidP="00871631">
            <w:pPr>
              <w:pStyle w:val="Tabletext0"/>
              <w:jc w:val="center"/>
              <w:rPr>
                <w:sz w:val="18"/>
                <w:szCs w:val="18"/>
              </w:rPr>
            </w:pPr>
            <w:r w:rsidRPr="00693D92">
              <w:rPr>
                <w:sz w:val="18"/>
                <w:szCs w:val="18"/>
              </w:rPr>
              <w:t>0</w:t>
            </w:r>
          </w:p>
        </w:tc>
        <w:tc>
          <w:tcPr>
            <w:tcW w:w="2098" w:type="dxa"/>
            <w:shd w:val="clear" w:color="auto" w:fill="auto"/>
            <w:noWrap/>
          </w:tcPr>
          <w:p w14:paraId="3A1CA711" w14:textId="77777777" w:rsidR="00052799" w:rsidRPr="00693D92" w:rsidRDefault="00284A42" w:rsidP="00871631">
            <w:pPr>
              <w:pStyle w:val="Tabletext0"/>
              <w:jc w:val="center"/>
              <w:rPr>
                <w:sz w:val="18"/>
                <w:szCs w:val="18"/>
              </w:rPr>
            </w:pPr>
            <w:r w:rsidRPr="00693D92">
              <w:rPr>
                <w:sz w:val="18"/>
                <w:szCs w:val="18"/>
              </w:rPr>
              <w:t>3.2</w:t>
            </w:r>
          </w:p>
        </w:tc>
        <w:tc>
          <w:tcPr>
            <w:tcW w:w="2268" w:type="dxa"/>
            <w:shd w:val="clear" w:color="auto" w:fill="auto"/>
          </w:tcPr>
          <w:p w14:paraId="7841F836" w14:textId="77777777" w:rsidR="00052799" w:rsidRPr="00693D92" w:rsidRDefault="00052799" w:rsidP="00871631">
            <w:pPr>
              <w:pStyle w:val="Tabletext0"/>
              <w:jc w:val="center"/>
              <w:rPr>
                <w:sz w:val="18"/>
                <w:szCs w:val="18"/>
              </w:rPr>
            </w:pPr>
            <w:r w:rsidRPr="00693D92">
              <w:rPr>
                <w:sz w:val="18"/>
                <w:szCs w:val="18"/>
              </w:rPr>
              <w:t>3.5</w:t>
            </w:r>
          </w:p>
        </w:tc>
        <w:tc>
          <w:tcPr>
            <w:tcW w:w="1701" w:type="dxa"/>
          </w:tcPr>
          <w:p w14:paraId="15DC22EF" w14:textId="77777777" w:rsidR="00052799" w:rsidRPr="00693D92" w:rsidRDefault="00052799" w:rsidP="00871631">
            <w:pPr>
              <w:pStyle w:val="Tabletext0"/>
              <w:jc w:val="center"/>
              <w:rPr>
                <w:sz w:val="18"/>
                <w:szCs w:val="18"/>
              </w:rPr>
            </w:pPr>
            <w:r w:rsidRPr="00693D92">
              <w:rPr>
                <w:sz w:val="18"/>
                <w:szCs w:val="18"/>
              </w:rPr>
              <w:t>N/A</w:t>
            </w:r>
          </w:p>
        </w:tc>
      </w:tr>
      <w:tr w:rsidR="00052799" w:rsidRPr="00975D38" w14:paraId="65BCC5D4" w14:textId="77777777" w:rsidTr="00871631">
        <w:trPr>
          <w:trHeight w:val="20"/>
        </w:trPr>
        <w:tc>
          <w:tcPr>
            <w:tcW w:w="1737" w:type="dxa"/>
            <w:shd w:val="clear" w:color="auto" w:fill="2F5496"/>
          </w:tcPr>
          <w:p w14:paraId="3F65DD6F" w14:textId="77777777" w:rsidR="00052799" w:rsidRPr="00693D92" w:rsidRDefault="00052799" w:rsidP="00871631">
            <w:pPr>
              <w:pStyle w:val="Tabletext0"/>
              <w:jc w:val="center"/>
              <w:rPr>
                <w:b/>
                <w:color w:val="FFFFFF"/>
                <w:sz w:val="18"/>
                <w:szCs w:val="18"/>
              </w:rPr>
            </w:pPr>
            <w:r w:rsidRPr="00693D92">
              <w:rPr>
                <w:b/>
                <w:color w:val="FFFFFF"/>
                <w:sz w:val="18"/>
                <w:szCs w:val="18"/>
              </w:rPr>
              <w:t xml:space="preserve">Key features of this option </w:t>
            </w:r>
          </w:p>
        </w:tc>
        <w:tc>
          <w:tcPr>
            <w:tcW w:w="1417" w:type="dxa"/>
          </w:tcPr>
          <w:p w14:paraId="41ECC1B7" w14:textId="77777777" w:rsidR="00052799" w:rsidRPr="00693D92" w:rsidRDefault="00052799" w:rsidP="00052799">
            <w:pPr>
              <w:pStyle w:val="Tabletext0"/>
              <w:numPr>
                <w:ilvl w:val="0"/>
                <w:numId w:val="59"/>
              </w:numPr>
              <w:rPr>
                <w:sz w:val="18"/>
                <w:szCs w:val="18"/>
              </w:rPr>
            </w:pPr>
            <w:r w:rsidRPr="00693D92">
              <w:rPr>
                <w:sz w:val="18"/>
                <w:szCs w:val="18"/>
              </w:rPr>
              <w:t xml:space="preserve">No fees charged </w:t>
            </w:r>
          </w:p>
          <w:p w14:paraId="32D073E1" w14:textId="77777777" w:rsidR="00052799" w:rsidRPr="00693D92" w:rsidRDefault="00052799" w:rsidP="00052799">
            <w:pPr>
              <w:pStyle w:val="Tabletext0"/>
              <w:numPr>
                <w:ilvl w:val="0"/>
                <w:numId w:val="59"/>
              </w:numPr>
              <w:rPr>
                <w:sz w:val="18"/>
                <w:szCs w:val="18"/>
              </w:rPr>
            </w:pPr>
            <w:r w:rsidRPr="00693D92">
              <w:rPr>
                <w:sz w:val="18"/>
                <w:szCs w:val="18"/>
              </w:rPr>
              <w:t>All costs recovered from general taxpayers</w:t>
            </w:r>
          </w:p>
        </w:tc>
        <w:tc>
          <w:tcPr>
            <w:tcW w:w="2098" w:type="dxa"/>
            <w:shd w:val="clear" w:color="auto" w:fill="auto"/>
            <w:noWrap/>
          </w:tcPr>
          <w:p w14:paraId="01FA55E2" w14:textId="77777777" w:rsidR="00052799" w:rsidRPr="00693D92" w:rsidRDefault="00052799" w:rsidP="00052799">
            <w:pPr>
              <w:pStyle w:val="Tabletext0"/>
              <w:numPr>
                <w:ilvl w:val="0"/>
                <w:numId w:val="59"/>
              </w:numPr>
              <w:rPr>
                <w:sz w:val="18"/>
                <w:szCs w:val="18"/>
              </w:rPr>
            </w:pPr>
            <w:r w:rsidRPr="00693D92">
              <w:rPr>
                <w:sz w:val="18"/>
                <w:szCs w:val="18"/>
              </w:rPr>
              <w:t>Addresses cross subsidies between licence and permit categories, and between general taxpayers and firearm users</w:t>
            </w:r>
          </w:p>
          <w:p w14:paraId="7BBD7C17" w14:textId="77777777" w:rsidR="00052799" w:rsidRPr="00693D92" w:rsidRDefault="00052799" w:rsidP="00052799">
            <w:pPr>
              <w:pStyle w:val="Tabletext0"/>
              <w:numPr>
                <w:ilvl w:val="0"/>
                <w:numId w:val="59"/>
              </w:numPr>
              <w:rPr>
                <w:sz w:val="18"/>
                <w:szCs w:val="18"/>
              </w:rPr>
            </w:pPr>
            <w:r w:rsidRPr="00693D92">
              <w:rPr>
                <w:sz w:val="18"/>
                <w:szCs w:val="18"/>
              </w:rPr>
              <w:t>Addresses under-recovery identified through ABC modelling</w:t>
            </w:r>
          </w:p>
          <w:p w14:paraId="2F4E7904" w14:textId="77777777" w:rsidR="00052799" w:rsidRPr="00693D92" w:rsidRDefault="00052799" w:rsidP="00052799">
            <w:pPr>
              <w:pStyle w:val="Tabletext0"/>
              <w:numPr>
                <w:ilvl w:val="0"/>
                <w:numId w:val="59"/>
              </w:numPr>
              <w:rPr>
                <w:sz w:val="18"/>
                <w:szCs w:val="18"/>
              </w:rPr>
            </w:pPr>
            <w:r w:rsidRPr="00693D92">
              <w:rPr>
                <w:sz w:val="18"/>
                <w:szCs w:val="18"/>
              </w:rPr>
              <w:t>Introduces an application fee</w:t>
            </w:r>
          </w:p>
          <w:p w14:paraId="70856631" w14:textId="77777777" w:rsidR="00052799" w:rsidRPr="00693D92" w:rsidRDefault="00052799" w:rsidP="00052799">
            <w:pPr>
              <w:pStyle w:val="Tabletext0"/>
              <w:numPr>
                <w:ilvl w:val="0"/>
                <w:numId w:val="59"/>
              </w:numPr>
              <w:rPr>
                <w:sz w:val="18"/>
                <w:szCs w:val="18"/>
              </w:rPr>
            </w:pPr>
            <w:r w:rsidRPr="00693D92">
              <w:rPr>
                <w:sz w:val="18"/>
                <w:szCs w:val="18"/>
              </w:rPr>
              <w:t>Eliminates primary production waiver</w:t>
            </w:r>
          </w:p>
          <w:p w14:paraId="48AE5A8A" w14:textId="77777777" w:rsidR="00052799" w:rsidRPr="00693D92" w:rsidRDefault="00052799" w:rsidP="00052799">
            <w:pPr>
              <w:pStyle w:val="Tabletext0"/>
              <w:numPr>
                <w:ilvl w:val="0"/>
                <w:numId w:val="59"/>
              </w:numPr>
              <w:rPr>
                <w:sz w:val="18"/>
                <w:szCs w:val="18"/>
              </w:rPr>
            </w:pPr>
            <w:r w:rsidRPr="00693D92">
              <w:rPr>
                <w:sz w:val="18"/>
                <w:szCs w:val="18"/>
              </w:rPr>
              <w:t>No contribution from general revenue</w:t>
            </w:r>
          </w:p>
        </w:tc>
        <w:tc>
          <w:tcPr>
            <w:tcW w:w="2268" w:type="dxa"/>
            <w:shd w:val="clear" w:color="auto" w:fill="auto"/>
          </w:tcPr>
          <w:p w14:paraId="63D439F8" w14:textId="77777777" w:rsidR="00052799" w:rsidRPr="00693D92" w:rsidRDefault="00052799" w:rsidP="00052799">
            <w:pPr>
              <w:pStyle w:val="Tabletext0"/>
              <w:numPr>
                <w:ilvl w:val="0"/>
                <w:numId w:val="59"/>
              </w:numPr>
              <w:rPr>
                <w:sz w:val="18"/>
                <w:szCs w:val="18"/>
              </w:rPr>
            </w:pPr>
            <w:r w:rsidRPr="00693D92">
              <w:rPr>
                <w:sz w:val="18"/>
                <w:szCs w:val="18"/>
              </w:rPr>
              <w:t>Partially addresses cross subsidies between licence and permit categories</w:t>
            </w:r>
          </w:p>
          <w:p w14:paraId="5FC0D721" w14:textId="77777777" w:rsidR="00052799" w:rsidRPr="00693D92" w:rsidRDefault="00052799" w:rsidP="00052799">
            <w:pPr>
              <w:pStyle w:val="Tabletext0"/>
              <w:numPr>
                <w:ilvl w:val="0"/>
                <w:numId w:val="59"/>
              </w:numPr>
              <w:rPr>
                <w:sz w:val="18"/>
                <w:szCs w:val="18"/>
              </w:rPr>
            </w:pPr>
            <w:r w:rsidRPr="00693D92">
              <w:rPr>
                <w:sz w:val="18"/>
                <w:szCs w:val="18"/>
              </w:rPr>
              <w:t>Addresses some under-recovery, but relative to Option 1, this option smooths the impact of large fee increases for certain fee categories by holding fees constant for other fee categories which would have decreased under Option 1</w:t>
            </w:r>
          </w:p>
          <w:p w14:paraId="0409E662" w14:textId="77777777" w:rsidR="00052799" w:rsidRPr="00693D92" w:rsidRDefault="00052799" w:rsidP="00052799">
            <w:pPr>
              <w:pStyle w:val="Tabletext0"/>
              <w:numPr>
                <w:ilvl w:val="0"/>
                <w:numId w:val="59"/>
              </w:numPr>
              <w:rPr>
                <w:sz w:val="18"/>
                <w:szCs w:val="18"/>
              </w:rPr>
            </w:pPr>
            <w:r w:rsidRPr="00693D92">
              <w:rPr>
                <w:sz w:val="18"/>
                <w:szCs w:val="18"/>
              </w:rPr>
              <w:t>Maintains primary production waiver</w:t>
            </w:r>
          </w:p>
          <w:p w14:paraId="0AD7E578" w14:textId="7FA6229B" w:rsidR="00052799" w:rsidRPr="00693D92" w:rsidRDefault="00052799" w:rsidP="00052799">
            <w:pPr>
              <w:pStyle w:val="Tabletext0"/>
              <w:numPr>
                <w:ilvl w:val="0"/>
                <w:numId w:val="59"/>
              </w:numPr>
              <w:rPr>
                <w:sz w:val="18"/>
                <w:szCs w:val="18"/>
              </w:rPr>
            </w:pPr>
            <w:r w:rsidRPr="00693D92">
              <w:rPr>
                <w:sz w:val="18"/>
                <w:szCs w:val="18"/>
              </w:rPr>
              <w:t xml:space="preserve">No change in current fee for </w:t>
            </w:r>
            <w:r w:rsidR="00027B94">
              <w:rPr>
                <w:sz w:val="18"/>
                <w:szCs w:val="18"/>
              </w:rPr>
              <w:t>j</w:t>
            </w:r>
            <w:r w:rsidRPr="00693D92">
              <w:rPr>
                <w:sz w:val="18"/>
                <w:szCs w:val="18"/>
              </w:rPr>
              <w:t>unior licences, provisional licences and decision reviews (each would have increased by over 100 per cent under Option 1)</w:t>
            </w:r>
          </w:p>
          <w:p w14:paraId="178AD1FC" w14:textId="77777777" w:rsidR="00052799" w:rsidRPr="00693D92" w:rsidRDefault="00052799" w:rsidP="00052799">
            <w:pPr>
              <w:pStyle w:val="Tabletext0"/>
              <w:numPr>
                <w:ilvl w:val="0"/>
                <w:numId w:val="59"/>
              </w:numPr>
              <w:rPr>
                <w:sz w:val="18"/>
                <w:szCs w:val="18"/>
              </w:rPr>
            </w:pPr>
            <w:r w:rsidRPr="00693D92">
              <w:rPr>
                <w:sz w:val="18"/>
                <w:szCs w:val="18"/>
              </w:rPr>
              <w:t>Introduces a new 25% discount in fees for pensioners and the aged</w:t>
            </w:r>
          </w:p>
          <w:p w14:paraId="43A67C86" w14:textId="77777777" w:rsidR="00052799" w:rsidRPr="00693D92" w:rsidRDefault="00052799" w:rsidP="00052799">
            <w:pPr>
              <w:pStyle w:val="Tabletext0"/>
              <w:numPr>
                <w:ilvl w:val="0"/>
                <w:numId w:val="59"/>
              </w:numPr>
              <w:rPr>
                <w:sz w:val="18"/>
                <w:szCs w:val="18"/>
              </w:rPr>
            </w:pPr>
            <w:r w:rsidRPr="00693D92">
              <w:rPr>
                <w:sz w:val="18"/>
                <w:szCs w:val="18"/>
              </w:rPr>
              <w:t>Remaining 19 per cent of associated costs funded through consolidated revenue</w:t>
            </w:r>
          </w:p>
        </w:tc>
        <w:tc>
          <w:tcPr>
            <w:tcW w:w="1701" w:type="dxa"/>
          </w:tcPr>
          <w:p w14:paraId="6504018F" w14:textId="77777777" w:rsidR="00052799" w:rsidRPr="00693D92" w:rsidRDefault="00052799" w:rsidP="00052799">
            <w:pPr>
              <w:pStyle w:val="Tabletext0"/>
              <w:numPr>
                <w:ilvl w:val="0"/>
                <w:numId w:val="59"/>
              </w:numPr>
              <w:rPr>
                <w:sz w:val="18"/>
                <w:szCs w:val="18"/>
              </w:rPr>
            </w:pPr>
            <w:r w:rsidRPr="00693D92">
              <w:rPr>
                <w:sz w:val="18"/>
                <w:szCs w:val="18"/>
              </w:rPr>
              <w:t>Re-make the Regulations without any changes</w:t>
            </w:r>
          </w:p>
        </w:tc>
      </w:tr>
    </w:tbl>
    <w:p w14:paraId="15FE5206" w14:textId="77777777" w:rsidR="00052799" w:rsidRDefault="00052799" w:rsidP="00052799">
      <w:pPr>
        <w:pStyle w:val="Body"/>
      </w:pPr>
      <w:r>
        <w:t xml:space="preserve">The RIS and the proposed Regulations proposes to amend fee levels in accordance with </w:t>
      </w:r>
      <w:r w:rsidRPr="007C2C00">
        <w:rPr>
          <w:b/>
        </w:rPr>
        <w:t>Option 2</w:t>
      </w:r>
      <w:r>
        <w:t xml:space="preserve"> as described above. </w:t>
      </w:r>
    </w:p>
    <w:p w14:paraId="589D7B42" w14:textId="77777777" w:rsidR="00052799" w:rsidRDefault="00052799" w:rsidP="00052799">
      <w:pPr>
        <w:pStyle w:val="Body"/>
      </w:pPr>
      <w:r>
        <w:t>Option 2 was preferred because:</w:t>
      </w:r>
    </w:p>
    <w:p w14:paraId="2C8E6CF8" w14:textId="77777777" w:rsidR="00052799" w:rsidRPr="004F2068" w:rsidRDefault="00052799" w:rsidP="00052799">
      <w:pPr>
        <w:pStyle w:val="Bulletnormal"/>
        <w:tabs>
          <w:tab w:val="clear" w:pos="283"/>
        </w:tabs>
      </w:pPr>
      <w:r w:rsidRPr="00EA6C74">
        <w:t>As discussed above, this fee structure is closer to achieving full cost recovery</w:t>
      </w:r>
      <w:r>
        <w:t xml:space="preserve"> than the current regulations</w:t>
      </w:r>
      <w:r w:rsidRPr="00EA6C74">
        <w:t>, while avoiding very large increases in fe</w:t>
      </w:r>
      <w:r w:rsidRPr="001F3D02">
        <w:t>es for particular categories of firearms users.</w:t>
      </w:r>
    </w:p>
    <w:p w14:paraId="6EF71F56" w14:textId="77777777" w:rsidR="00052799" w:rsidRPr="00090042" w:rsidRDefault="00052799" w:rsidP="00052799">
      <w:pPr>
        <w:pStyle w:val="Bulletnormal"/>
        <w:tabs>
          <w:tab w:val="clear" w:pos="283"/>
        </w:tabs>
      </w:pPr>
      <w:r w:rsidRPr="00F420A2">
        <w:t>As a result, it improves efficiency by sending a more direct price signal to licensed users about the cost of their activities, although this price signal is dulled by smoothing, waivers and discounts.</w:t>
      </w:r>
    </w:p>
    <w:p w14:paraId="197A1DC1" w14:textId="77777777" w:rsidR="00052799" w:rsidRPr="00085B06" w:rsidRDefault="00052799" w:rsidP="00052799">
      <w:pPr>
        <w:pStyle w:val="Bulletnormal"/>
        <w:tabs>
          <w:tab w:val="clear" w:pos="283"/>
        </w:tabs>
      </w:pPr>
      <w:r w:rsidRPr="00090042">
        <w:t>By par</w:t>
      </w:r>
      <w:r w:rsidRPr="00261878">
        <w:t>tially removing cross-subsidies, it improves the equity of the fee structure between licensed users.</w:t>
      </w:r>
    </w:p>
    <w:p w14:paraId="7647CAEF" w14:textId="77777777" w:rsidR="00052799" w:rsidRPr="00FF11FA" w:rsidRDefault="00052799" w:rsidP="00052799">
      <w:pPr>
        <w:pStyle w:val="Bulletnormal"/>
        <w:tabs>
          <w:tab w:val="clear" w:pos="283"/>
        </w:tabs>
      </w:pPr>
      <w:r w:rsidRPr="00FF11FA">
        <w:t>Waivers and discounts for specific groups are</w:t>
      </w:r>
      <w:r w:rsidR="00284A42">
        <w:t xml:space="preserve"> not</w:t>
      </w:r>
      <w:r w:rsidRPr="00FF11FA">
        <w:t xml:space="preserve"> </w:t>
      </w:r>
      <w:r w:rsidR="00284A42">
        <w:t>funded by any increase in the current level of cross-subsidisation</w:t>
      </w:r>
      <w:r w:rsidRPr="00FF11FA">
        <w:t>.</w:t>
      </w:r>
    </w:p>
    <w:p w14:paraId="3B411E59" w14:textId="0D3CB09C" w:rsidR="00052799" w:rsidRDefault="00052799" w:rsidP="00052799">
      <w:pPr>
        <w:pStyle w:val="Body"/>
      </w:pPr>
      <w:r>
        <w:t>In relation to efficiency, r</w:t>
      </w:r>
      <w:r w:rsidRPr="007A48FF">
        <w:t xml:space="preserve">elative to Option 1, </w:t>
      </w:r>
      <w:r>
        <w:t xml:space="preserve">Option 2 dulls </w:t>
      </w:r>
      <w:r w:rsidRPr="007A48FF">
        <w:t>efficient price signal</w:t>
      </w:r>
      <w:r>
        <w:t>s</w:t>
      </w:r>
      <w:r w:rsidRPr="007A48FF">
        <w:t xml:space="preserve"> by smoothing across licence holders and concessions for older firearms licence holders</w:t>
      </w:r>
      <w:r w:rsidR="00027B94">
        <w:t xml:space="preserve"> and certain concession card holders</w:t>
      </w:r>
      <w:r w:rsidRPr="007A48FF">
        <w:t xml:space="preserve">. </w:t>
      </w:r>
      <w:r>
        <w:t xml:space="preserve">It also deviates from </w:t>
      </w:r>
      <w:r w:rsidRPr="007A48FF">
        <w:t xml:space="preserve">efficient price signals </w:t>
      </w:r>
      <w:r>
        <w:t xml:space="preserve">through maintaining current fee levels for </w:t>
      </w:r>
      <w:r w:rsidRPr="007A48FF">
        <w:t xml:space="preserve">junior licence holders, provisional licensees, applicants for reviews of decisions, and licence holders who receive a primary production fee waiver (which </w:t>
      </w:r>
      <w:r w:rsidR="00027B94" w:rsidRPr="007A48FF">
        <w:t xml:space="preserve">together </w:t>
      </w:r>
      <w:r w:rsidRPr="007A48FF">
        <w:t>represent a 19 per cent deviation from full cost recovery).</w:t>
      </w:r>
    </w:p>
    <w:p w14:paraId="4C3608FC" w14:textId="53D04215" w:rsidR="00052799" w:rsidRDefault="00052799" w:rsidP="00052799">
      <w:pPr>
        <w:pStyle w:val="Body"/>
      </w:pPr>
      <w:r>
        <w:t>In relation to equity, r</w:t>
      </w:r>
      <w:r w:rsidRPr="000B7B1E">
        <w:t xml:space="preserve">elative to Option 1, </w:t>
      </w:r>
      <w:r>
        <w:t xml:space="preserve">Option 2 </w:t>
      </w:r>
      <w:r w:rsidR="00027B94">
        <w:t>contains</w:t>
      </w:r>
      <w:r w:rsidR="00027B94" w:rsidRPr="000B7B1E">
        <w:t xml:space="preserve"> </w:t>
      </w:r>
      <w:r w:rsidRPr="000B7B1E">
        <w:t xml:space="preserve">a range of cross-subsidies </w:t>
      </w:r>
      <w:r w:rsidR="00027B94">
        <w:t>brought about by</w:t>
      </w:r>
      <w:r w:rsidR="00027B94" w:rsidRPr="000B7B1E">
        <w:t xml:space="preserve"> </w:t>
      </w:r>
      <w:r w:rsidRPr="000B7B1E">
        <w:t xml:space="preserve">smoothing, particularly for smaller volume licence categories which would have experienced a large fee increases under Option 1. </w:t>
      </w:r>
      <w:r>
        <w:t xml:space="preserve">Option 2 </w:t>
      </w:r>
      <w:r w:rsidRPr="000B7B1E">
        <w:t>also result</w:t>
      </w:r>
      <w:r>
        <w:t>s</w:t>
      </w:r>
      <w:r w:rsidRPr="000B7B1E">
        <w:t xml:space="preserve"> in under-recovery for junior licences, provisional licensees, decision reviews, concessions for older firearms holders and primary producers. Shortfalls in cost recovery associated with administering these activities would be funded through a combination of consolidated revenue and over-recovery from selected licence groups.</w:t>
      </w:r>
    </w:p>
    <w:p w14:paraId="50037E6B" w14:textId="7783F1AC" w:rsidR="00052799" w:rsidRDefault="00052799" w:rsidP="00052799">
      <w:pPr>
        <w:pStyle w:val="Body"/>
      </w:pPr>
      <w:r>
        <w:t>In relation to alignment with the objectives of the Act, r</w:t>
      </w:r>
      <w:r w:rsidRPr="000B7B1E">
        <w:t xml:space="preserve">elative to Option 1, Option 2 targets exemptions towards primary producers, and maintains </w:t>
      </w:r>
      <w:r w:rsidR="00027B94">
        <w:t>current</w:t>
      </w:r>
      <w:r w:rsidRPr="000B7B1E">
        <w:t xml:space="preserve"> fee</w:t>
      </w:r>
      <w:r w:rsidR="00027B94">
        <w:t xml:space="preserve"> level</w:t>
      </w:r>
      <w:r w:rsidRPr="000B7B1E">
        <w:t>s for junior licences, provisional licences and decision review fees which is likely to encourage compliant conduct for these key cohorts of shooters</w:t>
      </w:r>
      <w:r w:rsidR="00027B94">
        <w:t xml:space="preserve"> and to promote confidence in the assessment process</w:t>
      </w:r>
      <w:r w:rsidRPr="000B7B1E">
        <w:t>.</w:t>
      </w:r>
    </w:p>
    <w:p w14:paraId="3115A4AA" w14:textId="478DFF9D" w:rsidR="00052799" w:rsidRDefault="00052799" w:rsidP="00052799">
      <w:pPr>
        <w:pStyle w:val="Body"/>
      </w:pPr>
      <w:r>
        <w:t>In relation to administrative complexity, s</w:t>
      </w:r>
      <w:r w:rsidRPr="000B7B1E">
        <w:t xml:space="preserve">imilar to Option 1, </w:t>
      </w:r>
      <w:r>
        <w:t xml:space="preserve">Option 2 </w:t>
      </w:r>
      <w:r w:rsidRPr="000B7B1E">
        <w:t xml:space="preserve">requires adjustments to the value of numerous fee categories, but does not require a radical overhaul of the administrative scheme. The perpetuation of the primary production waiver makes </w:t>
      </w:r>
      <w:r>
        <w:t xml:space="preserve">Option 2 </w:t>
      </w:r>
      <w:r w:rsidRPr="000B7B1E">
        <w:t xml:space="preserve">simpler than Option 1 as it requires no change in practices from Victoria Police or the </w:t>
      </w:r>
      <w:r w:rsidR="00027B94">
        <w:t>r</w:t>
      </w:r>
      <w:r w:rsidRPr="000B7B1E">
        <w:t xml:space="preserve">egulated </w:t>
      </w:r>
      <w:r w:rsidR="00027B94">
        <w:t>c</w:t>
      </w:r>
      <w:r w:rsidRPr="000B7B1E">
        <w:t>ommunity.</w:t>
      </w:r>
    </w:p>
    <w:p w14:paraId="265AE6C6" w14:textId="77777777" w:rsidR="00052799" w:rsidRDefault="00052799" w:rsidP="00052799">
      <w:pPr>
        <w:pStyle w:val="Body"/>
      </w:pPr>
      <w:r>
        <w:t>On balance, Option 2 scores slightly higher than Option 1 through the MCA (a score of 3.5 for Option 2 compare</w:t>
      </w:r>
      <w:r w:rsidR="00284A42">
        <w:t>d to 3.2</w:t>
      </w:r>
      <w:r>
        <w:t xml:space="preserve"> for Option 1). However, given the relatively close results, and the subjective nature of assessments against criteria, this is a marginal decision. On balance, the Department considers that Option 2 is the preferred approach.</w:t>
      </w:r>
    </w:p>
    <w:p w14:paraId="08540BAE" w14:textId="77777777" w:rsidR="00052799" w:rsidRDefault="00052799" w:rsidP="00052799">
      <w:pPr>
        <w:pStyle w:val="Body"/>
      </w:pPr>
      <w:r>
        <w:t>A summary of the revised fees under the proposed Regulations, compared to the current fee levels, is set out in Table 5. Fees in this table are set out in dollar terms, calculated using the current value of a fee unit ($14.22).</w:t>
      </w:r>
      <w:r w:rsidR="00693D92">
        <w:t xml:space="preserve"> A complete list of proposed fees is contained in Appendix 2.</w:t>
      </w:r>
    </w:p>
    <w:p w14:paraId="1B50CC35" w14:textId="2D747453" w:rsidR="00052799" w:rsidRPr="007C2C00" w:rsidRDefault="00052799" w:rsidP="009F677B">
      <w:pPr>
        <w:pStyle w:val="Caption"/>
      </w:pPr>
      <w:r>
        <w:t xml:space="preserve">Table </w:t>
      </w:r>
      <w:r w:rsidR="001C7D77">
        <w:rPr>
          <w:noProof/>
        </w:rPr>
        <w:t>5</w:t>
      </w:r>
      <w:r>
        <w:t xml:space="preserve">: </w:t>
      </w:r>
      <w:r w:rsidRPr="007C2C00">
        <w:t>Summary of comparison between current fees and proposed fees for common fee categories</w:t>
      </w:r>
      <w:r w:rsidR="00284A42">
        <w:rPr>
          <w:rStyle w:val="FootnoteReference"/>
        </w:rPr>
        <w:footnoteReference w:id="2"/>
      </w:r>
    </w:p>
    <w:tbl>
      <w:tblPr>
        <w:tblW w:w="8080" w:type="dxa"/>
        <w:tblInd w:w="846" w:type="dxa"/>
        <w:tblLook w:val="04A0" w:firstRow="1" w:lastRow="0" w:firstColumn="1" w:lastColumn="0" w:noHBand="0" w:noVBand="1"/>
        <w:tblCaption w:val="Table 5: Summary of comparison between current fees and proposed fees for common fee categories"/>
      </w:tblPr>
      <w:tblGrid>
        <w:gridCol w:w="3118"/>
        <w:gridCol w:w="1276"/>
        <w:gridCol w:w="1134"/>
        <w:gridCol w:w="1187"/>
        <w:gridCol w:w="1365"/>
      </w:tblGrid>
      <w:tr w:rsidR="00052799" w:rsidRPr="007A48FF" w14:paraId="3FD2A3DF" w14:textId="77777777" w:rsidTr="00693D92">
        <w:trPr>
          <w:trHeight w:val="624"/>
          <w:tblHeader/>
        </w:trPr>
        <w:tc>
          <w:tcPr>
            <w:tcW w:w="3118" w:type="dxa"/>
            <w:tcBorders>
              <w:top w:val="single" w:sz="4" w:space="0" w:color="FFFFFF"/>
              <w:left w:val="single" w:sz="4" w:space="0" w:color="FFFFFF"/>
              <w:bottom w:val="single" w:sz="4" w:space="0" w:color="FFFFFF"/>
              <w:right w:val="nil"/>
            </w:tcBorders>
            <w:shd w:val="clear" w:color="000000" w:fill="A6A6A6"/>
            <w:hideMark/>
          </w:tcPr>
          <w:p w14:paraId="05B6D75D" w14:textId="77777777" w:rsidR="00052799" w:rsidRPr="00693D92" w:rsidRDefault="00052799" w:rsidP="00871631">
            <w:pPr>
              <w:jc w:val="center"/>
              <w:rPr>
                <w:b/>
                <w:bCs/>
                <w:color w:val="FFFFFF"/>
                <w:sz w:val="18"/>
                <w:szCs w:val="18"/>
                <w:lang w:eastAsia="en-AU"/>
              </w:rPr>
            </w:pPr>
            <w:r w:rsidRPr="00693D92">
              <w:rPr>
                <w:b/>
                <w:bCs/>
                <w:color w:val="FFFFFF"/>
                <w:sz w:val="18"/>
                <w:szCs w:val="18"/>
                <w:lang w:eastAsia="en-AU"/>
              </w:rPr>
              <w:t>Fee category</w:t>
            </w:r>
          </w:p>
        </w:tc>
        <w:tc>
          <w:tcPr>
            <w:tcW w:w="1276" w:type="dxa"/>
            <w:tcBorders>
              <w:top w:val="single" w:sz="4" w:space="0" w:color="FFFFFF"/>
              <w:left w:val="single" w:sz="4" w:space="0" w:color="FFFFFF"/>
              <w:bottom w:val="single" w:sz="4" w:space="0" w:color="FFFFFF"/>
              <w:right w:val="single" w:sz="4" w:space="0" w:color="auto"/>
            </w:tcBorders>
            <w:shd w:val="clear" w:color="auto" w:fill="2F5496"/>
            <w:hideMark/>
          </w:tcPr>
          <w:p w14:paraId="5270B08C" w14:textId="77777777" w:rsidR="00052799" w:rsidRPr="00693D92" w:rsidRDefault="00052799" w:rsidP="00871631">
            <w:pPr>
              <w:jc w:val="center"/>
              <w:rPr>
                <w:b/>
                <w:bCs/>
                <w:color w:val="FFFFFF"/>
                <w:sz w:val="18"/>
                <w:szCs w:val="18"/>
                <w:lang w:eastAsia="en-AU"/>
              </w:rPr>
            </w:pPr>
            <w:r w:rsidRPr="00693D92">
              <w:rPr>
                <w:b/>
                <w:bCs/>
                <w:color w:val="FFFFFF"/>
                <w:sz w:val="18"/>
                <w:szCs w:val="18"/>
                <w:lang w:eastAsia="en-AU"/>
              </w:rPr>
              <w:t>Current fee</w:t>
            </w:r>
          </w:p>
        </w:tc>
        <w:tc>
          <w:tcPr>
            <w:tcW w:w="1134" w:type="dxa"/>
            <w:tcBorders>
              <w:top w:val="single" w:sz="4" w:space="0" w:color="FFFFFF"/>
              <w:left w:val="single" w:sz="4" w:space="0" w:color="FFFFFF"/>
              <w:bottom w:val="single" w:sz="4" w:space="0" w:color="FFFFFF"/>
              <w:right w:val="single" w:sz="4" w:space="0" w:color="auto"/>
            </w:tcBorders>
            <w:shd w:val="clear" w:color="auto" w:fill="2F5496"/>
            <w:hideMark/>
          </w:tcPr>
          <w:p w14:paraId="4831D9AE" w14:textId="77777777" w:rsidR="00052799" w:rsidRPr="00693D92" w:rsidRDefault="00052799" w:rsidP="00871631">
            <w:pPr>
              <w:jc w:val="center"/>
              <w:rPr>
                <w:b/>
                <w:bCs/>
                <w:color w:val="FFFFFF"/>
                <w:sz w:val="18"/>
                <w:szCs w:val="18"/>
                <w:lang w:eastAsia="en-AU"/>
              </w:rPr>
            </w:pPr>
            <w:r w:rsidRPr="00693D92">
              <w:rPr>
                <w:b/>
                <w:bCs/>
                <w:color w:val="FFFFFF"/>
                <w:sz w:val="18"/>
                <w:szCs w:val="18"/>
                <w:lang w:eastAsia="en-AU"/>
              </w:rPr>
              <w:t>Proposed fee</w:t>
            </w:r>
          </w:p>
        </w:tc>
        <w:tc>
          <w:tcPr>
            <w:tcW w:w="1187" w:type="dxa"/>
            <w:tcBorders>
              <w:top w:val="single" w:sz="4" w:space="0" w:color="FFFFFF"/>
              <w:left w:val="single" w:sz="4" w:space="0" w:color="FFFFFF"/>
              <w:bottom w:val="single" w:sz="4" w:space="0" w:color="FFFFFF"/>
              <w:right w:val="single" w:sz="4" w:space="0" w:color="auto"/>
            </w:tcBorders>
            <w:shd w:val="clear" w:color="auto" w:fill="2F5496"/>
            <w:hideMark/>
          </w:tcPr>
          <w:p w14:paraId="3B78B47D" w14:textId="77777777" w:rsidR="00052799" w:rsidRPr="00693D92" w:rsidRDefault="00052799" w:rsidP="00871631">
            <w:pPr>
              <w:jc w:val="center"/>
              <w:rPr>
                <w:b/>
                <w:bCs/>
                <w:color w:val="FFFFFF"/>
                <w:sz w:val="18"/>
                <w:szCs w:val="18"/>
                <w:lang w:eastAsia="en-AU"/>
              </w:rPr>
            </w:pPr>
            <w:r w:rsidRPr="00693D92">
              <w:rPr>
                <w:b/>
                <w:bCs/>
                <w:color w:val="FFFFFF"/>
                <w:sz w:val="18"/>
                <w:szCs w:val="18"/>
                <w:lang w:eastAsia="en-AU"/>
              </w:rPr>
              <w:t>Percentage change</w:t>
            </w:r>
          </w:p>
        </w:tc>
        <w:tc>
          <w:tcPr>
            <w:tcW w:w="1365" w:type="dxa"/>
            <w:tcBorders>
              <w:top w:val="single" w:sz="4" w:space="0" w:color="FFFFFF"/>
              <w:left w:val="single" w:sz="4" w:space="0" w:color="FFFFFF"/>
              <w:bottom w:val="single" w:sz="4" w:space="0" w:color="FFFFFF"/>
              <w:right w:val="single" w:sz="4" w:space="0" w:color="auto"/>
            </w:tcBorders>
            <w:shd w:val="clear" w:color="auto" w:fill="2F5496"/>
            <w:hideMark/>
          </w:tcPr>
          <w:p w14:paraId="20B0F5CE" w14:textId="2D940599" w:rsidR="00052799" w:rsidRPr="00693D92" w:rsidRDefault="00027B94" w:rsidP="00027B94">
            <w:pPr>
              <w:jc w:val="center"/>
              <w:rPr>
                <w:b/>
                <w:bCs/>
                <w:color w:val="FFFFFF"/>
                <w:sz w:val="18"/>
                <w:szCs w:val="18"/>
                <w:lang w:eastAsia="en-AU"/>
              </w:rPr>
            </w:pPr>
            <w:r>
              <w:rPr>
                <w:b/>
                <w:bCs/>
                <w:color w:val="FFFFFF"/>
                <w:sz w:val="18"/>
                <w:szCs w:val="18"/>
                <w:lang w:eastAsia="en-AU"/>
              </w:rPr>
              <w:t>Standard d</w:t>
            </w:r>
            <w:r w:rsidR="00052799" w:rsidRPr="00693D92">
              <w:rPr>
                <w:b/>
                <w:bCs/>
                <w:color w:val="FFFFFF"/>
                <w:sz w:val="18"/>
                <w:szCs w:val="18"/>
                <w:lang w:eastAsia="en-AU"/>
              </w:rPr>
              <w:t>uration (years)</w:t>
            </w:r>
          </w:p>
        </w:tc>
      </w:tr>
      <w:tr w:rsidR="00052799" w:rsidRPr="007A48FF" w14:paraId="088E4D32"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0EE57928"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Longarm category A individual</w:t>
            </w:r>
          </w:p>
        </w:tc>
        <w:tc>
          <w:tcPr>
            <w:tcW w:w="1276" w:type="dxa"/>
            <w:tcBorders>
              <w:top w:val="nil"/>
              <w:left w:val="single" w:sz="4" w:space="0" w:color="auto"/>
              <w:bottom w:val="single" w:sz="4" w:space="0" w:color="FFFFFF"/>
              <w:right w:val="single" w:sz="4" w:space="0" w:color="FFFFFF"/>
            </w:tcBorders>
            <w:shd w:val="clear" w:color="auto" w:fill="D9E1F2"/>
            <w:vAlign w:val="bottom"/>
            <w:hideMark/>
          </w:tcPr>
          <w:p w14:paraId="1465B087"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$233.2</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1C31D8FA"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$233.2</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3F5DAF8F"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0%</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0824D865"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5</w:t>
            </w:r>
          </w:p>
        </w:tc>
      </w:tr>
      <w:tr w:rsidR="00052799" w:rsidRPr="007A48FF" w14:paraId="418A982E"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56343AF9"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Longarm category B individual</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2CC74B0F"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$269.5</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749747CD"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$269.5</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6AAA7D01"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0%</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298A812E"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5</w:t>
            </w:r>
          </w:p>
        </w:tc>
      </w:tr>
      <w:tr w:rsidR="00052799" w:rsidRPr="007A48FF" w14:paraId="3A5A0211"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7CFCE7B6"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Longarm category C individual</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0D522A81"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$161.7</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2435543B"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$257.5</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2CED2C35"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59%</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21C5BFC1"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3</w:t>
            </w:r>
          </w:p>
        </w:tc>
      </w:tr>
      <w:tr w:rsidR="00052799" w:rsidRPr="007A48FF" w14:paraId="3DE301AC"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2A0E0D6F"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Longarm category D individual</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78262B32"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$253.4</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6B540F21"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$310.4</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12D54978"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23%</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1B704A67"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3</w:t>
            </w:r>
          </w:p>
        </w:tc>
      </w:tr>
      <w:tr w:rsidR="00052799" w:rsidRPr="007A48FF" w14:paraId="05754BF9"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48C3FC6D"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Longarm category E individual</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21B7AC61"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$253.4</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1E5CC35B"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$310.4</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67BF43C9"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23%</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2F986C08"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3</w:t>
            </w:r>
          </w:p>
        </w:tc>
      </w:tr>
      <w:tr w:rsidR="00052799" w:rsidRPr="007A48FF" w14:paraId="2B19998B"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7FF0337E"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Paintball marker licence individual</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3CF47723"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$233.2</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098B580E"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$233.2</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41BDB880"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0%</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265BCECF"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5</w:t>
            </w:r>
          </w:p>
        </w:tc>
      </w:tr>
      <w:tr w:rsidR="00052799" w:rsidRPr="007A48FF" w14:paraId="57E05D89" w14:textId="77777777" w:rsidTr="00693D92">
        <w:trPr>
          <w:trHeight w:val="576"/>
        </w:trPr>
        <w:tc>
          <w:tcPr>
            <w:tcW w:w="3118" w:type="dxa"/>
            <w:tcBorders>
              <w:top w:val="nil"/>
              <w:left w:val="nil"/>
              <w:bottom w:val="single" w:sz="4" w:space="0" w:color="FFFFFF"/>
              <w:right w:val="nil"/>
            </w:tcBorders>
            <w:shd w:val="clear" w:color="000000" w:fill="D9D9D9"/>
            <w:vAlign w:val="bottom"/>
            <w:hideMark/>
          </w:tcPr>
          <w:p w14:paraId="102421C5"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General category handgun licence - sport or target shooting - Individual</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553045DA"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$196.7</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37F49A62"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$236.4</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3DD36171"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20%</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714DFC99"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3</w:t>
            </w:r>
          </w:p>
        </w:tc>
      </w:tr>
      <w:tr w:rsidR="00052799" w:rsidRPr="007A48FF" w14:paraId="52A33259" w14:textId="77777777" w:rsidTr="00693D92">
        <w:trPr>
          <w:trHeight w:val="864"/>
        </w:trPr>
        <w:tc>
          <w:tcPr>
            <w:tcW w:w="3118" w:type="dxa"/>
            <w:tcBorders>
              <w:top w:val="nil"/>
              <w:left w:val="nil"/>
              <w:bottom w:val="single" w:sz="4" w:space="0" w:color="FFFFFF"/>
              <w:right w:val="nil"/>
            </w:tcBorders>
            <w:shd w:val="clear" w:color="000000" w:fill="D9D9D9"/>
            <w:vAlign w:val="bottom"/>
            <w:hideMark/>
          </w:tcPr>
          <w:p w14:paraId="55713699"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General category handgun licence - security guard, prison guard, official or commercial purpose - Individual</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73485FA6"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$305.9</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3A8A5BDD"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$305.9</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68F3112A"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0%</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4FE656F7"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3</w:t>
            </w:r>
          </w:p>
        </w:tc>
      </w:tr>
      <w:tr w:rsidR="00052799" w:rsidRPr="007A48FF" w14:paraId="1B1800C3"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59CF5A65"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Junior licence - individual</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02CBBB46"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$52.5</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5CDC1317"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$52.5</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01D54F13"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0%</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6F473DBA" w14:textId="77777777" w:rsidR="00052799" w:rsidRPr="00693D92" w:rsidRDefault="00693D92" w:rsidP="00693D92">
            <w:pPr>
              <w:spacing w:before="60" w:after="60"/>
              <w:jc w:val="right"/>
              <w:rPr>
                <w:color w:val="000000"/>
                <w:sz w:val="18"/>
                <w:szCs w:val="18"/>
                <w:lang w:eastAsia="en-AU"/>
              </w:rPr>
            </w:pPr>
            <w:r>
              <w:rPr>
                <w:color w:val="000000"/>
                <w:sz w:val="18"/>
                <w:szCs w:val="18"/>
                <w:lang w:eastAsia="en-AU"/>
              </w:rPr>
              <w:t>≤</w:t>
            </w:r>
            <w:r w:rsidR="00052799" w:rsidRPr="00693D92">
              <w:rPr>
                <w:color w:val="000000"/>
                <w:sz w:val="18"/>
                <w:szCs w:val="18"/>
                <w:lang w:eastAsia="en-AU"/>
              </w:rPr>
              <w:t>3</w:t>
            </w:r>
          </w:p>
        </w:tc>
      </w:tr>
      <w:tr w:rsidR="00052799" w:rsidRPr="007A48FF" w14:paraId="16FACE8C"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02E1EA85"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Longarm category A business</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2FEEB434"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$422.3</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7383F818"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$426.3</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28D1B352"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1%</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0FD91B59"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5</w:t>
            </w:r>
          </w:p>
        </w:tc>
      </w:tr>
      <w:tr w:rsidR="00052799" w:rsidRPr="007A48FF" w14:paraId="73EA8F4C"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2ED28097"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Longarm category B business</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5C9BEF61"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$422.3</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653B43DD"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$426.3</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2DA75725"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1%</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07C6E276"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5</w:t>
            </w:r>
          </w:p>
        </w:tc>
      </w:tr>
      <w:tr w:rsidR="00052799" w:rsidRPr="007A48FF" w14:paraId="43283F11"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08884CED"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Longarm category C business</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6FFBCC61"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$253.4</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29DC8C7E"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$449.4</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0D067CF1"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77%</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4CF3E1BF"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3</w:t>
            </w:r>
          </w:p>
        </w:tc>
      </w:tr>
      <w:tr w:rsidR="00052799" w:rsidRPr="007A48FF" w14:paraId="09D41615"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7A08517A"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Longarm category D business</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2C2AC183"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$406.5</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7F4E92BB"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$526.0</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04600F77"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29%</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743E01B3"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3</w:t>
            </w:r>
          </w:p>
        </w:tc>
      </w:tr>
      <w:tr w:rsidR="00052799" w:rsidRPr="007A48FF" w14:paraId="6457B636"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285FE664"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Longarm category E business</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02165E1A"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$406.5</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2F24C1C5"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$526.0</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302A707F"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29%</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672A7F04"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3</w:t>
            </w:r>
          </w:p>
        </w:tc>
      </w:tr>
      <w:tr w:rsidR="00052799" w:rsidRPr="007A48FF" w14:paraId="4BFC675E"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13F615D4"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Paintball marker licence business</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62B0222E"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$422.3</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1A1C3972"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$426.3</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47D4921F"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1%</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40F68295"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5</w:t>
            </w:r>
          </w:p>
        </w:tc>
      </w:tr>
      <w:tr w:rsidR="00052799" w:rsidRPr="007A48FF" w14:paraId="7724AE3A" w14:textId="77777777" w:rsidTr="00693D92">
        <w:trPr>
          <w:trHeight w:val="576"/>
        </w:trPr>
        <w:tc>
          <w:tcPr>
            <w:tcW w:w="3118" w:type="dxa"/>
            <w:tcBorders>
              <w:top w:val="nil"/>
              <w:left w:val="nil"/>
              <w:bottom w:val="single" w:sz="4" w:space="0" w:color="FFFFFF"/>
              <w:right w:val="nil"/>
            </w:tcBorders>
            <w:shd w:val="clear" w:color="000000" w:fill="D9D9D9"/>
            <w:vAlign w:val="bottom"/>
            <w:hideMark/>
          </w:tcPr>
          <w:p w14:paraId="2D1667CD"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General category handgun licence - sport or target shooting - business</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4F98F777"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$511.5</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3A5A81D3"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$541.8</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3D333D37"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6%</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71C03E58"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3</w:t>
            </w:r>
          </w:p>
        </w:tc>
      </w:tr>
      <w:tr w:rsidR="00052799" w:rsidRPr="007A48FF" w14:paraId="2FB81C72" w14:textId="77777777" w:rsidTr="00693D92">
        <w:trPr>
          <w:trHeight w:val="864"/>
        </w:trPr>
        <w:tc>
          <w:tcPr>
            <w:tcW w:w="3118" w:type="dxa"/>
            <w:tcBorders>
              <w:top w:val="nil"/>
              <w:left w:val="nil"/>
              <w:bottom w:val="single" w:sz="4" w:space="0" w:color="FFFFFF"/>
              <w:right w:val="nil"/>
            </w:tcBorders>
            <w:shd w:val="clear" w:color="000000" w:fill="D9D9D9"/>
            <w:vAlign w:val="bottom"/>
            <w:hideMark/>
          </w:tcPr>
          <w:p w14:paraId="553CD570"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General category handgun licence - security guard, prison guard, official or commercial purpose business</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19D518F5"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$511.5</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1F2B3EBB"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$550.0</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59124999"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8%</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2D9E5F3B"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3</w:t>
            </w:r>
          </w:p>
        </w:tc>
      </w:tr>
      <w:tr w:rsidR="00052799" w:rsidRPr="007A48FF" w14:paraId="0BE331D7" w14:textId="77777777" w:rsidTr="00693D92">
        <w:trPr>
          <w:trHeight w:val="1152"/>
        </w:trPr>
        <w:tc>
          <w:tcPr>
            <w:tcW w:w="3118" w:type="dxa"/>
            <w:tcBorders>
              <w:top w:val="nil"/>
              <w:left w:val="nil"/>
              <w:bottom w:val="single" w:sz="4" w:space="0" w:color="FFFFFF"/>
              <w:right w:val="nil"/>
            </w:tcBorders>
            <w:shd w:val="clear" w:color="000000" w:fill="D9D9D9"/>
            <w:vAlign w:val="bottom"/>
            <w:hideMark/>
          </w:tcPr>
          <w:p w14:paraId="45281C3A"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Provisional licence for a member of an approved handgun target shooting club who does not hold a handgun licence, to carry or use a handgun at approved places</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2ECFBC9B"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$109.2</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7283507C"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$109.2</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32B39E82"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0%</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2FD4A5A3" w14:textId="77777777" w:rsidR="00052799" w:rsidRPr="00693D92" w:rsidRDefault="00693D92" w:rsidP="00693D92">
            <w:pPr>
              <w:spacing w:before="60" w:after="60"/>
              <w:jc w:val="right"/>
              <w:rPr>
                <w:color w:val="000000"/>
                <w:sz w:val="18"/>
                <w:szCs w:val="18"/>
                <w:lang w:eastAsia="en-AU"/>
              </w:rPr>
            </w:pPr>
            <w:r>
              <w:rPr>
                <w:color w:val="000000"/>
                <w:sz w:val="18"/>
                <w:szCs w:val="18"/>
                <w:lang w:eastAsia="en-AU"/>
              </w:rPr>
              <w:t>≤</w:t>
            </w:r>
            <w:r w:rsidR="00052799" w:rsidRPr="00693D92">
              <w:rPr>
                <w:color w:val="000000"/>
                <w:sz w:val="18"/>
                <w:szCs w:val="18"/>
                <w:lang w:eastAsia="en-AU"/>
              </w:rPr>
              <w:t>1</w:t>
            </w:r>
          </w:p>
        </w:tc>
      </w:tr>
      <w:tr w:rsidR="00052799" w:rsidRPr="007A48FF" w14:paraId="521A94DE"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25FBAD7E"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Class 1 dealer licence (individual)</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433B90F1"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$1,783.6</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5F34430B"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$1,889.1</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72FCE080"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6%</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6A3D70BB"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3</w:t>
            </w:r>
          </w:p>
        </w:tc>
      </w:tr>
      <w:tr w:rsidR="00052799" w:rsidRPr="007A48FF" w14:paraId="709CFD15"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60CDE7CE"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Class 2 dealer licence (individual)</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5642BDE6"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$1,276.8</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597C0841"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$1,594.6</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06558E71"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25%</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1B463CF3"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3</w:t>
            </w:r>
          </w:p>
        </w:tc>
      </w:tr>
      <w:tr w:rsidR="00052799" w:rsidRPr="007A48FF" w14:paraId="714153F1"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51A6016B"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Class 1 dealer licence (business)</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68914A33"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$2,041.7</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28D868AF"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$2,124.5</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1134D978"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4%</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3387868B"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3</w:t>
            </w:r>
          </w:p>
        </w:tc>
      </w:tr>
      <w:tr w:rsidR="00052799" w:rsidRPr="007A48FF" w14:paraId="0E62DA4A"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723E2F65"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Class 2 dealer licence (business)</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56AD36CB"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$1,783.6</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4E1BE263"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$1,950.1</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1EC8C53C"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9%</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17435D66"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3</w:t>
            </w:r>
          </w:p>
        </w:tc>
      </w:tr>
      <w:tr w:rsidR="00052799" w:rsidRPr="007A48FF" w14:paraId="69280695"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015D0042"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Paintball marker dealer licence (individual)</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67DFA05E"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09181F6D"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$950.9</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7D7A5F67"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5AAAE535"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3</w:t>
            </w:r>
          </w:p>
        </w:tc>
      </w:tr>
      <w:tr w:rsidR="00052799" w:rsidRPr="007A48FF" w14:paraId="555F3C5D"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3F916449"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Paintball marker dealer licence (business)</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47C11C69"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566BC475"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$1,176.2</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7F5C8DF3"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1CBE8E21"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3</w:t>
            </w:r>
          </w:p>
        </w:tc>
      </w:tr>
      <w:tr w:rsidR="00052799" w:rsidRPr="007A48FF" w14:paraId="603C88B8"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419B945A"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Permit to acquire a category A longarm</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08970F00"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$9.2</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26271F5C"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$17.6</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45EAD447"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91%</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5CDE890C" w14:textId="77777777" w:rsidR="00052799" w:rsidRPr="00693D92" w:rsidRDefault="00693D92" w:rsidP="00693D92">
            <w:pPr>
              <w:spacing w:before="60" w:after="60"/>
              <w:jc w:val="right"/>
              <w:rPr>
                <w:color w:val="000000"/>
                <w:sz w:val="18"/>
                <w:szCs w:val="18"/>
                <w:lang w:eastAsia="en-AU"/>
              </w:rPr>
            </w:pPr>
            <w:r>
              <w:rPr>
                <w:color w:val="000000"/>
                <w:sz w:val="18"/>
                <w:szCs w:val="18"/>
                <w:lang w:eastAsia="en-AU"/>
              </w:rPr>
              <w:t>n/a</w:t>
            </w:r>
          </w:p>
        </w:tc>
      </w:tr>
      <w:tr w:rsidR="00052799" w:rsidRPr="007A48FF" w14:paraId="6C41AD14"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0D55E240"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 xml:space="preserve">Permit to acquire a category B or C longarm </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32D557D7"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$9.2</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3D979B7D"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$19.9</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7C34CFB7"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116%</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1111A05C" w14:textId="77777777" w:rsidR="00052799" w:rsidRPr="00693D92" w:rsidRDefault="00693D92" w:rsidP="00693D92">
            <w:pPr>
              <w:spacing w:before="60" w:after="60"/>
              <w:jc w:val="right"/>
              <w:rPr>
                <w:color w:val="000000"/>
                <w:sz w:val="18"/>
                <w:szCs w:val="18"/>
                <w:lang w:eastAsia="en-AU"/>
              </w:rPr>
            </w:pPr>
            <w:r>
              <w:rPr>
                <w:color w:val="000000"/>
                <w:sz w:val="18"/>
                <w:szCs w:val="18"/>
                <w:lang w:eastAsia="en-AU"/>
              </w:rPr>
              <w:t>n/a</w:t>
            </w:r>
          </w:p>
        </w:tc>
      </w:tr>
      <w:tr w:rsidR="00052799" w:rsidRPr="007A48FF" w14:paraId="3FF80ACF"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2E99D94B"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Permit to acquire a category D or E longarm</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5F31E3FE"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180467A2"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$19.9</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7C087BF4"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6C883221" w14:textId="77777777" w:rsidR="00052799" w:rsidRPr="00693D92" w:rsidRDefault="00693D92" w:rsidP="00693D92">
            <w:pPr>
              <w:spacing w:before="60" w:after="60"/>
              <w:jc w:val="right"/>
              <w:rPr>
                <w:color w:val="000000"/>
                <w:sz w:val="18"/>
                <w:szCs w:val="18"/>
                <w:lang w:eastAsia="en-AU"/>
              </w:rPr>
            </w:pPr>
            <w:r>
              <w:rPr>
                <w:color w:val="000000"/>
                <w:sz w:val="18"/>
                <w:szCs w:val="18"/>
                <w:lang w:eastAsia="en-AU"/>
              </w:rPr>
              <w:t>n/a</w:t>
            </w:r>
          </w:p>
        </w:tc>
      </w:tr>
      <w:tr w:rsidR="00052799" w:rsidRPr="007A48FF" w14:paraId="7102B81A"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29C3738E"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 xml:space="preserve">Permit to acquire a handgun </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4A34C595"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$51.0</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658CCB67"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$60.1</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65642C4C"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18%</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4F043F71" w14:textId="77777777" w:rsidR="00052799" w:rsidRPr="00693D92" w:rsidRDefault="00693D92" w:rsidP="00693D92">
            <w:pPr>
              <w:spacing w:before="60" w:after="60"/>
              <w:jc w:val="right"/>
              <w:rPr>
                <w:color w:val="000000"/>
                <w:sz w:val="18"/>
                <w:szCs w:val="18"/>
                <w:lang w:eastAsia="en-AU"/>
              </w:rPr>
            </w:pPr>
            <w:r>
              <w:rPr>
                <w:color w:val="000000"/>
                <w:sz w:val="18"/>
                <w:szCs w:val="18"/>
                <w:lang w:eastAsia="en-AU"/>
              </w:rPr>
              <w:t>n/a</w:t>
            </w:r>
          </w:p>
        </w:tc>
      </w:tr>
      <w:tr w:rsidR="00052799" w:rsidRPr="007A48FF" w14:paraId="430A4235"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105DA66C"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Permit to acquire a paintball marker</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73C64324"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$9.2</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180AA7FA"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$17.6</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6BDAEAE0"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91%</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48717109" w14:textId="77777777" w:rsidR="00052799" w:rsidRPr="00693D92" w:rsidRDefault="00693D92" w:rsidP="00693D92">
            <w:pPr>
              <w:spacing w:before="60" w:after="60"/>
              <w:jc w:val="right"/>
              <w:rPr>
                <w:color w:val="000000"/>
                <w:sz w:val="18"/>
                <w:szCs w:val="18"/>
                <w:lang w:eastAsia="en-AU"/>
              </w:rPr>
            </w:pPr>
            <w:r>
              <w:rPr>
                <w:color w:val="000000"/>
                <w:sz w:val="18"/>
                <w:szCs w:val="18"/>
                <w:lang w:eastAsia="en-AU"/>
              </w:rPr>
              <w:t>n/a</w:t>
            </w:r>
          </w:p>
        </w:tc>
      </w:tr>
      <w:tr w:rsidR="00052799" w:rsidRPr="007A48FF" w14:paraId="124DC967"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7B9AC038"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Approval for handgun target shooting club</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7ACD23CB"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$185.1</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2AE321E7"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$293.7</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669857D5"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59%</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7D6E7A11" w14:textId="77777777" w:rsidR="00052799" w:rsidRPr="00693D92" w:rsidRDefault="00693D92" w:rsidP="00693D92">
            <w:pPr>
              <w:spacing w:before="60" w:after="60"/>
              <w:jc w:val="right"/>
              <w:rPr>
                <w:color w:val="000000"/>
                <w:sz w:val="18"/>
                <w:szCs w:val="18"/>
                <w:lang w:eastAsia="en-AU"/>
              </w:rPr>
            </w:pPr>
            <w:r>
              <w:rPr>
                <w:color w:val="000000"/>
                <w:sz w:val="18"/>
                <w:szCs w:val="18"/>
                <w:lang w:eastAsia="en-AU"/>
              </w:rPr>
              <w:t>n/a</w:t>
            </w:r>
          </w:p>
        </w:tc>
      </w:tr>
      <w:tr w:rsidR="00052799" w:rsidRPr="007A48FF" w14:paraId="3835A761"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4D342532"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Approval for firearms collectors club</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6483D284"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$185.1</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30300C9D"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$293.7</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3E60A3C6"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59%</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1C77BA60" w14:textId="77777777" w:rsidR="00052799" w:rsidRPr="00693D92" w:rsidRDefault="00693D92" w:rsidP="00693D92">
            <w:pPr>
              <w:spacing w:before="60" w:after="60"/>
              <w:jc w:val="right"/>
              <w:rPr>
                <w:color w:val="000000"/>
                <w:sz w:val="18"/>
                <w:szCs w:val="18"/>
                <w:lang w:eastAsia="en-AU"/>
              </w:rPr>
            </w:pPr>
            <w:r>
              <w:rPr>
                <w:color w:val="000000"/>
                <w:sz w:val="18"/>
                <w:szCs w:val="18"/>
                <w:lang w:eastAsia="en-AU"/>
              </w:rPr>
              <w:t>n/a</w:t>
            </w:r>
          </w:p>
        </w:tc>
      </w:tr>
      <w:tr w:rsidR="00052799" w:rsidRPr="007A48FF" w14:paraId="308DD71A" w14:textId="77777777" w:rsidTr="00693D92">
        <w:trPr>
          <w:trHeight w:val="288"/>
        </w:trPr>
        <w:tc>
          <w:tcPr>
            <w:tcW w:w="3118" w:type="dxa"/>
            <w:tcBorders>
              <w:top w:val="nil"/>
              <w:left w:val="nil"/>
              <w:bottom w:val="single" w:sz="4" w:space="0" w:color="FFFFFF"/>
              <w:right w:val="nil"/>
            </w:tcBorders>
            <w:shd w:val="clear" w:color="000000" w:fill="D9D9D9"/>
            <w:vAlign w:val="bottom"/>
            <w:hideMark/>
          </w:tcPr>
          <w:p w14:paraId="7D62F80C"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Review of decision</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58D2CCF5"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$42.7</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2A0DC2B9"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$42.7</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6CF40660"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0%</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68A5828A" w14:textId="77777777" w:rsidR="00052799" w:rsidRPr="00693D92" w:rsidRDefault="00693D92" w:rsidP="00693D92">
            <w:pPr>
              <w:spacing w:before="60" w:after="60"/>
              <w:jc w:val="right"/>
              <w:rPr>
                <w:color w:val="000000"/>
                <w:sz w:val="18"/>
                <w:szCs w:val="18"/>
                <w:lang w:eastAsia="en-AU"/>
              </w:rPr>
            </w:pPr>
            <w:r>
              <w:rPr>
                <w:color w:val="000000"/>
                <w:sz w:val="18"/>
                <w:szCs w:val="18"/>
                <w:lang w:eastAsia="en-AU"/>
              </w:rPr>
              <w:t>n/a</w:t>
            </w:r>
          </w:p>
        </w:tc>
      </w:tr>
      <w:tr w:rsidR="00052799" w:rsidRPr="007A48FF" w14:paraId="5E7DF51E" w14:textId="77777777" w:rsidTr="00693D92">
        <w:trPr>
          <w:trHeight w:val="576"/>
        </w:trPr>
        <w:tc>
          <w:tcPr>
            <w:tcW w:w="3118" w:type="dxa"/>
            <w:tcBorders>
              <w:top w:val="nil"/>
              <w:left w:val="nil"/>
              <w:bottom w:val="single" w:sz="4" w:space="0" w:color="FFFFFF"/>
              <w:right w:val="nil"/>
            </w:tcBorders>
            <w:shd w:val="clear" w:color="000000" w:fill="D9D9D9"/>
            <w:vAlign w:val="bottom"/>
            <w:hideMark/>
          </w:tcPr>
          <w:p w14:paraId="4C81DAA9" w14:textId="77777777" w:rsidR="00052799" w:rsidRPr="00693D92" w:rsidRDefault="00052799" w:rsidP="00693D92">
            <w:pPr>
              <w:spacing w:before="60" w:after="60"/>
              <w:rPr>
                <w:color w:val="000000"/>
                <w:sz w:val="18"/>
                <w:szCs w:val="18"/>
                <w:lang w:eastAsia="en-AU"/>
              </w:rPr>
            </w:pPr>
            <w:r w:rsidRPr="00693D92">
              <w:rPr>
                <w:color w:val="000000"/>
                <w:sz w:val="18"/>
                <w:szCs w:val="18"/>
                <w:lang w:eastAsia="en-AU"/>
              </w:rPr>
              <w:t>Duplicate licence for any of the licences under Schedule 4</w:t>
            </w:r>
          </w:p>
        </w:tc>
        <w:tc>
          <w:tcPr>
            <w:tcW w:w="1276" w:type="dxa"/>
            <w:tcBorders>
              <w:top w:val="nil"/>
              <w:left w:val="single" w:sz="4" w:space="0" w:color="auto"/>
              <w:bottom w:val="single" w:sz="4" w:space="0" w:color="FFFFFF"/>
              <w:right w:val="single" w:sz="4" w:space="0" w:color="FFFFFF"/>
            </w:tcBorders>
            <w:shd w:val="clear" w:color="000000" w:fill="D9E1F2"/>
            <w:vAlign w:val="bottom"/>
            <w:hideMark/>
          </w:tcPr>
          <w:p w14:paraId="2CAE538C"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$25.6</w:t>
            </w:r>
          </w:p>
        </w:tc>
        <w:tc>
          <w:tcPr>
            <w:tcW w:w="1134" w:type="dxa"/>
            <w:tcBorders>
              <w:top w:val="nil"/>
              <w:left w:val="single" w:sz="4" w:space="0" w:color="auto"/>
              <w:bottom w:val="single" w:sz="4" w:space="0" w:color="FFFFFF"/>
              <w:right w:val="single" w:sz="4" w:space="0" w:color="FFFFFF"/>
            </w:tcBorders>
            <w:shd w:val="clear" w:color="000000" w:fill="D9E1F2"/>
            <w:vAlign w:val="bottom"/>
            <w:hideMark/>
          </w:tcPr>
          <w:p w14:paraId="36C7E6A5"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$33.7</w:t>
            </w:r>
          </w:p>
        </w:tc>
        <w:tc>
          <w:tcPr>
            <w:tcW w:w="1187" w:type="dxa"/>
            <w:tcBorders>
              <w:top w:val="nil"/>
              <w:left w:val="single" w:sz="4" w:space="0" w:color="auto"/>
              <w:bottom w:val="single" w:sz="4" w:space="0" w:color="FFFFFF"/>
              <w:right w:val="single" w:sz="4" w:space="0" w:color="FFFFFF"/>
            </w:tcBorders>
            <w:shd w:val="clear" w:color="000000" w:fill="D9E1F2"/>
            <w:vAlign w:val="bottom"/>
            <w:hideMark/>
          </w:tcPr>
          <w:p w14:paraId="2DE8180B" w14:textId="77777777" w:rsidR="00052799" w:rsidRPr="00693D92" w:rsidRDefault="00052799" w:rsidP="00693D92">
            <w:pPr>
              <w:spacing w:before="60" w:after="60"/>
              <w:jc w:val="right"/>
              <w:rPr>
                <w:color w:val="000000"/>
                <w:sz w:val="18"/>
                <w:szCs w:val="18"/>
                <w:lang w:eastAsia="en-AU"/>
              </w:rPr>
            </w:pPr>
            <w:r w:rsidRPr="00693D92">
              <w:rPr>
                <w:color w:val="000000"/>
                <w:sz w:val="18"/>
                <w:szCs w:val="18"/>
                <w:lang w:eastAsia="en-AU"/>
              </w:rPr>
              <w:t>32%</w:t>
            </w:r>
          </w:p>
        </w:tc>
        <w:tc>
          <w:tcPr>
            <w:tcW w:w="1365" w:type="dxa"/>
            <w:tcBorders>
              <w:top w:val="nil"/>
              <w:left w:val="single" w:sz="4" w:space="0" w:color="auto"/>
              <w:bottom w:val="single" w:sz="4" w:space="0" w:color="FFFFFF"/>
              <w:right w:val="single" w:sz="4" w:space="0" w:color="FFFFFF"/>
            </w:tcBorders>
            <w:shd w:val="clear" w:color="000000" w:fill="D9E1F2"/>
            <w:vAlign w:val="bottom"/>
            <w:hideMark/>
          </w:tcPr>
          <w:p w14:paraId="3BEF1824" w14:textId="77777777" w:rsidR="00052799" w:rsidRPr="00693D92" w:rsidRDefault="00693D92" w:rsidP="00693D92">
            <w:pPr>
              <w:spacing w:before="60" w:after="60"/>
              <w:jc w:val="right"/>
              <w:rPr>
                <w:color w:val="000000"/>
                <w:sz w:val="18"/>
                <w:szCs w:val="18"/>
                <w:lang w:eastAsia="en-AU"/>
              </w:rPr>
            </w:pPr>
            <w:r>
              <w:rPr>
                <w:color w:val="000000"/>
                <w:sz w:val="18"/>
                <w:szCs w:val="18"/>
                <w:lang w:eastAsia="en-AU"/>
              </w:rPr>
              <w:t>n/a</w:t>
            </w:r>
          </w:p>
        </w:tc>
      </w:tr>
    </w:tbl>
    <w:p w14:paraId="13954131" w14:textId="77777777" w:rsidR="00027B94" w:rsidRDefault="00027B94" w:rsidP="00027B94">
      <w:pPr>
        <w:pStyle w:val="Body"/>
        <w:rPr>
          <w:noProof/>
          <w:lang w:eastAsia="en-AU"/>
        </w:rPr>
      </w:pPr>
      <w:r>
        <w:rPr>
          <w:noProof/>
          <w:lang w:eastAsia="en-AU"/>
        </w:rPr>
        <w:t>Note: ‘*’ indicates that a fee category is new, and there is therefore no current fee to compare it against.</w:t>
      </w:r>
    </w:p>
    <w:p w14:paraId="21316A26" w14:textId="77777777" w:rsidR="00052799" w:rsidRDefault="00052799" w:rsidP="00052799">
      <w:pPr>
        <w:pStyle w:val="Body"/>
      </w:pPr>
    </w:p>
    <w:p w14:paraId="7FC1FD02" w14:textId="77777777" w:rsidR="00052799" w:rsidRDefault="00052799" w:rsidP="00052799">
      <w:pPr>
        <w:pStyle w:val="Heading2"/>
      </w:pPr>
      <w:bookmarkStart w:id="38" w:name="_Toc500505456"/>
      <w:bookmarkStart w:id="39" w:name="_Toc501539151"/>
      <w:r>
        <w:t>Who has been consulted?</w:t>
      </w:r>
      <w:bookmarkEnd w:id="38"/>
      <w:bookmarkEnd w:id="39"/>
    </w:p>
    <w:p w14:paraId="50142153" w14:textId="22A79713" w:rsidR="00052799" w:rsidRDefault="00052799" w:rsidP="00052799">
      <w:pPr>
        <w:pStyle w:val="Body"/>
      </w:pPr>
      <w:r>
        <w:t xml:space="preserve">In the development of the RIS and proposed Regulations, the </w:t>
      </w:r>
      <w:r w:rsidR="000514BF">
        <w:t>D</w:t>
      </w:r>
      <w:r>
        <w:t>epartment consulted with a wide range of government and community stakeholders. These consultations generated a large number of potential improvements to the Regulations and information on how the community would be affected by any changes. Some of these suggestions are discussed in the RIS.</w:t>
      </w:r>
    </w:p>
    <w:p w14:paraId="2F4F40B3" w14:textId="125B7B3D" w:rsidR="00052799" w:rsidRDefault="00052799" w:rsidP="00052799">
      <w:pPr>
        <w:pStyle w:val="Body"/>
      </w:pPr>
      <w:r>
        <w:t xml:space="preserve">The </w:t>
      </w:r>
      <w:r w:rsidR="000514BF">
        <w:t>D</w:t>
      </w:r>
      <w:r>
        <w:t>epartment consulted with Victoria Police, particularly the Licensing and Regulation Division, which was a key source of data and suggestions for improvement. Other areas of government affected by the Regulations, such as agencies that exercise search powers under the Act were also consulted.</w:t>
      </w:r>
    </w:p>
    <w:p w14:paraId="0E71DAD0" w14:textId="77777777" w:rsidR="00052799" w:rsidRDefault="00052799" w:rsidP="00052799">
      <w:pPr>
        <w:pStyle w:val="Body"/>
      </w:pPr>
      <w:r>
        <w:t xml:space="preserve">The firearms community was consulted in a number of ways. A Subcommittee of the Victorian Firearms Consultative Committee was formed to consider potential changes to the Regulations and to provide feedback on the analysis of options. A number of stakeholder representative groups, across different parts of the firearms community, were directly consulted, as well as a number of licensed dealers. </w:t>
      </w:r>
    </w:p>
    <w:p w14:paraId="40E4117D" w14:textId="77777777" w:rsidR="00052799" w:rsidRDefault="00052799" w:rsidP="00052799">
      <w:pPr>
        <w:pStyle w:val="Body"/>
      </w:pPr>
      <w:r>
        <w:t>Stakeholders consulted also raised a number of suggestions for regulatory change which, as they would require legislative amendment to implement, are outside the scope of this review. They are noted in the body of the RIS.</w:t>
      </w:r>
    </w:p>
    <w:p w14:paraId="087FBD88" w14:textId="5A9383A3" w:rsidR="00052799" w:rsidRPr="00E32786" w:rsidRDefault="00052799" w:rsidP="00052799">
      <w:pPr>
        <w:pStyle w:val="Body"/>
      </w:pPr>
      <w:r>
        <w:t xml:space="preserve">The </w:t>
      </w:r>
      <w:r w:rsidR="000514BF">
        <w:t>D</w:t>
      </w:r>
      <w:r>
        <w:t>epartment thanks all those who were involved in the consultation process for their helpful suggestions and commitment to the process.</w:t>
      </w:r>
    </w:p>
    <w:p w14:paraId="2796CB12" w14:textId="77777777" w:rsidR="00052799" w:rsidRPr="00610D49" w:rsidRDefault="00052799" w:rsidP="00052799">
      <w:pPr>
        <w:pStyle w:val="BodyText"/>
      </w:pPr>
    </w:p>
    <w:p w14:paraId="5EF94203" w14:textId="77777777" w:rsidR="00052799" w:rsidRPr="00610D49" w:rsidRDefault="00052799" w:rsidP="00052799">
      <w:pPr>
        <w:pStyle w:val="Heading1"/>
        <w:pageBreakBefore/>
      </w:pPr>
      <w:bookmarkStart w:id="40" w:name="_Toc495338504"/>
      <w:bookmarkStart w:id="41" w:name="_Toc497492979"/>
      <w:bookmarkStart w:id="42" w:name="_Toc500505457"/>
      <w:bookmarkStart w:id="43" w:name="_Toc501539152"/>
      <w:r w:rsidRPr="00610D49">
        <w:t>Introduction</w:t>
      </w:r>
      <w:bookmarkEnd w:id="40"/>
      <w:bookmarkEnd w:id="41"/>
      <w:bookmarkEnd w:id="42"/>
      <w:bookmarkEnd w:id="43"/>
    </w:p>
    <w:p w14:paraId="1B664A14" w14:textId="006E9EE9" w:rsidR="00052799" w:rsidRPr="00610D49" w:rsidRDefault="00052799" w:rsidP="00052799">
      <w:pPr>
        <w:pStyle w:val="BodyText"/>
      </w:pPr>
      <w:r w:rsidRPr="00610D49">
        <w:t xml:space="preserve">Firearms are regulated in Victoria by the </w:t>
      </w:r>
      <w:r w:rsidRPr="00610D49">
        <w:rPr>
          <w:i/>
        </w:rPr>
        <w:t>Firearms Act 1996</w:t>
      </w:r>
      <w:r w:rsidRPr="00610D49">
        <w:t>. Modelled on the resolutions of the National Firearms Agreement, the core principle of the Act is that the possession, carriage, use, acquisition and disposal of firearms are conditional on the need to ensure public safety and peace. Relevant to the Regulations, the Act</w:t>
      </w:r>
      <w:r w:rsidR="00027B94">
        <w:rPr>
          <w:rStyle w:val="FootnoteReference"/>
        </w:rPr>
        <w:footnoteReference w:id="3"/>
      </w:r>
      <w:r w:rsidRPr="00610D49">
        <w:t xml:space="preserve"> gives effect to this core principle by:</w:t>
      </w:r>
    </w:p>
    <w:p w14:paraId="3E34A4B4" w14:textId="74AAACAC" w:rsidR="00052799" w:rsidRPr="00610D49" w:rsidRDefault="00052799" w:rsidP="00052799">
      <w:pPr>
        <w:pStyle w:val="BodyText"/>
        <w:numPr>
          <w:ilvl w:val="0"/>
          <w:numId w:val="60"/>
        </w:numPr>
      </w:pPr>
      <w:r w:rsidRPr="00610D49">
        <w:t>establishing a system of licensing and regulating the possession, carriage and use of firearms and related items includ</w:t>
      </w:r>
      <w:r w:rsidR="00027B94">
        <w:t>ing</w:t>
      </w:r>
      <w:r w:rsidRPr="00610D49">
        <w:t xml:space="preserve"> a system of categorising and registering firearms</w:t>
      </w:r>
    </w:p>
    <w:p w14:paraId="049F5327" w14:textId="77777777" w:rsidR="00052799" w:rsidRPr="00610D49" w:rsidRDefault="00052799" w:rsidP="00052799">
      <w:pPr>
        <w:pStyle w:val="BodyText"/>
        <w:numPr>
          <w:ilvl w:val="0"/>
          <w:numId w:val="60"/>
        </w:numPr>
      </w:pPr>
      <w:r w:rsidRPr="00610D49">
        <w:t>establishing a system of licensing and regulating firearms dealers and manufacturers</w:t>
      </w:r>
    </w:p>
    <w:p w14:paraId="6F45B6C3" w14:textId="77777777" w:rsidR="00052799" w:rsidRPr="00610D49" w:rsidRDefault="00052799" w:rsidP="00052799">
      <w:pPr>
        <w:pStyle w:val="BodyText"/>
        <w:numPr>
          <w:ilvl w:val="0"/>
          <w:numId w:val="60"/>
        </w:numPr>
      </w:pPr>
      <w:r w:rsidRPr="00610D49">
        <w:t>establishing a system of permitting and regulating the acquisition and disposal of firearms and related items</w:t>
      </w:r>
    </w:p>
    <w:p w14:paraId="60814E80" w14:textId="77777777" w:rsidR="00052799" w:rsidRPr="00610D49" w:rsidRDefault="00052799" w:rsidP="00052799">
      <w:pPr>
        <w:pStyle w:val="BodyText"/>
        <w:numPr>
          <w:ilvl w:val="0"/>
          <w:numId w:val="60"/>
        </w:numPr>
      </w:pPr>
      <w:r w:rsidRPr="00610D49">
        <w:t>establishing requirements for the storage and carriage of firearms, and</w:t>
      </w:r>
    </w:p>
    <w:p w14:paraId="5BAD617C" w14:textId="77777777" w:rsidR="00052799" w:rsidRPr="00610D49" w:rsidRDefault="00052799" w:rsidP="00052799">
      <w:pPr>
        <w:pStyle w:val="BodyText"/>
        <w:numPr>
          <w:ilvl w:val="0"/>
          <w:numId w:val="60"/>
        </w:numPr>
      </w:pPr>
      <w:r w:rsidRPr="00610D49">
        <w:t xml:space="preserve">establishing the Firearms Appeals Committee (FAC) to hear applications for review of decisions made by the Chief Commissioner of Police under the Act. </w:t>
      </w:r>
    </w:p>
    <w:p w14:paraId="2581BBD9" w14:textId="77777777" w:rsidR="00052799" w:rsidRPr="00610D49" w:rsidRDefault="00052799" w:rsidP="00052799">
      <w:pPr>
        <w:pStyle w:val="BodyText"/>
      </w:pPr>
      <w:r w:rsidRPr="00610D49">
        <w:t>Under the Act, the Chief Commissioner of Police is the regulator of firearms and related items with Victoria Police’s Licensing and Regulation Division responsible for day-to-day regulatory functions.</w:t>
      </w:r>
    </w:p>
    <w:p w14:paraId="7D103996" w14:textId="249ED9BA" w:rsidR="00052799" w:rsidRPr="00610D49" w:rsidRDefault="00052799" w:rsidP="00052799">
      <w:pPr>
        <w:pStyle w:val="BodyText"/>
      </w:pPr>
      <w:r w:rsidRPr="00610D49">
        <w:t xml:space="preserve">The Regulations are made under the Act. As with all other regulations, the Regulations must be consistent with the general objectives of the Act they are made under and require express authorisation </w:t>
      </w:r>
      <w:r w:rsidR="00027B94">
        <w:t>in</w:t>
      </w:r>
      <w:r w:rsidR="00027B94" w:rsidRPr="00610D49">
        <w:t xml:space="preserve"> </w:t>
      </w:r>
      <w:r w:rsidRPr="00610D49">
        <w:t>the Act. They cannot contradict the Act.</w:t>
      </w:r>
    </w:p>
    <w:p w14:paraId="727E33D0" w14:textId="6EE9EABE" w:rsidR="00052799" w:rsidRPr="00610D49" w:rsidRDefault="00052799" w:rsidP="00052799">
      <w:pPr>
        <w:pStyle w:val="BodyText"/>
      </w:pPr>
      <w:r w:rsidRPr="00610D49">
        <w:t xml:space="preserve">The Act allows for </w:t>
      </w:r>
      <w:r w:rsidR="00027B94">
        <w:t>r</w:t>
      </w:r>
      <w:r w:rsidRPr="00610D49">
        <w:t xml:space="preserve">egulations </w:t>
      </w:r>
      <w:r w:rsidR="00027B94">
        <w:t xml:space="preserve">to be made </w:t>
      </w:r>
      <w:r w:rsidRPr="00610D49">
        <w:t xml:space="preserve">on a number of matters. </w:t>
      </w:r>
      <w:r w:rsidR="00027B94">
        <w:t>T</w:t>
      </w:r>
      <w:r w:rsidRPr="00610D49">
        <w:t xml:space="preserve">he Regulations </w:t>
      </w:r>
      <w:r w:rsidR="00027B94">
        <w:t xml:space="preserve">currently </w:t>
      </w:r>
      <w:r w:rsidRPr="00610D49">
        <w:t>prescribe some of these matters, including:</w:t>
      </w:r>
    </w:p>
    <w:p w14:paraId="6E96AA5F" w14:textId="77777777" w:rsidR="00052799" w:rsidRPr="00610D49" w:rsidRDefault="00052799" w:rsidP="00052799">
      <w:pPr>
        <w:pStyle w:val="BodyText"/>
        <w:numPr>
          <w:ilvl w:val="0"/>
          <w:numId w:val="61"/>
        </w:numPr>
      </w:pPr>
      <w:r w:rsidRPr="00610D49">
        <w:t>fees for the issue and renewal of licences and permits granted under the Act and for applications for review of deci</w:t>
      </w:r>
      <w:r w:rsidR="00284A42">
        <w:t>sions of the Chief Commissioner</w:t>
      </w:r>
    </w:p>
    <w:p w14:paraId="2512E970" w14:textId="77777777" w:rsidR="00052799" w:rsidRPr="00610D49" w:rsidRDefault="00052799" w:rsidP="00052799">
      <w:pPr>
        <w:pStyle w:val="BodyText"/>
        <w:numPr>
          <w:ilvl w:val="0"/>
          <w:numId w:val="61"/>
        </w:numPr>
      </w:pPr>
      <w:r w:rsidRPr="00610D49">
        <w:t>devices that are excluded from the definition of ‘firearm’</w:t>
      </w:r>
    </w:p>
    <w:p w14:paraId="619228F4" w14:textId="77777777" w:rsidR="00052799" w:rsidRPr="00610D49" w:rsidRDefault="00052799" w:rsidP="00052799">
      <w:pPr>
        <w:pStyle w:val="BodyText"/>
        <w:numPr>
          <w:ilvl w:val="0"/>
          <w:numId w:val="61"/>
        </w:numPr>
      </w:pPr>
      <w:r w:rsidRPr="00610D49">
        <w:t>the particulars to be entered on firearm dealers’ and colle</w:t>
      </w:r>
      <w:r w:rsidR="00284A42">
        <w:t>ctors’ registers</w:t>
      </w:r>
    </w:p>
    <w:p w14:paraId="3F3A0C7B" w14:textId="77777777" w:rsidR="00052799" w:rsidRPr="00610D49" w:rsidRDefault="00052799" w:rsidP="00052799">
      <w:pPr>
        <w:pStyle w:val="BodyText"/>
        <w:numPr>
          <w:ilvl w:val="0"/>
          <w:numId w:val="61"/>
        </w:numPr>
      </w:pPr>
      <w:r w:rsidRPr="00610D49">
        <w:t>offences in respect of which infr</w:t>
      </w:r>
      <w:r w:rsidR="00284A42">
        <w:t>ingement notices may be issued</w:t>
      </w:r>
    </w:p>
    <w:p w14:paraId="30FD9D7B" w14:textId="77777777" w:rsidR="00052799" w:rsidRPr="00610D49" w:rsidRDefault="00052799" w:rsidP="00052799">
      <w:pPr>
        <w:pStyle w:val="BodyText"/>
        <w:numPr>
          <w:ilvl w:val="0"/>
          <w:numId w:val="61"/>
        </w:numPr>
      </w:pPr>
      <w:r w:rsidRPr="00610D49">
        <w:t>requirements for certain u</w:t>
      </w:r>
      <w:r w:rsidR="00284A42">
        <w:t>ses of firearms on private land,</w:t>
      </w:r>
      <w:r w:rsidRPr="00610D49">
        <w:t xml:space="preserve"> and</w:t>
      </w:r>
    </w:p>
    <w:p w14:paraId="0C8F4683" w14:textId="77777777" w:rsidR="00052799" w:rsidRPr="00610D49" w:rsidRDefault="00052799" w:rsidP="00052799">
      <w:pPr>
        <w:pStyle w:val="BodyText"/>
        <w:numPr>
          <w:ilvl w:val="0"/>
          <w:numId w:val="48"/>
        </w:numPr>
        <w:tabs>
          <w:tab w:val="clear" w:pos="340"/>
          <w:tab w:val="num" w:pos="1560"/>
        </w:tabs>
        <w:ind w:left="1560"/>
      </w:pPr>
      <w:r w:rsidRPr="00610D49">
        <w:t xml:space="preserve">the manner in which searches without warrant may be conducted.  </w:t>
      </w:r>
    </w:p>
    <w:p w14:paraId="6F90C65C" w14:textId="77777777" w:rsidR="00052799" w:rsidRPr="00610D49" w:rsidRDefault="00052799" w:rsidP="00052799">
      <w:pPr>
        <w:pStyle w:val="BodyText"/>
      </w:pPr>
      <w:r w:rsidRPr="00610D49">
        <w:t>The following issues are, however, out of scope for this review, as they are wholly governed by the Act, not the Regulations:</w:t>
      </w:r>
    </w:p>
    <w:p w14:paraId="2016AF29" w14:textId="77777777" w:rsidR="00052799" w:rsidRPr="00610D49" w:rsidRDefault="00052799" w:rsidP="00052799">
      <w:pPr>
        <w:pStyle w:val="BodyText"/>
        <w:numPr>
          <w:ilvl w:val="0"/>
          <w:numId w:val="61"/>
        </w:numPr>
      </w:pPr>
      <w:r w:rsidRPr="00610D49">
        <w:t xml:space="preserve">the requirement that firearms users must hold a licence </w:t>
      </w:r>
    </w:p>
    <w:p w14:paraId="214A7590" w14:textId="77777777" w:rsidR="00052799" w:rsidRPr="00610D49" w:rsidRDefault="00052799" w:rsidP="00052799">
      <w:pPr>
        <w:pStyle w:val="BodyText"/>
        <w:numPr>
          <w:ilvl w:val="0"/>
          <w:numId w:val="61"/>
        </w:numPr>
      </w:pPr>
      <w:r w:rsidRPr="00610D49">
        <w:t>types of licences and permits required to be held</w:t>
      </w:r>
    </w:p>
    <w:p w14:paraId="408CDB98" w14:textId="77777777" w:rsidR="00052799" w:rsidRPr="00610D49" w:rsidRDefault="00052799" w:rsidP="00052799">
      <w:pPr>
        <w:pStyle w:val="BodyText"/>
        <w:numPr>
          <w:ilvl w:val="0"/>
          <w:numId w:val="61"/>
        </w:numPr>
      </w:pPr>
      <w:r w:rsidRPr="00610D49">
        <w:t>the requirement that firearms be registered</w:t>
      </w:r>
    </w:p>
    <w:p w14:paraId="76D13E97" w14:textId="77777777" w:rsidR="00052799" w:rsidRPr="00610D49" w:rsidRDefault="00052799" w:rsidP="00052799">
      <w:pPr>
        <w:pStyle w:val="BodyText"/>
        <w:numPr>
          <w:ilvl w:val="0"/>
          <w:numId w:val="61"/>
        </w:numPr>
      </w:pPr>
      <w:r w:rsidRPr="00610D49">
        <w:t>the person or body responsible for making decisions about licences and permits (the Chief Commissioner of Victoria Police)</w:t>
      </w:r>
    </w:p>
    <w:p w14:paraId="545B2808" w14:textId="77777777" w:rsidR="00052799" w:rsidRPr="00610D49" w:rsidRDefault="00052799" w:rsidP="00052799">
      <w:pPr>
        <w:pStyle w:val="BodyText"/>
        <w:numPr>
          <w:ilvl w:val="0"/>
          <w:numId w:val="61"/>
        </w:numPr>
      </w:pPr>
      <w:r w:rsidRPr="00610D49">
        <w:t>the information that must be included with a licence application (including the fingerprint requirement)</w:t>
      </w:r>
    </w:p>
    <w:p w14:paraId="481B9A71" w14:textId="77777777" w:rsidR="00052799" w:rsidRPr="00610D49" w:rsidRDefault="00052799" w:rsidP="00052799">
      <w:pPr>
        <w:pStyle w:val="BodyText"/>
        <w:numPr>
          <w:ilvl w:val="0"/>
          <w:numId w:val="61"/>
        </w:numPr>
      </w:pPr>
      <w:r w:rsidRPr="00610D49">
        <w:t>the fit and proper person test</w:t>
      </w:r>
    </w:p>
    <w:p w14:paraId="6600AB3A" w14:textId="77777777" w:rsidR="00052799" w:rsidRPr="00610D49" w:rsidRDefault="00052799" w:rsidP="00052799">
      <w:pPr>
        <w:pStyle w:val="BodyText"/>
        <w:numPr>
          <w:ilvl w:val="0"/>
          <w:numId w:val="61"/>
        </w:numPr>
      </w:pPr>
      <w:r w:rsidRPr="00610D49">
        <w:t>waiting periods</w:t>
      </w:r>
    </w:p>
    <w:p w14:paraId="42B5C987" w14:textId="77777777" w:rsidR="00052799" w:rsidRPr="00610D49" w:rsidRDefault="00052799" w:rsidP="00052799">
      <w:pPr>
        <w:pStyle w:val="BodyText"/>
        <w:numPr>
          <w:ilvl w:val="0"/>
          <w:numId w:val="61"/>
        </w:numPr>
      </w:pPr>
      <w:r w:rsidRPr="00610D49">
        <w:t>general and special conditions of licences (including participation requirements for target shooting)</w:t>
      </w:r>
    </w:p>
    <w:p w14:paraId="53012ABD" w14:textId="77777777" w:rsidR="00052799" w:rsidRPr="00610D49" w:rsidRDefault="00052799" w:rsidP="00052799">
      <w:pPr>
        <w:pStyle w:val="BodyText"/>
        <w:numPr>
          <w:ilvl w:val="0"/>
          <w:numId w:val="61"/>
        </w:numPr>
      </w:pPr>
      <w:r w:rsidRPr="00610D49">
        <w:t>storage requirements, and</w:t>
      </w:r>
    </w:p>
    <w:p w14:paraId="6ED187AC" w14:textId="77777777" w:rsidR="00052799" w:rsidRPr="00610D49" w:rsidRDefault="00052799" w:rsidP="00052799">
      <w:pPr>
        <w:pStyle w:val="BodyText"/>
        <w:numPr>
          <w:ilvl w:val="0"/>
          <w:numId w:val="61"/>
        </w:numPr>
      </w:pPr>
      <w:r w:rsidRPr="00610D49">
        <w:t>how firearms (including antiques) are rendered inoperable or incapable of use.</w:t>
      </w:r>
    </w:p>
    <w:p w14:paraId="774ECAB7" w14:textId="77777777" w:rsidR="00052799" w:rsidRPr="00610D49" w:rsidRDefault="00052799" w:rsidP="00052799">
      <w:pPr>
        <w:pStyle w:val="BodyText"/>
      </w:pPr>
      <w:r w:rsidRPr="00610D49">
        <w:t>The updated National Firearms Agreement is also out of scope for this review.</w:t>
      </w:r>
    </w:p>
    <w:p w14:paraId="24C3CACA" w14:textId="2EFE79EC" w:rsidR="00052799" w:rsidRPr="00610D49" w:rsidRDefault="00052799" w:rsidP="00052799">
      <w:pPr>
        <w:pStyle w:val="BodyText"/>
      </w:pPr>
      <w:r w:rsidRPr="00610D49">
        <w:t>Under Victorian law, all regulations automatically sunset 10 years after their making, with the</w:t>
      </w:r>
      <w:r w:rsidR="00027B94">
        <w:t>se</w:t>
      </w:r>
      <w:r w:rsidRPr="00610D49">
        <w:t xml:space="preserve"> Regulations due to sunset on 8 April 2018. The Department, as supported by KPMG, has developed this RIS through: </w:t>
      </w:r>
    </w:p>
    <w:p w14:paraId="0647680D" w14:textId="77777777" w:rsidR="00052799" w:rsidRPr="00610D49" w:rsidRDefault="00052799" w:rsidP="00052799">
      <w:pPr>
        <w:pStyle w:val="BodyText"/>
        <w:numPr>
          <w:ilvl w:val="0"/>
          <w:numId w:val="48"/>
        </w:numPr>
        <w:tabs>
          <w:tab w:val="clear" w:pos="340"/>
          <w:tab w:val="num" w:pos="1134"/>
        </w:tabs>
        <w:ind w:left="1134"/>
      </w:pPr>
      <w:r w:rsidRPr="00610D49">
        <w:t>defining the objectives and impact of the Regulations</w:t>
      </w:r>
    </w:p>
    <w:p w14:paraId="7C6F64D4" w14:textId="77777777" w:rsidR="00052799" w:rsidRPr="00610D49" w:rsidRDefault="00052799" w:rsidP="00052799">
      <w:pPr>
        <w:pStyle w:val="BodyText"/>
        <w:numPr>
          <w:ilvl w:val="0"/>
          <w:numId w:val="48"/>
        </w:numPr>
        <w:tabs>
          <w:tab w:val="clear" w:pos="340"/>
          <w:tab w:val="num" w:pos="1134"/>
        </w:tabs>
        <w:ind w:left="1134"/>
      </w:pPr>
      <w:r w:rsidRPr="00610D49">
        <w:t xml:space="preserve">consulting with key stakeholders in the industry and the regulator, Victoria Police, and </w:t>
      </w:r>
    </w:p>
    <w:p w14:paraId="587C1C5D" w14:textId="77777777" w:rsidR="00052799" w:rsidRPr="00610D49" w:rsidRDefault="00052799" w:rsidP="00052799">
      <w:pPr>
        <w:pStyle w:val="BodyText"/>
        <w:numPr>
          <w:ilvl w:val="0"/>
          <w:numId w:val="48"/>
        </w:numPr>
        <w:tabs>
          <w:tab w:val="clear" w:pos="340"/>
          <w:tab w:val="num" w:pos="1134"/>
        </w:tabs>
        <w:ind w:left="1134"/>
      </w:pPr>
      <w:r w:rsidRPr="00610D49">
        <w:t xml:space="preserve">preparing a RIS. </w:t>
      </w:r>
    </w:p>
    <w:p w14:paraId="2C5905A9" w14:textId="77777777" w:rsidR="00052799" w:rsidRPr="00610D49" w:rsidRDefault="00052799" w:rsidP="00052799">
      <w:pPr>
        <w:pStyle w:val="BodyText"/>
      </w:pPr>
      <w:r w:rsidRPr="00610D49">
        <w:t>The Department has prepared an exposure draft of the proposed Firearms Regulations 2018 (the proposed Regulations) to accompany this RIS.</w:t>
      </w:r>
      <w:r>
        <w:t xml:space="preserve"> The proposed Regulations are attached</w:t>
      </w:r>
      <w:r w:rsidRPr="00610D49">
        <w:t>.</w:t>
      </w:r>
    </w:p>
    <w:p w14:paraId="6E3AF11E" w14:textId="77777777" w:rsidR="00052799" w:rsidRPr="00610D49" w:rsidRDefault="00052799" w:rsidP="00052799">
      <w:pPr>
        <w:pStyle w:val="Heading2"/>
      </w:pPr>
      <w:bookmarkStart w:id="44" w:name="_Toc495338505"/>
      <w:bookmarkStart w:id="45" w:name="_Toc497492980"/>
      <w:bookmarkStart w:id="46" w:name="_Toc500505458"/>
      <w:bookmarkStart w:id="47" w:name="_Toc501539153"/>
      <w:r w:rsidRPr="00610D49">
        <w:t>Requirements of a RIS</w:t>
      </w:r>
      <w:bookmarkEnd w:id="44"/>
      <w:bookmarkEnd w:id="45"/>
      <w:bookmarkEnd w:id="46"/>
      <w:bookmarkEnd w:id="47"/>
    </w:p>
    <w:p w14:paraId="66410C19" w14:textId="1EDF614E" w:rsidR="00052799" w:rsidRPr="00610D49" w:rsidRDefault="00052799" w:rsidP="00052799">
      <w:pPr>
        <w:pStyle w:val="BodyText"/>
      </w:pPr>
      <w:r w:rsidRPr="00610D49">
        <w:t xml:space="preserve">Each RIS must meet the requirements of the </w:t>
      </w:r>
      <w:r w:rsidRPr="00610D49">
        <w:rPr>
          <w:i/>
        </w:rPr>
        <w:t xml:space="preserve">Subordinate Legislation Act </w:t>
      </w:r>
      <w:r w:rsidRPr="007B47FC">
        <w:rPr>
          <w:i/>
        </w:rPr>
        <w:t>1994</w:t>
      </w:r>
      <w:r w:rsidRPr="00610D49">
        <w:t xml:space="preserve">, and the </w:t>
      </w:r>
      <w:r w:rsidRPr="004B487D">
        <w:rPr>
          <w:i/>
        </w:rPr>
        <w:t>Victorian Guide to Regulation</w:t>
      </w:r>
      <w:r w:rsidRPr="00610D49">
        <w:t xml:space="preserve">, including specific requirements for sunsetting regulations. </w:t>
      </w:r>
    </w:p>
    <w:p w14:paraId="687A1331" w14:textId="77777777" w:rsidR="00052799" w:rsidRPr="00610D49" w:rsidRDefault="00052799" w:rsidP="00052799">
      <w:pPr>
        <w:pStyle w:val="BodyText"/>
      </w:pPr>
      <w:r w:rsidRPr="00610D49">
        <w:t>Consequently, the RIS is structured as follows:</w:t>
      </w:r>
    </w:p>
    <w:p w14:paraId="2E3F1F29" w14:textId="77777777" w:rsidR="00052799" w:rsidRPr="00610D49" w:rsidRDefault="00284A42" w:rsidP="00052799">
      <w:pPr>
        <w:pStyle w:val="BodyText"/>
        <w:numPr>
          <w:ilvl w:val="0"/>
          <w:numId w:val="46"/>
        </w:numPr>
        <w:tabs>
          <w:tab w:val="clear" w:pos="340"/>
          <w:tab w:val="num" w:pos="1134"/>
        </w:tabs>
        <w:ind w:left="1134"/>
      </w:pPr>
      <w:r>
        <w:t>i</w:t>
      </w:r>
      <w:r w:rsidR="00052799" w:rsidRPr="00610D49">
        <w:t xml:space="preserve">dentification of the nature and extent of the problem </w:t>
      </w:r>
    </w:p>
    <w:p w14:paraId="469B3200" w14:textId="77777777" w:rsidR="00052799" w:rsidRDefault="00284A42" w:rsidP="00052799">
      <w:pPr>
        <w:pStyle w:val="BodyText"/>
        <w:numPr>
          <w:ilvl w:val="0"/>
          <w:numId w:val="46"/>
        </w:numPr>
        <w:tabs>
          <w:tab w:val="clear" w:pos="340"/>
          <w:tab w:val="num" w:pos="1134"/>
        </w:tabs>
        <w:ind w:left="1134"/>
      </w:pPr>
      <w:r>
        <w:t>a</w:t>
      </w:r>
      <w:r w:rsidR="00052799" w:rsidRPr="00610D49">
        <w:t xml:space="preserve"> statement of the objectives of the proposed Regulations </w:t>
      </w:r>
    </w:p>
    <w:p w14:paraId="3CF5284A" w14:textId="24177521" w:rsidR="008078F2" w:rsidRPr="00610D49" w:rsidRDefault="008078F2" w:rsidP="00052799">
      <w:pPr>
        <w:pStyle w:val="BodyText"/>
        <w:numPr>
          <w:ilvl w:val="0"/>
          <w:numId w:val="46"/>
        </w:numPr>
        <w:tabs>
          <w:tab w:val="clear" w:pos="340"/>
          <w:tab w:val="num" w:pos="1134"/>
        </w:tabs>
        <w:ind w:left="1134"/>
      </w:pPr>
      <w:r>
        <w:t>for fee and non-fee options:</w:t>
      </w:r>
    </w:p>
    <w:p w14:paraId="4AD9F620" w14:textId="77777777" w:rsidR="00052799" w:rsidRDefault="00284A42" w:rsidP="004B487D">
      <w:pPr>
        <w:pStyle w:val="BodyText"/>
        <w:numPr>
          <w:ilvl w:val="0"/>
          <w:numId w:val="47"/>
        </w:numPr>
        <w:tabs>
          <w:tab w:val="clear" w:pos="340"/>
          <w:tab w:val="num" w:pos="1474"/>
        </w:tabs>
        <w:ind w:left="1474"/>
      </w:pPr>
      <w:r>
        <w:t>c</w:t>
      </w:r>
      <w:r w:rsidR="00052799" w:rsidRPr="00610D49">
        <w:t>onsideration and assessment of options for addressing the problem and the identification of a preferred option</w:t>
      </w:r>
    </w:p>
    <w:p w14:paraId="26C41872" w14:textId="77777777" w:rsidR="00052799" w:rsidRPr="00610D49" w:rsidRDefault="00284A42" w:rsidP="004B487D">
      <w:pPr>
        <w:pStyle w:val="BodyText"/>
        <w:numPr>
          <w:ilvl w:val="0"/>
          <w:numId w:val="47"/>
        </w:numPr>
        <w:tabs>
          <w:tab w:val="clear" w:pos="340"/>
          <w:tab w:val="num" w:pos="1474"/>
        </w:tabs>
        <w:ind w:left="1474"/>
      </w:pPr>
      <w:r>
        <w:t>a</w:t>
      </w:r>
      <w:r w:rsidR="00052799" w:rsidRPr="00610D49">
        <w:t xml:space="preserve"> cost-benefit assessment of proposed options </w:t>
      </w:r>
    </w:p>
    <w:p w14:paraId="4BEA99B1" w14:textId="77777777" w:rsidR="00052799" w:rsidRPr="00610D49" w:rsidRDefault="00284A42" w:rsidP="00052799">
      <w:pPr>
        <w:pStyle w:val="BodyText"/>
        <w:numPr>
          <w:ilvl w:val="0"/>
          <w:numId w:val="47"/>
        </w:numPr>
        <w:tabs>
          <w:tab w:val="clear" w:pos="340"/>
          <w:tab w:val="num" w:pos="1134"/>
        </w:tabs>
        <w:ind w:left="1134"/>
      </w:pPr>
      <w:r>
        <w:t>a</w:t>
      </w:r>
      <w:r w:rsidR="00052799" w:rsidRPr="00610D49">
        <w:t xml:space="preserve">ssessment of impact on competition and small business </w:t>
      </w:r>
    </w:p>
    <w:p w14:paraId="0216F1B2" w14:textId="77777777" w:rsidR="00052799" w:rsidRPr="00610D49" w:rsidRDefault="00284A42" w:rsidP="00052799">
      <w:pPr>
        <w:pStyle w:val="BodyText"/>
        <w:numPr>
          <w:ilvl w:val="0"/>
          <w:numId w:val="47"/>
        </w:numPr>
        <w:tabs>
          <w:tab w:val="clear" w:pos="340"/>
          <w:tab w:val="num" w:pos="1134"/>
        </w:tabs>
        <w:ind w:left="1134"/>
      </w:pPr>
      <w:r>
        <w:t>a</w:t>
      </w:r>
      <w:r w:rsidR="00052799" w:rsidRPr="00610D49">
        <w:t>n implementation plan and evaluation strategy for the identified preferred op</w:t>
      </w:r>
      <w:r>
        <w:t>tion, and</w:t>
      </w:r>
    </w:p>
    <w:p w14:paraId="4542FDB3" w14:textId="77777777" w:rsidR="00052799" w:rsidRPr="00610D49" w:rsidRDefault="00284A42" w:rsidP="00052799">
      <w:pPr>
        <w:pStyle w:val="BodyText"/>
        <w:numPr>
          <w:ilvl w:val="0"/>
          <w:numId w:val="47"/>
        </w:numPr>
        <w:tabs>
          <w:tab w:val="clear" w:pos="340"/>
          <w:tab w:val="num" w:pos="1134"/>
        </w:tabs>
        <w:ind w:left="1134"/>
      </w:pPr>
      <w:r>
        <w:t>c</w:t>
      </w:r>
      <w:r w:rsidR="00052799" w:rsidRPr="00610D49">
        <w:t>onsultation with affected stakeholders</w:t>
      </w:r>
      <w:r w:rsidR="00052799">
        <w:t>,</w:t>
      </w:r>
    </w:p>
    <w:p w14:paraId="360B932C" w14:textId="77777777" w:rsidR="00052799" w:rsidRPr="00610D49" w:rsidRDefault="00052799" w:rsidP="00052799">
      <w:pPr>
        <w:pStyle w:val="Heading2"/>
      </w:pPr>
      <w:bookmarkStart w:id="48" w:name="_Toc495338506"/>
      <w:bookmarkStart w:id="49" w:name="_Toc497492981"/>
      <w:bookmarkStart w:id="50" w:name="_Toc500505459"/>
      <w:bookmarkStart w:id="51" w:name="_Toc501539154"/>
      <w:r w:rsidRPr="00610D49">
        <w:t>Contextualising the problem</w:t>
      </w:r>
      <w:bookmarkEnd w:id="48"/>
      <w:bookmarkEnd w:id="49"/>
      <w:bookmarkEnd w:id="50"/>
      <w:bookmarkEnd w:id="51"/>
    </w:p>
    <w:p w14:paraId="7519D2FA" w14:textId="1863E11E" w:rsidR="00052799" w:rsidRPr="00610D49" w:rsidRDefault="00052799" w:rsidP="00052799">
      <w:pPr>
        <w:pStyle w:val="BodyText"/>
      </w:pPr>
      <w:r w:rsidRPr="00610D49">
        <w:t>Originally designed as a combat tool for warfare and personal security, the modern use of firearms in Victoria includes both occupational and recreational use. Firearms are used in restricted occupations, such as law enforcement, professional pest control, primary production, private security and prisons. They are used in many recreational pursuits, including game hunting and sporting competitions. They are also of interest to collectors.</w:t>
      </w:r>
    </w:p>
    <w:p w14:paraId="7ABFB269" w14:textId="77777777" w:rsidR="00052799" w:rsidRPr="00610D49" w:rsidRDefault="00052799" w:rsidP="00052799">
      <w:pPr>
        <w:pStyle w:val="BodyText"/>
      </w:pPr>
      <w:r w:rsidRPr="00610D49">
        <w:t>The characteristics and capabilities of firearms (namely their ability to discharge a bullet, shot, or other missile with significant force) mean they are capable of threatening or causing serious injury or death. Therefore, while the legitimate use of firearms provides benefits for society, their accidental or deliberate misuse, including their diversion into the illegal market, also poses significant risks. Given their potential for serious harm, the possession, carriage, use, acquisition and disposal of firearms are regulated under the Act.</w:t>
      </w:r>
    </w:p>
    <w:p w14:paraId="272C4E12" w14:textId="77777777" w:rsidR="00052799" w:rsidRPr="00610D49" w:rsidRDefault="00052799" w:rsidP="00052799">
      <w:pPr>
        <w:pStyle w:val="Heading3"/>
      </w:pPr>
      <w:bookmarkStart w:id="52" w:name="_Toc497492982"/>
      <w:bookmarkStart w:id="53" w:name="_Toc500505460"/>
      <w:bookmarkStart w:id="54" w:name="_Toc501539155"/>
      <w:bookmarkStart w:id="55" w:name="_Toc495338507"/>
      <w:r w:rsidRPr="00610D49">
        <w:t>Risks posed by the use and availability of firearms</w:t>
      </w:r>
      <w:bookmarkEnd w:id="52"/>
      <w:bookmarkEnd w:id="53"/>
      <w:bookmarkEnd w:id="54"/>
      <w:r w:rsidRPr="00610D49">
        <w:t xml:space="preserve"> </w:t>
      </w:r>
      <w:bookmarkEnd w:id="55"/>
    </w:p>
    <w:p w14:paraId="69BBDFFA" w14:textId="77777777" w:rsidR="00052799" w:rsidRPr="00610D49" w:rsidRDefault="00052799" w:rsidP="00052799">
      <w:pPr>
        <w:pStyle w:val="BodyText"/>
      </w:pPr>
      <w:r w:rsidRPr="00610D49">
        <w:t>Due to the inherent characteristics of firearms, described above, they can give rise to a risk of harm to their owners and to the community. For example, a firearm used in an unsafe manner can result in unintended injury, or intentional self-harm. Firearms can also be used unlawfully, for instance in the commission of an offence, which can result in an increase the severity of harm caused by the crime. There is some evidence that suggest that the use of a firearm in a violent offence is likely to increase the severity of that crime, compared to the severity had no firearm been used.</w:t>
      </w:r>
      <w:r w:rsidRPr="00610D49">
        <w:rPr>
          <w:vertAlign w:val="superscript"/>
        </w:rPr>
        <w:footnoteReference w:id="4"/>
      </w:r>
      <w:r w:rsidRPr="00610D49">
        <w:t xml:space="preserve"> </w:t>
      </w:r>
    </w:p>
    <w:p w14:paraId="678C790C" w14:textId="77777777" w:rsidR="00052799" w:rsidRPr="00610D49" w:rsidRDefault="00052799" w:rsidP="00052799">
      <w:pPr>
        <w:pStyle w:val="BodyText"/>
      </w:pPr>
      <w:r w:rsidRPr="00610D49">
        <w:t xml:space="preserve">The available evidence </w:t>
      </w:r>
      <w:r>
        <w:t>indicates that the vast majority of licensed firearms</w:t>
      </w:r>
      <w:r w:rsidRPr="00610D49">
        <w:t xml:space="preserve"> users in Victoria comply with their responsibilities under the Act, and do not engage in unsafe or criminal activity. This is reflected in research showing that the majority of firearms used in homicides in Australia are illegally owned.</w:t>
      </w:r>
      <w:r w:rsidRPr="00610D49">
        <w:rPr>
          <w:rStyle w:val="FootnoteReference"/>
        </w:rPr>
        <w:footnoteReference w:id="5"/>
      </w:r>
      <w:r w:rsidRPr="00610D49">
        <w:t xml:space="preserve"> Nonetheless, the risk of harm inherent in firearms justifies regulation to ensure that appropriate controls are placed on who can access them and the circumstances in which they are acquired and used. </w:t>
      </w:r>
    </w:p>
    <w:p w14:paraId="130CAB89" w14:textId="77777777" w:rsidR="00052799" w:rsidRPr="00610D49" w:rsidRDefault="00052799" w:rsidP="00052799">
      <w:pPr>
        <w:pStyle w:val="BodyText"/>
      </w:pPr>
      <w:r w:rsidRPr="00610D49">
        <w:t xml:space="preserve">The use of firearms in an unsafe or illegal manner can generate a range of costs for society, both monetary and non-monetary in nature. These include: </w:t>
      </w:r>
    </w:p>
    <w:p w14:paraId="681D6901" w14:textId="77777777" w:rsidR="00052799" w:rsidRPr="00610D49" w:rsidRDefault="00052799" w:rsidP="00052799">
      <w:pPr>
        <w:pStyle w:val="BodyText"/>
        <w:numPr>
          <w:ilvl w:val="0"/>
          <w:numId w:val="33"/>
        </w:numPr>
        <w:tabs>
          <w:tab w:val="clear" w:pos="340"/>
          <w:tab w:val="num" w:pos="1134"/>
        </w:tabs>
        <w:ind w:left="1134"/>
      </w:pPr>
      <w:r w:rsidRPr="00610D49">
        <w:t>healthcare costs</w:t>
      </w:r>
    </w:p>
    <w:p w14:paraId="4B523B15" w14:textId="77777777" w:rsidR="00052799" w:rsidRPr="00610D49" w:rsidRDefault="00052799" w:rsidP="00052799">
      <w:pPr>
        <w:pStyle w:val="BodyText"/>
        <w:numPr>
          <w:ilvl w:val="0"/>
          <w:numId w:val="33"/>
        </w:numPr>
        <w:tabs>
          <w:tab w:val="clear" w:pos="340"/>
          <w:tab w:val="num" w:pos="1134"/>
        </w:tabs>
        <w:ind w:left="1134"/>
      </w:pPr>
      <w:r w:rsidRPr="00610D49">
        <w:t xml:space="preserve">pain, suffering, possible disability, and long-term mental suffering of victims </w:t>
      </w:r>
    </w:p>
    <w:p w14:paraId="2CB167CD" w14:textId="77777777" w:rsidR="00052799" w:rsidRPr="00610D49" w:rsidRDefault="00052799" w:rsidP="00052799">
      <w:pPr>
        <w:pStyle w:val="BodyText"/>
        <w:numPr>
          <w:ilvl w:val="0"/>
          <w:numId w:val="33"/>
        </w:numPr>
        <w:tabs>
          <w:tab w:val="clear" w:pos="340"/>
          <w:tab w:val="num" w:pos="1134"/>
        </w:tabs>
        <w:ind w:left="1134"/>
      </w:pPr>
      <w:r w:rsidRPr="00610D49">
        <w:t>mental suffering for families, friends</w:t>
      </w:r>
      <w:r w:rsidR="00284A42">
        <w:t>, and parties close to victims</w:t>
      </w:r>
    </w:p>
    <w:p w14:paraId="2CE7EEC7" w14:textId="77777777" w:rsidR="00052799" w:rsidRPr="00610D49" w:rsidRDefault="00052799" w:rsidP="00052799">
      <w:pPr>
        <w:pStyle w:val="BodyText"/>
        <w:numPr>
          <w:ilvl w:val="0"/>
          <w:numId w:val="33"/>
        </w:numPr>
        <w:tabs>
          <w:tab w:val="clear" w:pos="340"/>
          <w:tab w:val="num" w:pos="1134"/>
        </w:tabs>
        <w:ind w:left="1134"/>
      </w:pPr>
      <w:r w:rsidRPr="00610D49">
        <w:t>decreased feeling of public safet</w:t>
      </w:r>
      <w:r w:rsidR="00284A42">
        <w:t>y among the wider community</w:t>
      </w:r>
    </w:p>
    <w:p w14:paraId="58C010D3" w14:textId="77777777" w:rsidR="00052799" w:rsidRPr="00610D49" w:rsidRDefault="00052799" w:rsidP="00052799">
      <w:pPr>
        <w:pStyle w:val="BodyText"/>
        <w:numPr>
          <w:ilvl w:val="0"/>
          <w:numId w:val="33"/>
        </w:numPr>
        <w:tabs>
          <w:tab w:val="clear" w:pos="340"/>
          <w:tab w:val="num" w:pos="1134"/>
        </w:tabs>
        <w:ind w:left="1134"/>
      </w:pPr>
      <w:r w:rsidRPr="00610D49">
        <w:t>justice costs, including investigation and prosecution costs</w:t>
      </w:r>
      <w:r w:rsidR="00284A42">
        <w:t>, and</w:t>
      </w:r>
    </w:p>
    <w:p w14:paraId="5B5241E5" w14:textId="77777777" w:rsidR="00052799" w:rsidRPr="00610D49" w:rsidRDefault="00052799" w:rsidP="00052799">
      <w:pPr>
        <w:pStyle w:val="BodyText"/>
        <w:numPr>
          <w:ilvl w:val="0"/>
          <w:numId w:val="33"/>
        </w:numPr>
        <w:tabs>
          <w:tab w:val="clear" w:pos="340"/>
          <w:tab w:val="num" w:pos="1134"/>
        </w:tabs>
        <w:ind w:left="1134"/>
      </w:pPr>
      <w:r w:rsidRPr="00610D49">
        <w:t>lost productivity.</w:t>
      </w:r>
    </w:p>
    <w:p w14:paraId="7DB6E6D3" w14:textId="22CC1290" w:rsidR="00052799" w:rsidRPr="00610D49" w:rsidRDefault="00052799" w:rsidP="00052799">
      <w:pPr>
        <w:pStyle w:val="BodyText"/>
      </w:pPr>
      <w:r w:rsidRPr="00610D49">
        <w:t xml:space="preserve">Further, even in the absence of illegal or manifestly unsafe use, permitting the possession, circulation, and use of firearms for specific purposes can impose their own levels of risk. </w:t>
      </w:r>
      <w:r>
        <w:t>For example, a</w:t>
      </w:r>
      <w:r w:rsidRPr="00610D49">
        <w:t>ccidents involving firearms</w:t>
      </w:r>
      <w:r w:rsidR="0035770A">
        <w:t>,</w:t>
      </w:r>
      <w:r w:rsidRPr="00610D49">
        <w:t xml:space="preserve"> </w:t>
      </w:r>
      <w:r>
        <w:t xml:space="preserve">such as ricochet injuries in shooting ranges </w:t>
      </w:r>
      <w:r w:rsidRPr="00610D49">
        <w:t xml:space="preserve">are possible even in the presence of generally good safety standards. Similarly, the risk of diversion to the illicit market, discussed below, also presents risks not associated with the accidental or deliberate use of a firearm by a licensed user. </w:t>
      </w:r>
    </w:p>
    <w:p w14:paraId="6CC2176C" w14:textId="41857994" w:rsidR="00052799" w:rsidRPr="00610D49" w:rsidRDefault="00052799" w:rsidP="00052799">
      <w:pPr>
        <w:pStyle w:val="BodyText"/>
      </w:pPr>
      <w:r w:rsidRPr="00610D49">
        <w:t>The risk of illegal or unsafe use, accidents, theft, or other ways in which firearms might bring harm to the community is what the regulatory scheme for firearms, and the regulatory activity undertaken by Victoria Police, is intended to mitigate. The legal framework works together with Victoria Police’s compliance and enforcement activity, in order to monitor and manage existing and emerging risks, and to help ensure that the community compl</w:t>
      </w:r>
      <w:r w:rsidR="0035770A">
        <w:t>ies</w:t>
      </w:r>
      <w:r w:rsidRPr="00610D49">
        <w:t xml:space="preserve"> with requirements intended to limit the </w:t>
      </w:r>
      <w:r w:rsidR="0035770A">
        <w:t>risk</w:t>
      </w:r>
      <w:r w:rsidR="0035770A" w:rsidRPr="00610D49">
        <w:t xml:space="preserve"> </w:t>
      </w:r>
      <w:r w:rsidRPr="00610D49">
        <w:t xml:space="preserve">of harm to the community. Because this monitoring and management of risk extends even to compliant licensed firearms users, the possession of firearms, even by compliant, licensed members of the community, generates costs. </w:t>
      </w:r>
    </w:p>
    <w:p w14:paraId="6D09844A" w14:textId="77777777" w:rsidR="00052799" w:rsidRPr="00610D49" w:rsidRDefault="00052799" w:rsidP="00052799">
      <w:pPr>
        <w:pStyle w:val="Heading3"/>
      </w:pPr>
      <w:bookmarkStart w:id="56" w:name="_Toc495338508"/>
      <w:bookmarkStart w:id="57" w:name="_Toc497492983"/>
      <w:bookmarkStart w:id="58" w:name="_Toc500505461"/>
      <w:bookmarkStart w:id="59" w:name="_Toc501539156"/>
      <w:r w:rsidRPr="00610D49">
        <w:t>Uses and benefits of firearms</w:t>
      </w:r>
      <w:bookmarkEnd w:id="56"/>
      <w:bookmarkEnd w:id="57"/>
      <w:bookmarkEnd w:id="58"/>
      <w:bookmarkEnd w:id="59"/>
    </w:p>
    <w:p w14:paraId="2125070B" w14:textId="10364F5A" w:rsidR="00052799" w:rsidRPr="00610D49" w:rsidRDefault="00052799" w:rsidP="00052799">
      <w:pPr>
        <w:pStyle w:val="BodyText"/>
      </w:pPr>
      <w:r w:rsidRPr="00610D49">
        <w:t>Many Victorians have a genuine reason to own and use firearms, which are specified in the Act. People with a genuine reason include private individuals who require firearms for occupational reasons, such as certain private security staff, professional hunters and primary producers. For primary producers, by way of example</w:t>
      </w:r>
      <w:r w:rsidR="0035770A">
        <w:t>,</w:t>
      </w:r>
      <w:r w:rsidRPr="00610D49">
        <w:t xml:space="preserve"> firearms represent a key pest control tool and a means to humanely destroy livestock. Government employees, such as law enforcement and prison guards, may also have a genuine reason to possess, carry or use firearms.</w:t>
      </w:r>
    </w:p>
    <w:p w14:paraId="248BE3B9" w14:textId="77777777" w:rsidR="00052799" w:rsidRPr="00610D49" w:rsidRDefault="00052799" w:rsidP="00052799">
      <w:pPr>
        <w:pStyle w:val="BodyText"/>
      </w:pPr>
      <w:r w:rsidRPr="00610D49">
        <w:t>Other groups derive recreational benefits from the ownership and use of firearms, including those who engage in recreational hunting, collecting, or sport/target shooting. The Act acknowledges this by recognising recreational shooting (both sporting and hunting) as a genuine reason for which an individual can seek certain types of firearms licence. It also creates categories of licence under which firearms can be collected, but not used.</w:t>
      </w:r>
    </w:p>
    <w:p w14:paraId="25AC08ED" w14:textId="77777777" w:rsidR="00052799" w:rsidRPr="00610D49" w:rsidRDefault="00052799" w:rsidP="00052799">
      <w:pPr>
        <w:pStyle w:val="BodyText"/>
      </w:pPr>
      <w:r w:rsidRPr="00610D49">
        <w:t xml:space="preserve">These uses in turn help generate economic benefits for other classes of individuals involved in firearm-related activities, be it through their sale, repair and maintenance, the sale of ammunition, operation of shooting ranges, provision of training and safety courses, or through a range of other activities associated with the shooting activities or firearms collection. </w:t>
      </w:r>
    </w:p>
    <w:p w14:paraId="53DF21F8" w14:textId="77777777" w:rsidR="00052799" w:rsidRPr="00610D49" w:rsidRDefault="00052799" w:rsidP="00052799">
      <w:pPr>
        <w:pStyle w:val="BodyText"/>
      </w:pPr>
      <w:r w:rsidRPr="00610D49">
        <w:t xml:space="preserve">Some of these activities, including the use of firearms to control pest animals, also have a benefit to the broader community, to the extent that they limit the harm caused by invasive or pest animals. </w:t>
      </w:r>
    </w:p>
    <w:p w14:paraId="322717F0" w14:textId="77777777" w:rsidR="00052799" w:rsidRPr="00610D49" w:rsidRDefault="00052799" w:rsidP="00052799">
      <w:pPr>
        <w:pStyle w:val="Heading3"/>
      </w:pPr>
      <w:bookmarkStart w:id="60" w:name="_Toc495338509"/>
      <w:bookmarkStart w:id="61" w:name="_Toc497492984"/>
      <w:bookmarkStart w:id="62" w:name="_Toc500505462"/>
      <w:bookmarkStart w:id="63" w:name="_Toc501539157"/>
      <w:r w:rsidRPr="00610D49">
        <w:t>Illicit firearms and their connection with the legal market</w:t>
      </w:r>
      <w:bookmarkEnd w:id="60"/>
      <w:bookmarkEnd w:id="61"/>
      <w:bookmarkEnd w:id="62"/>
      <w:bookmarkEnd w:id="63"/>
    </w:p>
    <w:p w14:paraId="20CE1ACC" w14:textId="77777777" w:rsidR="00052799" w:rsidRPr="00610D49" w:rsidRDefault="00052799" w:rsidP="00052799">
      <w:pPr>
        <w:pStyle w:val="BodyText"/>
      </w:pPr>
      <w:r w:rsidRPr="00610D49">
        <w:t xml:space="preserve">Separately to the harm that can be caused by the accidental or deliberate misuse of legally possessed firearms, the risks posed by  firearms possessed illegally are also relevant to an assessment of the problem. Within the regulatory context, this is due to the risk of firearms owned legally being diverted to the illicit market, where there are greater risks associated with firearms being used in the commission of a crime. </w:t>
      </w:r>
    </w:p>
    <w:p w14:paraId="1DE6B7F6" w14:textId="77777777" w:rsidR="00052799" w:rsidRPr="00610D49" w:rsidRDefault="00052799" w:rsidP="00052799">
      <w:pPr>
        <w:pStyle w:val="BodyText"/>
      </w:pPr>
      <w:r w:rsidRPr="00610D49">
        <w:t>In 2016, the Australian Criminal Intelligence Commission (ACIC) conservatively estimated that there were more than 260,000 firearms in the Australian illicit firearms market (250,000 longarms and 10,000 handguns).</w:t>
      </w:r>
      <w:r w:rsidRPr="00610D49">
        <w:rPr>
          <w:rStyle w:val="FootnoteReference"/>
        </w:rPr>
        <w:footnoteReference w:id="6"/>
      </w:r>
      <w:r w:rsidRPr="00610D49">
        <w:t xml:space="preserve"> The exact extent of the Australian illicit firearms market cannot be determined, because of an absence of historical data prior to the implementation of the National Firearms Agreement in 1996</w:t>
      </w:r>
      <w:r w:rsidRPr="00610D49">
        <w:rPr>
          <w:rStyle w:val="FootnoteReference"/>
        </w:rPr>
        <w:footnoteReference w:id="7"/>
      </w:r>
      <w:r w:rsidRPr="00610D49">
        <w:t xml:space="preserve">. </w:t>
      </w:r>
    </w:p>
    <w:p w14:paraId="372C2685" w14:textId="6F41BE5F" w:rsidR="00052799" w:rsidRPr="00610D49" w:rsidRDefault="00052799" w:rsidP="00052799">
      <w:pPr>
        <w:pStyle w:val="BodyText"/>
      </w:pPr>
      <w:r w:rsidRPr="00610D49">
        <w:t>The diversion of legally held firearms into the illicit firearms market is a key concern for police and policy makers,</w:t>
      </w:r>
      <w:r w:rsidRPr="00610D49">
        <w:rPr>
          <w:rStyle w:val="FootnoteReference"/>
        </w:rPr>
        <w:footnoteReference w:id="8"/>
      </w:r>
      <w:r w:rsidRPr="00610D49">
        <w:t xml:space="preserve"> and limiting this diversion is one of the core objectives of the Act. Diversion can occur throughout the supply chain</w:t>
      </w:r>
      <w:r w:rsidR="0035770A">
        <w:t>,</w:t>
      </w:r>
      <w:r w:rsidRPr="00610D49">
        <w:rPr>
          <w:rStyle w:val="FootnoteReference"/>
        </w:rPr>
        <w:footnoteReference w:id="9"/>
      </w:r>
      <w:r w:rsidRPr="00610D49">
        <w:t xml:space="preserve"> </w:t>
      </w:r>
      <w:r w:rsidR="0035770A">
        <w:t>meaning that r</w:t>
      </w:r>
      <w:r w:rsidRPr="00610D49">
        <w:t>egulation and oversight of the firearm supply chain</w:t>
      </w:r>
      <w:r w:rsidR="0035770A">
        <w:t>,</w:t>
      </w:r>
      <w:r w:rsidRPr="00610D49">
        <w:t xml:space="preserve"> from the time of manufacture or import to destruction or legal export, help to reduce the opportunity for diversion into the illicit market.</w:t>
      </w:r>
      <w:r>
        <w:rPr>
          <w:rStyle w:val="FootnoteReference"/>
        </w:rPr>
        <w:footnoteReference w:id="10"/>
      </w:r>
      <w:r w:rsidRPr="00610D49">
        <w:t xml:space="preserve"> While it is not possible to categorically determine the number of illicit firearms that were sourced through diversion from the legal market, this risk explains the need for regulating firearms transactions and ownership, particularly dealer licensing, recording of transactions and ongoing monitoring and auditing of these transactions. It also partly explains the restrictions that are imposed on the manner of storage, which are intended to reduce the opportunity for theft to occur. </w:t>
      </w:r>
    </w:p>
    <w:p w14:paraId="33CE811A" w14:textId="77777777" w:rsidR="00052799" w:rsidRPr="00610D49" w:rsidRDefault="00052799" w:rsidP="00052799">
      <w:pPr>
        <w:pStyle w:val="Heading3"/>
      </w:pPr>
      <w:bookmarkStart w:id="64" w:name="_Toc497492985"/>
      <w:bookmarkStart w:id="65" w:name="_Toc495338510"/>
      <w:bookmarkStart w:id="66" w:name="_Toc500505463"/>
      <w:bookmarkStart w:id="67" w:name="_Toc501539158"/>
      <w:r w:rsidRPr="00610D49">
        <w:t>Categories of firearms</w:t>
      </w:r>
      <w:bookmarkEnd w:id="64"/>
      <w:bookmarkEnd w:id="65"/>
      <w:bookmarkEnd w:id="66"/>
      <w:bookmarkEnd w:id="67"/>
    </w:p>
    <w:p w14:paraId="143B928C" w14:textId="233B4ADA" w:rsidR="00052799" w:rsidRPr="00610D49" w:rsidRDefault="00052799" w:rsidP="00052799">
      <w:pPr>
        <w:pStyle w:val="BodyText"/>
      </w:pPr>
      <w:r w:rsidRPr="00610D49">
        <w:t xml:space="preserve">Firearms differ greatly in their capabilities and operating characteristics. </w:t>
      </w:r>
      <w:r>
        <w:t>Firearms are more</w:t>
      </w:r>
      <w:r w:rsidR="0035770A">
        <w:t xml:space="preserve"> of a</w:t>
      </w:r>
      <w:r>
        <w:t xml:space="preserve"> </w:t>
      </w:r>
      <w:r w:rsidRPr="00610D49">
        <w:t xml:space="preserve">danger to public safety if </w:t>
      </w:r>
      <w:r>
        <w:t xml:space="preserve">they are </w:t>
      </w:r>
      <w:r w:rsidRPr="00610D49">
        <w:t>more powerful, can hold more ammunition</w:t>
      </w:r>
      <w:r>
        <w:t>,</w:t>
      </w:r>
      <w:r w:rsidRPr="00610D49">
        <w:t xml:space="preserve"> or can be easily hidden. For example, an air rifle generally poses a lesser risk of inflicting lethal injury than a 12</w:t>
      </w:r>
      <w:r w:rsidR="0035770A">
        <w:t>-</w:t>
      </w:r>
      <w:r w:rsidRPr="00610D49">
        <w:t>gauge shotgun or high-calibre centrefire rifle. The ability of a firearm to rapidly discharge rounds, among a range of other factors, also affects the risk that a firearm may pose if it is misused.</w:t>
      </w:r>
    </w:p>
    <w:p w14:paraId="4C71BF01" w14:textId="77777777" w:rsidR="00052799" w:rsidRPr="00610D49" w:rsidRDefault="00052799" w:rsidP="00052799">
      <w:pPr>
        <w:pStyle w:val="BodyText"/>
      </w:pPr>
      <w:r w:rsidRPr="00610D49">
        <w:t>As such, the Act divides firearms into a number of categories based on a range of factors including:</w:t>
      </w:r>
    </w:p>
    <w:p w14:paraId="42B96167" w14:textId="77777777" w:rsidR="00052799" w:rsidRPr="00610D49" w:rsidRDefault="00052799" w:rsidP="00052799">
      <w:pPr>
        <w:pStyle w:val="BodyText"/>
        <w:numPr>
          <w:ilvl w:val="0"/>
          <w:numId w:val="45"/>
        </w:numPr>
        <w:tabs>
          <w:tab w:val="clear" w:pos="340"/>
          <w:tab w:val="num" w:pos="1134"/>
        </w:tabs>
        <w:ind w:left="1134"/>
      </w:pPr>
      <w:r w:rsidRPr="00610D49">
        <w:t>the type of ammunition used: paintball, air rifle pellet, rimfire cartridge, shotgun shell etc</w:t>
      </w:r>
    </w:p>
    <w:p w14:paraId="5CDA96AA" w14:textId="77777777" w:rsidR="00052799" w:rsidRPr="00610D49" w:rsidRDefault="00052799" w:rsidP="00052799">
      <w:pPr>
        <w:pStyle w:val="BodyText"/>
        <w:numPr>
          <w:ilvl w:val="0"/>
          <w:numId w:val="45"/>
        </w:numPr>
        <w:tabs>
          <w:tab w:val="clear" w:pos="340"/>
          <w:tab w:val="num" w:pos="1134"/>
        </w:tabs>
        <w:ind w:left="1134"/>
      </w:pPr>
      <w:r w:rsidRPr="00610D49">
        <w:t>the magazine capacity</w:t>
      </w:r>
    </w:p>
    <w:p w14:paraId="48D2E753" w14:textId="77777777" w:rsidR="00052799" w:rsidRPr="00610D49" w:rsidRDefault="00052799" w:rsidP="00052799">
      <w:pPr>
        <w:pStyle w:val="BodyText"/>
        <w:numPr>
          <w:ilvl w:val="0"/>
          <w:numId w:val="45"/>
        </w:numPr>
        <w:tabs>
          <w:tab w:val="clear" w:pos="340"/>
          <w:tab w:val="num" w:pos="1134"/>
        </w:tabs>
        <w:ind w:left="1134"/>
      </w:pPr>
      <w:r w:rsidRPr="00610D49">
        <w:t>the type of operating action, and</w:t>
      </w:r>
    </w:p>
    <w:p w14:paraId="5E0146BF" w14:textId="77777777" w:rsidR="00052799" w:rsidRPr="00610D49" w:rsidRDefault="00052799" w:rsidP="00052799">
      <w:pPr>
        <w:pStyle w:val="BodyText"/>
        <w:numPr>
          <w:ilvl w:val="0"/>
          <w:numId w:val="45"/>
        </w:numPr>
        <w:tabs>
          <w:tab w:val="clear" w:pos="340"/>
          <w:tab w:val="num" w:pos="1134"/>
        </w:tabs>
        <w:ind w:left="1134"/>
      </w:pPr>
      <w:r w:rsidRPr="00610D49">
        <w:t xml:space="preserve">whether a firearm is a handgun or longarm. </w:t>
      </w:r>
    </w:p>
    <w:p w14:paraId="7204074B" w14:textId="69BD7949" w:rsidR="00052799" w:rsidRPr="00610D49" w:rsidRDefault="00052799" w:rsidP="00052799">
      <w:pPr>
        <w:pStyle w:val="BodyText"/>
      </w:pPr>
      <w:r>
        <w:rPr>
          <w:noProof/>
          <w:lang w:eastAsia="en-AU"/>
        </w:rPr>
        <mc:AlternateContent>
          <mc:Choice Requires="wps">
            <w:drawing>
              <wp:inline distT="0" distB="0" distL="0" distR="0" wp14:anchorId="76F324D5" wp14:editId="68D8F3F7">
                <wp:extent cx="5757545" cy="1432560"/>
                <wp:effectExtent l="0" t="0" r="14605" b="21590"/>
                <wp:docPr id="3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7545" cy="1432560"/>
                        </a:xfrm>
                        <a:prstGeom prst="roundRect">
                          <a:avLst>
                            <a:gd name="adj" fmla="val 16667"/>
                          </a:avLst>
                        </a:prstGeom>
                        <a:noFill/>
                        <a:ln w="9525"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395543C" w14:textId="77777777" w:rsidR="007D4B3A" w:rsidRPr="007831D0" w:rsidRDefault="007D4B3A" w:rsidP="00052799">
                            <w:pPr>
                              <w:pStyle w:val="BodyText"/>
                              <w:ind w:left="0"/>
                              <w:rPr>
                                <w:b/>
                                <w:sz w:val="18"/>
                              </w:rPr>
                            </w:pPr>
                            <w:r>
                              <w:rPr>
                                <w:b/>
                                <w:sz w:val="18"/>
                              </w:rPr>
                              <w:t>Use of data throughout this RIS</w:t>
                            </w:r>
                          </w:p>
                          <w:p w14:paraId="52CD4A8D" w14:textId="77777777" w:rsidR="007D4B3A" w:rsidRDefault="007D4B3A" w:rsidP="00052799">
                            <w:pPr>
                              <w:pStyle w:val="BodyText"/>
                              <w:ind w:left="0"/>
                              <w:rPr>
                                <w:sz w:val="18"/>
                              </w:rPr>
                            </w:pPr>
                            <w:r>
                              <w:rPr>
                                <w:sz w:val="18"/>
                              </w:rPr>
                              <w:t xml:space="preserve">Throughout this RIS, data on the volume of licences, permits and approvals is provided in order to give a sense of the size of the regulated population. The data presented in this RIS has been aggregated in order to not reveal the exact numbers of particular licence, permit or approval categories. This is consistent with the exemption of Victoria Police’s register from the requirements of the </w:t>
                            </w:r>
                            <w:r w:rsidRPr="00262183">
                              <w:rPr>
                                <w:i/>
                                <w:sz w:val="18"/>
                              </w:rPr>
                              <w:t>Freedom of Information Act</w:t>
                            </w:r>
                            <w:r>
                              <w:rPr>
                                <w:sz w:val="18"/>
                              </w:rPr>
                              <w:t xml:space="preserve"> </w:t>
                            </w:r>
                            <w:r w:rsidRPr="00262183">
                              <w:rPr>
                                <w:i/>
                                <w:sz w:val="18"/>
                              </w:rPr>
                              <w:t>1982</w:t>
                            </w:r>
                            <w:r>
                              <w:rPr>
                                <w:sz w:val="18"/>
                              </w:rPr>
                              <w:t xml:space="preserve"> (see section 114 of the Act).</w:t>
                            </w:r>
                          </w:p>
                          <w:p w14:paraId="28B1EB60" w14:textId="77777777" w:rsidR="007D4B3A" w:rsidRDefault="007D4B3A" w:rsidP="00052799">
                            <w:pPr>
                              <w:pStyle w:val="BodyText"/>
                              <w:ind w:left="0"/>
                            </w:pPr>
                            <w:r>
                              <w:rPr>
                                <w:sz w:val="18"/>
                              </w:rPr>
                              <w:t xml:space="preserve">For the purposes of calculations (e.g. revenue calculations), data has been used at the most granular level available, and at a more granular level than is presented throughout this RIS. </w:t>
                            </w:r>
                          </w:p>
                        </w:txbxContent>
                      </wps:txbx>
                      <wps:bodyPr rot="0" vert="horz" wrap="square" lIns="91440" tIns="45720" rIns="91440" bIns="45720" anchor="t" anchorCtr="0" upright="1">
                        <a:spAutoFit/>
                      </wps:bodyPr>
                    </wps:wsp>
                  </a:graphicData>
                </a:graphic>
              </wp:inline>
            </w:drawing>
          </mc:Choice>
          <mc:Fallback>
            <w:pict>
              <v:roundrect w14:anchorId="76F324D5" id="AutoShape 3" o:spid="_x0000_s1026" style="width:453.35pt;height:112.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" filled="f">
                <v:textbox style="mso-fit-shape-to-text:t">
                  <w:txbxContent>
                    <w:p w14:paraId="4395543C" w14:textId="77777777" w:rsidR="007D4B3A" w:rsidRPr="007831D0" w:rsidRDefault="007D4B3A" w:rsidP="00052799">
                      <w:pPr>
                        <w:pStyle w:val="BodyText"/>
                        <w:ind w:left="0"/>
                        <w:rPr>
                          <w:b/>
                          <w:sz w:val="18"/>
                        </w:rPr>
                      </w:pPr>
                      <w:r>
                        <w:rPr>
                          <w:b/>
                          <w:sz w:val="18"/>
                        </w:rPr>
                        <w:t>Use of data throughout this RIS</w:t>
                      </w:r>
                    </w:p>
                    <w:p w14:paraId="52CD4A8D" w14:textId="77777777" w:rsidR="007D4B3A" w:rsidRDefault="007D4B3A" w:rsidP="00052799">
                      <w:pPr>
                        <w:pStyle w:val="BodyText"/>
                        <w:ind w:left="0"/>
                        <w:rPr>
                          <w:sz w:val="18"/>
                        </w:rPr>
                      </w:pPr>
                      <w:r>
                        <w:rPr>
                          <w:sz w:val="18"/>
                        </w:rPr>
                        <w:t xml:space="preserve">Throughout this RIS, data on the volume of licences, permits and approvals is provided in order to give a sense of the size of the regulated population. The data presented in this RIS has been aggregated in order to not reveal the exact numbers of particular licence, permit or approval categories. This is consistent with the exemption of Victoria Police’s register from the requirements of the </w:t>
                      </w:r>
                      <w:r w:rsidRPr="00262183">
                        <w:rPr>
                          <w:i/>
                          <w:sz w:val="18"/>
                        </w:rPr>
                        <w:t>Freedom of Information Act</w:t>
                      </w:r>
                      <w:r>
                        <w:rPr>
                          <w:sz w:val="18"/>
                        </w:rPr>
                        <w:t xml:space="preserve"> </w:t>
                      </w:r>
                      <w:r w:rsidRPr="00262183">
                        <w:rPr>
                          <w:i/>
                          <w:sz w:val="18"/>
                        </w:rPr>
                        <w:t>1982</w:t>
                      </w:r>
                      <w:r>
                        <w:rPr>
                          <w:sz w:val="18"/>
                        </w:rPr>
                        <w:t xml:space="preserve"> (see section 114 of the Act).</w:t>
                      </w:r>
                    </w:p>
                    <w:p w14:paraId="28B1EB60" w14:textId="77777777" w:rsidR="007D4B3A" w:rsidRDefault="007D4B3A" w:rsidP="00052799">
                      <w:pPr>
                        <w:pStyle w:val="BodyText"/>
                        <w:ind w:left="0"/>
                      </w:pPr>
                      <w:r>
                        <w:rPr>
                          <w:sz w:val="18"/>
                        </w:rPr>
                        <w:t xml:space="preserve">For the purposes of calculations (e.g. revenue calculations), data has been used at the most granular level available, and at a more granular level than is presented throughout this RIS. </w:t>
                      </w:r>
                    </w:p>
                  </w:txbxContent>
                </v:textbox>
                <w10:anchorlock/>
              </v:roundrect>
            </w:pict>
          </mc:Fallback>
        </mc:AlternateContent>
      </w:r>
      <w:r w:rsidRPr="00610D49">
        <w:t xml:space="preserve"> </w:t>
      </w:r>
      <w:r>
        <w:t xml:space="preserve">  </w:t>
      </w:r>
      <w:r w:rsidR="001C7D77" w:rsidRPr="00610D49">
        <w:t xml:space="preserve">Table </w:t>
      </w:r>
      <w:r w:rsidR="001C7D77">
        <w:rPr>
          <w:noProof/>
        </w:rPr>
        <w:t>6</w:t>
      </w:r>
      <w:r>
        <w:t xml:space="preserve"> </w:t>
      </w:r>
      <w:r w:rsidRPr="00610D49">
        <w:t>outlines the various categories of firearm regulated by the Act, along with the number of licences and permits to acquire that were issued for that category of firearm in FY 2016/17. The contents of each category are set by the Act.</w:t>
      </w:r>
      <w:r>
        <w:t xml:space="preserve"> In considering the data below, it is important to understand that a ‘licence’ is granted to a person</w:t>
      </w:r>
      <w:r w:rsidR="0035770A">
        <w:t xml:space="preserve"> (individual or body corporate)</w:t>
      </w:r>
      <w:r>
        <w:t xml:space="preserve">, whereas a ‘permit to acquire’ relates to each time a licensed person was allowed to acquire a firearm. In practice, this means that a single licensed person can </w:t>
      </w:r>
      <w:r w:rsidR="0035770A">
        <w:t xml:space="preserve">generate </w:t>
      </w:r>
      <w:r>
        <w:t xml:space="preserve">many permits to acquire (for each firearm they </w:t>
      </w:r>
      <w:r w:rsidR="0035770A">
        <w:t>acquire</w:t>
      </w:r>
      <w:r>
        <w:t>).</w:t>
      </w:r>
    </w:p>
    <w:p w14:paraId="1F98B665" w14:textId="4E94AC66" w:rsidR="00052799" w:rsidRPr="00610D49" w:rsidRDefault="00052799" w:rsidP="007727EA">
      <w:pPr>
        <w:pStyle w:val="Caption"/>
        <w:keepNext/>
      </w:pPr>
      <w:bookmarkStart w:id="68" w:name="_Ref500406944"/>
      <w:r w:rsidRPr="00610D49">
        <w:t xml:space="preserve">Table </w:t>
      </w:r>
      <w:r w:rsidR="001C7D77">
        <w:rPr>
          <w:noProof/>
        </w:rPr>
        <w:t>6</w:t>
      </w:r>
      <w:bookmarkEnd w:id="68"/>
      <w:r w:rsidRPr="00610D49">
        <w:t>: Firearm categories under the Act</w:t>
      </w:r>
    </w:p>
    <w:tbl>
      <w:tblPr>
        <w:tblW w:w="9320" w:type="dxa"/>
        <w:tblInd w:w="817" w:type="dxa"/>
        <w:tblBorders>
          <w:insideH w:val="single" w:sz="4" w:space="0" w:color="auto"/>
        </w:tblBorders>
        <w:tblLook w:val="04A0" w:firstRow="1" w:lastRow="0" w:firstColumn="1" w:lastColumn="0" w:noHBand="0" w:noVBand="1"/>
        <w:tblCaption w:val="Table 6: Firearm categories under the Act"/>
      </w:tblPr>
      <w:tblGrid>
        <w:gridCol w:w="1559"/>
        <w:gridCol w:w="4111"/>
        <w:gridCol w:w="1843"/>
        <w:gridCol w:w="1807"/>
      </w:tblGrid>
      <w:tr w:rsidR="00052799" w:rsidRPr="00610D49" w14:paraId="272B8DA1" w14:textId="77777777" w:rsidTr="00871631">
        <w:trPr>
          <w:trHeight w:val="833"/>
          <w:tblHeader/>
        </w:trPr>
        <w:tc>
          <w:tcPr>
            <w:tcW w:w="1559" w:type="dxa"/>
            <w:shd w:val="clear" w:color="auto" w:fill="002060"/>
          </w:tcPr>
          <w:p w14:paraId="4099F4C4" w14:textId="77777777" w:rsidR="00052799" w:rsidRPr="00693D92" w:rsidRDefault="00052799" w:rsidP="004B487D">
            <w:pPr>
              <w:keepNext/>
              <w:rPr>
                <w:rFonts w:eastAsia="Calibri"/>
                <w:b/>
                <w:bCs/>
                <w:color w:val="FFFFFF"/>
                <w:sz w:val="18"/>
                <w:szCs w:val="18"/>
              </w:rPr>
            </w:pPr>
            <w:r w:rsidRPr="00693D92">
              <w:rPr>
                <w:rFonts w:eastAsia="Calibri"/>
                <w:b/>
                <w:bCs/>
                <w:color w:val="FFFFFF"/>
                <w:sz w:val="18"/>
                <w:szCs w:val="18"/>
              </w:rPr>
              <w:t>Category</w:t>
            </w:r>
          </w:p>
        </w:tc>
        <w:tc>
          <w:tcPr>
            <w:tcW w:w="4111" w:type="dxa"/>
            <w:shd w:val="clear" w:color="auto" w:fill="002060"/>
          </w:tcPr>
          <w:p w14:paraId="6D4FE642" w14:textId="77777777" w:rsidR="00052799" w:rsidRPr="00693D92" w:rsidRDefault="00052799" w:rsidP="004B487D">
            <w:pPr>
              <w:keepNext/>
              <w:rPr>
                <w:rFonts w:eastAsia="Calibri"/>
                <w:b/>
                <w:bCs/>
                <w:color w:val="FFFFFF"/>
                <w:sz w:val="18"/>
                <w:szCs w:val="18"/>
              </w:rPr>
            </w:pPr>
            <w:r w:rsidRPr="00693D92">
              <w:rPr>
                <w:rFonts w:eastAsia="Calibri"/>
                <w:b/>
                <w:bCs/>
                <w:color w:val="FFFFFF"/>
                <w:sz w:val="18"/>
                <w:szCs w:val="18"/>
              </w:rPr>
              <w:t>Included Firearms</w:t>
            </w:r>
          </w:p>
        </w:tc>
        <w:tc>
          <w:tcPr>
            <w:tcW w:w="1843" w:type="dxa"/>
            <w:shd w:val="clear" w:color="auto" w:fill="002060"/>
          </w:tcPr>
          <w:p w14:paraId="2D4150C3" w14:textId="77777777" w:rsidR="00052799" w:rsidRPr="00693D92" w:rsidRDefault="00052799" w:rsidP="004B487D">
            <w:pPr>
              <w:keepNext/>
              <w:rPr>
                <w:rFonts w:eastAsia="Calibri"/>
                <w:b/>
                <w:bCs/>
                <w:color w:val="FFFFFF"/>
                <w:sz w:val="18"/>
                <w:szCs w:val="18"/>
              </w:rPr>
            </w:pPr>
            <w:r w:rsidRPr="00693D92">
              <w:rPr>
                <w:rFonts w:eastAsia="Calibri"/>
                <w:b/>
                <w:bCs/>
                <w:color w:val="FFFFFF"/>
                <w:sz w:val="18"/>
                <w:szCs w:val="18"/>
              </w:rPr>
              <w:t>No. of licences issued FY 2016/17 (excluding bodies corporate)</w:t>
            </w:r>
          </w:p>
        </w:tc>
        <w:tc>
          <w:tcPr>
            <w:tcW w:w="1807" w:type="dxa"/>
            <w:shd w:val="clear" w:color="auto" w:fill="002060"/>
          </w:tcPr>
          <w:p w14:paraId="3DC41A23" w14:textId="77777777" w:rsidR="00052799" w:rsidRPr="00693D92" w:rsidRDefault="00052799" w:rsidP="004B487D">
            <w:pPr>
              <w:keepNext/>
              <w:rPr>
                <w:rFonts w:eastAsia="Calibri"/>
                <w:b/>
                <w:bCs/>
                <w:color w:val="FFFFFF"/>
                <w:sz w:val="18"/>
                <w:szCs w:val="18"/>
              </w:rPr>
            </w:pPr>
            <w:r w:rsidRPr="00693D92">
              <w:rPr>
                <w:rFonts w:eastAsia="Calibri"/>
                <w:b/>
                <w:bCs/>
                <w:color w:val="FFFFFF"/>
                <w:sz w:val="18"/>
                <w:szCs w:val="18"/>
              </w:rPr>
              <w:t>Permits to acquire issued FY 2016/17</w:t>
            </w:r>
          </w:p>
        </w:tc>
      </w:tr>
      <w:tr w:rsidR="00052799" w:rsidRPr="00610D49" w14:paraId="30CD7398" w14:textId="77777777" w:rsidTr="00871631">
        <w:trPr>
          <w:trHeight w:val="531"/>
        </w:trPr>
        <w:tc>
          <w:tcPr>
            <w:tcW w:w="1559" w:type="dxa"/>
            <w:shd w:val="clear" w:color="auto" w:fill="auto"/>
          </w:tcPr>
          <w:p w14:paraId="4CE515F4" w14:textId="77777777" w:rsidR="00052799" w:rsidRPr="00693D92" w:rsidRDefault="00052799" w:rsidP="004B487D">
            <w:pPr>
              <w:keepNext/>
              <w:rPr>
                <w:rFonts w:eastAsia="Calibri"/>
                <w:b/>
                <w:bCs/>
                <w:sz w:val="18"/>
                <w:szCs w:val="18"/>
              </w:rPr>
            </w:pPr>
            <w:r w:rsidRPr="00693D92">
              <w:rPr>
                <w:rFonts w:eastAsia="Calibri"/>
                <w:b/>
                <w:bCs/>
                <w:sz w:val="18"/>
                <w:szCs w:val="18"/>
              </w:rPr>
              <w:t>Category A Longarm</w:t>
            </w:r>
          </w:p>
        </w:tc>
        <w:tc>
          <w:tcPr>
            <w:tcW w:w="4111" w:type="dxa"/>
            <w:shd w:val="clear" w:color="auto" w:fill="auto"/>
          </w:tcPr>
          <w:p w14:paraId="0B8821E3" w14:textId="77777777" w:rsidR="00052799" w:rsidRPr="00693D92" w:rsidRDefault="00052799" w:rsidP="004B487D">
            <w:pPr>
              <w:keepNext/>
              <w:numPr>
                <w:ilvl w:val="0"/>
                <w:numId w:val="43"/>
              </w:numPr>
              <w:tabs>
                <w:tab w:val="clear" w:pos="340"/>
                <w:tab w:val="num" w:pos="176"/>
              </w:tabs>
              <w:ind w:left="176" w:hanging="176"/>
              <w:rPr>
                <w:rFonts w:eastAsia="Calibri"/>
                <w:sz w:val="18"/>
                <w:szCs w:val="18"/>
              </w:rPr>
            </w:pPr>
            <w:r w:rsidRPr="00693D92">
              <w:rPr>
                <w:sz w:val="18"/>
                <w:szCs w:val="18"/>
              </w:rPr>
              <w:t xml:space="preserve">an airgun </w:t>
            </w:r>
          </w:p>
          <w:p w14:paraId="0088B8B1" w14:textId="77777777" w:rsidR="00052799" w:rsidRPr="00693D92" w:rsidRDefault="00052799" w:rsidP="004B487D">
            <w:pPr>
              <w:keepNext/>
              <w:numPr>
                <w:ilvl w:val="0"/>
                <w:numId w:val="43"/>
              </w:numPr>
              <w:tabs>
                <w:tab w:val="clear" w:pos="340"/>
                <w:tab w:val="num" w:pos="176"/>
              </w:tabs>
              <w:ind w:left="176" w:hanging="176"/>
              <w:rPr>
                <w:rFonts w:eastAsia="Calibri"/>
                <w:sz w:val="18"/>
                <w:szCs w:val="18"/>
              </w:rPr>
            </w:pPr>
            <w:r w:rsidRPr="00693D92">
              <w:rPr>
                <w:sz w:val="18"/>
                <w:szCs w:val="18"/>
              </w:rPr>
              <w:t xml:space="preserve">a rimfire rifle (other than a semi-automatic rimfire rifle) </w:t>
            </w:r>
          </w:p>
          <w:p w14:paraId="18220CC2" w14:textId="77777777" w:rsidR="00052799" w:rsidRPr="00693D92" w:rsidRDefault="00052799" w:rsidP="004B487D">
            <w:pPr>
              <w:keepNext/>
              <w:numPr>
                <w:ilvl w:val="0"/>
                <w:numId w:val="43"/>
              </w:numPr>
              <w:tabs>
                <w:tab w:val="clear" w:pos="340"/>
                <w:tab w:val="num" w:pos="176"/>
              </w:tabs>
              <w:ind w:left="176" w:hanging="176"/>
              <w:rPr>
                <w:rFonts w:eastAsia="Calibri"/>
                <w:sz w:val="18"/>
                <w:szCs w:val="18"/>
              </w:rPr>
            </w:pPr>
            <w:r w:rsidRPr="00693D92">
              <w:rPr>
                <w:sz w:val="18"/>
                <w:szCs w:val="18"/>
              </w:rPr>
              <w:t>a shotgun (other than a pump action or semi-automatic shotgun)</w:t>
            </w:r>
          </w:p>
          <w:p w14:paraId="6D5039A1" w14:textId="77777777" w:rsidR="00052799" w:rsidRPr="00693D92" w:rsidRDefault="00052799" w:rsidP="004B487D">
            <w:pPr>
              <w:keepNext/>
              <w:numPr>
                <w:ilvl w:val="0"/>
                <w:numId w:val="43"/>
              </w:numPr>
              <w:tabs>
                <w:tab w:val="clear" w:pos="340"/>
                <w:tab w:val="num" w:pos="176"/>
              </w:tabs>
              <w:ind w:left="176" w:hanging="176"/>
              <w:rPr>
                <w:rFonts w:eastAsia="Calibri"/>
                <w:sz w:val="18"/>
                <w:szCs w:val="18"/>
              </w:rPr>
            </w:pPr>
            <w:r w:rsidRPr="00693D92">
              <w:rPr>
                <w:sz w:val="18"/>
                <w:szCs w:val="18"/>
              </w:rPr>
              <w:t>any combination of a shotgun and rimfire rifle</w:t>
            </w:r>
          </w:p>
        </w:tc>
        <w:tc>
          <w:tcPr>
            <w:tcW w:w="1843" w:type="dxa"/>
            <w:vMerge w:val="restart"/>
            <w:shd w:val="clear" w:color="auto" w:fill="auto"/>
            <w:vAlign w:val="center"/>
          </w:tcPr>
          <w:p w14:paraId="39BFC1F3" w14:textId="66549ACB" w:rsidR="00052799" w:rsidRPr="00693D92" w:rsidRDefault="00052799" w:rsidP="004B487D">
            <w:pPr>
              <w:keepNext/>
              <w:jc w:val="center"/>
              <w:rPr>
                <w:rFonts w:eastAsia="Calibri"/>
                <w:sz w:val="18"/>
                <w:szCs w:val="18"/>
              </w:rPr>
            </w:pPr>
            <w:r w:rsidRPr="00693D92">
              <w:rPr>
                <w:rFonts w:eastAsia="Calibri"/>
                <w:sz w:val="18"/>
                <w:szCs w:val="18"/>
              </w:rPr>
              <w:t>Less than 45,000 (5</w:t>
            </w:r>
            <w:r w:rsidR="0035770A">
              <w:rPr>
                <w:rFonts w:eastAsia="Calibri"/>
                <w:sz w:val="18"/>
                <w:szCs w:val="18"/>
              </w:rPr>
              <w:t> </w:t>
            </w:r>
            <w:r w:rsidRPr="00693D92">
              <w:rPr>
                <w:rFonts w:eastAsia="Calibri"/>
                <w:sz w:val="18"/>
                <w:szCs w:val="18"/>
              </w:rPr>
              <w:t>year duration)</w:t>
            </w:r>
            <w:r w:rsidRPr="00693D92">
              <w:rPr>
                <w:rStyle w:val="FootnoteReference"/>
                <w:rFonts w:eastAsia="Calibri"/>
                <w:sz w:val="18"/>
                <w:szCs w:val="18"/>
              </w:rPr>
              <w:footnoteReference w:id="11"/>
            </w:r>
          </w:p>
        </w:tc>
        <w:tc>
          <w:tcPr>
            <w:tcW w:w="1807" w:type="dxa"/>
            <w:vMerge w:val="restart"/>
            <w:vAlign w:val="center"/>
          </w:tcPr>
          <w:p w14:paraId="0C804B17" w14:textId="77777777" w:rsidR="00052799" w:rsidRPr="00693D92" w:rsidRDefault="00052799" w:rsidP="004B487D">
            <w:pPr>
              <w:keepNext/>
              <w:jc w:val="center"/>
              <w:rPr>
                <w:rFonts w:eastAsia="Calibri"/>
                <w:b/>
                <w:sz w:val="18"/>
                <w:szCs w:val="18"/>
              </w:rPr>
            </w:pPr>
            <w:r w:rsidRPr="00693D92">
              <w:rPr>
                <w:rFonts w:eastAsia="Calibri"/>
                <w:sz w:val="18"/>
                <w:szCs w:val="18"/>
              </w:rPr>
              <w:t>Less than 70,000</w:t>
            </w:r>
          </w:p>
        </w:tc>
      </w:tr>
      <w:tr w:rsidR="00052799" w:rsidRPr="00610D49" w14:paraId="04D4BC8F" w14:textId="77777777" w:rsidTr="00871631">
        <w:trPr>
          <w:trHeight w:val="531"/>
        </w:trPr>
        <w:tc>
          <w:tcPr>
            <w:tcW w:w="1559" w:type="dxa"/>
            <w:shd w:val="clear" w:color="auto" w:fill="auto"/>
          </w:tcPr>
          <w:p w14:paraId="54D85793" w14:textId="77777777" w:rsidR="00052799" w:rsidRPr="00693D92" w:rsidRDefault="00052799" w:rsidP="00871631">
            <w:pPr>
              <w:rPr>
                <w:rFonts w:eastAsia="Calibri"/>
                <w:b/>
                <w:bCs/>
                <w:sz w:val="18"/>
                <w:szCs w:val="18"/>
              </w:rPr>
            </w:pPr>
            <w:r w:rsidRPr="00693D92">
              <w:rPr>
                <w:rFonts w:eastAsia="Calibri"/>
                <w:b/>
                <w:bCs/>
                <w:sz w:val="18"/>
                <w:szCs w:val="18"/>
              </w:rPr>
              <w:t>Category B Longarm</w:t>
            </w:r>
          </w:p>
        </w:tc>
        <w:tc>
          <w:tcPr>
            <w:tcW w:w="4111" w:type="dxa"/>
            <w:shd w:val="clear" w:color="auto" w:fill="auto"/>
          </w:tcPr>
          <w:p w14:paraId="0AA47594"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 muzzle loading firearm</w:t>
            </w:r>
          </w:p>
          <w:p w14:paraId="623F53B4"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 centre fire rifle (other than an automatic or a semi-automatic centre fire rifle)</w:t>
            </w:r>
          </w:p>
          <w:p w14:paraId="327B0F49"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any combination of a shotgun and centre fire rifle</w:t>
            </w:r>
          </w:p>
          <w:p w14:paraId="360636C4"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 black powder, ball firing cannon</w:t>
            </w:r>
          </w:p>
        </w:tc>
        <w:tc>
          <w:tcPr>
            <w:tcW w:w="1843" w:type="dxa"/>
            <w:vMerge/>
            <w:shd w:val="clear" w:color="auto" w:fill="auto"/>
            <w:vAlign w:val="center"/>
          </w:tcPr>
          <w:p w14:paraId="276FCF7A" w14:textId="77777777" w:rsidR="00052799" w:rsidRPr="00693D92" w:rsidRDefault="00052799" w:rsidP="00871631">
            <w:pPr>
              <w:jc w:val="center"/>
              <w:rPr>
                <w:rFonts w:eastAsia="Calibri"/>
                <w:sz w:val="18"/>
                <w:szCs w:val="18"/>
              </w:rPr>
            </w:pPr>
          </w:p>
        </w:tc>
        <w:tc>
          <w:tcPr>
            <w:tcW w:w="1807" w:type="dxa"/>
            <w:vMerge/>
            <w:vAlign w:val="center"/>
          </w:tcPr>
          <w:p w14:paraId="07773FBC" w14:textId="77777777" w:rsidR="00052799" w:rsidRPr="00693D92" w:rsidRDefault="00052799" w:rsidP="00871631">
            <w:pPr>
              <w:jc w:val="center"/>
              <w:rPr>
                <w:rFonts w:eastAsia="Calibri"/>
                <w:b/>
                <w:sz w:val="18"/>
                <w:szCs w:val="18"/>
              </w:rPr>
            </w:pPr>
          </w:p>
        </w:tc>
      </w:tr>
      <w:tr w:rsidR="00052799" w:rsidRPr="00610D49" w14:paraId="57B4578A" w14:textId="77777777" w:rsidTr="00871631">
        <w:trPr>
          <w:trHeight w:val="286"/>
        </w:trPr>
        <w:tc>
          <w:tcPr>
            <w:tcW w:w="1559" w:type="dxa"/>
            <w:shd w:val="clear" w:color="auto" w:fill="auto"/>
          </w:tcPr>
          <w:p w14:paraId="70526255" w14:textId="77777777" w:rsidR="00052799" w:rsidRPr="00693D92" w:rsidRDefault="00052799" w:rsidP="00871631">
            <w:pPr>
              <w:rPr>
                <w:rFonts w:eastAsia="Calibri"/>
                <w:b/>
                <w:bCs/>
                <w:sz w:val="18"/>
                <w:szCs w:val="18"/>
              </w:rPr>
            </w:pPr>
            <w:r w:rsidRPr="00693D92">
              <w:rPr>
                <w:rFonts w:eastAsia="Calibri"/>
                <w:b/>
                <w:bCs/>
                <w:sz w:val="18"/>
                <w:szCs w:val="18"/>
              </w:rPr>
              <w:t>Category C Longarm</w:t>
            </w:r>
          </w:p>
        </w:tc>
        <w:tc>
          <w:tcPr>
            <w:tcW w:w="4111" w:type="dxa"/>
            <w:shd w:val="clear" w:color="auto" w:fill="auto"/>
          </w:tcPr>
          <w:p w14:paraId="23935369"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 semi-automatic rimfire rifle with a magazine capacity of no more than 10 rounds</w:t>
            </w:r>
          </w:p>
          <w:p w14:paraId="65F3B8C9"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 semi-automatic shotgun with a magazine capacity of no more than 5 rounds</w:t>
            </w:r>
          </w:p>
          <w:p w14:paraId="5204E876"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 pump action shotgun with a magazine capacity of no more than 5 rounds</w:t>
            </w:r>
          </w:p>
          <w:p w14:paraId="2156D0DC"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 tranquilliser gun</w:t>
            </w:r>
          </w:p>
        </w:tc>
        <w:tc>
          <w:tcPr>
            <w:tcW w:w="1843" w:type="dxa"/>
            <w:vMerge w:val="restart"/>
            <w:shd w:val="clear" w:color="auto" w:fill="auto"/>
            <w:vAlign w:val="center"/>
          </w:tcPr>
          <w:p w14:paraId="1A97412B" w14:textId="56C34B4A" w:rsidR="00052799" w:rsidRPr="00693D92" w:rsidRDefault="00052799" w:rsidP="00871631">
            <w:pPr>
              <w:jc w:val="center"/>
              <w:rPr>
                <w:sz w:val="18"/>
                <w:szCs w:val="18"/>
              </w:rPr>
            </w:pPr>
            <w:r w:rsidRPr="00693D92">
              <w:rPr>
                <w:rFonts w:eastAsia="Calibri"/>
                <w:sz w:val="18"/>
                <w:szCs w:val="18"/>
              </w:rPr>
              <w:t>Less than 2,500 (3</w:t>
            </w:r>
            <w:r w:rsidR="0035770A">
              <w:rPr>
                <w:rFonts w:eastAsia="Calibri"/>
                <w:sz w:val="18"/>
                <w:szCs w:val="18"/>
              </w:rPr>
              <w:t> </w:t>
            </w:r>
            <w:r w:rsidRPr="00693D92">
              <w:rPr>
                <w:rFonts w:eastAsia="Calibri"/>
                <w:sz w:val="18"/>
                <w:szCs w:val="18"/>
              </w:rPr>
              <w:t>year duration)</w:t>
            </w:r>
          </w:p>
        </w:tc>
        <w:tc>
          <w:tcPr>
            <w:tcW w:w="1807" w:type="dxa"/>
            <w:vMerge/>
          </w:tcPr>
          <w:p w14:paraId="37ABDFC5" w14:textId="77777777" w:rsidR="00052799" w:rsidRPr="00693D92" w:rsidRDefault="00052799" w:rsidP="00871631">
            <w:pPr>
              <w:jc w:val="center"/>
              <w:rPr>
                <w:rFonts w:eastAsia="Calibri"/>
                <w:sz w:val="18"/>
                <w:szCs w:val="18"/>
              </w:rPr>
            </w:pPr>
          </w:p>
        </w:tc>
      </w:tr>
      <w:tr w:rsidR="00052799" w:rsidRPr="00610D49" w14:paraId="0C84F562" w14:textId="77777777" w:rsidTr="00871631">
        <w:trPr>
          <w:trHeight w:val="531"/>
        </w:trPr>
        <w:tc>
          <w:tcPr>
            <w:tcW w:w="1559" w:type="dxa"/>
            <w:shd w:val="clear" w:color="auto" w:fill="auto"/>
          </w:tcPr>
          <w:p w14:paraId="3C8F3435" w14:textId="77777777" w:rsidR="00052799" w:rsidRPr="00693D92" w:rsidRDefault="00052799" w:rsidP="00871631">
            <w:pPr>
              <w:rPr>
                <w:rFonts w:eastAsia="Calibri"/>
                <w:b/>
                <w:bCs/>
                <w:sz w:val="18"/>
                <w:szCs w:val="18"/>
              </w:rPr>
            </w:pPr>
            <w:r w:rsidRPr="00693D92">
              <w:rPr>
                <w:rFonts w:eastAsia="Calibri"/>
                <w:b/>
                <w:bCs/>
                <w:sz w:val="18"/>
                <w:szCs w:val="18"/>
              </w:rPr>
              <w:t>Category D Longarm</w:t>
            </w:r>
          </w:p>
        </w:tc>
        <w:tc>
          <w:tcPr>
            <w:tcW w:w="4111" w:type="dxa"/>
            <w:shd w:val="clear" w:color="auto" w:fill="auto"/>
          </w:tcPr>
          <w:p w14:paraId="5CD29E62"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 semi-automatic rimfire rifle with a magazine capacity of more than 10 rounds</w:t>
            </w:r>
          </w:p>
          <w:p w14:paraId="1712FA3C"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 semi-automatic shotgun with a magazine capacity of more than 5 rounds</w:t>
            </w:r>
          </w:p>
          <w:p w14:paraId="4E168119"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 pump action shotgun with a magazine capacity of more than 5 rounds</w:t>
            </w:r>
          </w:p>
          <w:p w14:paraId="506389DA"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 xml:space="preserve">a semi-automatic centre fire rifle; </w:t>
            </w:r>
          </w:p>
          <w:p w14:paraId="15AC4E02"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any other firearm prescribed for the purposes of this category</w:t>
            </w:r>
          </w:p>
          <w:p w14:paraId="0E396617"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any other firearm that is declared under section 3A(1) to be a category D longarm</w:t>
            </w:r>
          </w:p>
          <w:p w14:paraId="4B0E3F25"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any other firearm that is declared under section 3B(1)(a) to be a category D longarm</w:t>
            </w:r>
          </w:p>
        </w:tc>
        <w:tc>
          <w:tcPr>
            <w:tcW w:w="1843" w:type="dxa"/>
            <w:vMerge/>
            <w:shd w:val="clear" w:color="auto" w:fill="auto"/>
            <w:vAlign w:val="center"/>
          </w:tcPr>
          <w:p w14:paraId="7C995085" w14:textId="77777777" w:rsidR="00052799" w:rsidRPr="00693D92" w:rsidRDefault="00052799" w:rsidP="00871631">
            <w:pPr>
              <w:pStyle w:val="ListParagraph"/>
              <w:ind w:left="340"/>
              <w:rPr>
                <w:sz w:val="18"/>
                <w:szCs w:val="18"/>
              </w:rPr>
            </w:pPr>
          </w:p>
        </w:tc>
        <w:tc>
          <w:tcPr>
            <w:tcW w:w="1807" w:type="dxa"/>
            <w:vMerge/>
            <w:vAlign w:val="center"/>
          </w:tcPr>
          <w:p w14:paraId="20B2F59B" w14:textId="77777777" w:rsidR="00052799" w:rsidRPr="00693D92" w:rsidRDefault="00052799" w:rsidP="00871631">
            <w:pPr>
              <w:jc w:val="center"/>
              <w:rPr>
                <w:rFonts w:eastAsia="Calibri"/>
                <w:sz w:val="18"/>
                <w:szCs w:val="18"/>
              </w:rPr>
            </w:pPr>
          </w:p>
        </w:tc>
      </w:tr>
      <w:tr w:rsidR="00052799" w:rsidRPr="00610D49" w14:paraId="5AF81C1F" w14:textId="77777777" w:rsidTr="00871631">
        <w:trPr>
          <w:trHeight w:val="531"/>
        </w:trPr>
        <w:tc>
          <w:tcPr>
            <w:tcW w:w="1559" w:type="dxa"/>
            <w:shd w:val="clear" w:color="auto" w:fill="auto"/>
          </w:tcPr>
          <w:p w14:paraId="63C65B4F" w14:textId="77777777" w:rsidR="00052799" w:rsidRPr="00693D92" w:rsidRDefault="00052799" w:rsidP="00871631">
            <w:pPr>
              <w:rPr>
                <w:rFonts w:eastAsia="Calibri"/>
                <w:b/>
                <w:bCs/>
                <w:sz w:val="18"/>
                <w:szCs w:val="18"/>
              </w:rPr>
            </w:pPr>
            <w:r w:rsidRPr="00693D92">
              <w:rPr>
                <w:rFonts w:eastAsia="Calibri"/>
                <w:b/>
                <w:bCs/>
                <w:sz w:val="18"/>
                <w:szCs w:val="18"/>
              </w:rPr>
              <w:t>Category E Longarm</w:t>
            </w:r>
          </w:p>
        </w:tc>
        <w:tc>
          <w:tcPr>
            <w:tcW w:w="4111" w:type="dxa"/>
            <w:shd w:val="clear" w:color="auto" w:fill="auto"/>
          </w:tcPr>
          <w:p w14:paraId="4BA9D411"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 xml:space="preserve">a machine gun that is a longarm </w:t>
            </w:r>
          </w:p>
          <w:p w14:paraId="4D397F5E"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 xml:space="preserve"> a tear gas gun or projector</w:t>
            </w:r>
          </w:p>
          <w:p w14:paraId="31D82845"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 shotgun or rifle with a length of less than 75 centimetres measured parallel to the barrel</w:t>
            </w:r>
          </w:p>
          <w:p w14:paraId="4C8DA0DA"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 mortar, bazooka, rocket propelled grenade or similar large calibre military firearm designed to fire an explosive or projectile or any other similar prescribed firearm</w:t>
            </w:r>
          </w:p>
          <w:p w14:paraId="7060B777"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 cannon which is not a black powder ball firing cannon</w:t>
            </w:r>
          </w:p>
          <w:p w14:paraId="496B3C21"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any other firearm prescribed for the purposes of this category</w:t>
            </w:r>
          </w:p>
          <w:p w14:paraId="31EE870B"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any other firearm that is declared under section 3A(1) to be a category E longarm</w:t>
            </w:r>
          </w:p>
          <w:p w14:paraId="26BF8EA9"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any other firearm that is declared under section 3B(1)(b) to be a category E longarm</w:t>
            </w:r>
          </w:p>
        </w:tc>
        <w:tc>
          <w:tcPr>
            <w:tcW w:w="1843" w:type="dxa"/>
            <w:vMerge/>
            <w:shd w:val="clear" w:color="auto" w:fill="auto"/>
            <w:vAlign w:val="center"/>
          </w:tcPr>
          <w:p w14:paraId="1DD09ED2" w14:textId="77777777" w:rsidR="00052799" w:rsidRPr="00693D92" w:rsidRDefault="00052799" w:rsidP="00871631">
            <w:pPr>
              <w:pStyle w:val="ListParagraph"/>
              <w:ind w:left="340"/>
              <w:rPr>
                <w:sz w:val="18"/>
                <w:szCs w:val="18"/>
              </w:rPr>
            </w:pPr>
          </w:p>
        </w:tc>
        <w:tc>
          <w:tcPr>
            <w:tcW w:w="1807" w:type="dxa"/>
            <w:vMerge/>
            <w:vAlign w:val="center"/>
          </w:tcPr>
          <w:p w14:paraId="6769A552" w14:textId="77777777" w:rsidR="00052799" w:rsidRPr="00693D92" w:rsidRDefault="00052799" w:rsidP="00871631">
            <w:pPr>
              <w:jc w:val="center"/>
              <w:rPr>
                <w:rFonts w:eastAsia="Calibri"/>
                <w:sz w:val="18"/>
                <w:szCs w:val="18"/>
              </w:rPr>
            </w:pPr>
          </w:p>
        </w:tc>
      </w:tr>
      <w:tr w:rsidR="00052799" w:rsidRPr="00610D49" w14:paraId="171B9EFD" w14:textId="77777777" w:rsidTr="00871631">
        <w:trPr>
          <w:trHeight w:val="531"/>
        </w:trPr>
        <w:tc>
          <w:tcPr>
            <w:tcW w:w="1559" w:type="dxa"/>
            <w:shd w:val="clear" w:color="auto" w:fill="auto"/>
          </w:tcPr>
          <w:p w14:paraId="7B5BA939" w14:textId="77777777" w:rsidR="00052799" w:rsidRPr="00693D92" w:rsidRDefault="00052799" w:rsidP="00871631">
            <w:pPr>
              <w:rPr>
                <w:rFonts w:eastAsia="Calibri"/>
                <w:b/>
                <w:bCs/>
                <w:sz w:val="18"/>
                <w:szCs w:val="18"/>
              </w:rPr>
            </w:pPr>
            <w:r w:rsidRPr="00693D92">
              <w:rPr>
                <w:rFonts w:eastAsia="Calibri"/>
                <w:b/>
                <w:bCs/>
                <w:sz w:val="18"/>
                <w:szCs w:val="18"/>
              </w:rPr>
              <w:t>General Category Handgun</w:t>
            </w:r>
          </w:p>
        </w:tc>
        <w:tc>
          <w:tcPr>
            <w:tcW w:w="4111" w:type="dxa"/>
            <w:shd w:val="clear" w:color="auto" w:fill="auto"/>
          </w:tcPr>
          <w:p w14:paraId="0677F95B"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 firearm that:</w:t>
            </w:r>
          </w:p>
          <w:p w14:paraId="43A5BF19" w14:textId="77777777" w:rsidR="00052799" w:rsidRPr="00693D92" w:rsidRDefault="00052799" w:rsidP="00052799">
            <w:pPr>
              <w:numPr>
                <w:ilvl w:val="0"/>
                <w:numId w:val="43"/>
              </w:numPr>
              <w:tabs>
                <w:tab w:val="clear" w:pos="340"/>
                <w:tab w:val="num" w:pos="176"/>
              </w:tabs>
              <w:ind w:left="352" w:hanging="176"/>
              <w:rPr>
                <w:sz w:val="18"/>
                <w:szCs w:val="18"/>
              </w:rPr>
            </w:pPr>
            <w:r w:rsidRPr="00693D92">
              <w:rPr>
                <w:sz w:val="18"/>
                <w:szCs w:val="18"/>
              </w:rPr>
              <w:t>is reasonably capable of being carried or concealed about the person, or</w:t>
            </w:r>
          </w:p>
          <w:p w14:paraId="48A0EDE9" w14:textId="77777777" w:rsidR="00052799" w:rsidRPr="00693D92" w:rsidRDefault="00052799" w:rsidP="00052799">
            <w:pPr>
              <w:numPr>
                <w:ilvl w:val="0"/>
                <w:numId w:val="43"/>
              </w:numPr>
              <w:tabs>
                <w:tab w:val="clear" w:pos="340"/>
                <w:tab w:val="num" w:pos="176"/>
              </w:tabs>
              <w:ind w:left="352" w:hanging="176"/>
              <w:rPr>
                <w:sz w:val="18"/>
                <w:szCs w:val="18"/>
              </w:rPr>
            </w:pPr>
            <w:r w:rsidRPr="00693D92">
              <w:rPr>
                <w:sz w:val="18"/>
                <w:szCs w:val="18"/>
              </w:rPr>
              <w:t>is reasonably capable of being raised and fired by one hand, or</w:t>
            </w:r>
          </w:p>
          <w:p w14:paraId="60D3D697" w14:textId="77777777" w:rsidR="00052799" w:rsidRPr="00693D92" w:rsidRDefault="00052799" w:rsidP="00052799">
            <w:pPr>
              <w:numPr>
                <w:ilvl w:val="0"/>
                <w:numId w:val="43"/>
              </w:numPr>
              <w:tabs>
                <w:tab w:val="clear" w:pos="340"/>
                <w:tab w:val="num" w:pos="176"/>
              </w:tabs>
              <w:ind w:left="352" w:hanging="176"/>
              <w:rPr>
                <w:sz w:val="18"/>
                <w:szCs w:val="18"/>
              </w:rPr>
            </w:pPr>
            <w:r w:rsidRPr="00693D92">
              <w:rPr>
                <w:sz w:val="18"/>
                <w:szCs w:val="18"/>
              </w:rPr>
              <w:t>does not exceed 65 centimetres in length measured parallel to the barrel,</w:t>
            </w:r>
          </w:p>
          <w:p w14:paraId="39DC3B9E"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and that is not a category E handgun</w:t>
            </w:r>
          </w:p>
        </w:tc>
        <w:tc>
          <w:tcPr>
            <w:tcW w:w="1843" w:type="dxa"/>
            <w:vMerge/>
            <w:shd w:val="clear" w:color="auto" w:fill="auto"/>
            <w:vAlign w:val="center"/>
          </w:tcPr>
          <w:p w14:paraId="50E7F14B" w14:textId="77777777" w:rsidR="00052799" w:rsidRPr="00693D92" w:rsidRDefault="00052799" w:rsidP="00871631">
            <w:pPr>
              <w:pStyle w:val="ListParagraph"/>
              <w:ind w:left="340"/>
              <w:rPr>
                <w:sz w:val="18"/>
                <w:szCs w:val="18"/>
              </w:rPr>
            </w:pPr>
          </w:p>
        </w:tc>
        <w:tc>
          <w:tcPr>
            <w:tcW w:w="1807" w:type="dxa"/>
            <w:vMerge/>
            <w:vAlign w:val="center"/>
          </w:tcPr>
          <w:p w14:paraId="6D209C5D" w14:textId="77777777" w:rsidR="00052799" w:rsidRPr="00693D92" w:rsidRDefault="00052799" w:rsidP="00871631">
            <w:pPr>
              <w:jc w:val="center"/>
              <w:rPr>
                <w:rFonts w:eastAsia="Calibri"/>
                <w:b/>
                <w:sz w:val="18"/>
                <w:szCs w:val="18"/>
              </w:rPr>
            </w:pPr>
          </w:p>
        </w:tc>
      </w:tr>
      <w:tr w:rsidR="00052799" w:rsidRPr="00610D49" w14:paraId="7D5ED13C" w14:textId="77777777" w:rsidTr="00871631">
        <w:trPr>
          <w:trHeight w:val="531"/>
        </w:trPr>
        <w:tc>
          <w:tcPr>
            <w:tcW w:w="1559" w:type="dxa"/>
            <w:shd w:val="clear" w:color="auto" w:fill="auto"/>
          </w:tcPr>
          <w:p w14:paraId="19AF057D" w14:textId="77777777" w:rsidR="00052799" w:rsidRPr="00693D92" w:rsidRDefault="00052799" w:rsidP="00871631">
            <w:pPr>
              <w:rPr>
                <w:rFonts w:eastAsia="Calibri"/>
                <w:b/>
                <w:bCs/>
                <w:sz w:val="18"/>
                <w:szCs w:val="18"/>
              </w:rPr>
            </w:pPr>
            <w:r w:rsidRPr="00693D92">
              <w:rPr>
                <w:rFonts w:eastAsia="Calibri"/>
                <w:b/>
                <w:bCs/>
                <w:sz w:val="18"/>
                <w:szCs w:val="18"/>
              </w:rPr>
              <w:t>Category E Handgun</w:t>
            </w:r>
          </w:p>
        </w:tc>
        <w:tc>
          <w:tcPr>
            <w:tcW w:w="4111" w:type="dxa"/>
            <w:shd w:val="clear" w:color="auto" w:fill="auto"/>
          </w:tcPr>
          <w:p w14:paraId="6A723B03"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 machine gun that is a handgun</w:t>
            </w:r>
          </w:p>
          <w:p w14:paraId="3B4EE18B"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any handgun prescribed for the purposes of this category</w:t>
            </w:r>
          </w:p>
          <w:p w14:paraId="5C2F6A36"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any other firearm that is declared under section 3A(1) to be a category E handgun</w:t>
            </w:r>
          </w:p>
        </w:tc>
        <w:tc>
          <w:tcPr>
            <w:tcW w:w="1843" w:type="dxa"/>
            <w:vMerge/>
            <w:shd w:val="clear" w:color="auto" w:fill="auto"/>
            <w:vAlign w:val="center"/>
          </w:tcPr>
          <w:p w14:paraId="220A75DB" w14:textId="77777777" w:rsidR="00052799" w:rsidRPr="00693D92" w:rsidRDefault="00052799" w:rsidP="00871631">
            <w:pPr>
              <w:pStyle w:val="ListParagraph"/>
              <w:ind w:left="340"/>
              <w:rPr>
                <w:sz w:val="18"/>
                <w:szCs w:val="18"/>
              </w:rPr>
            </w:pPr>
          </w:p>
        </w:tc>
        <w:tc>
          <w:tcPr>
            <w:tcW w:w="1807" w:type="dxa"/>
            <w:vMerge/>
            <w:vAlign w:val="center"/>
          </w:tcPr>
          <w:p w14:paraId="06581D0B" w14:textId="77777777" w:rsidR="00052799" w:rsidRPr="00693D92" w:rsidRDefault="00052799" w:rsidP="00871631">
            <w:pPr>
              <w:jc w:val="center"/>
              <w:rPr>
                <w:rFonts w:eastAsia="Calibri"/>
                <w:sz w:val="18"/>
                <w:szCs w:val="18"/>
              </w:rPr>
            </w:pPr>
          </w:p>
        </w:tc>
      </w:tr>
      <w:tr w:rsidR="00052799" w:rsidRPr="00610D49" w14:paraId="37E25E8B" w14:textId="77777777" w:rsidTr="00871631">
        <w:trPr>
          <w:trHeight w:val="531"/>
        </w:trPr>
        <w:tc>
          <w:tcPr>
            <w:tcW w:w="1559" w:type="dxa"/>
            <w:shd w:val="clear" w:color="auto" w:fill="auto"/>
          </w:tcPr>
          <w:p w14:paraId="398DEB60" w14:textId="77777777" w:rsidR="00052799" w:rsidRPr="00693D92" w:rsidRDefault="00052799" w:rsidP="00871631">
            <w:pPr>
              <w:rPr>
                <w:rFonts w:eastAsia="Calibri"/>
                <w:b/>
                <w:bCs/>
                <w:sz w:val="18"/>
                <w:szCs w:val="18"/>
              </w:rPr>
            </w:pPr>
            <w:r w:rsidRPr="00693D92">
              <w:rPr>
                <w:rFonts w:eastAsia="Calibri"/>
                <w:b/>
                <w:bCs/>
                <w:sz w:val="18"/>
                <w:szCs w:val="18"/>
              </w:rPr>
              <w:t>Paintball Marker</w:t>
            </w:r>
          </w:p>
        </w:tc>
        <w:tc>
          <w:tcPr>
            <w:tcW w:w="4111" w:type="dxa"/>
            <w:shd w:val="clear" w:color="auto" w:fill="auto"/>
          </w:tcPr>
          <w:p w14:paraId="148B9007" w14:textId="77777777" w:rsidR="00052799" w:rsidRPr="00693D92" w:rsidRDefault="00052799" w:rsidP="00052799">
            <w:pPr>
              <w:numPr>
                <w:ilvl w:val="0"/>
                <w:numId w:val="43"/>
              </w:numPr>
              <w:tabs>
                <w:tab w:val="clear" w:pos="340"/>
                <w:tab w:val="num" w:pos="176"/>
              </w:tabs>
              <w:ind w:left="176" w:hanging="176"/>
              <w:rPr>
                <w:sz w:val="18"/>
                <w:szCs w:val="18"/>
              </w:rPr>
            </w:pPr>
            <w:r w:rsidRPr="00693D92">
              <w:rPr>
                <w:sz w:val="18"/>
                <w:szCs w:val="18"/>
              </w:rPr>
              <w:t>a firearm that is designed to discharge a paintball</w:t>
            </w:r>
          </w:p>
        </w:tc>
        <w:tc>
          <w:tcPr>
            <w:tcW w:w="1843" w:type="dxa"/>
            <w:shd w:val="clear" w:color="auto" w:fill="auto"/>
            <w:vAlign w:val="center"/>
          </w:tcPr>
          <w:p w14:paraId="49212154" w14:textId="1D2C4527" w:rsidR="00052799" w:rsidRPr="00693D92" w:rsidRDefault="00052799" w:rsidP="00871631">
            <w:pPr>
              <w:jc w:val="center"/>
              <w:rPr>
                <w:rFonts w:eastAsia="Calibri"/>
                <w:sz w:val="18"/>
                <w:szCs w:val="18"/>
              </w:rPr>
            </w:pPr>
            <w:r w:rsidRPr="00693D92">
              <w:rPr>
                <w:rFonts w:eastAsia="Calibri"/>
                <w:sz w:val="18"/>
                <w:szCs w:val="18"/>
              </w:rPr>
              <w:t>Less than 200 (5</w:t>
            </w:r>
            <w:r w:rsidR="0035770A">
              <w:rPr>
                <w:rFonts w:eastAsia="Calibri"/>
                <w:sz w:val="18"/>
                <w:szCs w:val="18"/>
              </w:rPr>
              <w:t> </w:t>
            </w:r>
            <w:r w:rsidRPr="00693D92">
              <w:rPr>
                <w:rFonts w:eastAsia="Calibri"/>
                <w:sz w:val="18"/>
                <w:szCs w:val="18"/>
              </w:rPr>
              <w:t>year duration)</w:t>
            </w:r>
          </w:p>
        </w:tc>
        <w:tc>
          <w:tcPr>
            <w:tcW w:w="1807" w:type="dxa"/>
            <w:vAlign w:val="center"/>
          </w:tcPr>
          <w:p w14:paraId="1708639E" w14:textId="77777777" w:rsidR="00052799" w:rsidRPr="00693D92" w:rsidRDefault="00052799" w:rsidP="00871631">
            <w:pPr>
              <w:jc w:val="center"/>
              <w:rPr>
                <w:rFonts w:eastAsia="Calibri"/>
                <w:sz w:val="18"/>
                <w:szCs w:val="18"/>
              </w:rPr>
            </w:pPr>
            <w:r w:rsidRPr="00693D92">
              <w:rPr>
                <w:rFonts w:eastAsia="Calibri"/>
                <w:sz w:val="18"/>
                <w:szCs w:val="18"/>
              </w:rPr>
              <w:t>Less than 200</w:t>
            </w:r>
          </w:p>
        </w:tc>
      </w:tr>
    </w:tbl>
    <w:p w14:paraId="0251D28A" w14:textId="77777777" w:rsidR="00052799" w:rsidRPr="00610D49" w:rsidRDefault="00052799" w:rsidP="00052799">
      <w:pPr>
        <w:pStyle w:val="Tablenote"/>
      </w:pPr>
    </w:p>
    <w:p w14:paraId="1806BC05" w14:textId="77777777" w:rsidR="00052799" w:rsidRPr="00610D49" w:rsidRDefault="00052799" w:rsidP="00052799">
      <w:pPr>
        <w:pStyle w:val="BodyText"/>
      </w:pPr>
      <w:r w:rsidRPr="00610D49">
        <w:t>The Act applies to any item that falls within the definition of ‘firearm’. The definition has a number of exceptions, as a result of which certain devices are excluded from the operation of the Act. Some exempt devices are described in the Act, namely:</w:t>
      </w:r>
    </w:p>
    <w:p w14:paraId="5567D506" w14:textId="4665B8E4" w:rsidR="00052799" w:rsidRPr="00610D49" w:rsidRDefault="00052799" w:rsidP="00052799">
      <w:pPr>
        <w:pStyle w:val="BodyText"/>
        <w:numPr>
          <w:ilvl w:val="0"/>
          <w:numId w:val="78"/>
        </w:numPr>
        <w:tabs>
          <w:tab w:val="clear" w:pos="340"/>
          <w:tab w:val="num" w:pos="1780"/>
        </w:tabs>
        <w:ind w:left="1780"/>
      </w:pPr>
      <w:r w:rsidRPr="00610D49">
        <w:t>industrial tools powered by cartridges containing gunpowder or compressed air or other gases which are designed and intended for use for fixing fasteners or plugs or for similar purposes (e.g. nail guns)</w:t>
      </w:r>
    </w:p>
    <w:p w14:paraId="0B64236C" w14:textId="4772E6DB" w:rsidR="00052799" w:rsidRPr="00610D49" w:rsidRDefault="00052799" w:rsidP="00052799">
      <w:pPr>
        <w:pStyle w:val="BodyText"/>
        <w:numPr>
          <w:ilvl w:val="0"/>
          <w:numId w:val="78"/>
        </w:numPr>
        <w:tabs>
          <w:tab w:val="clear" w:pos="340"/>
          <w:tab w:val="num" w:pos="1780"/>
        </w:tabs>
        <w:ind w:left="1780"/>
      </w:pPr>
      <w:r w:rsidRPr="00610D49">
        <w:t>captive bolt humane killers</w:t>
      </w:r>
    </w:p>
    <w:p w14:paraId="1BAF8A5A" w14:textId="1E0F4C35" w:rsidR="00052799" w:rsidRPr="00610D49" w:rsidRDefault="00052799" w:rsidP="00052799">
      <w:pPr>
        <w:pStyle w:val="BodyText"/>
        <w:numPr>
          <w:ilvl w:val="0"/>
          <w:numId w:val="78"/>
        </w:numPr>
        <w:tabs>
          <w:tab w:val="clear" w:pos="340"/>
          <w:tab w:val="num" w:pos="1780"/>
        </w:tabs>
        <w:ind w:left="1780"/>
      </w:pPr>
      <w:r w:rsidRPr="00610D49">
        <w:t>spear guns designed for underwater use</w:t>
      </w:r>
      <w:r w:rsidRPr="00610D49">
        <w:rPr>
          <w:rStyle w:val="FootnoteReference"/>
        </w:rPr>
        <w:footnoteReference w:id="12"/>
      </w:r>
    </w:p>
    <w:p w14:paraId="385B674D" w14:textId="4BEB4F44" w:rsidR="00052799" w:rsidRPr="00610D49" w:rsidRDefault="00052799" w:rsidP="00052799">
      <w:pPr>
        <w:pStyle w:val="BodyText"/>
        <w:numPr>
          <w:ilvl w:val="0"/>
          <w:numId w:val="78"/>
        </w:numPr>
        <w:tabs>
          <w:tab w:val="clear" w:pos="340"/>
          <w:tab w:val="num" w:pos="1780"/>
        </w:tabs>
        <w:ind w:left="1780"/>
      </w:pPr>
      <w:r w:rsidRPr="00610D49">
        <w:t xml:space="preserve">a device, commonly known as a kiln gun or ringblaster, designed specifically for knocking out or down solid material in kilns, furnaces or cement silos </w:t>
      </w:r>
    </w:p>
    <w:p w14:paraId="2596CF30" w14:textId="1D4CBE85" w:rsidR="00052799" w:rsidRPr="00610D49" w:rsidRDefault="00052799" w:rsidP="00052799">
      <w:pPr>
        <w:pStyle w:val="BodyText"/>
        <w:numPr>
          <w:ilvl w:val="0"/>
          <w:numId w:val="78"/>
        </w:numPr>
        <w:tabs>
          <w:tab w:val="clear" w:pos="340"/>
          <w:tab w:val="num" w:pos="1780"/>
        </w:tabs>
        <w:ind w:left="1780"/>
      </w:pPr>
      <w:r w:rsidRPr="00610D49">
        <w:t>a device commonly known as a line thrower designed for establishing lines between structures or natural features and powered by compressed air to other compressed gases and used for rescue purposes, rescue training or rescue demonstration</w:t>
      </w:r>
      <w:r w:rsidR="0035770A">
        <w:t>,</w:t>
      </w:r>
      <w:r w:rsidRPr="00610D49">
        <w:t xml:space="preserve"> or</w:t>
      </w:r>
    </w:p>
    <w:p w14:paraId="25973297" w14:textId="77777777" w:rsidR="00052799" w:rsidRPr="00610D49" w:rsidRDefault="00052799" w:rsidP="00052799">
      <w:pPr>
        <w:pStyle w:val="BodyText"/>
        <w:numPr>
          <w:ilvl w:val="0"/>
          <w:numId w:val="78"/>
        </w:numPr>
        <w:tabs>
          <w:tab w:val="clear" w:pos="340"/>
          <w:tab w:val="num" w:pos="1780"/>
        </w:tabs>
        <w:ind w:left="1780"/>
      </w:pPr>
      <w:r w:rsidRPr="00610D49">
        <w:t>devices designed for the discharge of signal flares.</w:t>
      </w:r>
    </w:p>
    <w:p w14:paraId="347C8FA4" w14:textId="77777777" w:rsidR="00052799" w:rsidRPr="00610D49" w:rsidRDefault="00052799" w:rsidP="00052799">
      <w:pPr>
        <w:pStyle w:val="BodyText"/>
      </w:pPr>
      <w:r w:rsidRPr="00610D49">
        <w:t xml:space="preserve"> Other devices are exempted under the regulations, namely:</w:t>
      </w:r>
    </w:p>
    <w:p w14:paraId="299F56AE" w14:textId="2435AD7D" w:rsidR="00052799" w:rsidRPr="00610D49" w:rsidRDefault="00052799" w:rsidP="00052799">
      <w:pPr>
        <w:pStyle w:val="BodyText"/>
        <w:numPr>
          <w:ilvl w:val="0"/>
          <w:numId w:val="65"/>
        </w:numPr>
        <w:tabs>
          <w:tab w:val="clear" w:pos="340"/>
          <w:tab w:val="num" w:pos="1780"/>
        </w:tabs>
        <w:ind w:left="1780"/>
      </w:pPr>
      <w:r w:rsidRPr="00610D49">
        <w:t xml:space="preserve">certain military cannons or field guns that have been rendered inoperable or for which no ammunition is commercially available </w:t>
      </w:r>
    </w:p>
    <w:p w14:paraId="60CD0B5B" w14:textId="3A4D5E97" w:rsidR="00052799" w:rsidRPr="00610D49" w:rsidRDefault="00052799" w:rsidP="00052799">
      <w:pPr>
        <w:pStyle w:val="BodyText"/>
        <w:numPr>
          <w:ilvl w:val="0"/>
          <w:numId w:val="65"/>
        </w:numPr>
        <w:tabs>
          <w:tab w:val="clear" w:pos="340"/>
          <w:tab w:val="num" w:pos="1780"/>
        </w:tabs>
        <w:ind w:left="1780"/>
      </w:pPr>
      <w:r w:rsidRPr="00610D49">
        <w:t>cannon nets, designed to throw a net to catch animals</w:t>
      </w:r>
      <w:r w:rsidR="0035770A">
        <w:t>,</w:t>
      </w:r>
      <w:r w:rsidRPr="00610D49">
        <w:t xml:space="preserve"> and</w:t>
      </w:r>
    </w:p>
    <w:p w14:paraId="35397A1A" w14:textId="77777777" w:rsidR="00052799" w:rsidRPr="00610D49" w:rsidRDefault="00052799" w:rsidP="00052799">
      <w:pPr>
        <w:pStyle w:val="BodyText"/>
        <w:numPr>
          <w:ilvl w:val="0"/>
          <w:numId w:val="65"/>
        </w:numPr>
        <w:tabs>
          <w:tab w:val="clear" w:pos="340"/>
          <w:tab w:val="num" w:pos="1780"/>
        </w:tabs>
        <w:ind w:left="1780"/>
      </w:pPr>
      <w:r w:rsidRPr="00610D49">
        <w:t>certain devices used on radio-controlled model warships.</w:t>
      </w:r>
    </w:p>
    <w:p w14:paraId="790DFB54" w14:textId="385DE745" w:rsidR="00052799" w:rsidRPr="00610D49" w:rsidRDefault="00052799" w:rsidP="00052799">
      <w:pPr>
        <w:pStyle w:val="BodyText"/>
      </w:pPr>
      <w:r w:rsidRPr="00610D49">
        <w:t xml:space="preserve">A more detailed description of the existing exempt devices in the </w:t>
      </w:r>
      <w:r w:rsidR="0035770A">
        <w:t>R</w:t>
      </w:r>
      <w:r w:rsidRPr="00610D49">
        <w:t xml:space="preserve">regulations is contained in </w:t>
      </w:r>
      <w:r w:rsidR="001C7D77" w:rsidRPr="00610D49">
        <w:t xml:space="preserve">Table </w:t>
      </w:r>
      <w:r w:rsidR="001C7D77">
        <w:rPr>
          <w:noProof/>
        </w:rPr>
        <w:t>9</w:t>
      </w:r>
      <w:r w:rsidRPr="00610D49">
        <w:t>.</w:t>
      </w:r>
    </w:p>
    <w:p w14:paraId="286FB516" w14:textId="77777777" w:rsidR="00052799" w:rsidRPr="00610D49" w:rsidRDefault="00052799" w:rsidP="00052799">
      <w:pPr>
        <w:pStyle w:val="BodyText"/>
      </w:pPr>
      <w:r w:rsidRPr="00610D49">
        <w:t xml:space="preserve">These devices are not free of risk. However, they are substantially different from devices generally considered to be firearms – they have specific commercial or recreational uses, are not readily concealable, and are not designed to fire conventional cartridge ammunition. For these and other reasons, they are considered to pose a lower risk of harm and not to merit classification as firearms. </w:t>
      </w:r>
    </w:p>
    <w:p w14:paraId="6082D24D" w14:textId="77777777" w:rsidR="00052799" w:rsidRPr="00610D49" w:rsidRDefault="00052799" w:rsidP="00052799">
      <w:pPr>
        <w:pStyle w:val="Heading3"/>
      </w:pPr>
      <w:bookmarkStart w:id="69" w:name="_Toc500505464"/>
      <w:bookmarkStart w:id="70" w:name="_Toc501539159"/>
      <w:r>
        <w:t>Scope of the regulated firearms trade in Victoria</w:t>
      </w:r>
      <w:bookmarkEnd w:id="69"/>
      <w:bookmarkEnd w:id="70"/>
    </w:p>
    <w:p w14:paraId="15CAAE7D" w14:textId="5F973CD3" w:rsidR="00052799" w:rsidRPr="00610D49" w:rsidRDefault="00052799" w:rsidP="00052799">
      <w:pPr>
        <w:pStyle w:val="BodyText"/>
      </w:pPr>
      <w:r w:rsidRPr="00610D49">
        <w:t>As at 30 June 2017, there were 222,391 current Victorian firearm licences.</w:t>
      </w:r>
      <w:r w:rsidRPr="00610D49">
        <w:rPr>
          <w:rStyle w:val="FootnoteReference"/>
        </w:rPr>
        <w:footnoteReference w:id="13"/>
      </w:r>
      <w:r w:rsidRPr="00610D49">
        <w:t xml:space="preserve"> Of the current licence holders, </w:t>
      </w:r>
      <w:r>
        <w:t>between 80 and 90 per cent</w:t>
      </w:r>
      <w:r w:rsidRPr="00610D49">
        <w:t xml:space="preserve"> held either only a category B or only a category A longarm licence, with junior licence holders making up the third</w:t>
      </w:r>
      <w:r w:rsidR="0035770A">
        <w:t>-</w:t>
      </w:r>
      <w:r w:rsidRPr="00610D49">
        <w:t>largest single class of licence holders</w:t>
      </w:r>
      <w:r w:rsidR="0035770A">
        <w:t>,</w:t>
      </w:r>
      <w:r w:rsidRPr="00610D49">
        <w:t xml:space="preserve"> </w:t>
      </w:r>
      <w:r w:rsidR="0035770A">
        <w:t>at</w:t>
      </w:r>
      <w:r w:rsidR="0035770A" w:rsidRPr="00610D49">
        <w:t xml:space="preserve"> </w:t>
      </w:r>
      <w:r>
        <w:t>less than 7,000</w:t>
      </w:r>
      <w:r w:rsidRPr="00610D49">
        <w:t xml:space="preserve"> unique licensees.</w:t>
      </w:r>
      <w:r w:rsidRPr="00610D49">
        <w:rPr>
          <w:rStyle w:val="FootnoteReference"/>
        </w:rPr>
        <w:footnoteReference w:id="14"/>
      </w:r>
      <w:r w:rsidRPr="00610D49">
        <w:t xml:space="preserve"> </w:t>
      </w:r>
    </w:p>
    <w:p w14:paraId="1B94B513" w14:textId="77777777" w:rsidR="00052799" w:rsidRPr="00610D49" w:rsidRDefault="00052799" w:rsidP="00052799">
      <w:pPr>
        <w:pStyle w:val="BodyText"/>
      </w:pPr>
      <w:r w:rsidRPr="00610D49">
        <w:t xml:space="preserve">The regulated trade in firearms in Victoria is underpinned by licensed dealers who hold one of three classes of licence, each of which requires renewal every three years. These dealers serve an important interface role between Victoria Police and the </w:t>
      </w:r>
      <w:r>
        <w:t>licensed</w:t>
      </w:r>
      <w:r w:rsidRPr="00610D49">
        <w:t xml:space="preserve"> community. Licensed users who do not hold a dealer’s licence cannot acquire, dispose of, or transfer firearms without the participation of a dealer.  Dealers are involved in a firearms transaction either by acting as one of the parties to the transaction (e.g. sale of a new or used firearm to a customer), or as an agent facilitating activity transfer between two </w:t>
      </w:r>
      <w:r>
        <w:t>licensed</w:t>
      </w:r>
      <w:r w:rsidRPr="00610D49">
        <w:t xml:space="preserve"> users. Every transaction in which a dealer is involved, either as a party or an agent, must be recorded in that dealer’s register. In 2016/17, Victorian dealers recorded </w:t>
      </w:r>
      <w:r>
        <w:rPr>
          <w:b/>
        </w:rPr>
        <w:t xml:space="preserve">less than 150,000 </w:t>
      </w:r>
      <w:r w:rsidRPr="00610D49">
        <w:rPr>
          <w:b/>
        </w:rPr>
        <w:t xml:space="preserve">such transactions </w:t>
      </w:r>
      <w:r w:rsidRPr="00610D49">
        <w:t xml:space="preserve">according to data provided by Victoria Police. </w:t>
      </w:r>
    </w:p>
    <w:p w14:paraId="32F34E34" w14:textId="77777777" w:rsidR="00052799" w:rsidRDefault="00052799" w:rsidP="006D6CBE">
      <w:pPr>
        <w:pStyle w:val="BodyText"/>
        <w:spacing w:after="600"/>
      </w:pPr>
      <w:r w:rsidRPr="00610D49">
        <w:t xml:space="preserve">Dealer licences are issued in three classes: Class 1, Class 2 and Class 3. Classes 1 and 2 permit the holder to carry on the business of being a firearms dealer in relation to certain categories of firearms, including trading in and hiring firearms, selling ammunition, acting as agent, manufacturing and repairing firearms. The difference between Class 1 and Class 2 is that Class 1 dealers can deal in all categories of firearms, while Class 2 dealers are limited to specific categories. Class 3 permits only repair of firearms and/or sale of ammunition, across all classes of firearms. Each class attracts a different fee, reflecting the scope of activity it allows. </w:t>
      </w:r>
    </w:p>
    <w:p w14:paraId="609BF8B9" w14:textId="192DF276" w:rsidR="00052799" w:rsidRPr="00610D49" w:rsidRDefault="00052799" w:rsidP="009F677B">
      <w:pPr>
        <w:pStyle w:val="Caption"/>
        <w:keepNext/>
      </w:pPr>
      <w:r w:rsidRPr="00610D49">
        <w:t xml:space="preserve">Table </w:t>
      </w:r>
      <w:r w:rsidR="001C7D77">
        <w:rPr>
          <w:noProof/>
        </w:rPr>
        <w:t>7</w:t>
      </w:r>
      <w:r w:rsidRPr="00610D49">
        <w:t>: Dealer licence classes and number issued FY2016/17 and total population</w:t>
      </w:r>
    </w:p>
    <w:tbl>
      <w:tblPr>
        <w:tblW w:w="9099" w:type="dxa"/>
        <w:tblInd w:w="817" w:type="dxa"/>
        <w:tblBorders>
          <w:insideH w:val="single" w:sz="4" w:space="0" w:color="auto"/>
        </w:tblBorders>
        <w:tblLook w:val="04A0" w:firstRow="1" w:lastRow="0" w:firstColumn="1" w:lastColumn="0" w:noHBand="0" w:noVBand="1"/>
        <w:tblCaption w:val="Table 7: Dealer licence classes and number issued FY2016/17 and total population"/>
      </w:tblPr>
      <w:tblGrid>
        <w:gridCol w:w="1021"/>
        <w:gridCol w:w="3549"/>
        <w:gridCol w:w="2551"/>
        <w:gridCol w:w="1978"/>
      </w:tblGrid>
      <w:tr w:rsidR="00052799" w:rsidRPr="00610D49" w14:paraId="740F2634" w14:textId="77777777" w:rsidTr="00871631">
        <w:trPr>
          <w:trHeight w:val="796"/>
        </w:trPr>
        <w:tc>
          <w:tcPr>
            <w:tcW w:w="1021" w:type="dxa"/>
            <w:shd w:val="clear" w:color="auto" w:fill="002060"/>
            <w:vAlign w:val="bottom"/>
          </w:tcPr>
          <w:p w14:paraId="5AA1C2F2" w14:textId="77777777" w:rsidR="00052799" w:rsidRPr="00466551" w:rsidRDefault="00052799" w:rsidP="00871631">
            <w:pPr>
              <w:jc w:val="center"/>
              <w:rPr>
                <w:rFonts w:eastAsia="Calibri"/>
                <w:b/>
                <w:bCs/>
                <w:color w:val="FFFFFF"/>
                <w:sz w:val="18"/>
                <w:szCs w:val="18"/>
              </w:rPr>
            </w:pPr>
            <w:r w:rsidRPr="00466551">
              <w:rPr>
                <w:rFonts w:eastAsia="Calibri"/>
                <w:b/>
                <w:bCs/>
                <w:color w:val="FFFFFF"/>
                <w:sz w:val="18"/>
                <w:szCs w:val="18"/>
              </w:rPr>
              <w:t>Dealer Class</w:t>
            </w:r>
          </w:p>
        </w:tc>
        <w:tc>
          <w:tcPr>
            <w:tcW w:w="3549" w:type="dxa"/>
            <w:shd w:val="clear" w:color="auto" w:fill="002060"/>
            <w:vAlign w:val="bottom"/>
          </w:tcPr>
          <w:p w14:paraId="0AC0B3C8" w14:textId="77777777" w:rsidR="00052799" w:rsidRPr="00466551" w:rsidRDefault="00052799" w:rsidP="00871631">
            <w:pPr>
              <w:jc w:val="center"/>
              <w:rPr>
                <w:rFonts w:eastAsia="Calibri"/>
                <w:b/>
                <w:bCs/>
                <w:color w:val="FFFFFF"/>
                <w:sz w:val="18"/>
                <w:szCs w:val="18"/>
              </w:rPr>
            </w:pPr>
            <w:r w:rsidRPr="00466551">
              <w:rPr>
                <w:rFonts w:eastAsia="Calibri"/>
                <w:b/>
                <w:bCs/>
                <w:color w:val="FFFFFF"/>
                <w:sz w:val="18"/>
                <w:szCs w:val="18"/>
              </w:rPr>
              <w:t>Included firearms/services</w:t>
            </w:r>
          </w:p>
        </w:tc>
        <w:tc>
          <w:tcPr>
            <w:tcW w:w="2551" w:type="dxa"/>
            <w:shd w:val="clear" w:color="auto" w:fill="002060"/>
            <w:vAlign w:val="bottom"/>
          </w:tcPr>
          <w:p w14:paraId="1DBDA86B" w14:textId="77777777" w:rsidR="00052799" w:rsidRPr="00466551" w:rsidRDefault="00052799" w:rsidP="00871631">
            <w:pPr>
              <w:jc w:val="center"/>
              <w:rPr>
                <w:rFonts w:eastAsia="Calibri"/>
                <w:b/>
                <w:bCs/>
                <w:color w:val="FFFFFF"/>
                <w:sz w:val="18"/>
                <w:szCs w:val="18"/>
              </w:rPr>
            </w:pPr>
            <w:r w:rsidRPr="00466551">
              <w:rPr>
                <w:rFonts w:eastAsia="Calibri"/>
                <w:b/>
                <w:bCs/>
                <w:color w:val="FFFFFF"/>
                <w:sz w:val="18"/>
                <w:szCs w:val="18"/>
              </w:rPr>
              <w:t>No. of licences issued in FY 2016/17 (individual and bodies corporate)</w:t>
            </w:r>
          </w:p>
        </w:tc>
        <w:tc>
          <w:tcPr>
            <w:tcW w:w="1978" w:type="dxa"/>
            <w:shd w:val="clear" w:color="auto" w:fill="002060"/>
            <w:vAlign w:val="bottom"/>
          </w:tcPr>
          <w:p w14:paraId="0FF2E385" w14:textId="77777777" w:rsidR="00052799" w:rsidRPr="00466551" w:rsidRDefault="00052799" w:rsidP="00871631">
            <w:pPr>
              <w:jc w:val="center"/>
              <w:rPr>
                <w:rFonts w:eastAsia="Calibri"/>
                <w:b/>
                <w:bCs/>
                <w:color w:val="FFFFFF"/>
                <w:sz w:val="18"/>
                <w:szCs w:val="18"/>
              </w:rPr>
            </w:pPr>
            <w:r w:rsidRPr="00466551">
              <w:rPr>
                <w:rFonts w:eastAsia="Calibri"/>
                <w:b/>
                <w:bCs/>
                <w:color w:val="FFFFFF"/>
                <w:sz w:val="18"/>
                <w:szCs w:val="18"/>
              </w:rPr>
              <w:t>Total number of registered dealers as of 10 September 2017</w:t>
            </w:r>
          </w:p>
        </w:tc>
      </w:tr>
      <w:tr w:rsidR="00052799" w:rsidRPr="00610D49" w14:paraId="6D521564" w14:textId="77777777" w:rsidTr="00466551">
        <w:trPr>
          <w:trHeight w:val="507"/>
        </w:trPr>
        <w:tc>
          <w:tcPr>
            <w:tcW w:w="1021" w:type="dxa"/>
            <w:shd w:val="clear" w:color="auto" w:fill="auto"/>
            <w:vAlign w:val="center"/>
          </w:tcPr>
          <w:p w14:paraId="04397E46" w14:textId="77777777" w:rsidR="00052799" w:rsidRPr="00466551" w:rsidRDefault="00052799" w:rsidP="00871631">
            <w:pPr>
              <w:jc w:val="center"/>
              <w:rPr>
                <w:rFonts w:eastAsia="Calibri"/>
                <w:b/>
                <w:bCs/>
                <w:sz w:val="18"/>
                <w:szCs w:val="18"/>
              </w:rPr>
            </w:pPr>
            <w:r w:rsidRPr="00466551">
              <w:rPr>
                <w:rFonts w:eastAsia="Calibri"/>
                <w:b/>
                <w:bCs/>
                <w:sz w:val="18"/>
                <w:szCs w:val="18"/>
              </w:rPr>
              <w:t>Class 1</w:t>
            </w:r>
          </w:p>
        </w:tc>
        <w:tc>
          <w:tcPr>
            <w:tcW w:w="3549" w:type="dxa"/>
            <w:shd w:val="clear" w:color="auto" w:fill="auto"/>
            <w:vAlign w:val="center"/>
          </w:tcPr>
          <w:p w14:paraId="2CADEDC4" w14:textId="77777777" w:rsidR="00052799" w:rsidRPr="00466551" w:rsidRDefault="00052799" w:rsidP="00466551">
            <w:pPr>
              <w:spacing w:before="60" w:after="60"/>
              <w:jc w:val="center"/>
              <w:rPr>
                <w:rFonts w:eastAsia="Calibri"/>
                <w:b/>
                <w:sz w:val="18"/>
                <w:szCs w:val="18"/>
              </w:rPr>
            </w:pPr>
            <w:r w:rsidRPr="00466551">
              <w:rPr>
                <w:rFonts w:eastAsia="Calibri"/>
                <w:b/>
                <w:sz w:val="18"/>
                <w:szCs w:val="18"/>
              </w:rPr>
              <w:t>Category A,B, C, D, E longarms  general category handguns and category E handguns</w:t>
            </w:r>
          </w:p>
        </w:tc>
        <w:tc>
          <w:tcPr>
            <w:tcW w:w="2551" w:type="dxa"/>
            <w:shd w:val="clear" w:color="auto" w:fill="auto"/>
            <w:vAlign w:val="center"/>
          </w:tcPr>
          <w:p w14:paraId="278743BC" w14:textId="77777777" w:rsidR="00052799" w:rsidRPr="00466551" w:rsidRDefault="00052799" w:rsidP="00871631">
            <w:pPr>
              <w:jc w:val="center"/>
              <w:rPr>
                <w:rFonts w:eastAsia="Calibri"/>
                <w:sz w:val="18"/>
                <w:szCs w:val="18"/>
              </w:rPr>
            </w:pPr>
            <w:r w:rsidRPr="00466551">
              <w:rPr>
                <w:rFonts w:eastAsia="Calibri"/>
                <w:sz w:val="18"/>
                <w:szCs w:val="18"/>
              </w:rPr>
              <w:t>Over 50</w:t>
            </w:r>
          </w:p>
        </w:tc>
        <w:tc>
          <w:tcPr>
            <w:tcW w:w="1978" w:type="dxa"/>
            <w:vAlign w:val="center"/>
          </w:tcPr>
          <w:p w14:paraId="0B3E3A5F" w14:textId="77777777" w:rsidR="00052799" w:rsidRPr="00466551" w:rsidRDefault="00052799" w:rsidP="00871631">
            <w:pPr>
              <w:jc w:val="center"/>
              <w:rPr>
                <w:rFonts w:eastAsia="Calibri"/>
                <w:sz w:val="18"/>
                <w:szCs w:val="18"/>
              </w:rPr>
            </w:pPr>
            <w:r w:rsidRPr="00466551">
              <w:rPr>
                <w:rFonts w:eastAsia="Calibri"/>
                <w:sz w:val="18"/>
                <w:szCs w:val="18"/>
              </w:rPr>
              <w:t>Over 200</w:t>
            </w:r>
          </w:p>
        </w:tc>
      </w:tr>
      <w:tr w:rsidR="00052799" w:rsidRPr="00610D49" w14:paraId="272ED563" w14:textId="77777777" w:rsidTr="00466551">
        <w:trPr>
          <w:trHeight w:val="507"/>
        </w:trPr>
        <w:tc>
          <w:tcPr>
            <w:tcW w:w="1021" w:type="dxa"/>
            <w:shd w:val="clear" w:color="auto" w:fill="auto"/>
            <w:vAlign w:val="center"/>
          </w:tcPr>
          <w:p w14:paraId="010B9717" w14:textId="77777777" w:rsidR="00052799" w:rsidRPr="00466551" w:rsidRDefault="00052799" w:rsidP="00871631">
            <w:pPr>
              <w:jc w:val="center"/>
              <w:rPr>
                <w:rFonts w:eastAsia="Calibri"/>
                <w:b/>
                <w:bCs/>
                <w:sz w:val="18"/>
                <w:szCs w:val="18"/>
              </w:rPr>
            </w:pPr>
            <w:r w:rsidRPr="00466551">
              <w:rPr>
                <w:rFonts w:eastAsia="Calibri"/>
                <w:b/>
                <w:bCs/>
                <w:sz w:val="18"/>
                <w:szCs w:val="18"/>
              </w:rPr>
              <w:t>Class 2</w:t>
            </w:r>
          </w:p>
        </w:tc>
        <w:tc>
          <w:tcPr>
            <w:tcW w:w="3549" w:type="dxa"/>
            <w:shd w:val="clear" w:color="auto" w:fill="auto"/>
            <w:vAlign w:val="center"/>
          </w:tcPr>
          <w:p w14:paraId="34B00747" w14:textId="77777777" w:rsidR="00052799" w:rsidRPr="00466551" w:rsidRDefault="00052799" w:rsidP="00466551">
            <w:pPr>
              <w:spacing w:before="60" w:after="60"/>
              <w:jc w:val="center"/>
              <w:rPr>
                <w:rFonts w:eastAsia="Calibri"/>
                <w:b/>
                <w:sz w:val="18"/>
                <w:szCs w:val="18"/>
              </w:rPr>
            </w:pPr>
            <w:r w:rsidRPr="00466551">
              <w:rPr>
                <w:rFonts w:eastAsia="Calibri"/>
                <w:b/>
                <w:sz w:val="18"/>
                <w:szCs w:val="18"/>
              </w:rPr>
              <w:t>Category A, B longarms and general category handguns</w:t>
            </w:r>
          </w:p>
        </w:tc>
        <w:tc>
          <w:tcPr>
            <w:tcW w:w="2551" w:type="dxa"/>
            <w:shd w:val="clear" w:color="auto" w:fill="auto"/>
            <w:vAlign w:val="center"/>
          </w:tcPr>
          <w:p w14:paraId="6013F1EE" w14:textId="77777777" w:rsidR="00052799" w:rsidRPr="00466551" w:rsidRDefault="00052799" w:rsidP="00871631">
            <w:pPr>
              <w:jc w:val="center"/>
              <w:rPr>
                <w:rFonts w:eastAsia="Calibri"/>
                <w:sz w:val="18"/>
                <w:szCs w:val="18"/>
              </w:rPr>
            </w:pPr>
            <w:r w:rsidRPr="00466551">
              <w:rPr>
                <w:rFonts w:eastAsia="Calibri"/>
                <w:sz w:val="18"/>
                <w:szCs w:val="18"/>
              </w:rPr>
              <w:t>Over 10</w:t>
            </w:r>
          </w:p>
        </w:tc>
        <w:tc>
          <w:tcPr>
            <w:tcW w:w="1978" w:type="dxa"/>
            <w:vAlign w:val="center"/>
          </w:tcPr>
          <w:p w14:paraId="78351335" w14:textId="77777777" w:rsidR="00052799" w:rsidRPr="00466551" w:rsidRDefault="00052799" w:rsidP="00871631">
            <w:pPr>
              <w:jc w:val="center"/>
              <w:rPr>
                <w:rFonts w:eastAsia="Calibri"/>
                <w:sz w:val="18"/>
                <w:szCs w:val="18"/>
              </w:rPr>
            </w:pPr>
            <w:r w:rsidRPr="00466551">
              <w:rPr>
                <w:rFonts w:eastAsia="Calibri"/>
                <w:sz w:val="18"/>
                <w:szCs w:val="18"/>
              </w:rPr>
              <w:t>Less than 80</w:t>
            </w:r>
          </w:p>
        </w:tc>
      </w:tr>
      <w:tr w:rsidR="00052799" w:rsidRPr="00610D49" w14:paraId="54173CE5" w14:textId="77777777" w:rsidTr="00466551">
        <w:trPr>
          <w:trHeight w:val="507"/>
        </w:trPr>
        <w:tc>
          <w:tcPr>
            <w:tcW w:w="1021" w:type="dxa"/>
            <w:shd w:val="clear" w:color="auto" w:fill="auto"/>
            <w:vAlign w:val="center"/>
          </w:tcPr>
          <w:p w14:paraId="4ABCF7A1" w14:textId="77777777" w:rsidR="00052799" w:rsidRPr="00466551" w:rsidRDefault="00052799" w:rsidP="00871631">
            <w:pPr>
              <w:jc w:val="center"/>
              <w:rPr>
                <w:rFonts w:eastAsia="Calibri"/>
                <w:b/>
                <w:bCs/>
                <w:sz w:val="18"/>
                <w:szCs w:val="18"/>
              </w:rPr>
            </w:pPr>
            <w:r w:rsidRPr="00466551">
              <w:rPr>
                <w:rFonts w:eastAsia="Calibri"/>
                <w:b/>
                <w:bCs/>
                <w:sz w:val="18"/>
                <w:szCs w:val="18"/>
              </w:rPr>
              <w:t>Class 3</w:t>
            </w:r>
          </w:p>
        </w:tc>
        <w:tc>
          <w:tcPr>
            <w:tcW w:w="3549" w:type="dxa"/>
            <w:shd w:val="clear" w:color="auto" w:fill="auto"/>
            <w:vAlign w:val="center"/>
          </w:tcPr>
          <w:p w14:paraId="4E74ABF6" w14:textId="77777777" w:rsidR="00052799" w:rsidRPr="00466551" w:rsidRDefault="00052799" w:rsidP="00466551">
            <w:pPr>
              <w:spacing w:before="60" w:after="60"/>
              <w:jc w:val="center"/>
              <w:rPr>
                <w:rFonts w:eastAsia="Calibri"/>
                <w:b/>
                <w:sz w:val="18"/>
                <w:szCs w:val="18"/>
              </w:rPr>
            </w:pPr>
            <w:r w:rsidRPr="00466551">
              <w:rPr>
                <w:rFonts w:eastAsia="Calibri"/>
                <w:b/>
                <w:sz w:val="18"/>
                <w:szCs w:val="18"/>
              </w:rPr>
              <w:t>Repair of firearms, sale of ammunition, or both</w:t>
            </w:r>
          </w:p>
        </w:tc>
        <w:tc>
          <w:tcPr>
            <w:tcW w:w="2551" w:type="dxa"/>
            <w:shd w:val="clear" w:color="auto" w:fill="auto"/>
            <w:vAlign w:val="center"/>
          </w:tcPr>
          <w:p w14:paraId="6CF5D95A" w14:textId="77777777" w:rsidR="00052799" w:rsidRPr="00466551" w:rsidRDefault="00052799" w:rsidP="00871631">
            <w:pPr>
              <w:jc w:val="center"/>
              <w:rPr>
                <w:rFonts w:eastAsia="Calibri"/>
                <w:sz w:val="18"/>
                <w:szCs w:val="18"/>
              </w:rPr>
            </w:pPr>
            <w:r w:rsidRPr="00466551">
              <w:rPr>
                <w:rFonts w:eastAsia="Calibri"/>
                <w:sz w:val="18"/>
                <w:szCs w:val="18"/>
              </w:rPr>
              <w:t>Less than 10</w:t>
            </w:r>
          </w:p>
        </w:tc>
        <w:tc>
          <w:tcPr>
            <w:tcW w:w="1978" w:type="dxa"/>
            <w:vAlign w:val="center"/>
          </w:tcPr>
          <w:p w14:paraId="2EA03B7F" w14:textId="77777777" w:rsidR="00052799" w:rsidRPr="00466551" w:rsidRDefault="00052799" w:rsidP="00871631">
            <w:pPr>
              <w:jc w:val="center"/>
              <w:rPr>
                <w:rFonts w:eastAsia="Calibri"/>
                <w:sz w:val="18"/>
                <w:szCs w:val="18"/>
              </w:rPr>
            </w:pPr>
            <w:r w:rsidRPr="00466551">
              <w:rPr>
                <w:rFonts w:eastAsia="Calibri"/>
                <w:sz w:val="18"/>
                <w:szCs w:val="18"/>
              </w:rPr>
              <w:t>Less than 20</w:t>
            </w:r>
          </w:p>
        </w:tc>
      </w:tr>
      <w:tr w:rsidR="00052799" w:rsidRPr="00610D49" w14:paraId="44D089E9" w14:textId="77777777" w:rsidTr="00871631">
        <w:trPr>
          <w:trHeight w:val="507"/>
        </w:trPr>
        <w:tc>
          <w:tcPr>
            <w:tcW w:w="4570" w:type="dxa"/>
            <w:gridSpan w:val="2"/>
            <w:shd w:val="clear" w:color="auto" w:fill="auto"/>
            <w:vAlign w:val="center"/>
          </w:tcPr>
          <w:p w14:paraId="1A87FB27" w14:textId="77777777" w:rsidR="00052799" w:rsidRPr="00466551" w:rsidRDefault="00052799" w:rsidP="00871631">
            <w:pPr>
              <w:spacing w:before="160"/>
              <w:jc w:val="right"/>
              <w:rPr>
                <w:rFonts w:eastAsia="Calibri"/>
                <w:b/>
                <w:sz w:val="18"/>
                <w:szCs w:val="18"/>
              </w:rPr>
            </w:pPr>
            <w:r w:rsidRPr="00466551">
              <w:rPr>
                <w:rFonts w:eastAsia="Calibri"/>
                <w:b/>
                <w:sz w:val="18"/>
                <w:szCs w:val="18"/>
              </w:rPr>
              <w:t>Total</w:t>
            </w:r>
          </w:p>
        </w:tc>
        <w:tc>
          <w:tcPr>
            <w:tcW w:w="2551" w:type="dxa"/>
            <w:shd w:val="clear" w:color="auto" w:fill="auto"/>
            <w:vAlign w:val="center"/>
          </w:tcPr>
          <w:p w14:paraId="6DBAD876" w14:textId="3844EC98" w:rsidR="00052799" w:rsidRPr="00466551" w:rsidRDefault="00052799" w:rsidP="00871631">
            <w:pPr>
              <w:jc w:val="center"/>
              <w:rPr>
                <w:rFonts w:eastAsia="Calibri"/>
                <w:sz w:val="18"/>
                <w:szCs w:val="18"/>
              </w:rPr>
            </w:pPr>
            <w:r w:rsidRPr="00466551">
              <w:rPr>
                <w:rFonts w:eastAsia="Calibri"/>
                <w:sz w:val="18"/>
                <w:szCs w:val="18"/>
              </w:rPr>
              <w:t>70</w:t>
            </w:r>
          </w:p>
        </w:tc>
        <w:tc>
          <w:tcPr>
            <w:tcW w:w="1978" w:type="dxa"/>
            <w:vAlign w:val="center"/>
          </w:tcPr>
          <w:p w14:paraId="340F2A25" w14:textId="77777777" w:rsidR="00052799" w:rsidRPr="00466551" w:rsidRDefault="00052799" w:rsidP="00871631">
            <w:pPr>
              <w:jc w:val="center"/>
              <w:rPr>
                <w:rFonts w:eastAsia="Calibri"/>
                <w:sz w:val="18"/>
                <w:szCs w:val="18"/>
              </w:rPr>
            </w:pPr>
            <w:r w:rsidRPr="00466551">
              <w:rPr>
                <w:rFonts w:eastAsia="Calibri"/>
                <w:sz w:val="18"/>
                <w:szCs w:val="18"/>
              </w:rPr>
              <w:t>328</w:t>
            </w:r>
          </w:p>
        </w:tc>
      </w:tr>
    </w:tbl>
    <w:p w14:paraId="0F477987" w14:textId="77777777" w:rsidR="00052799" w:rsidRPr="00610D49" w:rsidRDefault="00052799" w:rsidP="00052799">
      <w:pPr>
        <w:pStyle w:val="BodyText"/>
      </w:pPr>
      <w:r w:rsidRPr="00610D49">
        <w:t>Certain breaches of the Act or Regulations can be dealt with through the issue of infringement notices and an associated fine, rather than criminal charges being laid. Details of the infringement notices issued under the Act are included in</w:t>
      </w:r>
      <w:r>
        <w:t xml:space="preserve"> the following table</w:t>
      </w:r>
      <w:r w:rsidRPr="00610D49">
        <w:t xml:space="preserve">, with the most common offence being possession of ammunition without authority under the Act. </w:t>
      </w:r>
    </w:p>
    <w:p w14:paraId="440DE744" w14:textId="22959EEB" w:rsidR="00052799" w:rsidRPr="00610D49" w:rsidRDefault="00052799" w:rsidP="00052799">
      <w:pPr>
        <w:pStyle w:val="Caption"/>
      </w:pPr>
      <w:r w:rsidRPr="00610D49">
        <w:t xml:space="preserve">Table </w:t>
      </w:r>
      <w:r w:rsidR="001C7D77">
        <w:rPr>
          <w:noProof/>
        </w:rPr>
        <w:t>8</w:t>
      </w:r>
      <w:r w:rsidRPr="00610D49">
        <w:t>: Infringement notices issued under the Act 2012/13-2016/17</w:t>
      </w:r>
    </w:p>
    <w:tbl>
      <w:tblPr>
        <w:tblW w:w="9307" w:type="dxa"/>
        <w:tblInd w:w="822" w:type="dxa"/>
        <w:tblBorders>
          <w:insideH w:val="single" w:sz="4" w:space="0" w:color="auto"/>
        </w:tblBorders>
        <w:tblLook w:val="04A0" w:firstRow="1" w:lastRow="0" w:firstColumn="1" w:lastColumn="0" w:noHBand="0" w:noVBand="1"/>
      </w:tblPr>
      <w:tblGrid>
        <w:gridCol w:w="3856"/>
        <w:gridCol w:w="1134"/>
        <w:gridCol w:w="1134"/>
        <w:gridCol w:w="944"/>
        <w:gridCol w:w="1142"/>
        <w:gridCol w:w="1097"/>
      </w:tblGrid>
      <w:tr w:rsidR="00052799" w:rsidRPr="00610D49" w14:paraId="5F20125C" w14:textId="77777777" w:rsidTr="00871631">
        <w:trPr>
          <w:trHeight w:val="803"/>
        </w:trPr>
        <w:tc>
          <w:tcPr>
            <w:tcW w:w="3856" w:type="dxa"/>
            <w:shd w:val="clear" w:color="auto" w:fill="002060"/>
            <w:vAlign w:val="bottom"/>
          </w:tcPr>
          <w:p w14:paraId="646DF085" w14:textId="77777777" w:rsidR="00052799" w:rsidRPr="00466551" w:rsidRDefault="00052799" w:rsidP="00871631">
            <w:pPr>
              <w:jc w:val="center"/>
              <w:rPr>
                <w:rFonts w:eastAsia="Calibri"/>
                <w:b/>
                <w:bCs/>
                <w:color w:val="FFFFFF"/>
                <w:sz w:val="18"/>
                <w:szCs w:val="18"/>
              </w:rPr>
            </w:pPr>
            <w:r w:rsidRPr="00466551">
              <w:rPr>
                <w:rFonts w:eastAsia="Calibri"/>
                <w:b/>
                <w:bCs/>
                <w:color w:val="FFFFFF"/>
                <w:sz w:val="18"/>
                <w:szCs w:val="18"/>
              </w:rPr>
              <w:t>Offence Description</w:t>
            </w:r>
          </w:p>
        </w:tc>
        <w:tc>
          <w:tcPr>
            <w:tcW w:w="1134" w:type="dxa"/>
            <w:shd w:val="clear" w:color="auto" w:fill="002060"/>
            <w:vAlign w:val="bottom"/>
          </w:tcPr>
          <w:p w14:paraId="68B10FD5" w14:textId="77777777" w:rsidR="00052799" w:rsidRPr="00466551" w:rsidRDefault="00052799" w:rsidP="00871631">
            <w:pPr>
              <w:jc w:val="center"/>
              <w:rPr>
                <w:rFonts w:eastAsia="Calibri"/>
                <w:b/>
                <w:bCs/>
                <w:color w:val="FFFFFF"/>
                <w:sz w:val="18"/>
                <w:szCs w:val="18"/>
              </w:rPr>
            </w:pPr>
            <w:r w:rsidRPr="00466551">
              <w:rPr>
                <w:rFonts w:eastAsia="Calibri"/>
                <w:b/>
                <w:bCs/>
                <w:color w:val="FFFFFF"/>
                <w:sz w:val="18"/>
                <w:szCs w:val="18"/>
              </w:rPr>
              <w:t>2012/13</w:t>
            </w:r>
          </w:p>
        </w:tc>
        <w:tc>
          <w:tcPr>
            <w:tcW w:w="1134" w:type="dxa"/>
            <w:shd w:val="clear" w:color="auto" w:fill="002060"/>
            <w:vAlign w:val="bottom"/>
          </w:tcPr>
          <w:p w14:paraId="6BB93F55" w14:textId="77777777" w:rsidR="00052799" w:rsidRPr="00466551" w:rsidRDefault="00052799" w:rsidP="00871631">
            <w:pPr>
              <w:jc w:val="center"/>
              <w:rPr>
                <w:rFonts w:eastAsia="Calibri"/>
                <w:b/>
                <w:bCs/>
                <w:color w:val="FFFFFF"/>
                <w:sz w:val="18"/>
                <w:szCs w:val="18"/>
              </w:rPr>
            </w:pPr>
            <w:r w:rsidRPr="00466551">
              <w:rPr>
                <w:rFonts w:eastAsia="Calibri"/>
                <w:b/>
                <w:bCs/>
                <w:color w:val="FFFFFF"/>
                <w:sz w:val="18"/>
                <w:szCs w:val="18"/>
              </w:rPr>
              <w:t>2013/14</w:t>
            </w:r>
          </w:p>
        </w:tc>
        <w:tc>
          <w:tcPr>
            <w:tcW w:w="944" w:type="dxa"/>
            <w:shd w:val="clear" w:color="auto" w:fill="002060"/>
            <w:vAlign w:val="bottom"/>
          </w:tcPr>
          <w:p w14:paraId="3CBFA1BB" w14:textId="77777777" w:rsidR="00052799" w:rsidRPr="00466551" w:rsidRDefault="00052799" w:rsidP="00871631">
            <w:pPr>
              <w:jc w:val="center"/>
              <w:rPr>
                <w:rFonts w:eastAsia="Calibri"/>
                <w:b/>
                <w:bCs/>
                <w:color w:val="FFFFFF"/>
                <w:sz w:val="18"/>
                <w:szCs w:val="18"/>
              </w:rPr>
            </w:pPr>
            <w:r w:rsidRPr="00466551">
              <w:rPr>
                <w:rFonts w:eastAsia="Calibri"/>
                <w:b/>
                <w:bCs/>
                <w:color w:val="FFFFFF"/>
                <w:sz w:val="18"/>
                <w:szCs w:val="18"/>
              </w:rPr>
              <w:t>2014/15</w:t>
            </w:r>
          </w:p>
        </w:tc>
        <w:tc>
          <w:tcPr>
            <w:tcW w:w="1142" w:type="dxa"/>
            <w:shd w:val="clear" w:color="auto" w:fill="002060"/>
            <w:vAlign w:val="bottom"/>
          </w:tcPr>
          <w:p w14:paraId="1EAC5488" w14:textId="77777777" w:rsidR="00052799" w:rsidRPr="00466551" w:rsidRDefault="00052799" w:rsidP="00871631">
            <w:pPr>
              <w:jc w:val="center"/>
              <w:rPr>
                <w:rFonts w:eastAsia="Calibri"/>
                <w:b/>
                <w:bCs/>
                <w:color w:val="FFFFFF"/>
                <w:sz w:val="18"/>
                <w:szCs w:val="18"/>
              </w:rPr>
            </w:pPr>
            <w:r w:rsidRPr="00466551">
              <w:rPr>
                <w:rFonts w:eastAsia="Calibri"/>
                <w:b/>
                <w:bCs/>
                <w:color w:val="FFFFFF"/>
                <w:sz w:val="18"/>
                <w:szCs w:val="18"/>
              </w:rPr>
              <w:t>2015/16</w:t>
            </w:r>
          </w:p>
        </w:tc>
        <w:tc>
          <w:tcPr>
            <w:tcW w:w="1097" w:type="dxa"/>
            <w:shd w:val="clear" w:color="auto" w:fill="002060"/>
            <w:vAlign w:val="bottom"/>
          </w:tcPr>
          <w:p w14:paraId="5433B7D4" w14:textId="77777777" w:rsidR="00052799" w:rsidRPr="00466551" w:rsidRDefault="00052799" w:rsidP="00871631">
            <w:pPr>
              <w:jc w:val="center"/>
              <w:rPr>
                <w:rFonts w:eastAsia="Calibri"/>
                <w:b/>
                <w:bCs/>
                <w:color w:val="FFFFFF"/>
                <w:sz w:val="18"/>
                <w:szCs w:val="18"/>
              </w:rPr>
            </w:pPr>
            <w:r w:rsidRPr="00466551">
              <w:rPr>
                <w:rFonts w:eastAsia="Calibri"/>
                <w:b/>
                <w:bCs/>
                <w:color w:val="FFFFFF"/>
                <w:sz w:val="18"/>
                <w:szCs w:val="18"/>
              </w:rPr>
              <w:t>2016/17</w:t>
            </w:r>
          </w:p>
        </w:tc>
      </w:tr>
      <w:tr w:rsidR="00052799" w:rsidRPr="00610D49" w14:paraId="0FB280AE" w14:textId="77777777" w:rsidTr="004B487D">
        <w:trPr>
          <w:trHeight w:val="511"/>
        </w:trPr>
        <w:tc>
          <w:tcPr>
            <w:tcW w:w="3856" w:type="dxa"/>
            <w:shd w:val="clear" w:color="auto" w:fill="auto"/>
            <w:vAlign w:val="center"/>
          </w:tcPr>
          <w:p w14:paraId="6C6D4529" w14:textId="77777777" w:rsidR="00052799" w:rsidRPr="00466551" w:rsidRDefault="00052799">
            <w:pPr>
              <w:rPr>
                <w:b/>
                <w:sz w:val="18"/>
                <w:szCs w:val="18"/>
              </w:rPr>
            </w:pPr>
            <w:r w:rsidRPr="00466551">
              <w:rPr>
                <w:b/>
                <w:sz w:val="18"/>
                <w:szCs w:val="18"/>
              </w:rPr>
              <w:t>Dealer offences</w:t>
            </w:r>
          </w:p>
        </w:tc>
        <w:tc>
          <w:tcPr>
            <w:tcW w:w="5451" w:type="dxa"/>
            <w:gridSpan w:val="5"/>
            <w:shd w:val="clear" w:color="auto" w:fill="auto"/>
            <w:vAlign w:val="center"/>
          </w:tcPr>
          <w:p w14:paraId="37032BC2" w14:textId="77777777" w:rsidR="00052799" w:rsidRPr="00466551" w:rsidRDefault="00052799" w:rsidP="004B487D">
            <w:pPr>
              <w:rPr>
                <w:rFonts w:eastAsia="Calibri"/>
                <w:b/>
                <w:sz w:val="18"/>
                <w:szCs w:val="18"/>
              </w:rPr>
            </w:pPr>
          </w:p>
        </w:tc>
      </w:tr>
      <w:tr w:rsidR="00052799" w:rsidRPr="00610D49" w14:paraId="29A818DD" w14:textId="77777777" w:rsidTr="00871631">
        <w:trPr>
          <w:trHeight w:val="511"/>
        </w:trPr>
        <w:tc>
          <w:tcPr>
            <w:tcW w:w="3856" w:type="dxa"/>
            <w:shd w:val="clear" w:color="auto" w:fill="auto"/>
          </w:tcPr>
          <w:p w14:paraId="4DFF4676" w14:textId="77777777" w:rsidR="00052799" w:rsidRPr="00466551" w:rsidRDefault="00052799" w:rsidP="00871631">
            <w:pPr>
              <w:rPr>
                <w:rFonts w:eastAsia="Calibri"/>
                <w:sz w:val="18"/>
                <w:szCs w:val="18"/>
              </w:rPr>
            </w:pPr>
            <w:r w:rsidRPr="00466551">
              <w:rPr>
                <w:sz w:val="18"/>
                <w:szCs w:val="18"/>
              </w:rPr>
              <w:t>Failure to ensure label is fixed to firearm in dealer's possession showing a number which can identify the record of transaction or dealing with the firearm in the register of transactions</w:t>
            </w:r>
          </w:p>
        </w:tc>
        <w:tc>
          <w:tcPr>
            <w:tcW w:w="1134" w:type="dxa"/>
            <w:shd w:val="clear" w:color="auto" w:fill="auto"/>
            <w:vAlign w:val="center"/>
          </w:tcPr>
          <w:p w14:paraId="553EFFFF" w14:textId="77777777" w:rsidR="00052799" w:rsidRPr="00466551" w:rsidRDefault="00052799" w:rsidP="00871631">
            <w:pPr>
              <w:jc w:val="center"/>
              <w:rPr>
                <w:rFonts w:eastAsia="Calibri"/>
                <w:b/>
                <w:sz w:val="18"/>
                <w:szCs w:val="18"/>
              </w:rPr>
            </w:pPr>
            <w:r w:rsidRPr="00466551">
              <w:rPr>
                <w:rFonts w:eastAsia="Calibri"/>
                <w:b/>
                <w:sz w:val="18"/>
                <w:szCs w:val="18"/>
              </w:rPr>
              <w:t>0</w:t>
            </w:r>
          </w:p>
        </w:tc>
        <w:tc>
          <w:tcPr>
            <w:tcW w:w="1134" w:type="dxa"/>
            <w:vAlign w:val="center"/>
          </w:tcPr>
          <w:p w14:paraId="6CEFBF63" w14:textId="77777777" w:rsidR="00052799" w:rsidRPr="00466551" w:rsidRDefault="00052799" w:rsidP="00871631">
            <w:pPr>
              <w:jc w:val="center"/>
              <w:rPr>
                <w:rFonts w:eastAsia="Calibri"/>
                <w:b/>
                <w:sz w:val="18"/>
                <w:szCs w:val="18"/>
              </w:rPr>
            </w:pPr>
            <w:r w:rsidRPr="00466551">
              <w:rPr>
                <w:rFonts w:eastAsia="Calibri"/>
                <w:b/>
                <w:sz w:val="18"/>
                <w:szCs w:val="18"/>
              </w:rPr>
              <w:t>0</w:t>
            </w:r>
          </w:p>
        </w:tc>
        <w:tc>
          <w:tcPr>
            <w:tcW w:w="944" w:type="dxa"/>
            <w:vAlign w:val="center"/>
          </w:tcPr>
          <w:p w14:paraId="448E2C6E" w14:textId="77777777" w:rsidR="00052799" w:rsidRPr="00466551" w:rsidRDefault="00052799" w:rsidP="00871631">
            <w:pPr>
              <w:jc w:val="center"/>
              <w:rPr>
                <w:rFonts w:eastAsia="Calibri"/>
                <w:b/>
                <w:sz w:val="18"/>
                <w:szCs w:val="18"/>
              </w:rPr>
            </w:pPr>
            <w:r w:rsidRPr="00466551">
              <w:rPr>
                <w:rFonts w:eastAsia="Calibri"/>
                <w:b/>
                <w:sz w:val="18"/>
                <w:szCs w:val="18"/>
              </w:rPr>
              <w:t>0</w:t>
            </w:r>
          </w:p>
        </w:tc>
        <w:tc>
          <w:tcPr>
            <w:tcW w:w="1142" w:type="dxa"/>
            <w:vAlign w:val="center"/>
          </w:tcPr>
          <w:p w14:paraId="1D4B4E5B" w14:textId="77777777" w:rsidR="00052799" w:rsidRPr="00466551" w:rsidRDefault="00052799" w:rsidP="00871631">
            <w:pPr>
              <w:jc w:val="center"/>
              <w:rPr>
                <w:rFonts w:eastAsia="Calibri"/>
                <w:b/>
                <w:sz w:val="18"/>
                <w:szCs w:val="18"/>
              </w:rPr>
            </w:pPr>
            <w:r w:rsidRPr="00466551">
              <w:rPr>
                <w:rFonts w:eastAsia="Calibri"/>
                <w:b/>
                <w:sz w:val="18"/>
                <w:szCs w:val="18"/>
              </w:rPr>
              <w:t>1</w:t>
            </w:r>
          </w:p>
        </w:tc>
        <w:tc>
          <w:tcPr>
            <w:tcW w:w="1097" w:type="dxa"/>
            <w:vAlign w:val="center"/>
          </w:tcPr>
          <w:p w14:paraId="6D09BD17" w14:textId="77777777" w:rsidR="00052799" w:rsidRPr="00466551" w:rsidRDefault="00052799" w:rsidP="00871631">
            <w:pPr>
              <w:jc w:val="center"/>
              <w:rPr>
                <w:rFonts w:eastAsia="Calibri"/>
                <w:b/>
                <w:sz w:val="18"/>
                <w:szCs w:val="18"/>
              </w:rPr>
            </w:pPr>
            <w:r w:rsidRPr="00466551">
              <w:rPr>
                <w:rFonts w:eastAsia="Calibri"/>
                <w:b/>
                <w:sz w:val="18"/>
                <w:szCs w:val="18"/>
              </w:rPr>
              <w:t>0</w:t>
            </w:r>
          </w:p>
        </w:tc>
      </w:tr>
      <w:tr w:rsidR="00052799" w:rsidRPr="00610D49" w14:paraId="43E85043" w14:textId="77777777" w:rsidTr="00871631">
        <w:trPr>
          <w:trHeight w:val="511"/>
        </w:trPr>
        <w:tc>
          <w:tcPr>
            <w:tcW w:w="3856" w:type="dxa"/>
            <w:shd w:val="clear" w:color="auto" w:fill="auto"/>
          </w:tcPr>
          <w:p w14:paraId="30CE935A" w14:textId="77777777" w:rsidR="00052799" w:rsidRPr="00466551" w:rsidRDefault="00052799" w:rsidP="00871631">
            <w:pPr>
              <w:rPr>
                <w:rFonts w:eastAsia="Calibri"/>
                <w:sz w:val="18"/>
                <w:szCs w:val="18"/>
              </w:rPr>
            </w:pPr>
            <w:r w:rsidRPr="00466551">
              <w:rPr>
                <w:sz w:val="18"/>
                <w:szCs w:val="18"/>
              </w:rPr>
              <w:t>Charging more than the prescribed amount for acting as an agent under section 95 or 96 of the Act</w:t>
            </w:r>
          </w:p>
        </w:tc>
        <w:tc>
          <w:tcPr>
            <w:tcW w:w="1134" w:type="dxa"/>
            <w:shd w:val="clear" w:color="auto" w:fill="auto"/>
            <w:vAlign w:val="center"/>
          </w:tcPr>
          <w:p w14:paraId="7FF7BEF4" w14:textId="77777777" w:rsidR="00052799" w:rsidRPr="00466551" w:rsidRDefault="00052799" w:rsidP="00871631">
            <w:pPr>
              <w:jc w:val="center"/>
              <w:rPr>
                <w:rFonts w:eastAsia="Calibri"/>
                <w:b/>
                <w:sz w:val="18"/>
                <w:szCs w:val="18"/>
              </w:rPr>
            </w:pPr>
            <w:r w:rsidRPr="00466551">
              <w:rPr>
                <w:rFonts w:eastAsia="Calibri"/>
                <w:b/>
                <w:sz w:val="18"/>
                <w:szCs w:val="18"/>
              </w:rPr>
              <w:t>0</w:t>
            </w:r>
          </w:p>
        </w:tc>
        <w:tc>
          <w:tcPr>
            <w:tcW w:w="1134" w:type="dxa"/>
            <w:vAlign w:val="center"/>
          </w:tcPr>
          <w:p w14:paraId="5E659FFC" w14:textId="77777777" w:rsidR="00052799" w:rsidRPr="00466551" w:rsidRDefault="00052799" w:rsidP="00871631">
            <w:pPr>
              <w:jc w:val="center"/>
              <w:rPr>
                <w:rFonts w:eastAsia="Calibri"/>
                <w:b/>
                <w:sz w:val="18"/>
                <w:szCs w:val="18"/>
              </w:rPr>
            </w:pPr>
            <w:r w:rsidRPr="00466551">
              <w:rPr>
                <w:rFonts w:eastAsia="Calibri"/>
                <w:b/>
                <w:sz w:val="18"/>
                <w:szCs w:val="18"/>
              </w:rPr>
              <w:t>0</w:t>
            </w:r>
          </w:p>
        </w:tc>
        <w:tc>
          <w:tcPr>
            <w:tcW w:w="944" w:type="dxa"/>
            <w:vAlign w:val="center"/>
          </w:tcPr>
          <w:p w14:paraId="7BB75E6F" w14:textId="77777777" w:rsidR="00052799" w:rsidRPr="00466551" w:rsidRDefault="00052799" w:rsidP="00871631">
            <w:pPr>
              <w:jc w:val="center"/>
              <w:rPr>
                <w:rFonts w:eastAsia="Calibri"/>
                <w:b/>
                <w:sz w:val="18"/>
                <w:szCs w:val="18"/>
              </w:rPr>
            </w:pPr>
            <w:r w:rsidRPr="00466551">
              <w:rPr>
                <w:rFonts w:eastAsia="Calibri"/>
                <w:b/>
                <w:sz w:val="18"/>
                <w:szCs w:val="18"/>
              </w:rPr>
              <w:t>0</w:t>
            </w:r>
          </w:p>
        </w:tc>
        <w:tc>
          <w:tcPr>
            <w:tcW w:w="1142" w:type="dxa"/>
            <w:vAlign w:val="center"/>
          </w:tcPr>
          <w:p w14:paraId="44AECB00" w14:textId="77777777" w:rsidR="00052799" w:rsidRPr="00466551" w:rsidRDefault="00052799" w:rsidP="00871631">
            <w:pPr>
              <w:jc w:val="center"/>
              <w:rPr>
                <w:rFonts w:eastAsia="Calibri"/>
                <w:b/>
                <w:sz w:val="18"/>
                <w:szCs w:val="18"/>
              </w:rPr>
            </w:pPr>
            <w:r w:rsidRPr="00466551">
              <w:rPr>
                <w:rFonts w:eastAsia="Calibri"/>
                <w:b/>
                <w:sz w:val="18"/>
                <w:szCs w:val="18"/>
              </w:rPr>
              <w:t>1</w:t>
            </w:r>
          </w:p>
        </w:tc>
        <w:tc>
          <w:tcPr>
            <w:tcW w:w="1097" w:type="dxa"/>
            <w:vAlign w:val="center"/>
          </w:tcPr>
          <w:p w14:paraId="00AE9074" w14:textId="77777777" w:rsidR="00052799" w:rsidRPr="00466551" w:rsidRDefault="00052799" w:rsidP="00871631">
            <w:pPr>
              <w:jc w:val="center"/>
              <w:rPr>
                <w:rFonts w:eastAsia="Calibri"/>
                <w:b/>
                <w:sz w:val="18"/>
                <w:szCs w:val="18"/>
              </w:rPr>
            </w:pPr>
            <w:r w:rsidRPr="00466551">
              <w:rPr>
                <w:rFonts w:eastAsia="Calibri"/>
                <w:b/>
                <w:sz w:val="18"/>
                <w:szCs w:val="18"/>
              </w:rPr>
              <w:t>0</w:t>
            </w:r>
          </w:p>
        </w:tc>
      </w:tr>
      <w:tr w:rsidR="00052799" w:rsidRPr="00610D49" w14:paraId="38172A1D" w14:textId="77777777" w:rsidTr="002D7AE6">
        <w:trPr>
          <w:trHeight w:val="511"/>
        </w:trPr>
        <w:tc>
          <w:tcPr>
            <w:tcW w:w="3856" w:type="dxa"/>
            <w:shd w:val="clear" w:color="auto" w:fill="auto"/>
            <w:vAlign w:val="center"/>
          </w:tcPr>
          <w:p w14:paraId="425BF4EE" w14:textId="77777777" w:rsidR="00052799" w:rsidRPr="00466551" w:rsidRDefault="00052799" w:rsidP="002D7AE6">
            <w:pPr>
              <w:rPr>
                <w:b/>
                <w:sz w:val="18"/>
                <w:szCs w:val="18"/>
              </w:rPr>
            </w:pPr>
            <w:r w:rsidRPr="00466551">
              <w:rPr>
                <w:b/>
                <w:sz w:val="18"/>
                <w:szCs w:val="18"/>
              </w:rPr>
              <w:t>General offences</w:t>
            </w:r>
          </w:p>
        </w:tc>
        <w:tc>
          <w:tcPr>
            <w:tcW w:w="5451" w:type="dxa"/>
            <w:gridSpan w:val="5"/>
            <w:shd w:val="clear" w:color="auto" w:fill="auto"/>
            <w:vAlign w:val="center"/>
          </w:tcPr>
          <w:p w14:paraId="5CD0248D" w14:textId="77777777" w:rsidR="00052799" w:rsidRPr="00466551" w:rsidRDefault="00052799" w:rsidP="002D7AE6">
            <w:pPr>
              <w:rPr>
                <w:rFonts w:eastAsia="Calibri"/>
                <w:b/>
                <w:sz w:val="18"/>
                <w:szCs w:val="18"/>
              </w:rPr>
            </w:pPr>
          </w:p>
        </w:tc>
      </w:tr>
      <w:tr w:rsidR="00052799" w:rsidRPr="00610D49" w14:paraId="1328F1B8" w14:textId="77777777" w:rsidTr="00871631">
        <w:trPr>
          <w:trHeight w:val="511"/>
        </w:trPr>
        <w:tc>
          <w:tcPr>
            <w:tcW w:w="3856" w:type="dxa"/>
            <w:shd w:val="clear" w:color="auto" w:fill="auto"/>
          </w:tcPr>
          <w:p w14:paraId="6BB75BCC" w14:textId="77777777" w:rsidR="00052799" w:rsidRPr="00466551" w:rsidRDefault="00052799" w:rsidP="00871631">
            <w:pPr>
              <w:rPr>
                <w:rFonts w:eastAsia="Calibri"/>
                <w:sz w:val="18"/>
                <w:szCs w:val="18"/>
              </w:rPr>
            </w:pPr>
            <w:r w:rsidRPr="00466551">
              <w:rPr>
                <w:sz w:val="18"/>
                <w:szCs w:val="18"/>
              </w:rPr>
              <w:t>Possession of ammunition without authority under the Act</w:t>
            </w:r>
          </w:p>
        </w:tc>
        <w:tc>
          <w:tcPr>
            <w:tcW w:w="1134" w:type="dxa"/>
            <w:shd w:val="clear" w:color="auto" w:fill="auto"/>
            <w:vAlign w:val="center"/>
          </w:tcPr>
          <w:p w14:paraId="744982F6" w14:textId="77777777" w:rsidR="00052799" w:rsidRPr="00466551" w:rsidRDefault="00052799" w:rsidP="00871631">
            <w:pPr>
              <w:jc w:val="center"/>
              <w:rPr>
                <w:rFonts w:eastAsia="Calibri"/>
                <w:b/>
                <w:sz w:val="18"/>
                <w:szCs w:val="18"/>
              </w:rPr>
            </w:pPr>
            <w:r w:rsidRPr="00466551">
              <w:rPr>
                <w:rFonts w:eastAsia="Calibri"/>
                <w:b/>
                <w:sz w:val="18"/>
                <w:szCs w:val="18"/>
              </w:rPr>
              <w:t>15</w:t>
            </w:r>
          </w:p>
        </w:tc>
        <w:tc>
          <w:tcPr>
            <w:tcW w:w="1134" w:type="dxa"/>
            <w:vAlign w:val="center"/>
          </w:tcPr>
          <w:p w14:paraId="43322043" w14:textId="77777777" w:rsidR="00052799" w:rsidRPr="00466551" w:rsidRDefault="00052799" w:rsidP="00871631">
            <w:pPr>
              <w:jc w:val="center"/>
              <w:rPr>
                <w:rFonts w:eastAsia="Calibri"/>
                <w:b/>
                <w:sz w:val="18"/>
                <w:szCs w:val="18"/>
              </w:rPr>
            </w:pPr>
            <w:r w:rsidRPr="00466551">
              <w:rPr>
                <w:rFonts w:eastAsia="Calibri"/>
                <w:b/>
                <w:sz w:val="18"/>
                <w:szCs w:val="18"/>
              </w:rPr>
              <w:t>19</w:t>
            </w:r>
          </w:p>
        </w:tc>
        <w:tc>
          <w:tcPr>
            <w:tcW w:w="944" w:type="dxa"/>
            <w:vAlign w:val="center"/>
          </w:tcPr>
          <w:p w14:paraId="750C7EC8" w14:textId="77777777" w:rsidR="00052799" w:rsidRPr="00466551" w:rsidRDefault="00052799" w:rsidP="00871631">
            <w:pPr>
              <w:jc w:val="center"/>
              <w:rPr>
                <w:rFonts w:eastAsia="Calibri"/>
                <w:b/>
                <w:sz w:val="18"/>
                <w:szCs w:val="18"/>
              </w:rPr>
            </w:pPr>
            <w:r w:rsidRPr="00466551">
              <w:rPr>
                <w:rFonts w:eastAsia="Calibri"/>
                <w:b/>
                <w:sz w:val="18"/>
                <w:szCs w:val="18"/>
              </w:rPr>
              <w:t>15</w:t>
            </w:r>
          </w:p>
        </w:tc>
        <w:tc>
          <w:tcPr>
            <w:tcW w:w="1142" w:type="dxa"/>
            <w:vAlign w:val="center"/>
          </w:tcPr>
          <w:p w14:paraId="7B68B3B1" w14:textId="77777777" w:rsidR="00052799" w:rsidRPr="00466551" w:rsidRDefault="00052799" w:rsidP="00871631">
            <w:pPr>
              <w:jc w:val="center"/>
              <w:rPr>
                <w:rFonts w:eastAsia="Calibri"/>
                <w:b/>
                <w:sz w:val="18"/>
                <w:szCs w:val="18"/>
              </w:rPr>
            </w:pPr>
            <w:r w:rsidRPr="00466551">
              <w:rPr>
                <w:rFonts w:eastAsia="Calibri"/>
                <w:b/>
                <w:sz w:val="18"/>
                <w:szCs w:val="18"/>
              </w:rPr>
              <w:t>18</w:t>
            </w:r>
          </w:p>
        </w:tc>
        <w:tc>
          <w:tcPr>
            <w:tcW w:w="1097" w:type="dxa"/>
            <w:vAlign w:val="center"/>
          </w:tcPr>
          <w:p w14:paraId="7AC28303" w14:textId="77777777" w:rsidR="00052799" w:rsidRPr="00466551" w:rsidRDefault="00052799" w:rsidP="00871631">
            <w:pPr>
              <w:jc w:val="center"/>
              <w:rPr>
                <w:rFonts w:eastAsia="Calibri"/>
                <w:b/>
                <w:sz w:val="18"/>
                <w:szCs w:val="18"/>
              </w:rPr>
            </w:pPr>
            <w:r w:rsidRPr="00466551">
              <w:rPr>
                <w:rFonts w:eastAsia="Calibri"/>
                <w:b/>
                <w:sz w:val="18"/>
                <w:szCs w:val="18"/>
              </w:rPr>
              <w:t>16</w:t>
            </w:r>
          </w:p>
        </w:tc>
      </w:tr>
      <w:tr w:rsidR="00052799" w:rsidRPr="00610D49" w14:paraId="0DFA5BF0" w14:textId="77777777" w:rsidTr="00871631">
        <w:trPr>
          <w:trHeight w:val="511"/>
        </w:trPr>
        <w:tc>
          <w:tcPr>
            <w:tcW w:w="3856" w:type="dxa"/>
            <w:shd w:val="clear" w:color="auto" w:fill="auto"/>
          </w:tcPr>
          <w:p w14:paraId="24CDDB6A" w14:textId="77777777" w:rsidR="00052799" w:rsidRPr="00466551" w:rsidRDefault="00052799" w:rsidP="00871631">
            <w:pPr>
              <w:rPr>
                <w:rFonts w:eastAsia="Calibri"/>
                <w:sz w:val="18"/>
                <w:szCs w:val="18"/>
              </w:rPr>
            </w:pPr>
            <w:r w:rsidRPr="00466551">
              <w:rPr>
                <w:sz w:val="18"/>
                <w:szCs w:val="18"/>
              </w:rPr>
              <w:t>Possession of ammunition which is not suitable for category of firearms which person (other than person who is holder of firearms ammunition collectors licence) is licensed to possess, carry or use</w:t>
            </w:r>
          </w:p>
        </w:tc>
        <w:tc>
          <w:tcPr>
            <w:tcW w:w="1134" w:type="dxa"/>
            <w:shd w:val="clear" w:color="auto" w:fill="auto"/>
            <w:vAlign w:val="center"/>
          </w:tcPr>
          <w:p w14:paraId="0867347F" w14:textId="77777777" w:rsidR="00052799" w:rsidRPr="00466551" w:rsidRDefault="00052799" w:rsidP="00871631">
            <w:pPr>
              <w:jc w:val="center"/>
              <w:rPr>
                <w:rFonts w:eastAsia="Calibri"/>
                <w:b/>
                <w:sz w:val="18"/>
                <w:szCs w:val="18"/>
              </w:rPr>
            </w:pPr>
            <w:r w:rsidRPr="00466551">
              <w:rPr>
                <w:rFonts w:eastAsia="Calibri"/>
                <w:b/>
                <w:sz w:val="18"/>
                <w:szCs w:val="18"/>
              </w:rPr>
              <w:t>0</w:t>
            </w:r>
          </w:p>
        </w:tc>
        <w:tc>
          <w:tcPr>
            <w:tcW w:w="1134" w:type="dxa"/>
            <w:vAlign w:val="center"/>
          </w:tcPr>
          <w:p w14:paraId="7A55AE72" w14:textId="77777777" w:rsidR="00052799" w:rsidRPr="00466551" w:rsidRDefault="00052799" w:rsidP="00871631">
            <w:pPr>
              <w:jc w:val="center"/>
              <w:rPr>
                <w:rFonts w:eastAsia="Calibri"/>
                <w:b/>
                <w:sz w:val="18"/>
                <w:szCs w:val="18"/>
              </w:rPr>
            </w:pPr>
            <w:r w:rsidRPr="00466551">
              <w:rPr>
                <w:rFonts w:eastAsia="Calibri"/>
                <w:b/>
                <w:sz w:val="18"/>
                <w:szCs w:val="18"/>
              </w:rPr>
              <w:t>0</w:t>
            </w:r>
          </w:p>
        </w:tc>
        <w:tc>
          <w:tcPr>
            <w:tcW w:w="944" w:type="dxa"/>
            <w:vAlign w:val="center"/>
          </w:tcPr>
          <w:p w14:paraId="4412421A" w14:textId="77777777" w:rsidR="00052799" w:rsidRPr="00466551" w:rsidRDefault="00052799" w:rsidP="00871631">
            <w:pPr>
              <w:jc w:val="center"/>
              <w:rPr>
                <w:rFonts w:eastAsia="Calibri"/>
                <w:b/>
                <w:sz w:val="18"/>
                <w:szCs w:val="18"/>
              </w:rPr>
            </w:pPr>
            <w:r w:rsidRPr="00466551">
              <w:rPr>
                <w:rFonts w:eastAsia="Calibri"/>
                <w:b/>
                <w:sz w:val="18"/>
                <w:szCs w:val="18"/>
              </w:rPr>
              <w:t>0</w:t>
            </w:r>
          </w:p>
        </w:tc>
        <w:tc>
          <w:tcPr>
            <w:tcW w:w="1142" w:type="dxa"/>
            <w:vAlign w:val="center"/>
          </w:tcPr>
          <w:p w14:paraId="0B7EAE80" w14:textId="77777777" w:rsidR="00052799" w:rsidRPr="00466551" w:rsidRDefault="00052799" w:rsidP="00871631">
            <w:pPr>
              <w:jc w:val="center"/>
              <w:rPr>
                <w:rFonts w:eastAsia="Calibri"/>
                <w:b/>
                <w:sz w:val="18"/>
                <w:szCs w:val="18"/>
              </w:rPr>
            </w:pPr>
            <w:r w:rsidRPr="00466551">
              <w:rPr>
                <w:rFonts w:eastAsia="Calibri"/>
                <w:b/>
                <w:sz w:val="18"/>
                <w:szCs w:val="18"/>
              </w:rPr>
              <w:t>0</w:t>
            </w:r>
          </w:p>
        </w:tc>
        <w:tc>
          <w:tcPr>
            <w:tcW w:w="1097" w:type="dxa"/>
            <w:vAlign w:val="center"/>
          </w:tcPr>
          <w:p w14:paraId="15F909D1" w14:textId="77777777" w:rsidR="00052799" w:rsidRPr="00466551" w:rsidRDefault="00052799" w:rsidP="00871631">
            <w:pPr>
              <w:jc w:val="center"/>
              <w:rPr>
                <w:rFonts w:eastAsia="Calibri"/>
                <w:b/>
                <w:sz w:val="18"/>
                <w:szCs w:val="18"/>
              </w:rPr>
            </w:pPr>
            <w:r w:rsidRPr="00466551">
              <w:rPr>
                <w:rFonts w:eastAsia="Calibri"/>
                <w:b/>
                <w:sz w:val="18"/>
                <w:szCs w:val="18"/>
              </w:rPr>
              <w:t>1</w:t>
            </w:r>
          </w:p>
        </w:tc>
      </w:tr>
      <w:tr w:rsidR="00052799" w:rsidRPr="00610D49" w14:paraId="0B4220DE" w14:textId="77777777" w:rsidTr="00871631">
        <w:trPr>
          <w:trHeight w:val="511"/>
        </w:trPr>
        <w:tc>
          <w:tcPr>
            <w:tcW w:w="3856" w:type="dxa"/>
            <w:shd w:val="clear" w:color="auto" w:fill="auto"/>
          </w:tcPr>
          <w:p w14:paraId="58A5C4D4" w14:textId="77777777" w:rsidR="00052799" w:rsidRPr="00466551" w:rsidRDefault="00052799" w:rsidP="00871631">
            <w:pPr>
              <w:rPr>
                <w:rFonts w:eastAsia="Calibri"/>
                <w:sz w:val="18"/>
                <w:szCs w:val="18"/>
              </w:rPr>
            </w:pPr>
            <w:r w:rsidRPr="00466551">
              <w:rPr>
                <w:sz w:val="18"/>
                <w:szCs w:val="18"/>
              </w:rPr>
              <w:t>Failure by holder of licence or permit to notify Chief Commissioner in writing of change of address on licence within 14 days after change occurs</w:t>
            </w:r>
          </w:p>
        </w:tc>
        <w:tc>
          <w:tcPr>
            <w:tcW w:w="1134" w:type="dxa"/>
            <w:shd w:val="clear" w:color="auto" w:fill="auto"/>
            <w:vAlign w:val="center"/>
          </w:tcPr>
          <w:p w14:paraId="6A7CCD28" w14:textId="77777777" w:rsidR="00052799" w:rsidRPr="00466551" w:rsidRDefault="00052799" w:rsidP="00871631">
            <w:pPr>
              <w:jc w:val="center"/>
              <w:rPr>
                <w:rFonts w:eastAsia="Calibri"/>
                <w:b/>
                <w:sz w:val="18"/>
                <w:szCs w:val="18"/>
              </w:rPr>
            </w:pPr>
            <w:r w:rsidRPr="00466551">
              <w:rPr>
                <w:rFonts w:eastAsia="Calibri"/>
                <w:b/>
                <w:sz w:val="18"/>
                <w:szCs w:val="18"/>
              </w:rPr>
              <w:t>11</w:t>
            </w:r>
          </w:p>
        </w:tc>
        <w:tc>
          <w:tcPr>
            <w:tcW w:w="1134" w:type="dxa"/>
            <w:vAlign w:val="center"/>
          </w:tcPr>
          <w:p w14:paraId="50D7770F" w14:textId="77777777" w:rsidR="00052799" w:rsidRPr="00466551" w:rsidRDefault="00052799" w:rsidP="00871631">
            <w:pPr>
              <w:jc w:val="center"/>
              <w:rPr>
                <w:rFonts w:eastAsia="Calibri"/>
                <w:b/>
                <w:sz w:val="18"/>
                <w:szCs w:val="18"/>
              </w:rPr>
            </w:pPr>
            <w:r w:rsidRPr="00466551">
              <w:rPr>
                <w:rFonts w:eastAsia="Calibri"/>
                <w:b/>
                <w:sz w:val="18"/>
                <w:szCs w:val="18"/>
              </w:rPr>
              <w:t>21</w:t>
            </w:r>
          </w:p>
        </w:tc>
        <w:tc>
          <w:tcPr>
            <w:tcW w:w="944" w:type="dxa"/>
            <w:vAlign w:val="center"/>
          </w:tcPr>
          <w:p w14:paraId="74FF5A21" w14:textId="77777777" w:rsidR="00052799" w:rsidRPr="00466551" w:rsidRDefault="00052799" w:rsidP="00871631">
            <w:pPr>
              <w:jc w:val="center"/>
              <w:rPr>
                <w:rFonts w:eastAsia="Calibri"/>
                <w:b/>
                <w:sz w:val="18"/>
                <w:szCs w:val="18"/>
              </w:rPr>
            </w:pPr>
            <w:r w:rsidRPr="00466551">
              <w:rPr>
                <w:rFonts w:eastAsia="Calibri"/>
                <w:b/>
                <w:sz w:val="18"/>
                <w:szCs w:val="18"/>
              </w:rPr>
              <w:t>9</w:t>
            </w:r>
          </w:p>
        </w:tc>
        <w:tc>
          <w:tcPr>
            <w:tcW w:w="1142" w:type="dxa"/>
            <w:vAlign w:val="center"/>
          </w:tcPr>
          <w:p w14:paraId="0331A279" w14:textId="77777777" w:rsidR="00052799" w:rsidRPr="00466551" w:rsidRDefault="00052799" w:rsidP="00871631">
            <w:pPr>
              <w:jc w:val="center"/>
              <w:rPr>
                <w:rFonts w:eastAsia="Calibri"/>
                <w:b/>
                <w:sz w:val="18"/>
                <w:szCs w:val="18"/>
              </w:rPr>
            </w:pPr>
            <w:r w:rsidRPr="00466551">
              <w:rPr>
                <w:rFonts w:eastAsia="Calibri"/>
                <w:b/>
                <w:sz w:val="18"/>
                <w:szCs w:val="18"/>
              </w:rPr>
              <w:t>14</w:t>
            </w:r>
          </w:p>
        </w:tc>
        <w:tc>
          <w:tcPr>
            <w:tcW w:w="1097" w:type="dxa"/>
            <w:vAlign w:val="center"/>
          </w:tcPr>
          <w:p w14:paraId="2232A073" w14:textId="77777777" w:rsidR="00052799" w:rsidRPr="00466551" w:rsidRDefault="00052799" w:rsidP="00871631">
            <w:pPr>
              <w:jc w:val="center"/>
              <w:rPr>
                <w:rFonts w:eastAsia="Calibri"/>
                <w:b/>
                <w:sz w:val="18"/>
                <w:szCs w:val="18"/>
              </w:rPr>
            </w:pPr>
            <w:r w:rsidRPr="00466551">
              <w:rPr>
                <w:rFonts w:eastAsia="Calibri"/>
                <w:b/>
                <w:sz w:val="18"/>
                <w:szCs w:val="18"/>
              </w:rPr>
              <w:t>7</w:t>
            </w:r>
          </w:p>
        </w:tc>
      </w:tr>
      <w:tr w:rsidR="00052799" w:rsidRPr="00610D49" w14:paraId="285AD756" w14:textId="77777777" w:rsidTr="002D7AE6">
        <w:trPr>
          <w:trHeight w:val="511"/>
        </w:trPr>
        <w:tc>
          <w:tcPr>
            <w:tcW w:w="3856" w:type="dxa"/>
            <w:shd w:val="clear" w:color="auto" w:fill="auto"/>
            <w:vAlign w:val="center"/>
          </w:tcPr>
          <w:p w14:paraId="02F39AE7" w14:textId="77777777" w:rsidR="00052799" w:rsidRPr="00466551" w:rsidRDefault="00052799" w:rsidP="002D7AE6">
            <w:pPr>
              <w:rPr>
                <w:b/>
                <w:sz w:val="18"/>
                <w:szCs w:val="18"/>
              </w:rPr>
            </w:pPr>
            <w:r w:rsidRPr="00466551">
              <w:rPr>
                <w:b/>
                <w:sz w:val="18"/>
                <w:szCs w:val="18"/>
              </w:rPr>
              <w:t>Total</w:t>
            </w:r>
          </w:p>
        </w:tc>
        <w:tc>
          <w:tcPr>
            <w:tcW w:w="1134" w:type="dxa"/>
            <w:shd w:val="clear" w:color="auto" w:fill="auto"/>
            <w:vAlign w:val="center"/>
          </w:tcPr>
          <w:p w14:paraId="568A3083" w14:textId="77777777" w:rsidR="00052799" w:rsidRPr="00466551" w:rsidRDefault="00052799" w:rsidP="002D7AE6">
            <w:pPr>
              <w:jc w:val="center"/>
              <w:rPr>
                <w:rFonts w:eastAsia="Calibri"/>
                <w:b/>
                <w:sz w:val="18"/>
                <w:szCs w:val="18"/>
              </w:rPr>
            </w:pPr>
            <w:r w:rsidRPr="00466551">
              <w:rPr>
                <w:rFonts w:eastAsia="Calibri"/>
                <w:b/>
                <w:sz w:val="18"/>
                <w:szCs w:val="18"/>
              </w:rPr>
              <w:t>26</w:t>
            </w:r>
          </w:p>
        </w:tc>
        <w:tc>
          <w:tcPr>
            <w:tcW w:w="1134" w:type="dxa"/>
            <w:vAlign w:val="center"/>
          </w:tcPr>
          <w:p w14:paraId="0E73EBF6" w14:textId="77777777" w:rsidR="00052799" w:rsidRPr="00466551" w:rsidRDefault="00052799" w:rsidP="002D7AE6">
            <w:pPr>
              <w:jc w:val="center"/>
              <w:rPr>
                <w:rFonts w:eastAsia="Calibri"/>
                <w:b/>
                <w:sz w:val="18"/>
                <w:szCs w:val="18"/>
              </w:rPr>
            </w:pPr>
            <w:r w:rsidRPr="00466551">
              <w:rPr>
                <w:rFonts w:eastAsia="Calibri"/>
                <w:b/>
                <w:sz w:val="18"/>
                <w:szCs w:val="18"/>
              </w:rPr>
              <w:t>40</w:t>
            </w:r>
          </w:p>
        </w:tc>
        <w:tc>
          <w:tcPr>
            <w:tcW w:w="944" w:type="dxa"/>
            <w:vAlign w:val="center"/>
          </w:tcPr>
          <w:p w14:paraId="102FE2BC" w14:textId="77777777" w:rsidR="00052799" w:rsidRPr="00466551" w:rsidRDefault="00052799" w:rsidP="002D7AE6">
            <w:pPr>
              <w:jc w:val="center"/>
              <w:rPr>
                <w:rFonts w:eastAsia="Calibri"/>
                <w:b/>
                <w:sz w:val="18"/>
                <w:szCs w:val="18"/>
              </w:rPr>
            </w:pPr>
            <w:r w:rsidRPr="00466551">
              <w:rPr>
                <w:rFonts w:eastAsia="Calibri"/>
                <w:b/>
                <w:sz w:val="18"/>
                <w:szCs w:val="18"/>
              </w:rPr>
              <w:t>24</w:t>
            </w:r>
          </w:p>
        </w:tc>
        <w:tc>
          <w:tcPr>
            <w:tcW w:w="1142" w:type="dxa"/>
            <w:vAlign w:val="center"/>
          </w:tcPr>
          <w:p w14:paraId="1819F9C6" w14:textId="77777777" w:rsidR="00052799" w:rsidRPr="00466551" w:rsidRDefault="00052799" w:rsidP="002D7AE6">
            <w:pPr>
              <w:jc w:val="center"/>
              <w:rPr>
                <w:rFonts w:eastAsia="Calibri"/>
                <w:b/>
                <w:sz w:val="18"/>
                <w:szCs w:val="18"/>
              </w:rPr>
            </w:pPr>
            <w:r w:rsidRPr="00466551">
              <w:rPr>
                <w:rFonts w:eastAsia="Calibri"/>
                <w:b/>
                <w:sz w:val="18"/>
                <w:szCs w:val="18"/>
              </w:rPr>
              <w:t>34</w:t>
            </w:r>
          </w:p>
        </w:tc>
        <w:tc>
          <w:tcPr>
            <w:tcW w:w="1097" w:type="dxa"/>
            <w:vAlign w:val="center"/>
          </w:tcPr>
          <w:p w14:paraId="378FF29A" w14:textId="77777777" w:rsidR="00052799" w:rsidRPr="00466551" w:rsidRDefault="00052799" w:rsidP="002D7AE6">
            <w:pPr>
              <w:jc w:val="center"/>
              <w:rPr>
                <w:rFonts w:eastAsia="Calibri"/>
                <w:b/>
                <w:sz w:val="18"/>
                <w:szCs w:val="18"/>
              </w:rPr>
            </w:pPr>
            <w:r w:rsidRPr="00466551">
              <w:rPr>
                <w:rFonts w:eastAsia="Calibri"/>
                <w:b/>
                <w:sz w:val="18"/>
                <w:szCs w:val="18"/>
              </w:rPr>
              <w:t>24</w:t>
            </w:r>
          </w:p>
        </w:tc>
      </w:tr>
    </w:tbl>
    <w:p w14:paraId="4003CC78" w14:textId="77777777" w:rsidR="00052799" w:rsidRDefault="00052799" w:rsidP="00052799">
      <w:pPr>
        <w:pStyle w:val="Tablenote"/>
      </w:pPr>
      <w:r>
        <w:t>Source: Crime Statistics Agency</w:t>
      </w:r>
    </w:p>
    <w:p w14:paraId="6CC7E358" w14:textId="77777777" w:rsidR="00052799" w:rsidRPr="00610D49" w:rsidRDefault="00052799" w:rsidP="00052799">
      <w:pPr>
        <w:pStyle w:val="BodyText"/>
      </w:pPr>
      <w:r w:rsidRPr="00610D49">
        <w:t xml:space="preserve">Victoria Police also issue cautions for offences under the Act for which neither an infringement notice or the laying of formal charges is considered appropriate. In 2016/17, 21 such cautions were issued. </w:t>
      </w:r>
    </w:p>
    <w:p w14:paraId="4B69994F" w14:textId="77777777" w:rsidR="00052799" w:rsidRPr="00610D49" w:rsidRDefault="00052799" w:rsidP="00052799">
      <w:pPr>
        <w:pStyle w:val="BodyText"/>
        <w:ind w:left="0"/>
      </w:pPr>
    </w:p>
    <w:p w14:paraId="2D2B4CBC" w14:textId="77777777" w:rsidR="00052799" w:rsidRPr="00610D49" w:rsidRDefault="00052799" w:rsidP="00052799">
      <w:pPr>
        <w:pStyle w:val="Heading2"/>
      </w:pPr>
      <w:bookmarkStart w:id="71" w:name="_Toc495338511"/>
      <w:bookmarkStart w:id="72" w:name="_Toc497492987"/>
      <w:bookmarkStart w:id="73" w:name="_Toc500505465"/>
      <w:bookmarkStart w:id="74" w:name="_Ref501043633"/>
      <w:bookmarkStart w:id="75" w:name="_Toc501539160"/>
      <w:r w:rsidRPr="00610D49">
        <w:t>Base case</w:t>
      </w:r>
      <w:bookmarkEnd w:id="71"/>
      <w:bookmarkEnd w:id="72"/>
      <w:bookmarkEnd w:id="73"/>
      <w:bookmarkEnd w:id="74"/>
      <w:bookmarkEnd w:id="75"/>
    </w:p>
    <w:p w14:paraId="712B8463" w14:textId="77777777" w:rsidR="00052799" w:rsidRPr="00610D49" w:rsidRDefault="00052799" w:rsidP="00052799">
      <w:pPr>
        <w:pStyle w:val="BodyText"/>
      </w:pPr>
      <w:r w:rsidRPr="00610D49">
        <w:t>As outlined in the Victorian Guide to Regulation, the ‘base case’ describes the legal position that would exist in the absence of the proposed regulations. Establishing the base case is a necessary step in order to allow an assessment of the incremental costs and benefits of the proposed regulations. For the purposes of this document, the base case is a situation in which the Act continues to operate, but the existing regulations sunset (i.e. expire) and no new regulations are made in their place.</w:t>
      </w:r>
    </w:p>
    <w:p w14:paraId="2D82BDBB" w14:textId="77777777" w:rsidR="00052799" w:rsidRPr="00610D49" w:rsidRDefault="00052799" w:rsidP="00052799">
      <w:pPr>
        <w:pStyle w:val="BodyText"/>
        <w:rPr>
          <w:b/>
        </w:rPr>
      </w:pPr>
      <w:r>
        <w:rPr>
          <w:noProof/>
          <w:lang w:eastAsia="en-AU"/>
        </w:rPr>
        <mc:AlternateContent>
          <mc:Choice Requires="wps">
            <w:drawing>
              <wp:inline distT="0" distB="0" distL="0" distR="0" wp14:anchorId="66143CD8" wp14:editId="316F1CCF">
                <wp:extent cx="5757545" cy="1586230"/>
                <wp:effectExtent l="0" t="0" r="14605" b="13970"/>
                <wp:docPr id="3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7545" cy="1586230"/>
                        </a:xfrm>
                        <a:prstGeom prst="roundRect">
                          <a:avLst>
                            <a:gd name="adj" fmla="val 16667"/>
                          </a:avLst>
                        </a:prstGeom>
                        <a:noFill/>
                        <a:ln w="9525"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28EF8E" w14:textId="77777777" w:rsidR="007D4B3A" w:rsidRPr="007831D0" w:rsidRDefault="007D4B3A" w:rsidP="00052799">
                            <w:pPr>
                              <w:pStyle w:val="BodyText"/>
                              <w:ind w:left="0"/>
                              <w:rPr>
                                <w:b/>
                                <w:sz w:val="18"/>
                              </w:rPr>
                            </w:pPr>
                            <w:r w:rsidRPr="007831D0">
                              <w:rPr>
                                <w:b/>
                                <w:sz w:val="18"/>
                              </w:rPr>
                              <w:t>Summary: Relationship between the Act and the existing regulations</w:t>
                            </w:r>
                          </w:p>
                          <w:p w14:paraId="007AE3A5" w14:textId="77777777" w:rsidR="007D4B3A" w:rsidRDefault="007D4B3A" w:rsidP="00052799">
                            <w:pPr>
                              <w:pStyle w:val="BodyText"/>
                              <w:ind w:left="0"/>
                              <w:rPr>
                                <w:sz w:val="18"/>
                              </w:rPr>
                            </w:pPr>
                            <w:r w:rsidRPr="007831D0">
                              <w:rPr>
                                <w:sz w:val="18"/>
                              </w:rPr>
                              <w:t xml:space="preserve">The vast majority of restrictions and requirements directed at firearms dealers and users are created by operation of the Act, while the regulations generally serve to specify, clarify, or supplement the requirements imposed by the Act. </w:t>
                            </w:r>
                            <w:r>
                              <w:rPr>
                                <w:sz w:val="18"/>
                              </w:rPr>
                              <w:t>In addition, the Victorian Government is committed to ensuring t</w:t>
                            </w:r>
                            <w:r w:rsidRPr="007831D0">
                              <w:rPr>
                                <w:sz w:val="18"/>
                              </w:rPr>
                              <w:t xml:space="preserve">he Act </w:t>
                            </w:r>
                            <w:r>
                              <w:rPr>
                                <w:sz w:val="18"/>
                              </w:rPr>
                              <w:t>remains consistent with</w:t>
                            </w:r>
                            <w:r w:rsidRPr="007831D0">
                              <w:rPr>
                                <w:sz w:val="18"/>
                              </w:rPr>
                              <w:t xml:space="preserve"> the </w:t>
                            </w:r>
                            <w:r>
                              <w:rPr>
                                <w:sz w:val="18"/>
                              </w:rPr>
                              <w:t xml:space="preserve">updated 2017 </w:t>
                            </w:r>
                            <w:r w:rsidRPr="007831D0">
                              <w:rPr>
                                <w:sz w:val="18"/>
                              </w:rPr>
                              <w:t>National Firearms Agreement and the National Firearm Trafficking Policy Agreement, and this will remain so even in a base case scenario.</w:t>
                            </w:r>
                          </w:p>
                          <w:p w14:paraId="057BE83E" w14:textId="77777777" w:rsidR="007D4B3A" w:rsidRPr="007831D0" w:rsidRDefault="007D4B3A" w:rsidP="00052799">
                            <w:pPr>
                              <w:pStyle w:val="BodyText"/>
                              <w:ind w:left="0"/>
                              <w:rPr>
                                <w:sz w:val="18"/>
                              </w:rPr>
                            </w:pPr>
                            <w:r>
                              <w:rPr>
                                <w:sz w:val="18"/>
                              </w:rPr>
                              <w:t>As such, there is a relatively narrow scope for making changes to the overarching framework when remaking the Regulations.</w:t>
                            </w:r>
                          </w:p>
                          <w:p w14:paraId="7D8947F2" w14:textId="77777777" w:rsidR="007D4B3A" w:rsidRDefault="007D4B3A" w:rsidP="00052799"/>
                        </w:txbxContent>
                      </wps:txbx>
                      <wps:bodyPr rot="0" vert="horz" wrap="square" lIns="91440" tIns="45720" rIns="91440" bIns="45720" anchor="t" anchorCtr="0" upright="1">
                        <a:noAutofit/>
                      </wps:bodyPr>
                    </wps:wsp>
                  </a:graphicData>
                </a:graphic>
              </wp:inline>
            </w:drawing>
          </mc:Choice>
          <mc:Fallback>
            <w:pict>
              <v:roundrect w14:anchorId="66143CD8" id="_x0000_s1027" style="width:453.35pt;height:124.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" filled="f">
                <v:textbox>
                  <w:txbxContent>
                    <w:p w14:paraId="1F28EF8E" w14:textId="77777777" w:rsidR="007D4B3A" w:rsidRPr="007831D0" w:rsidRDefault="007D4B3A" w:rsidP="00052799">
                      <w:pPr>
                        <w:pStyle w:val="BodyText"/>
                        <w:ind w:left="0"/>
                        <w:rPr>
                          <w:b/>
                          <w:sz w:val="18"/>
                        </w:rPr>
                      </w:pPr>
                      <w:r w:rsidRPr="007831D0">
                        <w:rPr>
                          <w:b/>
                          <w:sz w:val="18"/>
                        </w:rPr>
                        <w:t>Summary: Relationship between the Act and the existing regulations</w:t>
                      </w:r>
                    </w:p>
                    <w:p w14:paraId="007AE3A5" w14:textId="77777777" w:rsidR="007D4B3A" w:rsidRDefault="007D4B3A" w:rsidP="00052799">
                      <w:pPr>
                        <w:pStyle w:val="BodyText"/>
                        <w:ind w:left="0"/>
                        <w:rPr>
                          <w:sz w:val="18"/>
                        </w:rPr>
                      </w:pPr>
                      <w:r w:rsidRPr="007831D0">
                        <w:rPr>
                          <w:sz w:val="18"/>
                        </w:rPr>
                        <w:t xml:space="preserve">The vast majority of restrictions and requirements directed at firearms dealers and users are created by operation of the Act, while the regulations generally serve to specify, clarify, or supplement the requirements imposed by the Act. </w:t>
                      </w:r>
                      <w:r>
                        <w:rPr>
                          <w:sz w:val="18"/>
                        </w:rPr>
                        <w:t>In addition, the Victorian Government is committed to ensuring t</w:t>
                      </w:r>
                      <w:r w:rsidRPr="007831D0">
                        <w:rPr>
                          <w:sz w:val="18"/>
                        </w:rPr>
                        <w:t xml:space="preserve">he Act </w:t>
                      </w:r>
                      <w:r>
                        <w:rPr>
                          <w:sz w:val="18"/>
                        </w:rPr>
                        <w:t>remains consistent with</w:t>
                      </w:r>
                      <w:r w:rsidRPr="007831D0">
                        <w:rPr>
                          <w:sz w:val="18"/>
                        </w:rPr>
                        <w:t xml:space="preserve"> the </w:t>
                      </w:r>
                      <w:r>
                        <w:rPr>
                          <w:sz w:val="18"/>
                        </w:rPr>
                        <w:t xml:space="preserve">updated 2017 </w:t>
                      </w:r>
                      <w:r w:rsidRPr="007831D0">
                        <w:rPr>
                          <w:sz w:val="18"/>
                        </w:rPr>
                        <w:t>National Firearms Agreement and the National Firearm Trafficking Policy Agreement, and this will remain so even in a base case scenario.</w:t>
                      </w:r>
                    </w:p>
                    <w:p w14:paraId="057BE83E" w14:textId="77777777" w:rsidR="007D4B3A" w:rsidRPr="007831D0" w:rsidRDefault="007D4B3A" w:rsidP="00052799">
                      <w:pPr>
                        <w:pStyle w:val="BodyText"/>
                        <w:ind w:left="0"/>
                        <w:rPr>
                          <w:sz w:val="18"/>
                        </w:rPr>
                      </w:pPr>
                      <w:r>
                        <w:rPr>
                          <w:sz w:val="18"/>
                        </w:rPr>
                        <w:t>As such, there is a relatively narrow scope for making changes to the overarching framework when remaking the Regulations.</w:t>
                      </w:r>
                    </w:p>
                    <w:p w14:paraId="7D8947F2" w14:textId="77777777" w:rsidR="007D4B3A" w:rsidRDefault="007D4B3A" w:rsidP="00052799"/>
                  </w:txbxContent>
                </v:textbox>
                <w10:anchorlock/>
              </v:roundrect>
            </w:pict>
          </mc:Fallback>
        </mc:AlternateContent>
      </w:r>
    </w:p>
    <w:p w14:paraId="0BB57AD7" w14:textId="67740BE7" w:rsidR="00052799" w:rsidRPr="00610D49" w:rsidRDefault="001C7D77" w:rsidP="00052799">
      <w:pPr>
        <w:pStyle w:val="BodyText"/>
      </w:pPr>
      <w:r w:rsidRPr="00610D49">
        <w:t xml:space="preserve">Table </w:t>
      </w:r>
      <w:r>
        <w:rPr>
          <w:noProof/>
        </w:rPr>
        <w:t>9</w:t>
      </w:r>
      <w:r w:rsidR="00052799" w:rsidRPr="00610D49">
        <w:t xml:space="preserve"> outlines how the existing regulations support the operations of the Act and what would happen if the existing regulations were to sunset.</w:t>
      </w:r>
    </w:p>
    <w:p w14:paraId="4C363DA8" w14:textId="77777777" w:rsidR="00052799" w:rsidRPr="00610D49" w:rsidRDefault="00052799" w:rsidP="00052799">
      <w:pPr>
        <w:pStyle w:val="BodyText"/>
      </w:pPr>
      <w:r w:rsidRPr="00610D49">
        <w:t>In general, in the absence of the remade regulations, the licensing and registration regime established by the Act would continue to control the ownership and use of firearms in Victoria but a number of features of the exis</w:t>
      </w:r>
      <w:r>
        <w:t>t</w:t>
      </w:r>
      <w:r w:rsidRPr="00610D49">
        <w:t xml:space="preserve">ing regulatory regime would be missing, and the regulatory scheme would operate less effectively. For example: </w:t>
      </w:r>
    </w:p>
    <w:p w14:paraId="57E82EAC" w14:textId="5B32F571" w:rsidR="00052799" w:rsidRPr="00610D49" w:rsidRDefault="00052799" w:rsidP="00052799">
      <w:pPr>
        <w:pStyle w:val="BodyText"/>
        <w:numPr>
          <w:ilvl w:val="0"/>
          <w:numId w:val="76"/>
        </w:numPr>
      </w:pPr>
      <w:r w:rsidRPr="00610D49">
        <w:t xml:space="preserve">a number of safety restrictions would be absent, such as rules applying to the suppression of pest animals on primary production land and to target shooting on private land (these are detailed in </w:t>
      </w:r>
      <w:r w:rsidR="001C7D77" w:rsidRPr="00610D49">
        <w:t xml:space="preserve">Table </w:t>
      </w:r>
      <w:r w:rsidR="001C7D77">
        <w:rPr>
          <w:noProof/>
        </w:rPr>
        <w:t>9</w:t>
      </w:r>
      <w:r>
        <w:t xml:space="preserve"> </w:t>
      </w:r>
      <w:r w:rsidRPr="00610D49">
        <w:t>below)</w:t>
      </w:r>
    </w:p>
    <w:p w14:paraId="015351C2" w14:textId="05B13A92" w:rsidR="00052799" w:rsidRPr="00610D49" w:rsidRDefault="00052799" w:rsidP="00052799">
      <w:pPr>
        <w:pStyle w:val="BodyText"/>
        <w:numPr>
          <w:ilvl w:val="0"/>
          <w:numId w:val="76"/>
        </w:numPr>
      </w:pPr>
      <w:r w:rsidRPr="00610D49">
        <w:t xml:space="preserve">important details </w:t>
      </w:r>
      <w:r w:rsidR="0035770A">
        <w:t>used</w:t>
      </w:r>
      <w:r w:rsidR="0035770A" w:rsidRPr="00610D49">
        <w:t xml:space="preserve"> </w:t>
      </w:r>
      <w:r w:rsidRPr="00610D49">
        <w:t>to monitor the possession and movement in firearms would not be recorded, such as the particulars to be included in firearm dealer and collector registers</w:t>
      </w:r>
    </w:p>
    <w:p w14:paraId="747427B6" w14:textId="77777777" w:rsidR="00052799" w:rsidRPr="00610D49" w:rsidRDefault="00052799" w:rsidP="00052799">
      <w:pPr>
        <w:pStyle w:val="BodyText"/>
        <w:numPr>
          <w:ilvl w:val="0"/>
          <w:numId w:val="76"/>
        </w:numPr>
      </w:pPr>
      <w:r w:rsidRPr="00610D49">
        <w:t xml:space="preserve">there would be fewer legislative controls on the manner in which warrantless searches for firearms under the Act can be carried out. </w:t>
      </w:r>
    </w:p>
    <w:p w14:paraId="27245FB7" w14:textId="77777777" w:rsidR="00052799" w:rsidRPr="00610D49" w:rsidRDefault="00052799" w:rsidP="00052799">
      <w:pPr>
        <w:pStyle w:val="BodyText"/>
      </w:pPr>
      <w:r w:rsidRPr="00610D49">
        <w:t>Other details prescribed by the regulations include which organisations representing shooters may nominate individuals to sit on the Firearms Appeals Committee,</w:t>
      </w:r>
      <w:r w:rsidRPr="00610D49">
        <w:rPr>
          <w:rStyle w:val="FootnoteReference"/>
        </w:rPr>
        <w:footnoteReference w:id="15"/>
      </w:r>
      <w:r w:rsidRPr="00610D49">
        <w:t xml:space="preserve"> and what devices should be exempt</w:t>
      </w:r>
      <w:r w:rsidRPr="00610D49">
        <w:rPr>
          <w:rStyle w:val="FootnoteReference"/>
        </w:rPr>
        <w:footnoteReference w:id="16"/>
      </w:r>
      <w:r w:rsidRPr="00610D49">
        <w:t xml:space="preserve"> from being treated as firearms under the Act. </w:t>
      </w:r>
    </w:p>
    <w:p w14:paraId="3978B264" w14:textId="77777777" w:rsidR="00052799" w:rsidRPr="00610D49" w:rsidRDefault="00052799" w:rsidP="00052799">
      <w:pPr>
        <w:pStyle w:val="BodyText"/>
      </w:pPr>
      <w:r w:rsidRPr="00610D49">
        <w:t xml:space="preserve">Importantly, the absence of the remade regulations would mean that no fees could be charged for issuing licences or permits under the Act, meaning that the cost of regulating firearms in Victoria would be covered by the general public through taxation revenue, rather than by firearms users and dealers. </w:t>
      </w:r>
    </w:p>
    <w:p w14:paraId="66608808" w14:textId="14F70742" w:rsidR="00052799" w:rsidRPr="00610D49" w:rsidRDefault="00052799" w:rsidP="00052799">
      <w:pPr>
        <w:pStyle w:val="Caption"/>
      </w:pPr>
      <w:bookmarkStart w:id="76" w:name="_Ref496783685"/>
      <w:r w:rsidRPr="00610D49">
        <w:t xml:space="preserve">Table </w:t>
      </w:r>
      <w:r w:rsidR="001C7D77">
        <w:rPr>
          <w:noProof/>
        </w:rPr>
        <w:t>9</w:t>
      </w:r>
      <w:bookmarkEnd w:id="76"/>
      <w:r w:rsidRPr="00610D49">
        <w:t>: Base case: Operation of the Act with and without the Regulations</w:t>
      </w:r>
    </w:p>
    <w:tbl>
      <w:tblPr>
        <w:tblW w:w="9072" w:type="dxa"/>
        <w:tblInd w:w="959" w:type="dxa"/>
        <w:tblBorders>
          <w:insideH w:val="single" w:sz="4" w:space="0" w:color="auto"/>
        </w:tblBorders>
        <w:tblLook w:val="04A0" w:firstRow="1" w:lastRow="0" w:firstColumn="1" w:lastColumn="0" w:noHBand="0" w:noVBand="1"/>
        <w:tblCaption w:val="Table 9: Base case: Operation of the Act with and without the Regulations"/>
      </w:tblPr>
      <w:tblGrid>
        <w:gridCol w:w="1207"/>
        <w:gridCol w:w="1267"/>
        <w:gridCol w:w="3395"/>
        <w:gridCol w:w="3203"/>
      </w:tblGrid>
      <w:tr w:rsidR="00052799" w:rsidRPr="002D7AE6" w14:paraId="3CFDA1FD" w14:textId="77777777" w:rsidTr="00871631">
        <w:trPr>
          <w:tblHeader/>
        </w:trPr>
        <w:tc>
          <w:tcPr>
            <w:tcW w:w="1207" w:type="dxa"/>
            <w:shd w:val="clear" w:color="auto" w:fill="002060"/>
          </w:tcPr>
          <w:p w14:paraId="204F95B7" w14:textId="77777777" w:rsidR="00052799" w:rsidRPr="002D7AE6" w:rsidRDefault="00052799" w:rsidP="00871631">
            <w:pPr>
              <w:rPr>
                <w:rFonts w:eastAsia="Calibri"/>
                <w:b/>
                <w:bCs/>
                <w:color w:val="FFFFFF"/>
                <w:sz w:val="18"/>
                <w:szCs w:val="18"/>
              </w:rPr>
            </w:pPr>
            <w:r w:rsidRPr="002D7AE6">
              <w:rPr>
                <w:rFonts w:eastAsia="Calibri"/>
                <w:b/>
                <w:bCs/>
                <w:color w:val="FFFFFF"/>
                <w:sz w:val="18"/>
                <w:szCs w:val="18"/>
              </w:rPr>
              <w:t>Topic</w:t>
            </w:r>
          </w:p>
        </w:tc>
        <w:tc>
          <w:tcPr>
            <w:tcW w:w="1267" w:type="dxa"/>
            <w:shd w:val="clear" w:color="auto" w:fill="002060"/>
          </w:tcPr>
          <w:p w14:paraId="282F5C28" w14:textId="77777777" w:rsidR="00052799" w:rsidRPr="002D7AE6" w:rsidRDefault="00052799" w:rsidP="00871631">
            <w:pPr>
              <w:rPr>
                <w:rFonts w:eastAsia="Calibri"/>
                <w:b/>
                <w:bCs/>
                <w:color w:val="FFFFFF"/>
                <w:sz w:val="18"/>
                <w:szCs w:val="18"/>
              </w:rPr>
            </w:pPr>
            <w:r w:rsidRPr="002D7AE6">
              <w:rPr>
                <w:rFonts w:eastAsia="Calibri"/>
                <w:b/>
                <w:bCs/>
                <w:color w:val="FFFFFF"/>
                <w:sz w:val="18"/>
                <w:szCs w:val="18"/>
              </w:rPr>
              <w:t>Relevant Section of the Act</w:t>
            </w:r>
          </w:p>
        </w:tc>
        <w:tc>
          <w:tcPr>
            <w:tcW w:w="3395" w:type="dxa"/>
            <w:shd w:val="clear" w:color="auto" w:fill="002060"/>
          </w:tcPr>
          <w:p w14:paraId="3BEF39BB" w14:textId="77777777" w:rsidR="00052799" w:rsidRPr="002D7AE6" w:rsidRDefault="00052799" w:rsidP="00871631">
            <w:pPr>
              <w:rPr>
                <w:rFonts w:eastAsia="Calibri"/>
                <w:b/>
                <w:bCs/>
                <w:color w:val="FFFFFF"/>
                <w:sz w:val="18"/>
                <w:szCs w:val="18"/>
              </w:rPr>
            </w:pPr>
            <w:r w:rsidRPr="002D7AE6">
              <w:rPr>
                <w:rFonts w:eastAsia="Calibri"/>
                <w:b/>
                <w:bCs/>
                <w:color w:val="FFFFFF"/>
                <w:sz w:val="18"/>
                <w:szCs w:val="18"/>
              </w:rPr>
              <w:t>Requirements of the Act and Existing Regulations</w:t>
            </w:r>
          </w:p>
        </w:tc>
        <w:tc>
          <w:tcPr>
            <w:tcW w:w="3203" w:type="dxa"/>
            <w:shd w:val="clear" w:color="auto" w:fill="002060"/>
          </w:tcPr>
          <w:p w14:paraId="6386948C" w14:textId="77777777" w:rsidR="00052799" w:rsidRPr="002D7AE6" w:rsidRDefault="00052799" w:rsidP="00871631">
            <w:pPr>
              <w:rPr>
                <w:rFonts w:eastAsia="Calibri"/>
                <w:b/>
                <w:bCs/>
                <w:color w:val="FFFFFF"/>
                <w:sz w:val="18"/>
                <w:szCs w:val="18"/>
              </w:rPr>
            </w:pPr>
            <w:r w:rsidRPr="002D7AE6">
              <w:rPr>
                <w:rFonts w:eastAsia="Calibri"/>
                <w:b/>
                <w:bCs/>
                <w:color w:val="FFFFFF"/>
                <w:sz w:val="18"/>
                <w:szCs w:val="18"/>
              </w:rPr>
              <w:t xml:space="preserve">Base case: Operation of the Act without the Regulations </w:t>
            </w:r>
          </w:p>
        </w:tc>
      </w:tr>
      <w:tr w:rsidR="00052799" w:rsidRPr="002D7AE6" w14:paraId="5EA50E66" w14:textId="77777777" w:rsidTr="00871631">
        <w:tc>
          <w:tcPr>
            <w:tcW w:w="1207" w:type="dxa"/>
            <w:shd w:val="clear" w:color="auto" w:fill="auto"/>
          </w:tcPr>
          <w:p w14:paraId="693C4CA9" w14:textId="77777777" w:rsidR="00052799" w:rsidRPr="002D7AE6" w:rsidRDefault="00052799" w:rsidP="00871631">
            <w:pPr>
              <w:rPr>
                <w:rFonts w:eastAsia="Calibri"/>
                <w:bCs/>
                <w:sz w:val="18"/>
                <w:szCs w:val="18"/>
              </w:rPr>
            </w:pPr>
            <w:r w:rsidRPr="002D7AE6">
              <w:rPr>
                <w:rFonts w:eastAsia="Calibri"/>
                <w:bCs/>
                <w:sz w:val="18"/>
                <w:szCs w:val="18"/>
              </w:rPr>
              <w:t xml:space="preserve">Fees </w:t>
            </w:r>
          </w:p>
        </w:tc>
        <w:tc>
          <w:tcPr>
            <w:tcW w:w="1267" w:type="dxa"/>
            <w:shd w:val="clear" w:color="auto" w:fill="auto"/>
          </w:tcPr>
          <w:p w14:paraId="4955E2DC" w14:textId="77777777" w:rsidR="00052799" w:rsidRPr="002D7AE6" w:rsidRDefault="00052799" w:rsidP="00871631">
            <w:pPr>
              <w:rPr>
                <w:rFonts w:eastAsia="Calibri"/>
                <w:bCs/>
                <w:sz w:val="18"/>
                <w:szCs w:val="18"/>
              </w:rPr>
            </w:pPr>
            <w:r w:rsidRPr="002D7AE6">
              <w:rPr>
                <w:rFonts w:eastAsia="Calibri"/>
                <w:sz w:val="18"/>
                <w:szCs w:val="18"/>
              </w:rPr>
              <w:t>Multiple</w:t>
            </w:r>
          </w:p>
        </w:tc>
        <w:tc>
          <w:tcPr>
            <w:tcW w:w="3395" w:type="dxa"/>
            <w:shd w:val="clear" w:color="auto" w:fill="auto"/>
          </w:tcPr>
          <w:p w14:paraId="7EECE83C" w14:textId="77777777" w:rsidR="00052799" w:rsidRPr="002D7AE6" w:rsidRDefault="00052799" w:rsidP="00871631">
            <w:pPr>
              <w:rPr>
                <w:rFonts w:eastAsia="Calibri"/>
                <w:sz w:val="18"/>
                <w:szCs w:val="18"/>
              </w:rPr>
            </w:pPr>
            <w:r w:rsidRPr="002D7AE6">
              <w:rPr>
                <w:rFonts w:eastAsia="Calibri"/>
                <w:sz w:val="18"/>
                <w:szCs w:val="18"/>
              </w:rPr>
              <w:t xml:space="preserve">The current regulations prescribe fees for activities undertaken under the Act, including the issue and renewal of licences, the issue of duplicate licences, the issue of permits, the granting of approvals, or the undertaking of a review of a decision made by the Chief Commissioner. </w:t>
            </w:r>
          </w:p>
          <w:p w14:paraId="61964F97" w14:textId="77777777" w:rsidR="00052799" w:rsidRPr="002D7AE6" w:rsidRDefault="00052799" w:rsidP="00871631">
            <w:pPr>
              <w:rPr>
                <w:rFonts w:eastAsia="Calibri"/>
                <w:sz w:val="18"/>
                <w:szCs w:val="18"/>
              </w:rPr>
            </w:pPr>
          </w:p>
          <w:p w14:paraId="5E782F31" w14:textId="2789B4B5" w:rsidR="00052799" w:rsidRPr="002D7AE6" w:rsidRDefault="00052799" w:rsidP="00871631">
            <w:pPr>
              <w:rPr>
                <w:rFonts w:eastAsia="Calibri"/>
                <w:b/>
                <w:sz w:val="18"/>
                <w:szCs w:val="18"/>
              </w:rPr>
            </w:pPr>
            <w:r w:rsidRPr="002D7AE6">
              <w:rPr>
                <w:rFonts w:eastAsia="Calibri"/>
                <w:b/>
                <w:sz w:val="18"/>
                <w:szCs w:val="18"/>
              </w:rPr>
              <w:t>Fees have</w:t>
            </w:r>
            <w:r w:rsidR="0035770A">
              <w:rPr>
                <w:rFonts w:eastAsia="Calibri"/>
                <w:b/>
                <w:sz w:val="18"/>
                <w:szCs w:val="18"/>
              </w:rPr>
              <w:t xml:space="preserve"> by far</w:t>
            </w:r>
            <w:r w:rsidRPr="002D7AE6">
              <w:rPr>
                <w:rFonts w:eastAsia="Calibri"/>
                <w:b/>
                <w:sz w:val="18"/>
                <w:szCs w:val="18"/>
              </w:rPr>
              <w:t xml:space="preserve"> the largest impact on industry participants of all requirements in the Regulations.</w:t>
            </w:r>
          </w:p>
        </w:tc>
        <w:tc>
          <w:tcPr>
            <w:tcW w:w="3203" w:type="dxa"/>
            <w:shd w:val="clear" w:color="auto" w:fill="auto"/>
          </w:tcPr>
          <w:p w14:paraId="43B754C0" w14:textId="77777777" w:rsidR="00052799" w:rsidRPr="002D7AE6" w:rsidRDefault="00052799" w:rsidP="00871631">
            <w:pPr>
              <w:rPr>
                <w:rFonts w:eastAsia="Calibri"/>
                <w:sz w:val="18"/>
                <w:szCs w:val="18"/>
              </w:rPr>
            </w:pPr>
            <w:r w:rsidRPr="002D7AE6">
              <w:rPr>
                <w:rFonts w:eastAsia="Calibri"/>
                <w:sz w:val="18"/>
                <w:szCs w:val="18"/>
              </w:rPr>
              <w:t xml:space="preserve">Without the remade Regulations, there would be no prescribed fees for applications made under the Act. </w:t>
            </w:r>
          </w:p>
          <w:p w14:paraId="6B3B1D71" w14:textId="77777777" w:rsidR="00052799" w:rsidRPr="002D7AE6" w:rsidRDefault="00052799" w:rsidP="00871631">
            <w:pPr>
              <w:rPr>
                <w:rFonts w:eastAsia="Calibri"/>
                <w:sz w:val="18"/>
                <w:szCs w:val="18"/>
              </w:rPr>
            </w:pPr>
          </w:p>
          <w:p w14:paraId="55E57422" w14:textId="7B2098CD" w:rsidR="00052799" w:rsidRPr="002D7AE6" w:rsidRDefault="00052799" w:rsidP="00871631">
            <w:pPr>
              <w:rPr>
                <w:rFonts w:eastAsia="Calibri"/>
                <w:sz w:val="18"/>
                <w:szCs w:val="18"/>
              </w:rPr>
            </w:pPr>
            <w:r w:rsidRPr="002D7AE6">
              <w:rPr>
                <w:rFonts w:eastAsia="Calibri"/>
                <w:sz w:val="18"/>
                <w:szCs w:val="18"/>
              </w:rPr>
              <w:t>Despite this, the regulatory regime, including the issuing of licences and enforcement activities would need to continue, as required by the Act. In this case, and in the absence of an alternative solution, the costs involved in maintaining the regulatory regime for firearms would need to be borne by Victorian taxpayers as a whole.</w:t>
            </w:r>
          </w:p>
        </w:tc>
      </w:tr>
      <w:tr w:rsidR="00052799" w:rsidRPr="002D7AE6" w14:paraId="74B56C37" w14:textId="77777777" w:rsidTr="00871631">
        <w:tc>
          <w:tcPr>
            <w:tcW w:w="1207" w:type="dxa"/>
            <w:shd w:val="clear" w:color="auto" w:fill="DEEAF6"/>
          </w:tcPr>
          <w:p w14:paraId="7D2634EB" w14:textId="77777777" w:rsidR="00052799" w:rsidRPr="002D7AE6" w:rsidRDefault="00052799" w:rsidP="00871631">
            <w:pPr>
              <w:rPr>
                <w:rFonts w:eastAsia="Calibri"/>
                <w:b/>
                <w:bCs/>
                <w:sz w:val="18"/>
                <w:szCs w:val="18"/>
              </w:rPr>
            </w:pPr>
            <w:r w:rsidRPr="002D7AE6">
              <w:rPr>
                <w:rFonts w:eastAsia="Calibri"/>
                <w:bCs/>
                <w:sz w:val="18"/>
                <w:szCs w:val="18"/>
              </w:rPr>
              <w:t>Control of pest animals</w:t>
            </w:r>
          </w:p>
        </w:tc>
        <w:tc>
          <w:tcPr>
            <w:tcW w:w="1267" w:type="dxa"/>
            <w:shd w:val="clear" w:color="auto" w:fill="DEEAF6"/>
          </w:tcPr>
          <w:p w14:paraId="3DC921B8" w14:textId="305410E2" w:rsidR="00052799" w:rsidRPr="002D7AE6" w:rsidRDefault="00052799" w:rsidP="00871631">
            <w:pPr>
              <w:rPr>
                <w:rFonts w:eastAsia="Calibri"/>
                <w:bCs/>
                <w:sz w:val="18"/>
                <w:szCs w:val="18"/>
              </w:rPr>
            </w:pPr>
            <w:r w:rsidRPr="002D7AE6">
              <w:rPr>
                <w:rFonts w:eastAsia="Calibri"/>
                <w:bCs/>
                <w:sz w:val="18"/>
                <w:szCs w:val="18"/>
              </w:rPr>
              <w:t>Schedule 2 Item</w:t>
            </w:r>
            <w:r w:rsidR="00554C23">
              <w:rPr>
                <w:rFonts w:eastAsia="Calibri"/>
                <w:bCs/>
                <w:sz w:val="18"/>
                <w:szCs w:val="18"/>
              </w:rPr>
              <w:t xml:space="preserve"> </w:t>
            </w:r>
            <w:r w:rsidRPr="002D7AE6">
              <w:rPr>
                <w:rFonts w:eastAsia="Calibri"/>
                <w:bCs/>
                <w:sz w:val="18"/>
                <w:szCs w:val="18"/>
              </w:rPr>
              <w:t>2(1)(b)(i)</w:t>
            </w:r>
          </w:p>
        </w:tc>
        <w:tc>
          <w:tcPr>
            <w:tcW w:w="3395" w:type="dxa"/>
            <w:shd w:val="clear" w:color="auto" w:fill="DEEAF6"/>
          </w:tcPr>
          <w:p w14:paraId="681F5D8B" w14:textId="77777777" w:rsidR="00052799" w:rsidRPr="002D7AE6" w:rsidRDefault="00052799" w:rsidP="00871631">
            <w:pPr>
              <w:rPr>
                <w:rFonts w:eastAsia="Calibri"/>
                <w:sz w:val="18"/>
                <w:szCs w:val="18"/>
              </w:rPr>
            </w:pPr>
            <w:r w:rsidRPr="002D7AE6">
              <w:rPr>
                <w:rFonts w:eastAsia="Calibri"/>
                <w:sz w:val="18"/>
                <w:szCs w:val="18"/>
              </w:rPr>
              <w:t xml:space="preserve">The Act outlines a number of legal uses of Category C longarms. One of the legal uses outlined is the suppression of pest animals by primary producers on another primary production property. </w:t>
            </w:r>
          </w:p>
          <w:p w14:paraId="16548533" w14:textId="77777777" w:rsidR="00052799" w:rsidRPr="002D7AE6" w:rsidRDefault="00052799" w:rsidP="00871631">
            <w:pPr>
              <w:rPr>
                <w:rFonts w:eastAsia="Calibri"/>
                <w:sz w:val="18"/>
                <w:szCs w:val="18"/>
              </w:rPr>
            </w:pPr>
          </w:p>
          <w:p w14:paraId="4386B7FD" w14:textId="2C92DF4B" w:rsidR="00052799" w:rsidRPr="002D7AE6" w:rsidRDefault="00052799" w:rsidP="00871631">
            <w:pPr>
              <w:rPr>
                <w:rFonts w:eastAsia="Calibri"/>
                <w:sz w:val="18"/>
                <w:szCs w:val="18"/>
              </w:rPr>
            </w:pPr>
            <w:r w:rsidRPr="002D7AE6">
              <w:rPr>
                <w:rFonts w:eastAsia="Calibri"/>
                <w:sz w:val="18"/>
                <w:szCs w:val="18"/>
              </w:rPr>
              <w:t xml:space="preserve">The current </w:t>
            </w:r>
            <w:r w:rsidR="0035770A">
              <w:rPr>
                <w:rFonts w:eastAsia="Calibri"/>
                <w:sz w:val="18"/>
                <w:szCs w:val="18"/>
              </w:rPr>
              <w:t>R</w:t>
            </w:r>
            <w:r w:rsidRPr="002D7AE6">
              <w:rPr>
                <w:rFonts w:eastAsia="Calibri"/>
                <w:sz w:val="18"/>
                <w:szCs w:val="18"/>
              </w:rPr>
              <w:t>egulations prescribe that, where a category C longarm is used for such a purpose, the firearm must not be discharged within 250 meters of a dwelling or 100 meters of a public road.</w:t>
            </w:r>
          </w:p>
        </w:tc>
        <w:tc>
          <w:tcPr>
            <w:tcW w:w="3203" w:type="dxa"/>
            <w:shd w:val="clear" w:color="auto" w:fill="DEEAF6"/>
          </w:tcPr>
          <w:p w14:paraId="224D432C" w14:textId="532926F1" w:rsidR="00052799" w:rsidRPr="002D7AE6" w:rsidRDefault="00052799" w:rsidP="00871631">
            <w:pPr>
              <w:rPr>
                <w:rFonts w:eastAsia="Calibri"/>
                <w:sz w:val="18"/>
                <w:szCs w:val="18"/>
              </w:rPr>
            </w:pPr>
            <w:r w:rsidRPr="002D7AE6">
              <w:rPr>
                <w:rFonts w:eastAsia="Calibri"/>
                <w:sz w:val="18"/>
                <w:szCs w:val="18"/>
              </w:rPr>
              <w:t xml:space="preserve">In the absence of the </w:t>
            </w:r>
            <w:r w:rsidR="0035770A">
              <w:rPr>
                <w:rFonts w:eastAsia="Calibri"/>
                <w:sz w:val="18"/>
                <w:szCs w:val="18"/>
              </w:rPr>
              <w:t>R</w:t>
            </w:r>
            <w:r w:rsidRPr="002D7AE6">
              <w:rPr>
                <w:rFonts w:eastAsia="Calibri"/>
                <w:sz w:val="18"/>
                <w:szCs w:val="18"/>
              </w:rPr>
              <w:t xml:space="preserve">egulations, there would be no prohibition against discharging a firearm close to dwellings or roads in a way that could put the public at risk. </w:t>
            </w:r>
          </w:p>
          <w:p w14:paraId="0916B5CC" w14:textId="77777777" w:rsidR="00052799" w:rsidRPr="002D7AE6" w:rsidRDefault="00052799" w:rsidP="00871631">
            <w:pPr>
              <w:rPr>
                <w:rFonts w:eastAsia="Calibri"/>
                <w:sz w:val="18"/>
                <w:szCs w:val="18"/>
              </w:rPr>
            </w:pPr>
          </w:p>
          <w:p w14:paraId="4748F92C" w14:textId="6CC7D1D3" w:rsidR="00052799" w:rsidRPr="002D7AE6" w:rsidRDefault="00052799" w:rsidP="00871631">
            <w:pPr>
              <w:rPr>
                <w:rFonts w:eastAsia="Calibri"/>
                <w:sz w:val="18"/>
                <w:szCs w:val="18"/>
              </w:rPr>
            </w:pPr>
            <w:r w:rsidRPr="002D7AE6">
              <w:rPr>
                <w:rFonts w:eastAsia="Calibri"/>
                <w:sz w:val="18"/>
                <w:szCs w:val="18"/>
              </w:rPr>
              <w:t xml:space="preserve">This could potentially lead to greater nuisance for residents where firearms are being discharged close to residence, and potentially unsafe shooting practices if firearms are more commonly discharged in proximity to roads. </w:t>
            </w:r>
          </w:p>
          <w:p w14:paraId="558BF150" w14:textId="77777777" w:rsidR="00052799" w:rsidRPr="002D7AE6" w:rsidRDefault="00052799" w:rsidP="00871631">
            <w:pPr>
              <w:rPr>
                <w:rFonts w:eastAsia="Calibri"/>
                <w:sz w:val="18"/>
                <w:szCs w:val="18"/>
              </w:rPr>
            </w:pPr>
          </w:p>
        </w:tc>
      </w:tr>
      <w:tr w:rsidR="00052799" w:rsidRPr="002D7AE6" w14:paraId="6A139D2C" w14:textId="77777777" w:rsidTr="00871631">
        <w:tc>
          <w:tcPr>
            <w:tcW w:w="1207" w:type="dxa"/>
            <w:shd w:val="clear" w:color="auto" w:fill="auto"/>
          </w:tcPr>
          <w:p w14:paraId="6F05783B" w14:textId="77777777" w:rsidR="00052799" w:rsidRPr="002D7AE6" w:rsidRDefault="00052799" w:rsidP="00871631">
            <w:pPr>
              <w:rPr>
                <w:rFonts w:eastAsia="Calibri"/>
                <w:b/>
                <w:bCs/>
                <w:sz w:val="18"/>
                <w:szCs w:val="18"/>
              </w:rPr>
            </w:pPr>
            <w:r w:rsidRPr="002D7AE6">
              <w:rPr>
                <w:rFonts w:eastAsia="Calibri"/>
                <w:bCs/>
                <w:sz w:val="18"/>
                <w:szCs w:val="18"/>
              </w:rPr>
              <w:t>Dealers register of transactions</w:t>
            </w:r>
          </w:p>
        </w:tc>
        <w:tc>
          <w:tcPr>
            <w:tcW w:w="1267" w:type="dxa"/>
            <w:shd w:val="clear" w:color="auto" w:fill="auto"/>
          </w:tcPr>
          <w:p w14:paraId="3FE2722F" w14:textId="77777777" w:rsidR="00052799" w:rsidRPr="002D7AE6" w:rsidRDefault="00052799" w:rsidP="00871631">
            <w:pPr>
              <w:rPr>
                <w:rFonts w:eastAsia="Calibri"/>
                <w:sz w:val="18"/>
                <w:szCs w:val="18"/>
              </w:rPr>
            </w:pPr>
            <w:r w:rsidRPr="002D7AE6">
              <w:rPr>
                <w:rFonts w:eastAsia="Calibri"/>
                <w:sz w:val="18"/>
                <w:szCs w:val="18"/>
              </w:rPr>
              <w:t>Section 87</w:t>
            </w:r>
          </w:p>
        </w:tc>
        <w:tc>
          <w:tcPr>
            <w:tcW w:w="3395" w:type="dxa"/>
          </w:tcPr>
          <w:p w14:paraId="6D434D90" w14:textId="77777777" w:rsidR="00052799" w:rsidRPr="002D7AE6" w:rsidRDefault="00052799" w:rsidP="00871631">
            <w:pPr>
              <w:rPr>
                <w:rFonts w:eastAsia="Calibri"/>
                <w:sz w:val="18"/>
                <w:szCs w:val="18"/>
              </w:rPr>
            </w:pPr>
            <w:r w:rsidRPr="002D7AE6">
              <w:rPr>
                <w:rFonts w:eastAsia="Calibri"/>
                <w:sz w:val="18"/>
                <w:szCs w:val="18"/>
              </w:rPr>
              <w:t>Under the Act, licensed dealers are required to record details of any firearms that comes into or out of their possession, or for which they act as an agent in an acquisition or disposal. These details include:</w:t>
            </w:r>
          </w:p>
          <w:p w14:paraId="4A037B02" w14:textId="48C98988" w:rsidR="00052799" w:rsidRPr="002D7AE6" w:rsidRDefault="00052799" w:rsidP="00052799">
            <w:pPr>
              <w:pStyle w:val="ListParagraph"/>
              <w:numPr>
                <w:ilvl w:val="0"/>
                <w:numId w:val="35"/>
              </w:numPr>
              <w:spacing w:after="0" w:line="240" w:lineRule="auto"/>
              <w:rPr>
                <w:rFonts w:ascii="Arial" w:hAnsi="Arial" w:cs="Arial"/>
                <w:sz w:val="18"/>
                <w:szCs w:val="18"/>
              </w:rPr>
            </w:pPr>
            <w:r w:rsidRPr="002D7AE6">
              <w:rPr>
                <w:rFonts w:ascii="Arial" w:hAnsi="Arial" w:cs="Arial"/>
                <w:sz w:val="18"/>
                <w:szCs w:val="18"/>
              </w:rPr>
              <w:t>the make, type, calibre, action, serial number and model (where known) of the firearm involved</w:t>
            </w:r>
          </w:p>
          <w:p w14:paraId="0292D293" w14:textId="76AE063D" w:rsidR="00052799" w:rsidRPr="002D7AE6" w:rsidRDefault="00052799" w:rsidP="00052799">
            <w:pPr>
              <w:pStyle w:val="ListParagraph"/>
              <w:numPr>
                <w:ilvl w:val="0"/>
                <w:numId w:val="35"/>
              </w:numPr>
              <w:spacing w:after="0" w:line="240" w:lineRule="auto"/>
              <w:rPr>
                <w:rFonts w:ascii="Arial" w:hAnsi="Arial" w:cs="Arial"/>
                <w:sz w:val="18"/>
                <w:szCs w:val="18"/>
              </w:rPr>
            </w:pPr>
            <w:r w:rsidRPr="002D7AE6">
              <w:rPr>
                <w:rFonts w:ascii="Arial" w:hAnsi="Arial" w:cs="Arial"/>
                <w:sz w:val="18"/>
                <w:szCs w:val="18"/>
              </w:rPr>
              <w:t>the relevant permit to acquire</w:t>
            </w:r>
            <w:r w:rsidR="00B931AD">
              <w:rPr>
                <w:rFonts w:ascii="Arial" w:hAnsi="Arial" w:cs="Arial"/>
                <w:sz w:val="18"/>
                <w:szCs w:val="18"/>
              </w:rPr>
              <w:t>,</w:t>
            </w:r>
            <w:r w:rsidRPr="002D7AE6">
              <w:rPr>
                <w:rFonts w:ascii="Arial" w:hAnsi="Arial" w:cs="Arial"/>
                <w:sz w:val="18"/>
                <w:szCs w:val="18"/>
              </w:rPr>
              <w:t xml:space="preserve"> and</w:t>
            </w:r>
          </w:p>
          <w:p w14:paraId="55A4F285" w14:textId="0D323837" w:rsidR="00052799" w:rsidRPr="002D7AE6" w:rsidRDefault="00052799" w:rsidP="00052799">
            <w:pPr>
              <w:pStyle w:val="ListParagraph"/>
              <w:numPr>
                <w:ilvl w:val="0"/>
                <w:numId w:val="35"/>
              </w:numPr>
              <w:spacing w:after="0" w:line="240" w:lineRule="auto"/>
              <w:rPr>
                <w:rFonts w:ascii="Arial" w:hAnsi="Arial" w:cs="Arial"/>
                <w:sz w:val="18"/>
                <w:szCs w:val="18"/>
              </w:rPr>
            </w:pPr>
            <w:r w:rsidRPr="002D7AE6">
              <w:rPr>
                <w:rFonts w:ascii="Arial" w:hAnsi="Arial" w:cs="Arial"/>
                <w:sz w:val="18"/>
                <w:szCs w:val="18"/>
              </w:rPr>
              <w:t>the licence number or other evidence of a person’s authority to possess the firearm.</w:t>
            </w:r>
          </w:p>
          <w:p w14:paraId="33F8BD19" w14:textId="77777777" w:rsidR="00052799" w:rsidRPr="002D7AE6" w:rsidRDefault="00052799" w:rsidP="00871631">
            <w:pPr>
              <w:pStyle w:val="ListParagraph"/>
              <w:spacing w:after="0" w:line="240" w:lineRule="auto"/>
              <w:ind w:left="0"/>
              <w:rPr>
                <w:rFonts w:ascii="Arial" w:hAnsi="Arial" w:cs="Arial"/>
                <w:sz w:val="18"/>
                <w:szCs w:val="18"/>
              </w:rPr>
            </w:pPr>
          </w:p>
          <w:p w14:paraId="687B3E53" w14:textId="479044CB" w:rsidR="00052799" w:rsidRPr="002D7AE6" w:rsidRDefault="00052799" w:rsidP="00871631">
            <w:pPr>
              <w:rPr>
                <w:rFonts w:eastAsia="Calibri"/>
                <w:sz w:val="18"/>
                <w:szCs w:val="18"/>
              </w:rPr>
            </w:pPr>
            <w:r w:rsidRPr="002D7AE6">
              <w:rPr>
                <w:rFonts w:eastAsia="Calibri"/>
                <w:sz w:val="18"/>
                <w:szCs w:val="18"/>
              </w:rPr>
              <w:t xml:space="preserve">The current </w:t>
            </w:r>
            <w:r w:rsidR="0035770A">
              <w:rPr>
                <w:rFonts w:eastAsia="Calibri"/>
                <w:sz w:val="18"/>
                <w:szCs w:val="18"/>
              </w:rPr>
              <w:t>R</w:t>
            </w:r>
            <w:r w:rsidRPr="002D7AE6">
              <w:rPr>
                <w:rFonts w:eastAsia="Calibri"/>
                <w:sz w:val="18"/>
                <w:szCs w:val="18"/>
              </w:rPr>
              <w:t>egulations provide that the licensed dealer must record the following details, in addition to the details prescribed by the Act:</w:t>
            </w:r>
          </w:p>
          <w:p w14:paraId="5B12D29D" w14:textId="54FFFC40" w:rsidR="00052799" w:rsidRPr="002D7AE6" w:rsidRDefault="00052799" w:rsidP="00052799">
            <w:pPr>
              <w:pStyle w:val="ListParagraph"/>
              <w:numPr>
                <w:ilvl w:val="0"/>
                <w:numId w:val="41"/>
              </w:numPr>
              <w:spacing w:after="0" w:line="240" w:lineRule="auto"/>
              <w:rPr>
                <w:rFonts w:ascii="Arial" w:hAnsi="Arial" w:cs="Arial"/>
                <w:sz w:val="18"/>
                <w:szCs w:val="18"/>
              </w:rPr>
            </w:pPr>
            <w:r w:rsidRPr="002D7AE6">
              <w:rPr>
                <w:rFonts w:ascii="Arial" w:hAnsi="Arial" w:cs="Arial"/>
                <w:sz w:val="18"/>
                <w:szCs w:val="18"/>
              </w:rPr>
              <w:t>inventory/</w:t>
            </w:r>
            <w:r w:rsidR="00B931AD">
              <w:rPr>
                <w:rFonts w:ascii="Arial" w:hAnsi="Arial" w:cs="Arial"/>
                <w:sz w:val="18"/>
                <w:szCs w:val="18"/>
              </w:rPr>
              <w:t>s</w:t>
            </w:r>
            <w:r w:rsidRPr="002D7AE6">
              <w:rPr>
                <w:rFonts w:ascii="Arial" w:hAnsi="Arial" w:cs="Arial"/>
                <w:sz w:val="18"/>
                <w:szCs w:val="18"/>
              </w:rPr>
              <w:t>tock number</w:t>
            </w:r>
          </w:p>
          <w:p w14:paraId="7C26B06A" w14:textId="7B7CF97D" w:rsidR="00052799" w:rsidRPr="002D7AE6" w:rsidRDefault="00052799" w:rsidP="00052799">
            <w:pPr>
              <w:pStyle w:val="ListParagraph"/>
              <w:numPr>
                <w:ilvl w:val="0"/>
                <w:numId w:val="35"/>
              </w:numPr>
              <w:spacing w:after="0" w:line="240" w:lineRule="auto"/>
              <w:rPr>
                <w:rFonts w:ascii="Arial" w:hAnsi="Arial" w:cs="Arial"/>
                <w:sz w:val="18"/>
                <w:szCs w:val="18"/>
              </w:rPr>
            </w:pPr>
            <w:r w:rsidRPr="002D7AE6">
              <w:rPr>
                <w:rFonts w:ascii="Arial" w:hAnsi="Arial" w:cs="Arial"/>
                <w:sz w:val="18"/>
                <w:szCs w:val="18"/>
              </w:rPr>
              <w:t>date acquired</w:t>
            </w:r>
          </w:p>
          <w:p w14:paraId="734ADB79" w14:textId="047C333D" w:rsidR="00052799" w:rsidRPr="002D7AE6" w:rsidRDefault="00052799" w:rsidP="00052799">
            <w:pPr>
              <w:pStyle w:val="ListParagraph"/>
              <w:numPr>
                <w:ilvl w:val="0"/>
                <w:numId w:val="35"/>
              </w:numPr>
              <w:spacing w:after="0" w:line="240" w:lineRule="auto"/>
              <w:rPr>
                <w:rFonts w:ascii="Arial" w:hAnsi="Arial" w:cs="Arial"/>
                <w:sz w:val="18"/>
                <w:szCs w:val="18"/>
              </w:rPr>
            </w:pPr>
            <w:r w:rsidRPr="002D7AE6">
              <w:rPr>
                <w:rFonts w:ascii="Arial" w:hAnsi="Arial" w:cs="Arial"/>
                <w:sz w:val="18"/>
                <w:szCs w:val="18"/>
              </w:rPr>
              <w:t>magazine capacity</w:t>
            </w:r>
          </w:p>
          <w:p w14:paraId="19D2B2A9" w14:textId="2BC66455" w:rsidR="00052799" w:rsidRPr="002D7AE6" w:rsidRDefault="00052799" w:rsidP="00052799">
            <w:pPr>
              <w:pStyle w:val="ListParagraph"/>
              <w:numPr>
                <w:ilvl w:val="0"/>
                <w:numId w:val="35"/>
              </w:numPr>
              <w:spacing w:after="0" w:line="240" w:lineRule="auto"/>
              <w:rPr>
                <w:rFonts w:ascii="Arial" w:hAnsi="Arial" w:cs="Arial"/>
                <w:sz w:val="18"/>
                <w:szCs w:val="18"/>
              </w:rPr>
            </w:pPr>
            <w:r w:rsidRPr="002D7AE6">
              <w:rPr>
                <w:rFonts w:ascii="Arial" w:hAnsi="Arial" w:cs="Arial"/>
                <w:sz w:val="18"/>
                <w:szCs w:val="18"/>
              </w:rPr>
              <w:t>licence category</w:t>
            </w:r>
          </w:p>
          <w:p w14:paraId="431CC10E" w14:textId="7503DB0E" w:rsidR="00052799" w:rsidRPr="002D7AE6" w:rsidRDefault="00052799" w:rsidP="00052799">
            <w:pPr>
              <w:pStyle w:val="ListParagraph"/>
              <w:numPr>
                <w:ilvl w:val="0"/>
                <w:numId w:val="35"/>
              </w:numPr>
              <w:spacing w:after="0" w:line="240" w:lineRule="auto"/>
              <w:rPr>
                <w:rFonts w:ascii="Arial" w:hAnsi="Arial" w:cs="Arial"/>
                <w:sz w:val="18"/>
                <w:szCs w:val="18"/>
              </w:rPr>
            </w:pPr>
            <w:r w:rsidRPr="002D7AE6">
              <w:rPr>
                <w:rFonts w:ascii="Arial" w:hAnsi="Arial" w:cs="Arial"/>
                <w:sz w:val="18"/>
                <w:szCs w:val="18"/>
              </w:rPr>
              <w:t>reference number</w:t>
            </w:r>
          </w:p>
          <w:p w14:paraId="412710C0" w14:textId="49FD3C45" w:rsidR="00052799" w:rsidRPr="002D7AE6" w:rsidRDefault="00052799" w:rsidP="00052799">
            <w:pPr>
              <w:pStyle w:val="ListParagraph"/>
              <w:numPr>
                <w:ilvl w:val="0"/>
                <w:numId w:val="35"/>
              </w:numPr>
              <w:spacing w:after="0" w:line="240" w:lineRule="auto"/>
              <w:rPr>
                <w:rFonts w:ascii="Arial" w:hAnsi="Arial" w:cs="Arial"/>
                <w:sz w:val="18"/>
                <w:szCs w:val="18"/>
              </w:rPr>
            </w:pPr>
            <w:r w:rsidRPr="002D7AE6">
              <w:rPr>
                <w:rFonts w:ascii="Arial" w:hAnsi="Arial" w:cs="Arial"/>
                <w:sz w:val="18"/>
                <w:szCs w:val="18"/>
              </w:rPr>
              <w:t>purpose for which acquired/ particulars of permit to acquire</w:t>
            </w:r>
          </w:p>
          <w:p w14:paraId="12BA675A" w14:textId="12FDF6B1" w:rsidR="00052799" w:rsidRPr="002D7AE6" w:rsidRDefault="00052799" w:rsidP="00052799">
            <w:pPr>
              <w:pStyle w:val="ListParagraph"/>
              <w:numPr>
                <w:ilvl w:val="0"/>
                <w:numId w:val="35"/>
              </w:numPr>
              <w:spacing w:after="0" w:line="240" w:lineRule="auto"/>
              <w:rPr>
                <w:rFonts w:ascii="Arial" w:hAnsi="Arial" w:cs="Arial"/>
                <w:sz w:val="18"/>
                <w:szCs w:val="18"/>
              </w:rPr>
            </w:pPr>
            <w:r w:rsidRPr="002D7AE6">
              <w:rPr>
                <w:rFonts w:ascii="Arial" w:hAnsi="Arial" w:cs="Arial"/>
                <w:sz w:val="18"/>
                <w:szCs w:val="18"/>
              </w:rPr>
              <w:t>name and address of persons purchasing or disposing of firearm</w:t>
            </w:r>
            <w:r w:rsidR="00B931AD">
              <w:rPr>
                <w:rFonts w:ascii="Arial" w:hAnsi="Arial" w:cs="Arial"/>
                <w:sz w:val="18"/>
                <w:szCs w:val="18"/>
              </w:rPr>
              <w:t xml:space="preserve">, </w:t>
            </w:r>
            <w:r w:rsidRPr="002D7AE6">
              <w:rPr>
                <w:rFonts w:ascii="Arial" w:hAnsi="Arial" w:cs="Arial"/>
                <w:sz w:val="18"/>
                <w:szCs w:val="18"/>
              </w:rPr>
              <w:t>and</w:t>
            </w:r>
          </w:p>
          <w:p w14:paraId="141B93C2" w14:textId="77777777" w:rsidR="00052799" w:rsidRPr="002D7AE6" w:rsidRDefault="00052799" w:rsidP="00052799">
            <w:pPr>
              <w:pStyle w:val="ListParagraph"/>
              <w:numPr>
                <w:ilvl w:val="0"/>
                <w:numId w:val="35"/>
              </w:numPr>
              <w:spacing w:after="0" w:line="240" w:lineRule="auto"/>
              <w:rPr>
                <w:rFonts w:ascii="Arial" w:hAnsi="Arial" w:cs="Arial"/>
                <w:sz w:val="18"/>
                <w:szCs w:val="18"/>
              </w:rPr>
            </w:pPr>
            <w:r w:rsidRPr="002D7AE6">
              <w:rPr>
                <w:rFonts w:ascii="Arial" w:hAnsi="Arial" w:cs="Arial"/>
                <w:sz w:val="18"/>
                <w:szCs w:val="18"/>
              </w:rPr>
              <w:t>the particulars of any work done by the dealer (if relevant).</w:t>
            </w:r>
          </w:p>
        </w:tc>
        <w:tc>
          <w:tcPr>
            <w:tcW w:w="3203" w:type="dxa"/>
            <w:shd w:val="clear" w:color="auto" w:fill="auto"/>
          </w:tcPr>
          <w:p w14:paraId="01002577" w14:textId="3B3B121B" w:rsidR="00052799" w:rsidRPr="002D7AE6" w:rsidRDefault="00052799" w:rsidP="00871631">
            <w:pPr>
              <w:rPr>
                <w:rFonts w:eastAsia="Calibri"/>
                <w:sz w:val="18"/>
                <w:szCs w:val="18"/>
              </w:rPr>
            </w:pPr>
            <w:r w:rsidRPr="002D7AE6">
              <w:rPr>
                <w:rFonts w:eastAsia="Calibri"/>
                <w:sz w:val="18"/>
                <w:szCs w:val="18"/>
              </w:rPr>
              <w:t xml:space="preserve">In the absence of the </w:t>
            </w:r>
            <w:r w:rsidR="0035770A">
              <w:rPr>
                <w:rFonts w:eastAsia="Calibri"/>
                <w:sz w:val="18"/>
                <w:szCs w:val="18"/>
              </w:rPr>
              <w:t>R</w:t>
            </w:r>
            <w:r w:rsidRPr="002D7AE6">
              <w:rPr>
                <w:rFonts w:eastAsia="Calibri"/>
                <w:sz w:val="18"/>
                <w:szCs w:val="18"/>
              </w:rPr>
              <w:t xml:space="preserve">egulations, </w:t>
            </w:r>
            <w:r w:rsidR="00B931AD">
              <w:rPr>
                <w:rFonts w:eastAsia="Calibri"/>
                <w:sz w:val="18"/>
                <w:szCs w:val="18"/>
              </w:rPr>
              <w:t>d</w:t>
            </w:r>
            <w:r w:rsidRPr="002D7AE6">
              <w:rPr>
                <w:rFonts w:eastAsia="Calibri"/>
                <w:sz w:val="18"/>
                <w:szCs w:val="18"/>
              </w:rPr>
              <w:t xml:space="preserve">ealers would still be required to maintain a register of transactions as required by the Act, however they would not be required to record the prescribed particulars. </w:t>
            </w:r>
          </w:p>
          <w:p w14:paraId="7DA9EB3E" w14:textId="77777777" w:rsidR="00052799" w:rsidRPr="002D7AE6" w:rsidRDefault="00052799" w:rsidP="00871631">
            <w:pPr>
              <w:rPr>
                <w:rFonts w:eastAsia="Calibri"/>
                <w:sz w:val="18"/>
                <w:szCs w:val="18"/>
              </w:rPr>
            </w:pPr>
          </w:p>
          <w:p w14:paraId="7AB29F62" w14:textId="77777777" w:rsidR="00052799" w:rsidRPr="002D7AE6" w:rsidRDefault="00052799" w:rsidP="00871631">
            <w:pPr>
              <w:rPr>
                <w:rFonts w:eastAsia="Calibri"/>
                <w:sz w:val="18"/>
                <w:szCs w:val="18"/>
              </w:rPr>
            </w:pPr>
            <w:r w:rsidRPr="002D7AE6">
              <w:rPr>
                <w:rFonts w:eastAsia="Calibri"/>
                <w:sz w:val="18"/>
                <w:szCs w:val="18"/>
              </w:rPr>
              <w:t xml:space="preserve">This would reduce the ability of Victoria Police to monitor and trace firearms. It would also remove a source of information that can be examined for details of people acquiring or disposing of firearms when this information becomes relevant to an investigation. </w:t>
            </w:r>
          </w:p>
          <w:p w14:paraId="319973B4" w14:textId="77777777" w:rsidR="00052799" w:rsidRPr="002D7AE6" w:rsidRDefault="00052799" w:rsidP="00871631">
            <w:pPr>
              <w:rPr>
                <w:rFonts w:eastAsia="Calibri"/>
                <w:sz w:val="18"/>
                <w:szCs w:val="18"/>
              </w:rPr>
            </w:pPr>
          </w:p>
          <w:p w14:paraId="66F89907" w14:textId="64326B4D" w:rsidR="00052799" w:rsidRPr="002D7AE6" w:rsidRDefault="00052799">
            <w:pPr>
              <w:rPr>
                <w:rFonts w:eastAsia="Calibri"/>
                <w:sz w:val="18"/>
                <w:szCs w:val="18"/>
              </w:rPr>
            </w:pPr>
            <w:r w:rsidRPr="002D7AE6">
              <w:rPr>
                <w:rFonts w:eastAsia="Calibri"/>
                <w:sz w:val="18"/>
                <w:szCs w:val="18"/>
              </w:rPr>
              <w:t xml:space="preserve">Finally, it provides a source of information against which a dealer’s stock and reported activities can be reconciled, allowing official records to be verified and dealer compliance to be assessed. The information provided allows Victoria Police to trace the movement of individual firearms (for example, where a firearm may have been diverted to the illicit market or misused). Without the prescribed particulars, it would not be possible to adequately monitor or enforce compliance. </w:t>
            </w:r>
          </w:p>
        </w:tc>
      </w:tr>
      <w:tr w:rsidR="00052799" w:rsidRPr="002D7AE6" w14:paraId="7A555C8B" w14:textId="77777777" w:rsidTr="00871631">
        <w:tc>
          <w:tcPr>
            <w:tcW w:w="1207" w:type="dxa"/>
            <w:shd w:val="clear" w:color="auto" w:fill="DEEAF6"/>
          </w:tcPr>
          <w:p w14:paraId="0D8195F3" w14:textId="77777777" w:rsidR="00052799" w:rsidRPr="002D7AE6" w:rsidRDefault="00052799" w:rsidP="00871631">
            <w:pPr>
              <w:rPr>
                <w:rFonts w:eastAsia="Calibri"/>
                <w:b/>
                <w:bCs/>
                <w:sz w:val="18"/>
                <w:szCs w:val="18"/>
              </w:rPr>
            </w:pPr>
            <w:r w:rsidRPr="002D7AE6">
              <w:rPr>
                <w:rFonts w:eastAsia="Calibri"/>
                <w:bCs/>
                <w:sz w:val="18"/>
                <w:szCs w:val="18"/>
              </w:rPr>
              <w:t>Firearms collectors register</w:t>
            </w:r>
          </w:p>
        </w:tc>
        <w:tc>
          <w:tcPr>
            <w:tcW w:w="1267" w:type="dxa"/>
            <w:shd w:val="clear" w:color="auto" w:fill="DEEAF6"/>
          </w:tcPr>
          <w:p w14:paraId="3F625382" w14:textId="77777777" w:rsidR="00052799" w:rsidRPr="002D7AE6" w:rsidRDefault="00052799" w:rsidP="00871631">
            <w:pPr>
              <w:rPr>
                <w:rFonts w:eastAsia="Calibri"/>
                <w:sz w:val="18"/>
                <w:szCs w:val="18"/>
              </w:rPr>
            </w:pPr>
            <w:r w:rsidRPr="002D7AE6">
              <w:rPr>
                <w:rFonts w:eastAsia="Calibri"/>
                <w:sz w:val="18"/>
                <w:szCs w:val="18"/>
              </w:rPr>
              <w:t>Section 24</w:t>
            </w:r>
          </w:p>
        </w:tc>
        <w:tc>
          <w:tcPr>
            <w:tcW w:w="3395" w:type="dxa"/>
            <w:shd w:val="clear" w:color="auto" w:fill="DEEAF6"/>
          </w:tcPr>
          <w:p w14:paraId="3A2A7FF6" w14:textId="77777777" w:rsidR="00052799" w:rsidRPr="002D7AE6" w:rsidRDefault="00052799" w:rsidP="00871631">
            <w:pPr>
              <w:rPr>
                <w:rFonts w:eastAsia="Calibri"/>
                <w:sz w:val="18"/>
                <w:szCs w:val="18"/>
              </w:rPr>
            </w:pPr>
            <w:r w:rsidRPr="002D7AE6">
              <w:rPr>
                <w:rFonts w:eastAsia="Calibri"/>
                <w:sz w:val="18"/>
                <w:szCs w:val="18"/>
              </w:rPr>
              <w:t xml:space="preserve">The Act requires that holders of firearms collectors licences must keep a register of firearms held under their licence. </w:t>
            </w:r>
          </w:p>
          <w:p w14:paraId="0B7BE320" w14:textId="77777777" w:rsidR="00052799" w:rsidRPr="002D7AE6" w:rsidRDefault="00052799" w:rsidP="00871631">
            <w:pPr>
              <w:rPr>
                <w:rFonts w:eastAsia="Calibri"/>
                <w:sz w:val="18"/>
                <w:szCs w:val="18"/>
              </w:rPr>
            </w:pPr>
          </w:p>
          <w:p w14:paraId="2AC5058A" w14:textId="7D4B4C79" w:rsidR="00052799" w:rsidRPr="002D7AE6" w:rsidRDefault="00052799" w:rsidP="00871631">
            <w:pPr>
              <w:rPr>
                <w:rFonts w:eastAsia="Calibri"/>
                <w:sz w:val="18"/>
                <w:szCs w:val="18"/>
              </w:rPr>
            </w:pPr>
            <w:r w:rsidRPr="002D7AE6">
              <w:rPr>
                <w:rFonts w:eastAsia="Calibri"/>
                <w:sz w:val="18"/>
                <w:szCs w:val="18"/>
              </w:rPr>
              <w:t xml:space="preserve">The current </w:t>
            </w:r>
            <w:r w:rsidR="00B931AD">
              <w:rPr>
                <w:rFonts w:eastAsia="Calibri"/>
                <w:sz w:val="18"/>
                <w:szCs w:val="18"/>
              </w:rPr>
              <w:t>R</w:t>
            </w:r>
            <w:r w:rsidRPr="002D7AE6">
              <w:rPr>
                <w:rFonts w:eastAsia="Calibri"/>
                <w:sz w:val="18"/>
                <w:szCs w:val="18"/>
              </w:rPr>
              <w:t xml:space="preserve">egulations prescribe particulars which must be entered into this register. These presently include (depending on the type of transaction): </w:t>
            </w:r>
          </w:p>
          <w:p w14:paraId="63723A79" w14:textId="77777777" w:rsidR="00052799" w:rsidRPr="002D7AE6" w:rsidRDefault="00052799" w:rsidP="00052799">
            <w:pPr>
              <w:pStyle w:val="ListParagraph"/>
              <w:numPr>
                <w:ilvl w:val="0"/>
                <w:numId w:val="36"/>
              </w:numPr>
              <w:spacing w:after="0" w:line="240" w:lineRule="auto"/>
              <w:rPr>
                <w:rFonts w:ascii="Arial" w:hAnsi="Arial" w:cs="Arial"/>
                <w:sz w:val="18"/>
                <w:szCs w:val="18"/>
              </w:rPr>
            </w:pPr>
            <w:r w:rsidRPr="002D7AE6">
              <w:rPr>
                <w:rFonts w:ascii="Arial" w:hAnsi="Arial" w:cs="Arial"/>
                <w:sz w:val="18"/>
                <w:szCs w:val="18"/>
              </w:rPr>
              <w:t>the make, type, calibre, action, serial number, and magazine capacity of the firearm involved;</w:t>
            </w:r>
          </w:p>
          <w:p w14:paraId="303A2EC4" w14:textId="77777777" w:rsidR="00052799" w:rsidRPr="002D7AE6" w:rsidRDefault="00052799" w:rsidP="00052799">
            <w:pPr>
              <w:pStyle w:val="ListParagraph"/>
              <w:numPr>
                <w:ilvl w:val="0"/>
                <w:numId w:val="36"/>
              </w:numPr>
              <w:spacing w:after="0" w:line="240" w:lineRule="auto"/>
              <w:rPr>
                <w:rFonts w:ascii="Arial" w:hAnsi="Arial" w:cs="Arial"/>
                <w:sz w:val="18"/>
                <w:szCs w:val="18"/>
              </w:rPr>
            </w:pPr>
            <w:r w:rsidRPr="002D7AE6">
              <w:rPr>
                <w:rFonts w:ascii="Arial" w:hAnsi="Arial" w:cs="Arial"/>
                <w:sz w:val="18"/>
                <w:szCs w:val="18"/>
              </w:rPr>
              <w:t>date of acquisition or disposal;</w:t>
            </w:r>
          </w:p>
          <w:p w14:paraId="4320E3E1" w14:textId="77777777" w:rsidR="00052799" w:rsidRPr="002D7AE6" w:rsidRDefault="00052799" w:rsidP="00052799">
            <w:pPr>
              <w:pStyle w:val="ListParagraph"/>
              <w:numPr>
                <w:ilvl w:val="0"/>
                <w:numId w:val="36"/>
              </w:numPr>
              <w:spacing w:after="0" w:line="240" w:lineRule="auto"/>
              <w:rPr>
                <w:rFonts w:ascii="Arial" w:hAnsi="Arial" w:cs="Arial"/>
                <w:sz w:val="18"/>
                <w:szCs w:val="18"/>
              </w:rPr>
            </w:pPr>
            <w:r w:rsidRPr="002D7AE6">
              <w:rPr>
                <w:rFonts w:ascii="Arial" w:hAnsi="Arial" w:cs="Arial"/>
                <w:sz w:val="18"/>
                <w:szCs w:val="18"/>
              </w:rPr>
              <w:t>licence category;</w:t>
            </w:r>
          </w:p>
          <w:p w14:paraId="5FD2FDF0" w14:textId="77777777" w:rsidR="00052799" w:rsidRPr="002D7AE6" w:rsidRDefault="00052799" w:rsidP="00052799">
            <w:pPr>
              <w:pStyle w:val="ListParagraph"/>
              <w:numPr>
                <w:ilvl w:val="0"/>
                <w:numId w:val="36"/>
              </w:numPr>
              <w:spacing w:after="0" w:line="240" w:lineRule="auto"/>
              <w:rPr>
                <w:rFonts w:ascii="Arial" w:hAnsi="Arial" w:cs="Arial"/>
                <w:sz w:val="18"/>
                <w:szCs w:val="18"/>
              </w:rPr>
            </w:pPr>
            <w:r w:rsidRPr="002D7AE6">
              <w:rPr>
                <w:rFonts w:ascii="Arial" w:hAnsi="Arial" w:cs="Arial"/>
                <w:sz w:val="18"/>
                <w:szCs w:val="18"/>
              </w:rPr>
              <w:t>reference number;</w:t>
            </w:r>
          </w:p>
          <w:p w14:paraId="3C64B9CD" w14:textId="77777777" w:rsidR="00052799" w:rsidRPr="002D7AE6" w:rsidRDefault="00052799" w:rsidP="00052799">
            <w:pPr>
              <w:pStyle w:val="ListParagraph"/>
              <w:numPr>
                <w:ilvl w:val="0"/>
                <w:numId w:val="36"/>
              </w:numPr>
              <w:spacing w:after="0" w:line="240" w:lineRule="auto"/>
              <w:rPr>
                <w:rFonts w:ascii="Arial" w:hAnsi="Arial" w:cs="Arial"/>
                <w:sz w:val="18"/>
                <w:szCs w:val="18"/>
              </w:rPr>
            </w:pPr>
            <w:r w:rsidRPr="002D7AE6">
              <w:rPr>
                <w:rFonts w:ascii="Arial" w:hAnsi="Arial" w:cs="Arial"/>
                <w:sz w:val="18"/>
                <w:szCs w:val="18"/>
              </w:rPr>
              <w:t>name and address of the relevant firearms dealer; and</w:t>
            </w:r>
          </w:p>
          <w:p w14:paraId="7F38D099" w14:textId="4CC1C68D" w:rsidR="00052799" w:rsidRPr="002D7AE6" w:rsidRDefault="00052799">
            <w:pPr>
              <w:pStyle w:val="ListParagraph"/>
              <w:numPr>
                <w:ilvl w:val="0"/>
                <w:numId w:val="36"/>
              </w:numPr>
              <w:spacing w:after="0" w:line="240" w:lineRule="auto"/>
              <w:rPr>
                <w:rFonts w:ascii="Arial" w:hAnsi="Arial" w:cs="Arial"/>
                <w:sz w:val="18"/>
                <w:szCs w:val="18"/>
              </w:rPr>
            </w:pPr>
            <w:r w:rsidRPr="002D7AE6">
              <w:rPr>
                <w:rFonts w:ascii="Arial" w:hAnsi="Arial" w:cs="Arial"/>
                <w:sz w:val="18"/>
                <w:szCs w:val="18"/>
              </w:rPr>
              <w:t>name and address of the person from whom the firearm was acquired or to whom the firearm was disposed of (where not a dealer).</w:t>
            </w:r>
          </w:p>
        </w:tc>
        <w:tc>
          <w:tcPr>
            <w:tcW w:w="3203" w:type="dxa"/>
            <w:shd w:val="clear" w:color="auto" w:fill="DEEAF6"/>
          </w:tcPr>
          <w:p w14:paraId="41A789B3" w14:textId="77777777" w:rsidR="00052799" w:rsidRPr="002D7AE6" w:rsidRDefault="00052799" w:rsidP="00871631">
            <w:pPr>
              <w:rPr>
                <w:rFonts w:eastAsia="Calibri"/>
                <w:sz w:val="18"/>
                <w:szCs w:val="18"/>
              </w:rPr>
            </w:pPr>
            <w:r w:rsidRPr="002D7AE6">
              <w:rPr>
                <w:rFonts w:eastAsia="Calibri"/>
                <w:sz w:val="18"/>
                <w:szCs w:val="18"/>
              </w:rPr>
              <w:t>In the absence of the Regulations, collectors would be required to maintain a register of firearms held under their licence, but there would be no guidance as to the details this register would need to include.</w:t>
            </w:r>
          </w:p>
          <w:p w14:paraId="535A6547" w14:textId="77777777" w:rsidR="00052799" w:rsidRPr="002D7AE6" w:rsidRDefault="00052799" w:rsidP="00871631">
            <w:pPr>
              <w:rPr>
                <w:rFonts w:eastAsia="Calibri"/>
                <w:sz w:val="18"/>
                <w:szCs w:val="18"/>
              </w:rPr>
            </w:pPr>
          </w:p>
          <w:p w14:paraId="4DEC390C" w14:textId="77777777" w:rsidR="00052799" w:rsidRPr="002D7AE6" w:rsidRDefault="00052799" w:rsidP="00871631">
            <w:pPr>
              <w:rPr>
                <w:rFonts w:eastAsia="Calibri"/>
                <w:sz w:val="18"/>
                <w:szCs w:val="18"/>
              </w:rPr>
            </w:pPr>
          </w:p>
        </w:tc>
      </w:tr>
      <w:tr w:rsidR="00052799" w:rsidRPr="002D7AE6" w14:paraId="54358B89" w14:textId="77777777" w:rsidTr="00871631">
        <w:tc>
          <w:tcPr>
            <w:tcW w:w="1207" w:type="dxa"/>
            <w:shd w:val="clear" w:color="auto" w:fill="auto"/>
          </w:tcPr>
          <w:p w14:paraId="37CC42DF" w14:textId="77777777" w:rsidR="00052799" w:rsidRPr="002D7AE6" w:rsidRDefault="00052799" w:rsidP="00871631">
            <w:pPr>
              <w:rPr>
                <w:rFonts w:eastAsia="Calibri"/>
                <w:b/>
                <w:bCs/>
                <w:sz w:val="18"/>
                <w:szCs w:val="18"/>
              </w:rPr>
            </w:pPr>
            <w:r w:rsidRPr="002D7AE6">
              <w:rPr>
                <w:rFonts w:eastAsia="Calibri"/>
                <w:bCs/>
                <w:sz w:val="18"/>
                <w:szCs w:val="18"/>
              </w:rPr>
              <w:t>Fees charged by dealers for acting as agent</w:t>
            </w:r>
          </w:p>
        </w:tc>
        <w:tc>
          <w:tcPr>
            <w:tcW w:w="1267" w:type="dxa"/>
            <w:shd w:val="clear" w:color="auto" w:fill="auto"/>
          </w:tcPr>
          <w:p w14:paraId="322E40F3" w14:textId="77777777" w:rsidR="00052799" w:rsidRPr="002D7AE6" w:rsidRDefault="00052799" w:rsidP="00871631">
            <w:pPr>
              <w:rPr>
                <w:rFonts w:eastAsia="Calibri"/>
                <w:sz w:val="18"/>
                <w:szCs w:val="18"/>
              </w:rPr>
            </w:pPr>
            <w:r w:rsidRPr="002D7AE6">
              <w:rPr>
                <w:rFonts w:eastAsia="Calibri"/>
                <w:sz w:val="18"/>
                <w:szCs w:val="18"/>
              </w:rPr>
              <w:t>Section 97</w:t>
            </w:r>
          </w:p>
        </w:tc>
        <w:tc>
          <w:tcPr>
            <w:tcW w:w="3395" w:type="dxa"/>
            <w:shd w:val="clear" w:color="auto" w:fill="auto"/>
          </w:tcPr>
          <w:p w14:paraId="337E7F3F" w14:textId="0FBF53B2" w:rsidR="00052799" w:rsidRPr="002D7AE6" w:rsidRDefault="00052799">
            <w:pPr>
              <w:rPr>
                <w:rFonts w:eastAsia="Calibri"/>
                <w:sz w:val="18"/>
                <w:szCs w:val="18"/>
              </w:rPr>
            </w:pPr>
            <w:r w:rsidRPr="002D7AE6">
              <w:rPr>
                <w:rFonts w:eastAsia="Calibri"/>
                <w:sz w:val="18"/>
                <w:szCs w:val="18"/>
              </w:rPr>
              <w:t xml:space="preserve">The Act provides that licensed firearms dealers must not charge more than a prescribed amount when acting as agents for the acquisition or disposal of firearms by third parties under Section 95 or 96 of the Act. The current </w:t>
            </w:r>
            <w:r w:rsidR="00B931AD">
              <w:rPr>
                <w:rFonts w:eastAsia="Calibri"/>
                <w:sz w:val="18"/>
                <w:szCs w:val="18"/>
              </w:rPr>
              <w:t>R</w:t>
            </w:r>
            <w:r w:rsidRPr="002D7AE6">
              <w:rPr>
                <w:rFonts w:eastAsia="Calibri"/>
                <w:sz w:val="18"/>
                <w:szCs w:val="18"/>
              </w:rPr>
              <w:t xml:space="preserve">egulations prescribe this amount at $25. </w:t>
            </w:r>
          </w:p>
        </w:tc>
        <w:tc>
          <w:tcPr>
            <w:tcW w:w="3203" w:type="dxa"/>
            <w:shd w:val="clear" w:color="auto" w:fill="auto"/>
          </w:tcPr>
          <w:p w14:paraId="16E46CFB" w14:textId="39FA7B01" w:rsidR="00052799" w:rsidRPr="002D7AE6" w:rsidRDefault="00052799" w:rsidP="00871631">
            <w:pPr>
              <w:rPr>
                <w:rFonts w:eastAsia="Calibri"/>
                <w:sz w:val="18"/>
                <w:szCs w:val="18"/>
              </w:rPr>
            </w:pPr>
            <w:r w:rsidRPr="002D7AE6">
              <w:rPr>
                <w:rFonts w:eastAsia="Calibri"/>
                <w:sz w:val="18"/>
                <w:szCs w:val="18"/>
              </w:rPr>
              <w:t xml:space="preserve">In the absence of the remade </w:t>
            </w:r>
            <w:r w:rsidR="00B931AD">
              <w:rPr>
                <w:rFonts w:eastAsia="Calibri"/>
                <w:sz w:val="18"/>
                <w:szCs w:val="18"/>
              </w:rPr>
              <w:t>R</w:t>
            </w:r>
            <w:r w:rsidRPr="002D7AE6">
              <w:rPr>
                <w:rFonts w:eastAsia="Calibri"/>
                <w:sz w:val="18"/>
                <w:szCs w:val="18"/>
              </w:rPr>
              <w:t xml:space="preserve">egulations, the maximum amount that could be charged would not be prescribed. Dealers would be free to charge an amount of their choosing for acting as an agent in transfers under Section 95 or 96 of the Act. </w:t>
            </w:r>
          </w:p>
        </w:tc>
      </w:tr>
      <w:tr w:rsidR="00052799" w:rsidRPr="002D7AE6" w14:paraId="48B4D7BF" w14:textId="77777777" w:rsidTr="00052799">
        <w:tc>
          <w:tcPr>
            <w:tcW w:w="1207" w:type="dxa"/>
            <w:shd w:val="clear" w:color="auto" w:fill="DEEAF6"/>
          </w:tcPr>
          <w:p w14:paraId="2536E302" w14:textId="77777777" w:rsidR="00052799" w:rsidRPr="002D7AE6" w:rsidRDefault="00052799" w:rsidP="00871631">
            <w:pPr>
              <w:rPr>
                <w:rFonts w:eastAsia="Calibri"/>
                <w:b/>
                <w:bCs/>
                <w:sz w:val="18"/>
                <w:szCs w:val="18"/>
              </w:rPr>
            </w:pPr>
            <w:r w:rsidRPr="002D7AE6">
              <w:rPr>
                <w:rFonts w:eastAsia="Calibri"/>
                <w:bCs/>
                <w:sz w:val="18"/>
                <w:szCs w:val="18"/>
              </w:rPr>
              <w:t>Searches of persons or vehicles under the Act</w:t>
            </w:r>
          </w:p>
        </w:tc>
        <w:tc>
          <w:tcPr>
            <w:tcW w:w="1267" w:type="dxa"/>
            <w:shd w:val="clear" w:color="auto" w:fill="DEEAF6"/>
          </w:tcPr>
          <w:p w14:paraId="45AF8E35" w14:textId="77777777" w:rsidR="00052799" w:rsidRPr="002D7AE6" w:rsidRDefault="00052799" w:rsidP="00871631">
            <w:pPr>
              <w:rPr>
                <w:rFonts w:eastAsia="Calibri"/>
                <w:sz w:val="18"/>
                <w:szCs w:val="18"/>
              </w:rPr>
            </w:pPr>
            <w:r w:rsidRPr="002D7AE6">
              <w:rPr>
                <w:rFonts w:eastAsia="Calibri"/>
                <w:sz w:val="18"/>
                <w:szCs w:val="18"/>
              </w:rPr>
              <w:t>Sections 149, 149A, 153A and 153B</w:t>
            </w:r>
          </w:p>
        </w:tc>
        <w:tc>
          <w:tcPr>
            <w:tcW w:w="3395" w:type="dxa"/>
            <w:shd w:val="clear" w:color="auto" w:fill="DEEAF6"/>
          </w:tcPr>
          <w:p w14:paraId="7AEF4FDB" w14:textId="77777777" w:rsidR="00052799" w:rsidRPr="002D7AE6" w:rsidRDefault="00052799" w:rsidP="00871631">
            <w:pPr>
              <w:rPr>
                <w:rFonts w:eastAsia="Calibri"/>
                <w:sz w:val="18"/>
                <w:szCs w:val="18"/>
              </w:rPr>
            </w:pPr>
            <w:r w:rsidRPr="002D7AE6">
              <w:rPr>
                <w:rFonts w:eastAsia="Calibri"/>
                <w:sz w:val="18"/>
                <w:szCs w:val="18"/>
              </w:rPr>
              <w:t>The Act empowers police and certain other authorised officers to undertake warrantless searches of persons, vehicles, packages and things under certain circumstances, using powers contained in Sections 149 and 153A of the Act.</w:t>
            </w:r>
          </w:p>
          <w:p w14:paraId="49D78523" w14:textId="77777777" w:rsidR="00052799" w:rsidRPr="002D7AE6" w:rsidRDefault="00052799" w:rsidP="00871631">
            <w:pPr>
              <w:rPr>
                <w:rFonts w:eastAsia="Calibri"/>
                <w:sz w:val="18"/>
                <w:szCs w:val="18"/>
              </w:rPr>
            </w:pPr>
          </w:p>
          <w:p w14:paraId="6C1B5DDD" w14:textId="594D96B3" w:rsidR="00052799" w:rsidRPr="002D7AE6" w:rsidRDefault="00052799" w:rsidP="00871631">
            <w:pPr>
              <w:rPr>
                <w:rFonts w:eastAsia="Calibri"/>
                <w:sz w:val="18"/>
                <w:szCs w:val="18"/>
              </w:rPr>
            </w:pPr>
            <w:r w:rsidRPr="002D7AE6">
              <w:rPr>
                <w:rFonts w:eastAsia="Calibri"/>
                <w:sz w:val="18"/>
                <w:szCs w:val="18"/>
              </w:rPr>
              <w:t xml:space="preserve">The current </w:t>
            </w:r>
            <w:r w:rsidR="00B931AD">
              <w:rPr>
                <w:rFonts w:eastAsia="Calibri"/>
                <w:sz w:val="18"/>
                <w:szCs w:val="18"/>
              </w:rPr>
              <w:t>R</w:t>
            </w:r>
            <w:r w:rsidRPr="002D7AE6">
              <w:rPr>
                <w:rFonts w:eastAsia="Calibri"/>
                <w:sz w:val="18"/>
                <w:szCs w:val="18"/>
              </w:rPr>
              <w:t>egulations set out the manner in which these searches must be carried out , which can include:</w:t>
            </w:r>
          </w:p>
          <w:p w14:paraId="70ECD26E" w14:textId="109B39DB" w:rsidR="00052799" w:rsidRPr="002D7AE6" w:rsidRDefault="00052799" w:rsidP="00052799">
            <w:pPr>
              <w:pStyle w:val="ListParagraph"/>
              <w:numPr>
                <w:ilvl w:val="0"/>
                <w:numId w:val="37"/>
              </w:numPr>
              <w:spacing w:after="0" w:line="240" w:lineRule="auto"/>
              <w:rPr>
                <w:rFonts w:ascii="Arial" w:hAnsi="Arial" w:cs="Arial"/>
                <w:sz w:val="18"/>
                <w:szCs w:val="18"/>
              </w:rPr>
            </w:pPr>
            <w:r w:rsidRPr="002D7AE6">
              <w:rPr>
                <w:rFonts w:ascii="Arial" w:hAnsi="Arial" w:cs="Arial"/>
                <w:sz w:val="18"/>
                <w:szCs w:val="18"/>
              </w:rPr>
              <w:t xml:space="preserve">the use of a metal detection device </w:t>
            </w:r>
          </w:p>
          <w:p w14:paraId="4851BC92" w14:textId="2E073E75" w:rsidR="00052799" w:rsidRPr="002D7AE6" w:rsidRDefault="00052799" w:rsidP="00052799">
            <w:pPr>
              <w:pStyle w:val="ListParagraph"/>
              <w:numPr>
                <w:ilvl w:val="0"/>
                <w:numId w:val="37"/>
              </w:numPr>
              <w:spacing w:after="0" w:line="240" w:lineRule="auto"/>
              <w:rPr>
                <w:rFonts w:ascii="Arial" w:hAnsi="Arial" w:cs="Arial"/>
                <w:sz w:val="18"/>
                <w:szCs w:val="18"/>
              </w:rPr>
            </w:pPr>
            <w:r w:rsidRPr="002D7AE6">
              <w:rPr>
                <w:rFonts w:ascii="Arial" w:hAnsi="Arial" w:cs="Arial"/>
                <w:sz w:val="18"/>
                <w:szCs w:val="18"/>
              </w:rPr>
              <w:t>passing of a hand over the person’s clothing</w:t>
            </w:r>
          </w:p>
          <w:p w14:paraId="02BC1B90" w14:textId="77777777" w:rsidR="00052799" w:rsidRPr="002D7AE6" w:rsidRDefault="00052799" w:rsidP="00052799">
            <w:pPr>
              <w:pStyle w:val="ListParagraph"/>
              <w:numPr>
                <w:ilvl w:val="0"/>
                <w:numId w:val="37"/>
              </w:numPr>
              <w:spacing w:after="0" w:line="240" w:lineRule="auto"/>
              <w:rPr>
                <w:rFonts w:ascii="Arial" w:hAnsi="Arial" w:cs="Arial"/>
                <w:sz w:val="18"/>
                <w:szCs w:val="18"/>
              </w:rPr>
            </w:pPr>
            <w:r w:rsidRPr="002D7AE6">
              <w:rPr>
                <w:rFonts w:ascii="Arial" w:hAnsi="Arial" w:cs="Arial"/>
                <w:sz w:val="18"/>
                <w:szCs w:val="18"/>
              </w:rPr>
              <w:t>requesting the removal of outer clothing, gloves, shoes and headgear and its subsequent search, and</w:t>
            </w:r>
          </w:p>
          <w:p w14:paraId="057A13B8" w14:textId="77777777" w:rsidR="00052799" w:rsidRPr="002D7AE6" w:rsidRDefault="00052799" w:rsidP="00052799">
            <w:pPr>
              <w:pStyle w:val="ListParagraph"/>
              <w:numPr>
                <w:ilvl w:val="0"/>
                <w:numId w:val="37"/>
              </w:numPr>
              <w:spacing w:after="0" w:line="240" w:lineRule="auto"/>
              <w:rPr>
                <w:rFonts w:ascii="Arial" w:hAnsi="Arial" w:cs="Arial"/>
                <w:sz w:val="18"/>
                <w:szCs w:val="18"/>
              </w:rPr>
            </w:pPr>
            <w:r w:rsidRPr="002D7AE6">
              <w:rPr>
                <w:rFonts w:ascii="Arial" w:hAnsi="Arial" w:cs="Arial"/>
                <w:sz w:val="18"/>
                <w:szCs w:val="18"/>
              </w:rPr>
              <w:t>examination of a vehicle, package or thing</w:t>
            </w:r>
          </w:p>
          <w:p w14:paraId="37533A5C" w14:textId="77777777" w:rsidR="00052799" w:rsidRPr="002D7AE6" w:rsidRDefault="00052799" w:rsidP="00871631">
            <w:pPr>
              <w:rPr>
                <w:rFonts w:eastAsia="Calibri"/>
                <w:sz w:val="18"/>
                <w:szCs w:val="18"/>
              </w:rPr>
            </w:pPr>
          </w:p>
          <w:p w14:paraId="0EF2B4F5" w14:textId="77777777" w:rsidR="00052799" w:rsidRPr="002D7AE6" w:rsidRDefault="00052799" w:rsidP="00871631">
            <w:pPr>
              <w:rPr>
                <w:rFonts w:eastAsia="Calibri"/>
                <w:sz w:val="18"/>
                <w:szCs w:val="18"/>
              </w:rPr>
            </w:pPr>
            <w:r w:rsidRPr="002D7AE6">
              <w:rPr>
                <w:rFonts w:eastAsia="Calibri"/>
                <w:sz w:val="18"/>
                <w:szCs w:val="18"/>
              </w:rPr>
              <w:t>Searches must also:</w:t>
            </w:r>
          </w:p>
          <w:p w14:paraId="1014C185" w14:textId="77777777" w:rsidR="00052799" w:rsidRPr="002D7AE6" w:rsidRDefault="00052799" w:rsidP="00052799">
            <w:pPr>
              <w:pStyle w:val="ListParagraph"/>
              <w:numPr>
                <w:ilvl w:val="0"/>
                <w:numId w:val="37"/>
              </w:numPr>
              <w:spacing w:after="0" w:line="240" w:lineRule="auto"/>
              <w:rPr>
                <w:rFonts w:ascii="Arial" w:hAnsi="Arial" w:cs="Arial"/>
                <w:sz w:val="18"/>
                <w:szCs w:val="18"/>
              </w:rPr>
            </w:pPr>
            <w:r w:rsidRPr="002D7AE6">
              <w:rPr>
                <w:rFonts w:ascii="Arial" w:hAnsi="Arial" w:cs="Arial"/>
                <w:sz w:val="18"/>
                <w:szCs w:val="18"/>
              </w:rPr>
              <w:t>afford reasonable privacy to the person being searched</w:t>
            </w:r>
          </w:p>
          <w:p w14:paraId="0750CCBC" w14:textId="77777777" w:rsidR="00052799" w:rsidRPr="002D7AE6" w:rsidRDefault="00052799" w:rsidP="00052799">
            <w:pPr>
              <w:pStyle w:val="ListParagraph"/>
              <w:numPr>
                <w:ilvl w:val="0"/>
                <w:numId w:val="37"/>
              </w:numPr>
              <w:spacing w:after="0" w:line="240" w:lineRule="auto"/>
              <w:rPr>
                <w:rFonts w:ascii="Arial" w:hAnsi="Arial" w:cs="Arial"/>
                <w:sz w:val="18"/>
                <w:szCs w:val="18"/>
              </w:rPr>
            </w:pPr>
            <w:r w:rsidRPr="002D7AE6">
              <w:rPr>
                <w:rFonts w:ascii="Arial" w:hAnsi="Arial" w:cs="Arial"/>
                <w:sz w:val="18"/>
                <w:szCs w:val="18"/>
              </w:rPr>
              <w:t>be as quick as practicable, and</w:t>
            </w:r>
          </w:p>
          <w:p w14:paraId="41CAEB5D" w14:textId="77777777" w:rsidR="00052799" w:rsidRPr="002D7AE6" w:rsidRDefault="00052799" w:rsidP="00052799">
            <w:pPr>
              <w:pStyle w:val="ListParagraph"/>
              <w:numPr>
                <w:ilvl w:val="0"/>
                <w:numId w:val="37"/>
              </w:numPr>
              <w:spacing w:after="0" w:line="240" w:lineRule="auto"/>
              <w:rPr>
                <w:rFonts w:ascii="Arial" w:hAnsi="Arial" w:cs="Arial"/>
                <w:sz w:val="18"/>
                <w:szCs w:val="18"/>
              </w:rPr>
            </w:pPr>
            <w:r w:rsidRPr="002D7AE6">
              <w:rPr>
                <w:rFonts w:ascii="Arial" w:hAnsi="Arial" w:cs="Arial"/>
                <w:sz w:val="18"/>
                <w:szCs w:val="18"/>
              </w:rPr>
              <w:t>be conducted, where practicable, by an officer of the same sex as the person being searched.</w:t>
            </w:r>
          </w:p>
          <w:p w14:paraId="20B428ED" w14:textId="77777777" w:rsidR="00052799" w:rsidRPr="002D7AE6" w:rsidRDefault="00052799" w:rsidP="00871631">
            <w:pPr>
              <w:rPr>
                <w:rFonts w:eastAsia="Calibri"/>
                <w:sz w:val="18"/>
                <w:szCs w:val="18"/>
              </w:rPr>
            </w:pPr>
          </w:p>
          <w:p w14:paraId="3A92D348" w14:textId="2643CB6C" w:rsidR="00052799" w:rsidRPr="002D7AE6" w:rsidRDefault="00052799" w:rsidP="00871631">
            <w:pPr>
              <w:rPr>
                <w:rFonts w:eastAsia="Calibri"/>
                <w:sz w:val="18"/>
                <w:szCs w:val="18"/>
              </w:rPr>
            </w:pPr>
            <w:r w:rsidRPr="002D7AE6">
              <w:rPr>
                <w:rFonts w:eastAsia="Calibri"/>
                <w:sz w:val="18"/>
                <w:szCs w:val="18"/>
              </w:rPr>
              <w:t xml:space="preserve">The Regulations also provide that, where a student is searched at school, the search process must </w:t>
            </w:r>
            <w:r w:rsidR="00B931AD">
              <w:rPr>
                <w:rFonts w:eastAsia="Calibri"/>
                <w:sz w:val="18"/>
                <w:szCs w:val="18"/>
              </w:rPr>
              <w:t xml:space="preserve">also </w:t>
            </w:r>
            <w:r w:rsidRPr="002D7AE6">
              <w:rPr>
                <w:rFonts w:eastAsia="Calibri"/>
                <w:sz w:val="18"/>
                <w:szCs w:val="18"/>
              </w:rPr>
              <w:t>allow for an adult on the school premises to be present during the search.</w:t>
            </w:r>
          </w:p>
          <w:p w14:paraId="2DC03A10" w14:textId="77777777" w:rsidR="00052799" w:rsidRPr="002D7AE6" w:rsidRDefault="00052799" w:rsidP="00871631">
            <w:pPr>
              <w:rPr>
                <w:rFonts w:eastAsia="Calibri"/>
                <w:sz w:val="18"/>
                <w:szCs w:val="18"/>
              </w:rPr>
            </w:pPr>
          </w:p>
          <w:p w14:paraId="42804789" w14:textId="77777777" w:rsidR="00052799" w:rsidRPr="002D7AE6" w:rsidRDefault="00052799" w:rsidP="00871631">
            <w:pPr>
              <w:rPr>
                <w:rFonts w:eastAsia="Calibri"/>
                <w:sz w:val="18"/>
                <w:szCs w:val="18"/>
              </w:rPr>
            </w:pPr>
            <w:r w:rsidRPr="002D7AE6">
              <w:rPr>
                <w:rFonts w:eastAsia="Calibri"/>
                <w:sz w:val="18"/>
                <w:szCs w:val="18"/>
              </w:rPr>
              <w:t>Finally, sections 149A and 153B of the Act provide that an officer who conducts a search must make a written record of the search. The Regulations prescribe particulars that must be contained in the record.</w:t>
            </w:r>
          </w:p>
        </w:tc>
        <w:tc>
          <w:tcPr>
            <w:tcW w:w="3203" w:type="dxa"/>
            <w:shd w:val="clear" w:color="auto" w:fill="DEEAF6"/>
          </w:tcPr>
          <w:p w14:paraId="4E4536CC" w14:textId="77777777" w:rsidR="00052799" w:rsidRPr="002D7AE6" w:rsidRDefault="00052799" w:rsidP="00871631">
            <w:pPr>
              <w:rPr>
                <w:rFonts w:eastAsia="Calibri"/>
                <w:sz w:val="18"/>
                <w:szCs w:val="18"/>
              </w:rPr>
            </w:pPr>
            <w:r w:rsidRPr="002D7AE6">
              <w:rPr>
                <w:rFonts w:eastAsia="Calibri"/>
                <w:sz w:val="18"/>
                <w:szCs w:val="18"/>
              </w:rPr>
              <w:t xml:space="preserve">In the absence of the remade Regulations, there would be fewer legislative controls on the conduct of searches under sections 149 or 153A. </w:t>
            </w:r>
          </w:p>
          <w:p w14:paraId="50541CC1" w14:textId="77777777" w:rsidR="00052799" w:rsidRPr="002D7AE6" w:rsidRDefault="00052799" w:rsidP="00871631">
            <w:pPr>
              <w:rPr>
                <w:rFonts w:eastAsia="Calibri"/>
                <w:sz w:val="18"/>
                <w:szCs w:val="18"/>
              </w:rPr>
            </w:pPr>
          </w:p>
          <w:p w14:paraId="45E0007D" w14:textId="65A9E1BD" w:rsidR="00052799" w:rsidRPr="002D7AE6" w:rsidRDefault="00052799" w:rsidP="00871631">
            <w:pPr>
              <w:rPr>
                <w:rFonts w:eastAsia="Calibri"/>
                <w:sz w:val="18"/>
                <w:szCs w:val="18"/>
              </w:rPr>
            </w:pPr>
            <w:r w:rsidRPr="002D7AE6">
              <w:rPr>
                <w:rFonts w:eastAsia="Calibri"/>
                <w:sz w:val="18"/>
                <w:szCs w:val="18"/>
              </w:rPr>
              <w:t xml:space="preserve">Although searches under these provisions would be subject to the </w:t>
            </w:r>
            <w:r w:rsidRPr="002D7AE6">
              <w:rPr>
                <w:rFonts w:eastAsia="Calibri"/>
                <w:i/>
                <w:sz w:val="18"/>
                <w:szCs w:val="18"/>
              </w:rPr>
              <w:t>Charter of Human Rights and Responsibilities Act 2006</w:t>
            </w:r>
            <w:r w:rsidRPr="002D7AE6">
              <w:rPr>
                <w:rFonts w:eastAsia="Calibri"/>
                <w:sz w:val="18"/>
                <w:szCs w:val="18"/>
              </w:rPr>
              <w:t xml:space="preserve">, the specific requirements that searches be as quick as practicable and afford reasonable privacy to the person being searched would not apply. As such, without the regulations, </w:t>
            </w:r>
            <w:r w:rsidR="00B931AD">
              <w:rPr>
                <w:rFonts w:eastAsia="Calibri"/>
                <w:sz w:val="18"/>
                <w:szCs w:val="18"/>
              </w:rPr>
              <w:t>i</w:t>
            </w:r>
            <w:r w:rsidRPr="002D7AE6">
              <w:rPr>
                <w:rFonts w:eastAsia="Calibri"/>
                <w:sz w:val="18"/>
                <w:szCs w:val="18"/>
              </w:rPr>
              <w:t xml:space="preserve">t is possible that searches would be conducted in a way that was </w:t>
            </w:r>
            <w:r w:rsidR="00B931AD">
              <w:rPr>
                <w:rFonts w:eastAsia="Calibri"/>
                <w:sz w:val="18"/>
                <w:szCs w:val="18"/>
              </w:rPr>
              <w:t>less consistent</w:t>
            </w:r>
            <w:r w:rsidRPr="002D7AE6">
              <w:rPr>
                <w:rFonts w:eastAsia="Calibri"/>
                <w:sz w:val="18"/>
                <w:szCs w:val="18"/>
              </w:rPr>
              <w:t xml:space="preserve">. Without the Regulations, Victoria Police officers would be have to make judgements on a case-by-case basis about whether their conduct was generally in keeping with the </w:t>
            </w:r>
            <w:r w:rsidRPr="002D7AE6">
              <w:rPr>
                <w:rFonts w:eastAsia="Calibri"/>
                <w:i/>
                <w:sz w:val="18"/>
                <w:szCs w:val="18"/>
              </w:rPr>
              <w:t>Charter of Human Rights and Responsibilities Act 2006</w:t>
            </w:r>
            <w:r w:rsidRPr="002D7AE6">
              <w:rPr>
                <w:rFonts w:eastAsia="Calibri"/>
                <w:sz w:val="18"/>
                <w:szCs w:val="18"/>
              </w:rPr>
              <w:t>.</w:t>
            </w:r>
          </w:p>
          <w:p w14:paraId="3D7F9639" w14:textId="77777777" w:rsidR="00052799" w:rsidRPr="002D7AE6" w:rsidRDefault="00052799" w:rsidP="00871631">
            <w:pPr>
              <w:rPr>
                <w:rFonts w:eastAsia="Calibri"/>
                <w:sz w:val="18"/>
                <w:szCs w:val="18"/>
              </w:rPr>
            </w:pPr>
            <w:r w:rsidRPr="002D7AE6">
              <w:rPr>
                <w:rFonts w:eastAsia="Calibri"/>
                <w:sz w:val="18"/>
                <w:szCs w:val="18"/>
              </w:rPr>
              <w:t xml:space="preserve"> </w:t>
            </w:r>
          </w:p>
          <w:p w14:paraId="62B2E83D" w14:textId="77777777" w:rsidR="00052799" w:rsidRPr="002D7AE6" w:rsidRDefault="00052799" w:rsidP="00871631">
            <w:pPr>
              <w:rPr>
                <w:rFonts w:eastAsia="Calibri"/>
                <w:sz w:val="18"/>
                <w:szCs w:val="18"/>
              </w:rPr>
            </w:pPr>
            <w:r w:rsidRPr="002D7AE6">
              <w:rPr>
                <w:rFonts w:eastAsia="Calibri"/>
                <w:sz w:val="18"/>
                <w:szCs w:val="18"/>
              </w:rPr>
              <w:t>There would be no requirements as to the contents of the written record of a search.</w:t>
            </w:r>
          </w:p>
          <w:p w14:paraId="04845CB5" w14:textId="77777777" w:rsidR="00052799" w:rsidRPr="002D7AE6" w:rsidRDefault="00052799" w:rsidP="00871631">
            <w:pPr>
              <w:rPr>
                <w:rFonts w:eastAsia="Calibri"/>
                <w:sz w:val="18"/>
                <w:szCs w:val="18"/>
              </w:rPr>
            </w:pPr>
          </w:p>
          <w:p w14:paraId="64E5387C" w14:textId="77777777" w:rsidR="00052799" w:rsidRPr="002D7AE6" w:rsidRDefault="00052799" w:rsidP="00871631">
            <w:pPr>
              <w:rPr>
                <w:rFonts w:eastAsia="Calibri"/>
                <w:sz w:val="18"/>
                <w:szCs w:val="18"/>
              </w:rPr>
            </w:pPr>
          </w:p>
        </w:tc>
      </w:tr>
      <w:tr w:rsidR="00052799" w:rsidRPr="002D7AE6" w14:paraId="0CC605E6" w14:textId="77777777" w:rsidTr="00871631">
        <w:tc>
          <w:tcPr>
            <w:tcW w:w="1207" w:type="dxa"/>
            <w:shd w:val="clear" w:color="auto" w:fill="auto"/>
          </w:tcPr>
          <w:p w14:paraId="5CC58709" w14:textId="77777777" w:rsidR="00052799" w:rsidRPr="002D7AE6" w:rsidRDefault="00052799" w:rsidP="00871631">
            <w:pPr>
              <w:rPr>
                <w:rFonts w:eastAsia="Calibri"/>
                <w:b/>
                <w:bCs/>
                <w:sz w:val="18"/>
                <w:szCs w:val="18"/>
              </w:rPr>
            </w:pPr>
            <w:r w:rsidRPr="002D7AE6">
              <w:rPr>
                <w:rFonts w:eastAsia="Calibri"/>
                <w:bCs/>
                <w:sz w:val="18"/>
                <w:szCs w:val="18"/>
              </w:rPr>
              <w:t xml:space="preserve">Prescribed infringement offences and applicable penalties </w:t>
            </w:r>
          </w:p>
        </w:tc>
        <w:tc>
          <w:tcPr>
            <w:tcW w:w="1267" w:type="dxa"/>
            <w:shd w:val="clear" w:color="auto" w:fill="auto"/>
          </w:tcPr>
          <w:p w14:paraId="20DA5D81" w14:textId="77777777" w:rsidR="00052799" w:rsidRPr="002D7AE6" w:rsidRDefault="00052799" w:rsidP="00871631">
            <w:pPr>
              <w:rPr>
                <w:rFonts w:eastAsia="Calibri"/>
                <w:sz w:val="18"/>
                <w:szCs w:val="18"/>
              </w:rPr>
            </w:pPr>
            <w:r w:rsidRPr="002D7AE6">
              <w:rPr>
                <w:rFonts w:eastAsia="Calibri"/>
                <w:sz w:val="18"/>
                <w:szCs w:val="18"/>
              </w:rPr>
              <w:t>Sections 168 and 170</w:t>
            </w:r>
          </w:p>
        </w:tc>
        <w:tc>
          <w:tcPr>
            <w:tcW w:w="3395" w:type="dxa"/>
            <w:shd w:val="clear" w:color="auto" w:fill="auto"/>
          </w:tcPr>
          <w:p w14:paraId="7441F3A7" w14:textId="77777777" w:rsidR="00052799" w:rsidRPr="002D7AE6" w:rsidRDefault="00052799" w:rsidP="00871631">
            <w:pPr>
              <w:rPr>
                <w:rFonts w:eastAsia="Calibri"/>
                <w:sz w:val="18"/>
                <w:szCs w:val="18"/>
              </w:rPr>
            </w:pPr>
            <w:r w:rsidRPr="002D7AE6">
              <w:rPr>
                <w:rFonts w:eastAsia="Calibri"/>
                <w:sz w:val="18"/>
                <w:szCs w:val="18"/>
              </w:rPr>
              <w:t xml:space="preserve">The Act provides that an infringement notice may be issued in relation to any prescribed offence. </w:t>
            </w:r>
          </w:p>
          <w:p w14:paraId="212D4D0C" w14:textId="77777777" w:rsidR="00052799" w:rsidRPr="002D7AE6" w:rsidRDefault="00052799" w:rsidP="00871631">
            <w:pPr>
              <w:rPr>
                <w:rFonts w:eastAsia="Calibri"/>
                <w:sz w:val="18"/>
                <w:szCs w:val="18"/>
              </w:rPr>
            </w:pPr>
          </w:p>
          <w:p w14:paraId="61F1971B" w14:textId="4145F1D1" w:rsidR="00052799" w:rsidRPr="002D7AE6" w:rsidRDefault="00052799" w:rsidP="00871631">
            <w:pPr>
              <w:rPr>
                <w:rFonts w:eastAsia="Calibri"/>
                <w:sz w:val="18"/>
                <w:szCs w:val="18"/>
              </w:rPr>
            </w:pPr>
            <w:r w:rsidRPr="002D7AE6">
              <w:rPr>
                <w:rFonts w:eastAsia="Calibri"/>
                <w:sz w:val="18"/>
                <w:szCs w:val="18"/>
              </w:rPr>
              <w:t xml:space="preserve">The current </w:t>
            </w:r>
            <w:r w:rsidR="00B931AD">
              <w:rPr>
                <w:rFonts w:eastAsia="Calibri"/>
                <w:sz w:val="18"/>
                <w:szCs w:val="18"/>
              </w:rPr>
              <w:t>R</w:t>
            </w:r>
            <w:r w:rsidRPr="002D7AE6">
              <w:rPr>
                <w:rFonts w:eastAsia="Calibri"/>
                <w:sz w:val="18"/>
                <w:szCs w:val="18"/>
              </w:rPr>
              <w:t>egulations</w:t>
            </w:r>
            <w:r w:rsidRPr="002D7AE6" w:rsidDel="00DF6CF0">
              <w:rPr>
                <w:rFonts w:eastAsia="Calibri"/>
                <w:sz w:val="18"/>
                <w:szCs w:val="18"/>
              </w:rPr>
              <w:t xml:space="preserve"> </w:t>
            </w:r>
            <w:r w:rsidRPr="002D7AE6">
              <w:rPr>
                <w:rFonts w:eastAsia="Calibri"/>
                <w:sz w:val="18"/>
                <w:szCs w:val="18"/>
              </w:rPr>
              <w:t xml:space="preserve">prescribe the offences for which infringement notices can be issued. They also prescribe the applicable infringement penalties for those offences. </w:t>
            </w:r>
          </w:p>
          <w:p w14:paraId="0C3EC72B" w14:textId="77777777" w:rsidR="00052799" w:rsidRPr="002D7AE6" w:rsidRDefault="00052799" w:rsidP="00871631">
            <w:pPr>
              <w:rPr>
                <w:rFonts w:eastAsia="Calibri"/>
                <w:sz w:val="18"/>
                <w:szCs w:val="18"/>
              </w:rPr>
            </w:pPr>
          </w:p>
        </w:tc>
        <w:tc>
          <w:tcPr>
            <w:tcW w:w="3203" w:type="dxa"/>
            <w:shd w:val="clear" w:color="auto" w:fill="auto"/>
          </w:tcPr>
          <w:p w14:paraId="5F6B86B9" w14:textId="77777777" w:rsidR="00052799" w:rsidRPr="002D7AE6" w:rsidRDefault="00052799" w:rsidP="00871631">
            <w:pPr>
              <w:rPr>
                <w:rFonts w:eastAsia="Calibri"/>
                <w:sz w:val="18"/>
                <w:szCs w:val="18"/>
              </w:rPr>
            </w:pPr>
            <w:r w:rsidRPr="002D7AE6">
              <w:rPr>
                <w:rFonts w:eastAsia="Calibri"/>
                <w:sz w:val="18"/>
                <w:szCs w:val="18"/>
              </w:rPr>
              <w:t xml:space="preserve">In the absence of the remade Regulations, it will not be possible for any offences in the Act to be dealt with by infringement notice. </w:t>
            </w:r>
          </w:p>
          <w:p w14:paraId="3B1C59B3" w14:textId="77777777" w:rsidR="00052799" w:rsidRPr="002D7AE6" w:rsidRDefault="00052799" w:rsidP="00871631">
            <w:pPr>
              <w:rPr>
                <w:rFonts w:eastAsia="Calibri"/>
                <w:sz w:val="18"/>
                <w:szCs w:val="18"/>
              </w:rPr>
            </w:pPr>
          </w:p>
          <w:p w14:paraId="49A9F07C" w14:textId="77777777" w:rsidR="00052799" w:rsidRPr="002D7AE6" w:rsidRDefault="00052799" w:rsidP="00871631">
            <w:pPr>
              <w:rPr>
                <w:rFonts w:eastAsia="Calibri"/>
                <w:sz w:val="18"/>
                <w:szCs w:val="18"/>
              </w:rPr>
            </w:pPr>
            <w:r w:rsidRPr="002D7AE6">
              <w:rPr>
                <w:rFonts w:eastAsia="Calibri"/>
                <w:sz w:val="18"/>
                <w:szCs w:val="18"/>
              </w:rPr>
              <w:t>Always having to enforce minor offences through court action is generally more costly for both parties involved, and may result in police choosing not to take any enforcement action in the case of more minor offences (due to the cost and scale of the penalties involved). Only allowing Victoria Police to pursue high-cost enforcement mechanisms may decrease the amount of enforcement activity that can feasibly be undertaken by Victoria Police (within its efficient allocation of resources), which could reduce the public perception of repercussions arising from non-compliance.</w:t>
            </w:r>
          </w:p>
          <w:p w14:paraId="177B9154" w14:textId="77777777" w:rsidR="00052799" w:rsidRPr="002D7AE6" w:rsidRDefault="00052799" w:rsidP="00871631">
            <w:pPr>
              <w:rPr>
                <w:rFonts w:eastAsia="Calibri"/>
                <w:sz w:val="18"/>
                <w:szCs w:val="18"/>
              </w:rPr>
            </w:pPr>
          </w:p>
          <w:p w14:paraId="7A82F38B" w14:textId="680ADFDE" w:rsidR="00052799" w:rsidRPr="002D7AE6" w:rsidRDefault="00052799" w:rsidP="00871631">
            <w:pPr>
              <w:rPr>
                <w:rFonts w:eastAsia="Calibri"/>
                <w:sz w:val="18"/>
                <w:szCs w:val="18"/>
              </w:rPr>
            </w:pPr>
            <w:r w:rsidRPr="002D7AE6">
              <w:rPr>
                <w:rFonts w:eastAsia="Calibri"/>
                <w:sz w:val="18"/>
                <w:szCs w:val="18"/>
              </w:rPr>
              <w:t xml:space="preserve">This could </w:t>
            </w:r>
            <w:r w:rsidR="00B931AD">
              <w:rPr>
                <w:rFonts w:eastAsia="Calibri"/>
                <w:sz w:val="18"/>
                <w:szCs w:val="18"/>
              </w:rPr>
              <w:t xml:space="preserve">in turn </w:t>
            </w:r>
            <w:r w:rsidRPr="002D7AE6">
              <w:rPr>
                <w:rFonts w:eastAsia="Calibri"/>
                <w:sz w:val="18"/>
                <w:szCs w:val="18"/>
              </w:rPr>
              <w:t xml:space="preserve">reduce the effectiveness of Victoria Police’s enforcement activities. </w:t>
            </w:r>
          </w:p>
        </w:tc>
      </w:tr>
      <w:tr w:rsidR="00052799" w:rsidRPr="002D7AE6" w14:paraId="55911687" w14:textId="77777777" w:rsidTr="00052799">
        <w:tc>
          <w:tcPr>
            <w:tcW w:w="1207" w:type="dxa"/>
            <w:shd w:val="clear" w:color="auto" w:fill="DEEAF6"/>
          </w:tcPr>
          <w:p w14:paraId="23DCF956" w14:textId="77777777" w:rsidR="00052799" w:rsidRPr="002D7AE6" w:rsidRDefault="00052799" w:rsidP="00871631">
            <w:pPr>
              <w:rPr>
                <w:rFonts w:eastAsia="Calibri"/>
                <w:b/>
                <w:bCs/>
                <w:sz w:val="18"/>
                <w:szCs w:val="18"/>
              </w:rPr>
            </w:pPr>
            <w:r w:rsidRPr="002D7AE6">
              <w:rPr>
                <w:rFonts w:eastAsia="Calibri"/>
                <w:bCs/>
                <w:sz w:val="18"/>
                <w:szCs w:val="18"/>
              </w:rPr>
              <w:t>Exempt devices</w:t>
            </w:r>
          </w:p>
        </w:tc>
        <w:tc>
          <w:tcPr>
            <w:tcW w:w="1267" w:type="dxa"/>
            <w:shd w:val="clear" w:color="auto" w:fill="DEEAF6"/>
          </w:tcPr>
          <w:p w14:paraId="6F56153B" w14:textId="77777777" w:rsidR="00052799" w:rsidRPr="002D7AE6" w:rsidRDefault="00052799" w:rsidP="00871631">
            <w:pPr>
              <w:rPr>
                <w:rFonts w:eastAsia="Calibri"/>
                <w:sz w:val="18"/>
                <w:szCs w:val="18"/>
              </w:rPr>
            </w:pPr>
            <w:r w:rsidRPr="002D7AE6">
              <w:rPr>
                <w:rFonts w:eastAsia="Calibri"/>
                <w:sz w:val="18"/>
                <w:szCs w:val="18"/>
              </w:rPr>
              <w:t>Section 3</w:t>
            </w:r>
          </w:p>
        </w:tc>
        <w:tc>
          <w:tcPr>
            <w:tcW w:w="3395" w:type="dxa"/>
            <w:shd w:val="clear" w:color="auto" w:fill="DEEAF6"/>
          </w:tcPr>
          <w:p w14:paraId="54797317" w14:textId="77777777" w:rsidR="00052799" w:rsidRPr="002D7AE6" w:rsidRDefault="00052799" w:rsidP="00871631">
            <w:pPr>
              <w:rPr>
                <w:rFonts w:eastAsia="Calibri"/>
                <w:sz w:val="18"/>
                <w:szCs w:val="18"/>
              </w:rPr>
            </w:pPr>
            <w:r w:rsidRPr="002D7AE6">
              <w:rPr>
                <w:rFonts w:eastAsia="Calibri"/>
                <w:sz w:val="18"/>
                <w:szCs w:val="18"/>
              </w:rPr>
              <w:t>The Act includes a definition of the term ’firearm’, stating that it does not exclude a device in any prescribed class.</w:t>
            </w:r>
          </w:p>
          <w:p w14:paraId="52412088" w14:textId="77777777" w:rsidR="00052799" w:rsidRPr="002D7AE6" w:rsidRDefault="00052799" w:rsidP="00871631">
            <w:pPr>
              <w:rPr>
                <w:rFonts w:eastAsia="Calibri"/>
                <w:sz w:val="18"/>
                <w:szCs w:val="18"/>
              </w:rPr>
            </w:pPr>
          </w:p>
          <w:p w14:paraId="2789DFD1" w14:textId="335AB6D1" w:rsidR="00052799" w:rsidRPr="002D7AE6" w:rsidRDefault="00052799" w:rsidP="00871631">
            <w:pPr>
              <w:rPr>
                <w:rFonts w:eastAsia="Calibri"/>
                <w:sz w:val="18"/>
                <w:szCs w:val="18"/>
              </w:rPr>
            </w:pPr>
            <w:r w:rsidRPr="002D7AE6">
              <w:rPr>
                <w:rFonts w:eastAsia="Calibri"/>
                <w:sz w:val="18"/>
                <w:szCs w:val="18"/>
              </w:rPr>
              <w:t xml:space="preserve">The current </w:t>
            </w:r>
            <w:r w:rsidR="00B931AD">
              <w:rPr>
                <w:rFonts w:eastAsia="Calibri"/>
                <w:sz w:val="18"/>
                <w:szCs w:val="18"/>
              </w:rPr>
              <w:t>R</w:t>
            </w:r>
            <w:r w:rsidRPr="002D7AE6">
              <w:rPr>
                <w:rFonts w:eastAsia="Calibri"/>
                <w:sz w:val="18"/>
                <w:szCs w:val="18"/>
              </w:rPr>
              <w:t xml:space="preserve">egulations prescribe a number of specific devices as being outside the definition of firearm, including: </w:t>
            </w:r>
          </w:p>
          <w:p w14:paraId="6F5C29AB" w14:textId="77777777" w:rsidR="00052799" w:rsidRPr="002D7AE6" w:rsidRDefault="00052799" w:rsidP="00052799">
            <w:pPr>
              <w:pStyle w:val="ListParagraph"/>
              <w:numPr>
                <w:ilvl w:val="0"/>
                <w:numId w:val="38"/>
              </w:numPr>
              <w:spacing w:after="0" w:line="240" w:lineRule="auto"/>
              <w:rPr>
                <w:rFonts w:ascii="Arial" w:hAnsi="Arial" w:cs="Arial"/>
                <w:sz w:val="18"/>
                <w:szCs w:val="18"/>
              </w:rPr>
            </w:pPr>
            <w:r w:rsidRPr="002D7AE6">
              <w:rPr>
                <w:rFonts w:ascii="Arial" w:hAnsi="Arial" w:cs="Arial"/>
                <w:sz w:val="18"/>
                <w:szCs w:val="18"/>
              </w:rPr>
              <w:t>devices intended to throw nets to catch animals (commonly known as cannon nets)</w:t>
            </w:r>
          </w:p>
          <w:p w14:paraId="3DB76FAB" w14:textId="77777777" w:rsidR="00052799" w:rsidRPr="002D7AE6" w:rsidRDefault="00052799" w:rsidP="00052799">
            <w:pPr>
              <w:pStyle w:val="ListParagraph"/>
              <w:numPr>
                <w:ilvl w:val="0"/>
                <w:numId w:val="38"/>
              </w:numPr>
              <w:spacing w:after="0" w:line="240" w:lineRule="auto"/>
              <w:rPr>
                <w:rFonts w:ascii="Arial" w:hAnsi="Arial" w:cs="Arial"/>
                <w:sz w:val="18"/>
                <w:szCs w:val="18"/>
              </w:rPr>
            </w:pPr>
            <w:r w:rsidRPr="002D7AE6">
              <w:rPr>
                <w:rFonts w:ascii="Arial" w:hAnsi="Arial" w:cs="Arial"/>
                <w:sz w:val="18"/>
                <w:szCs w:val="18"/>
              </w:rPr>
              <w:t>model warship compressed air cannons with limited calibre and muzzle velocity, and</w:t>
            </w:r>
          </w:p>
          <w:p w14:paraId="4143D859" w14:textId="77777777" w:rsidR="00052799" w:rsidRPr="002D7AE6" w:rsidRDefault="00052799" w:rsidP="00052799">
            <w:pPr>
              <w:pStyle w:val="ListParagraph"/>
              <w:numPr>
                <w:ilvl w:val="0"/>
                <w:numId w:val="38"/>
              </w:numPr>
              <w:spacing w:after="0" w:line="240" w:lineRule="auto"/>
              <w:rPr>
                <w:rFonts w:ascii="Arial" w:hAnsi="Arial" w:cs="Arial"/>
                <w:sz w:val="18"/>
                <w:szCs w:val="18"/>
              </w:rPr>
            </w:pPr>
            <w:r w:rsidRPr="002D7AE6">
              <w:rPr>
                <w:rFonts w:ascii="Arial" w:hAnsi="Arial" w:cs="Arial"/>
                <w:sz w:val="18"/>
                <w:szCs w:val="18"/>
              </w:rPr>
              <w:t>any cannon or field gun with a calibre greater than 25 millimetres, which has been rendered permanently inoperable or for which fixed ammunition is not commercially available.</w:t>
            </w:r>
          </w:p>
        </w:tc>
        <w:tc>
          <w:tcPr>
            <w:tcW w:w="3203" w:type="dxa"/>
            <w:shd w:val="clear" w:color="auto" w:fill="DEEAF6"/>
          </w:tcPr>
          <w:p w14:paraId="62CFB761" w14:textId="1D8D919C" w:rsidR="00052799" w:rsidRPr="002D7AE6" w:rsidRDefault="00052799" w:rsidP="00871631">
            <w:pPr>
              <w:rPr>
                <w:rFonts w:eastAsia="Calibri"/>
                <w:sz w:val="18"/>
                <w:szCs w:val="18"/>
              </w:rPr>
            </w:pPr>
            <w:r w:rsidRPr="002D7AE6">
              <w:rPr>
                <w:rFonts w:eastAsia="Calibri"/>
                <w:sz w:val="18"/>
                <w:szCs w:val="18"/>
              </w:rPr>
              <w:t xml:space="preserve">In the absence of the remade </w:t>
            </w:r>
            <w:r w:rsidR="00B931AD">
              <w:rPr>
                <w:rFonts w:eastAsia="Calibri"/>
                <w:sz w:val="18"/>
                <w:szCs w:val="18"/>
              </w:rPr>
              <w:t>R</w:t>
            </w:r>
            <w:r w:rsidRPr="002D7AE6">
              <w:rPr>
                <w:rFonts w:eastAsia="Calibri"/>
                <w:sz w:val="18"/>
                <w:szCs w:val="18"/>
              </w:rPr>
              <w:t>egulations, the</w:t>
            </w:r>
            <w:r w:rsidR="00B931AD">
              <w:rPr>
                <w:rFonts w:eastAsia="Calibri"/>
                <w:sz w:val="18"/>
                <w:szCs w:val="18"/>
              </w:rPr>
              <w:t>se</w:t>
            </w:r>
            <w:r w:rsidRPr="002D7AE6">
              <w:rPr>
                <w:rFonts w:eastAsia="Calibri"/>
                <w:sz w:val="18"/>
                <w:szCs w:val="18"/>
              </w:rPr>
              <w:t xml:space="preserve"> devices would fall within the definition of a firearm under the Act. This would have a range of impacts including: </w:t>
            </w:r>
          </w:p>
          <w:p w14:paraId="55BAF767" w14:textId="77777777" w:rsidR="00052799" w:rsidRPr="002D7AE6" w:rsidRDefault="00052799" w:rsidP="00052799">
            <w:pPr>
              <w:numPr>
                <w:ilvl w:val="0"/>
                <w:numId w:val="44"/>
              </w:numPr>
              <w:rPr>
                <w:rFonts w:eastAsia="Calibri"/>
                <w:sz w:val="18"/>
                <w:szCs w:val="18"/>
              </w:rPr>
            </w:pPr>
            <w:r w:rsidRPr="002D7AE6">
              <w:rPr>
                <w:rFonts w:eastAsia="Calibri"/>
                <w:sz w:val="18"/>
                <w:szCs w:val="18"/>
              </w:rPr>
              <w:t xml:space="preserve">the commercial impact on the market for devices such as cannon nets, which would require a firearms licence to be owned or operated, and </w:t>
            </w:r>
          </w:p>
          <w:p w14:paraId="00B20B3B" w14:textId="77777777" w:rsidR="00052799" w:rsidRPr="002D7AE6" w:rsidRDefault="00052799" w:rsidP="00052799">
            <w:pPr>
              <w:numPr>
                <w:ilvl w:val="0"/>
                <w:numId w:val="44"/>
              </w:numPr>
              <w:rPr>
                <w:rFonts w:eastAsia="Calibri"/>
                <w:sz w:val="18"/>
                <w:szCs w:val="18"/>
              </w:rPr>
            </w:pPr>
            <w:r w:rsidRPr="002D7AE6">
              <w:rPr>
                <w:rFonts w:eastAsia="Calibri"/>
                <w:sz w:val="18"/>
                <w:szCs w:val="18"/>
              </w:rPr>
              <w:t>an increase in regulatory burden and administration costs as holders of presently exempt devices are brought under regulation of the Act.</w:t>
            </w:r>
          </w:p>
          <w:p w14:paraId="49657D9F" w14:textId="77777777" w:rsidR="00052799" w:rsidRPr="002D7AE6" w:rsidRDefault="00052799" w:rsidP="00871631">
            <w:pPr>
              <w:rPr>
                <w:rFonts w:eastAsia="Calibri"/>
                <w:sz w:val="18"/>
                <w:szCs w:val="18"/>
              </w:rPr>
            </w:pPr>
            <w:r w:rsidRPr="002D7AE6">
              <w:rPr>
                <w:rFonts w:eastAsia="Calibri"/>
                <w:sz w:val="18"/>
                <w:szCs w:val="18"/>
              </w:rPr>
              <w:t>It is possible that if people required a licence for these activities, they might cease the activity (or limit its frequency), or continue to undertake the activity while being non-compliant with the requirements of the Act.</w:t>
            </w:r>
          </w:p>
        </w:tc>
      </w:tr>
      <w:tr w:rsidR="00052799" w:rsidRPr="002D7AE6" w14:paraId="3D295877" w14:textId="77777777" w:rsidTr="00871631">
        <w:tc>
          <w:tcPr>
            <w:tcW w:w="1207" w:type="dxa"/>
            <w:shd w:val="clear" w:color="auto" w:fill="auto"/>
          </w:tcPr>
          <w:p w14:paraId="3A1A0F36" w14:textId="77777777" w:rsidR="00052799" w:rsidRPr="002D7AE6" w:rsidRDefault="00052799" w:rsidP="00871631">
            <w:pPr>
              <w:rPr>
                <w:rFonts w:eastAsia="Calibri"/>
                <w:bCs/>
                <w:sz w:val="18"/>
                <w:szCs w:val="18"/>
              </w:rPr>
            </w:pPr>
            <w:r w:rsidRPr="002D7AE6">
              <w:rPr>
                <w:rFonts w:eastAsia="Calibri"/>
                <w:bCs/>
                <w:sz w:val="18"/>
                <w:szCs w:val="18"/>
              </w:rPr>
              <w:t>Firearms Appeals Committee</w:t>
            </w:r>
          </w:p>
        </w:tc>
        <w:tc>
          <w:tcPr>
            <w:tcW w:w="1267" w:type="dxa"/>
            <w:shd w:val="clear" w:color="auto" w:fill="auto"/>
          </w:tcPr>
          <w:p w14:paraId="14C6601D" w14:textId="77777777" w:rsidR="00052799" w:rsidRPr="002D7AE6" w:rsidRDefault="00052799" w:rsidP="00871631">
            <w:pPr>
              <w:rPr>
                <w:rFonts w:eastAsia="Calibri"/>
                <w:sz w:val="18"/>
                <w:szCs w:val="18"/>
              </w:rPr>
            </w:pPr>
            <w:r w:rsidRPr="002D7AE6">
              <w:rPr>
                <w:rFonts w:eastAsia="Calibri"/>
                <w:sz w:val="18"/>
                <w:szCs w:val="18"/>
              </w:rPr>
              <w:t>Section 155</w:t>
            </w:r>
          </w:p>
        </w:tc>
        <w:tc>
          <w:tcPr>
            <w:tcW w:w="3395" w:type="dxa"/>
            <w:shd w:val="clear" w:color="auto" w:fill="auto"/>
          </w:tcPr>
          <w:p w14:paraId="1961F5AE" w14:textId="77777777" w:rsidR="00052799" w:rsidRPr="002D7AE6" w:rsidRDefault="00052799" w:rsidP="00871631">
            <w:pPr>
              <w:rPr>
                <w:rFonts w:eastAsia="Calibri"/>
                <w:sz w:val="18"/>
                <w:szCs w:val="18"/>
              </w:rPr>
            </w:pPr>
            <w:r w:rsidRPr="002D7AE6">
              <w:rPr>
                <w:rFonts w:eastAsia="Calibri"/>
                <w:sz w:val="18"/>
                <w:szCs w:val="18"/>
              </w:rPr>
              <w:t xml:space="preserve">Section 155 Act requires that three of the 13 members of the Firearms Appeals Committee must be appointed from a list of four names submitted to the Minister by each of the bodies prescribed for the purposes of this section, being bodies which are, or which represent, shooting organisations. </w:t>
            </w:r>
          </w:p>
          <w:p w14:paraId="5E1AD014" w14:textId="77777777" w:rsidR="00052799" w:rsidRPr="002D7AE6" w:rsidRDefault="00052799" w:rsidP="00871631">
            <w:pPr>
              <w:rPr>
                <w:rFonts w:eastAsia="Calibri"/>
                <w:sz w:val="18"/>
                <w:szCs w:val="18"/>
              </w:rPr>
            </w:pPr>
          </w:p>
          <w:p w14:paraId="45AD6E20" w14:textId="5B17D228" w:rsidR="00052799" w:rsidRPr="002D7AE6" w:rsidRDefault="00052799" w:rsidP="00871631">
            <w:pPr>
              <w:rPr>
                <w:rFonts w:eastAsia="Calibri"/>
                <w:sz w:val="18"/>
                <w:szCs w:val="18"/>
              </w:rPr>
            </w:pPr>
            <w:r w:rsidRPr="002D7AE6">
              <w:rPr>
                <w:rFonts w:eastAsia="Calibri"/>
                <w:sz w:val="18"/>
                <w:szCs w:val="18"/>
              </w:rPr>
              <w:t xml:space="preserve">The current </w:t>
            </w:r>
            <w:r w:rsidR="00B931AD">
              <w:rPr>
                <w:rFonts w:eastAsia="Calibri"/>
                <w:sz w:val="18"/>
                <w:szCs w:val="18"/>
              </w:rPr>
              <w:t>R</w:t>
            </w:r>
            <w:r w:rsidRPr="002D7AE6">
              <w:rPr>
                <w:rFonts w:eastAsia="Calibri"/>
                <w:sz w:val="18"/>
                <w:szCs w:val="18"/>
              </w:rPr>
              <w:t xml:space="preserve">egulations prescribe the Shooting Sports Council of Victoria and the Victorian Amateur Pistol Association as bodies representing shooting organisations for the purposes of Section 155. </w:t>
            </w:r>
          </w:p>
        </w:tc>
        <w:tc>
          <w:tcPr>
            <w:tcW w:w="3203" w:type="dxa"/>
            <w:shd w:val="clear" w:color="auto" w:fill="auto"/>
          </w:tcPr>
          <w:p w14:paraId="296699D1" w14:textId="3BE6231F" w:rsidR="00052799" w:rsidRPr="002D7AE6" w:rsidRDefault="00052799" w:rsidP="00871631">
            <w:pPr>
              <w:rPr>
                <w:rFonts w:eastAsia="Calibri"/>
                <w:sz w:val="18"/>
                <w:szCs w:val="18"/>
              </w:rPr>
            </w:pPr>
            <w:r w:rsidRPr="002D7AE6">
              <w:rPr>
                <w:rFonts w:eastAsia="Calibri"/>
                <w:sz w:val="18"/>
                <w:szCs w:val="18"/>
              </w:rPr>
              <w:t xml:space="preserve">In the absence of the remade </w:t>
            </w:r>
            <w:r w:rsidR="00B931AD">
              <w:rPr>
                <w:rFonts w:eastAsia="Calibri"/>
                <w:sz w:val="18"/>
                <w:szCs w:val="18"/>
              </w:rPr>
              <w:t>R</w:t>
            </w:r>
            <w:r w:rsidRPr="002D7AE6">
              <w:rPr>
                <w:rFonts w:eastAsia="Calibri"/>
                <w:sz w:val="18"/>
                <w:szCs w:val="18"/>
              </w:rPr>
              <w:t>egulations, there would be no prescribed organisations for the purposes of section 155, making it impossible to fully constitute the 13-member Firearms Appeal Committee, as currently envisaged by the Act.</w:t>
            </w:r>
          </w:p>
          <w:p w14:paraId="6027B8BF" w14:textId="77777777" w:rsidR="00052799" w:rsidRPr="002D7AE6" w:rsidRDefault="00052799" w:rsidP="00871631">
            <w:pPr>
              <w:rPr>
                <w:rFonts w:eastAsia="Calibri"/>
                <w:sz w:val="18"/>
                <w:szCs w:val="18"/>
              </w:rPr>
            </w:pPr>
          </w:p>
          <w:p w14:paraId="6EE75EB6" w14:textId="77777777" w:rsidR="00052799" w:rsidRPr="002D7AE6" w:rsidRDefault="00052799" w:rsidP="00871631">
            <w:pPr>
              <w:rPr>
                <w:rFonts w:eastAsia="Calibri"/>
                <w:sz w:val="18"/>
                <w:szCs w:val="18"/>
              </w:rPr>
            </w:pPr>
            <w:r w:rsidRPr="002D7AE6">
              <w:rPr>
                <w:rFonts w:eastAsia="Calibri"/>
                <w:sz w:val="18"/>
                <w:szCs w:val="18"/>
              </w:rPr>
              <w:t xml:space="preserve">While it would still be possible for the FAC to convene divisions of itself to hear applications for review in this scenario, it would leave the FAC less representative of shooting groups, though it would still be possible for the FAC to convene a division of itself to hear applications for review. </w:t>
            </w:r>
          </w:p>
        </w:tc>
      </w:tr>
      <w:tr w:rsidR="00052799" w:rsidRPr="002D7AE6" w14:paraId="1DA77E97" w14:textId="77777777" w:rsidTr="00052799">
        <w:tc>
          <w:tcPr>
            <w:tcW w:w="1207" w:type="dxa"/>
            <w:shd w:val="clear" w:color="auto" w:fill="DEEAF6"/>
          </w:tcPr>
          <w:p w14:paraId="763399E1" w14:textId="77777777" w:rsidR="00052799" w:rsidRPr="002D7AE6" w:rsidRDefault="00052799" w:rsidP="00871631">
            <w:pPr>
              <w:rPr>
                <w:rFonts w:eastAsia="Calibri"/>
                <w:bCs/>
                <w:sz w:val="18"/>
                <w:szCs w:val="18"/>
              </w:rPr>
            </w:pPr>
            <w:r w:rsidRPr="002D7AE6">
              <w:rPr>
                <w:rFonts w:eastAsia="Calibri"/>
                <w:bCs/>
                <w:sz w:val="18"/>
                <w:szCs w:val="18"/>
              </w:rPr>
              <w:t>Shooting on private property</w:t>
            </w:r>
          </w:p>
        </w:tc>
        <w:tc>
          <w:tcPr>
            <w:tcW w:w="1267" w:type="dxa"/>
            <w:shd w:val="clear" w:color="auto" w:fill="DEEAF6"/>
          </w:tcPr>
          <w:p w14:paraId="34A345F9" w14:textId="49487770" w:rsidR="00052799" w:rsidRPr="002D7AE6" w:rsidRDefault="00554C23" w:rsidP="00554C23">
            <w:pPr>
              <w:rPr>
                <w:rFonts w:eastAsia="Calibri"/>
                <w:sz w:val="18"/>
                <w:szCs w:val="18"/>
              </w:rPr>
            </w:pPr>
            <w:r>
              <w:rPr>
                <w:rFonts w:eastAsia="Calibri"/>
                <w:sz w:val="18"/>
                <w:szCs w:val="18"/>
              </w:rPr>
              <w:t>Schedule 2 Items 1(5A), 2(2)(c)</w:t>
            </w:r>
            <w:r w:rsidR="00052799" w:rsidRPr="002D7AE6">
              <w:rPr>
                <w:rFonts w:eastAsia="Calibri"/>
                <w:sz w:val="18"/>
                <w:szCs w:val="18"/>
              </w:rPr>
              <w:t xml:space="preserve"> and 4(2A)</w:t>
            </w:r>
          </w:p>
        </w:tc>
        <w:tc>
          <w:tcPr>
            <w:tcW w:w="3395" w:type="dxa"/>
            <w:shd w:val="clear" w:color="auto" w:fill="DEEAF6"/>
          </w:tcPr>
          <w:p w14:paraId="76C03766" w14:textId="77777777" w:rsidR="00052799" w:rsidRPr="002D7AE6" w:rsidRDefault="00052799" w:rsidP="00871631">
            <w:pPr>
              <w:rPr>
                <w:rFonts w:eastAsia="Calibri"/>
                <w:sz w:val="18"/>
                <w:szCs w:val="18"/>
              </w:rPr>
            </w:pPr>
            <w:r w:rsidRPr="002D7AE6">
              <w:rPr>
                <w:rFonts w:eastAsia="Calibri"/>
                <w:sz w:val="18"/>
                <w:szCs w:val="18"/>
              </w:rPr>
              <w:t xml:space="preserve">The Act provides that licensed individuals may carry out sport or target shooting activities on private land (that is not an approved shooting range), if they do so in accordance with the regulations. </w:t>
            </w:r>
          </w:p>
          <w:p w14:paraId="471A2B02" w14:textId="77777777" w:rsidR="00052799" w:rsidRPr="002D7AE6" w:rsidRDefault="00052799" w:rsidP="00871631">
            <w:pPr>
              <w:rPr>
                <w:rFonts w:eastAsia="Calibri"/>
                <w:sz w:val="18"/>
                <w:szCs w:val="18"/>
              </w:rPr>
            </w:pPr>
          </w:p>
          <w:p w14:paraId="51F0B561" w14:textId="06DE26E5" w:rsidR="00052799" w:rsidRPr="002D7AE6" w:rsidRDefault="00052799" w:rsidP="00871631">
            <w:pPr>
              <w:rPr>
                <w:rFonts w:eastAsia="Calibri"/>
                <w:sz w:val="18"/>
                <w:szCs w:val="18"/>
              </w:rPr>
            </w:pPr>
            <w:r w:rsidRPr="002D7AE6">
              <w:rPr>
                <w:rFonts w:eastAsia="Calibri"/>
                <w:sz w:val="18"/>
                <w:szCs w:val="18"/>
              </w:rPr>
              <w:t xml:space="preserve">The current </w:t>
            </w:r>
            <w:r w:rsidR="00B931AD">
              <w:rPr>
                <w:rFonts w:eastAsia="Calibri"/>
                <w:sz w:val="18"/>
                <w:szCs w:val="18"/>
              </w:rPr>
              <w:t>R</w:t>
            </w:r>
            <w:r w:rsidRPr="002D7AE6">
              <w:rPr>
                <w:rFonts w:eastAsia="Calibri"/>
                <w:sz w:val="18"/>
                <w:szCs w:val="18"/>
              </w:rPr>
              <w:t>egulations set out limitations applying to the conduct of sport or target shooting activity on private property, including:</w:t>
            </w:r>
          </w:p>
          <w:p w14:paraId="1A6B3949" w14:textId="77777777" w:rsidR="00052799" w:rsidRPr="002D7AE6" w:rsidRDefault="00052799" w:rsidP="00052799">
            <w:pPr>
              <w:pStyle w:val="ListParagraph"/>
              <w:numPr>
                <w:ilvl w:val="0"/>
                <w:numId w:val="39"/>
              </w:numPr>
              <w:spacing w:after="0" w:line="240" w:lineRule="auto"/>
              <w:rPr>
                <w:rFonts w:ascii="Arial" w:hAnsi="Arial" w:cs="Arial"/>
                <w:sz w:val="18"/>
                <w:szCs w:val="18"/>
              </w:rPr>
            </w:pPr>
            <w:r w:rsidRPr="002D7AE6">
              <w:rPr>
                <w:rFonts w:ascii="Arial" w:hAnsi="Arial" w:cs="Arial"/>
                <w:sz w:val="18"/>
                <w:szCs w:val="18"/>
              </w:rPr>
              <w:t>if more than five persons take part and it is carried on for more than three hours then local police must be notified</w:t>
            </w:r>
          </w:p>
          <w:p w14:paraId="1E816057" w14:textId="1386CF60" w:rsidR="00052799" w:rsidRPr="002D7AE6" w:rsidRDefault="00052799" w:rsidP="00052799">
            <w:pPr>
              <w:pStyle w:val="ListParagraph"/>
              <w:numPr>
                <w:ilvl w:val="0"/>
                <w:numId w:val="39"/>
              </w:numPr>
              <w:spacing w:after="0" w:line="240" w:lineRule="auto"/>
              <w:rPr>
                <w:rFonts w:ascii="Arial" w:hAnsi="Arial" w:cs="Arial"/>
                <w:sz w:val="18"/>
                <w:szCs w:val="18"/>
              </w:rPr>
            </w:pPr>
            <w:r w:rsidRPr="002D7AE6">
              <w:rPr>
                <w:rFonts w:ascii="Arial" w:hAnsi="Arial" w:cs="Arial"/>
                <w:sz w:val="18"/>
                <w:szCs w:val="18"/>
              </w:rPr>
              <w:t xml:space="preserve">a </w:t>
            </w:r>
            <w:r w:rsidR="00B931AD">
              <w:rPr>
                <w:rFonts w:ascii="Arial" w:hAnsi="Arial" w:cs="Arial"/>
                <w:sz w:val="18"/>
                <w:szCs w:val="18"/>
              </w:rPr>
              <w:t>firearm</w:t>
            </w:r>
            <w:r w:rsidR="00B931AD" w:rsidRPr="002D7AE6">
              <w:rPr>
                <w:rFonts w:ascii="Arial" w:hAnsi="Arial" w:cs="Arial"/>
                <w:sz w:val="18"/>
                <w:szCs w:val="18"/>
              </w:rPr>
              <w:t xml:space="preserve"> </w:t>
            </w:r>
            <w:r w:rsidRPr="002D7AE6">
              <w:rPr>
                <w:rFonts w:ascii="Arial" w:hAnsi="Arial" w:cs="Arial"/>
                <w:sz w:val="18"/>
                <w:szCs w:val="18"/>
              </w:rPr>
              <w:t>cannot be discharged unless the target at which it is aimed has a backstop capable of stopping the round within 20 meters behind the target</w:t>
            </w:r>
          </w:p>
          <w:p w14:paraId="6459B3A2" w14:textId="77777777" w:rsidR="00052799" w:rsidRPr="002D7AE6" w:rsidRDefault="00052799" w:rsidP="00052799">
            <w:pPr>
              <w:pStyle w:val="ListParagraph"/>
              <w:numPr>
                <w:ilvl w:val="0"/>
                <w:numId w:val="39"/>
              </w:numPr>
              <w:spacing w:after="0" w:line="240" w:lineRule="auto"/>
              <w:rPr>
                <w:rFonts w:ascii="Arial" w:hAnsi="Arial" w:cs="Arial"/>
                <w:sz w:val="18"/>
                <w:szCs w:val="18"/>
              </w:rPr>
            </w:pPr>
            <w:r w:rsidRPr="002D7AE6">
              <w:rPr>
                <w:rFonts w:ascii="Arial" w:hAnsi="Arial" w:cs="Arial"/>
                <w:sz w:val="18"/>
                <w:szCs w:val="18"/>
              </w:rPr>
              <w:t>firearms may not be discharged within 250m of a dwelling without permission, or within 100m of a public road</w:t>
            </w:r>
          </w:p>
          <w:p w14:paraId="604D395F" w14:textId="77777777" w:rsidR="00052799" w:rsidRPr="002D7AE6" w:rsidRDefault="00052799" w:rsidP="00052799">
            <w:pPr>
              <w:pStyle w:val="ListParagraph"/>
              <w:numPr>
                <w:ilvl w:val="0"/>
                <w:numId w:val="39"/>
              </w:numPr>
              <w:spacing w:after="0" w:line="240" w:lineRule="auto"/>
              <w:rPr>
                <w:rFonts w:ascii="Arial" w:hAnsi="Arial" w:cs="Arial"/>
                <w:sz w:val="18"/>
                <w:szCs w:val="18"/>
              </w:rPr>
            </w:pPr>
            <w:r w:rsidRPr="002D7AE6">
              <w:rPr>
                <w:rFonts w:ascii="Arial" w:hAnsi="Arial" w:cs="Arial"/>
                <w:sz w:val="18"/>
                <w:szCs w:val="18"/>
              </w:rPr>
              <w:t>firearms may only be discharged while the user is stationary</w:t>
            </w:r>
          </w:p>
          <w:p w14:paraId="0D9EE475" w14:textId="77777777" w:rsidR="00052799" w:rsidRPr="002D7AE6" w:rsidRDefault="00052799" w:rsidP="00052799">
            <w:pPr>
              <w:pStyle w:val="ListParagraph"/>
              <w:numPr>
                <w:ilvl w:val="0"/>
                <w:numId w:val="39"/>
              </w:numPr>
              <w:spacing w:after="0" w:line="240" w:lineRule="auto"/>
              <w:rPr>
                <w:rFonts w:ascii="Arial" w:hAnsi="Arial" w:cs="Arial"/>
                <w:sz w:val="18"/>
                <w:szCs w:val="18"/>
              </w:rPr>
            </w:pPr>
            <w:r w:rsidRPr="002D7AE6">
              <w:rPr>
                <w:rFonts w:ascii="Arial" w:hAnsi="Arial" w:cs="Arial"/>
                <w:sz w:val="18"/>
                <w:szCs w:val="18"/>
              </w:rPr>
              <w:t>the activity may not take place between sunset and sunrise</w:t>
            </w:r>
          </w:p>
          <w:p w14:paraId="23AF020C" w14:textId="77777777" w:rsidR="00052799" w:rsidRPr="002D7AE6" w:rsidRDefault="00052799" w:rsidP="00052799">
            <w:pPr>
              <w:pStyle w:val="ListParagraph"/>
              <w:numPr>
                <w:ilvl w:val="0"/>
                <w:numId w:val="39"/>
              </w:numPr>
              <w:spacing w:after="0" w:line="240" w:lineRule="auto"/>
              <w:rPr>
                <w:rFonts w:ascii="Arial" w:hAnsi="Arial" w:cs="Arial"/>
                <w:sz w:val="18"/>
                <w:szCs w:val="18"/>
              </w:rPr>
            </w:pPr>
            <w:r w:rsidRPr="002D7AE6">
              <w:rPr>
                <w:rFonts w:ascii="Arial" w:hAnsi="Arial" w:cs="Arial"/>
                <w:sz w:val="18"/>
                <w:szCs w:val="18"/>
              </w:rPr>
              <w:t>the activity may not be advertised, formally organised, or scheduled</w:t>
            </w:r>
          </w:p>
          <w:p w14:paraId="0BEE39EA" w14:textId="77777777" w:rsidR="00052799" w:rsidRPr="002D7AE6" w:rsidRDefault="00052799" w:rsidP="00052799">
            <w:pPr>
              <w:pStyle w:val="ListParagraph"/>
              <w:numPr>
                <w:ilvl w:val="0"/>
                <w:numId w:val="39"/>
              </w:numPr>
              <w:spacing w:after="0" w:line="240" w:lineRule="auto"/>
              <w:rPr>
                <w:rFonts w:ascii="Arial" w:hAnsi="Arial" w:cs="Arial"/>
                <w:sz w:val="18"/>
                <w:szCs w:val="18"/>
              </w:rPr>
            </w:pPr>
            <w:r w:rsidRPr="002D7AE6">
              <w:rPr>
                <w:rFonts w:ascii="Arial" w:hAnsi="Arial" w:cs="Arial"/>
                <w:sz w:val="18"/>
                <w:szCs w:val="18"/>
              </w:rPr>
              <w:t>no person taking part may receive direct or indirect financial benefit from any other person as payment for taking part in the activity, and</w:t>
            </w:r>
          </w:p>
          <w:p w14:paraId="4D307849" w14:textId="77777777" w:rsidR="00052799" w:rsidRPr="002D7AE6" w:rsidRDefault="00052799" w:rsidP="00052799">
            <w:pPr>
              <w:pStyle w:val="ListParagraph"/>
              <w:numPr>
                <w:ilvl w:val="0"/>
                <w:numId w:val="39"/>
              </w:numPr>
              <w:spacing w:after="0" w:line="240" w:lineRule="auto"/>
              <w:rPr>
                <w:rFonts w:ascii="Arial" w:hAnsi="Arial" w:cs="Arial"/>
                <w:sz w:val="18"/>
                <w:szCs w:val="18"/>
              </w:rPr>
            </w:pPr>
            <w:r w:rsidRPr="002D7AE6">
              <w:rPr>
                <w:rFonts w:ascii="Arial" w:hAnsi="Arial" w:cs="Arial"/>
                <w:sz w:val="18"/>
                <w:szCs w:val="18"/>
              </w:rPr>
              <w:t>participants may not consume or be under the influence of alcohol or a drug during the activity.</w:t>
            </w:r>
          </w:p>
        </w:tc>
        <w:tc>
          <w:tcPr>
            <w:tcW w:w="3203" w:type="dxa"/>
            <w:shd w:val="clear" w:color="auto" w:fill="DEEAF6"/>
          </w:tcPr>
          <w:p w14:paraId="57835DC9" w14:textId="35CE417C" w:rsidR="00052799" w:rsidRPr="002D7AE6" w:rsidRDefault="00052799" w:rsidP="00871631">
            <w:pPr>
              <w:rPr>
                <w:rFonts w:eastAsia="Calibri"/>
                <w:sz w:val="18"/>
                <w:szCs w:val="18"/>
              </w:rPr>
            </w:pPr>
            <w:r w:rsidRPr="002D7AE6">
              <w:rPr>
                <w:rFonts w:eastAsia="Calibri"/>
                <w:sz w:val="18"/>
                <w:szCs w:val="18"/>
              </w:rPr>
              <w:t xml:space="preserve">In the absence of the remade </w:t>
            </w:r>
            <w:r w:rsidR="00B931AD">
              <w:rPr>
                <w:rFonts w:eastAsia="Calibri"/>
                <w:sz w:val="18"/>
                <w:szCs w:val="18"/>
              </w:rPr>
              <w:t>R</w:t>
            </w:r>
            <w:r w:rsidRPr="002D7AE6">
              <w:rPr>
                <w:rFonts w:eastAsia="Calibri"/>
                <w:sz w:val="18"/>
                <w:szCs w:val="18"/>
              </w:rPr>
              <w:t xml:space="preserve">egulations, there would no longer be specific restrictions applying to the conduct of target shooting on private land. </w:t>
            </w:r>
          </w:p>
          <w:p w14:paraId="65B1DCFB" w14:textId="77777777" w:rsidR="00052799" w:rsidRPr="002D7AE6" w:rsidRDefault="00052799" w:rsidP="00871631">
            <w:pPr>
              <w:rPr>
                <w:rFonts w:eastAsia="Calibri"/>
                <w:sz w:val="18"/>
                <w:szCs w:val="18"/>
              </w:rPr>
            </w:pPr>
          </w:p>
          <w:p w14:paraId="737777C6" w14:textId="1D89116F" w:rsidR="00052799" w:rsidRPr="002D7AE6" w:rsidRDefault="00052799" w:rsidP="00871631">
            <w:pPr>
              <w:rPr>
                <w:rFonts w:eastAsia="Calibri"/>
                <w:sz w:val="18"/>
                <w:szCs w:val="18"/>
              </w:rPr>
            </w:pPr>
            <w:r w:rsidRPr="002D7AE6">
              <w:rPr>
                <w:rFonts w:eastAsia="Calibri"/>
                <w:sz w:val="18"/>
                <w:szCs w:val="18"/>
              </w:rPr>
              <w:t xml:space="preserve">Without these restrictions, large target shooting activities on private property could be undertaken for financial benefit, be formally advertised, and without the safety provisions prescribed in the </w:t>
            </w:r>
            <w:r w:rsidR="00B931AD">
              <w:rPr>
                <w:rFonts w:eastAsia="Calibri"/>
                <w:sz w:val="18"/>
                <w:szCs w:val="18"/>
              </w:rPr>
              <w:t>R</w:t>
            </w:r>
            <w:r w:rsidRPr="002D7AE6">
              <w:rPr>
                <w:rFonts w:eastAsia="Calibri"/>
                <w:sz w:val="18"/>
                <w:szCs w:val="18"/>
              </w:rPr>
              <w:t xml:space="preserve">egulations. This </w:t>
            </w:r>
            <w:r w:rsidR="00B931AD">
              <w:rPr>
                <w:rFonts w:eastAsia="Calibri"/>
                <w:sz w:val="18"/>
                <w:szCs w:val="18"/>
              </w:rPr>
              <w:t>c</w:t>
            </w:r>
            <w:r w:rsidRPr="002D7AE6">
              <w:rPr>
                <w:rFonts w:eastAsia="Calibri"/>
                <w:sz w:val="18"/>
                <w:szCs w:val="18"/>
              </w:rPr>
              <w:t xml:space="preserve">ould allow the operation of unofficial ranges or large-scale commercial shooting competitions taking place outside of regulated ranges, where more rigorous safety standards, accreditation and inspection requirements apply. Given the </w:t>
            </w:r>
            <w:r w:rsidR="00B931AD">
              <w:rPr>
                <w:rFonts w:eastAsia="Calibri"/>
                <w:sz w:val="18"/>
                <w:szCs w:val="18"/>
              </w:rPr>
              <w:t>R</w:t>
            </w:r>
            <w:r w:rsidRPr="002D7AE6">
              <w:rPr>
                <w:rFonts w:eastAsia="Calibri"/>
                <w:sz w:val="18"/>
                <w:szCs w:val="18"/>
              </w:rPr>
              <w:t xml:space="preserve">egulations are in place, it is not possible to make a judgement on the likely prevalence of any such shooting activities in the absence of the </w:t>
            </w:r>
            <w:r w:rsidR="00B931AD">
              <w:rPr>
                <w:rFonts w:eastAsia="Calibri"/>
                <w:sz w:val="18"/>
                <w:szCs w:val="18"/>
              </w:rPr>
              <w:t>R</w:t>
            </w:r>
            <w:r w:rsidRPr="002D7AE6">
              <w:rPr>
                <w:rFonts w:eastAsia="Calibri"/>
                <w:sz w:val="18"/>
                <w:szCs w:val="18"/>
              </w:rPr>
              <w:t>egulations.</w:t>
            </w:r>
          </w:p>
          <w:p w14:paraId="493AEB07" w14:textId="77777777" w:rsidR="00052799" w:rsidRPr="002D7AE6" w:rsidRDefault="00052799" w:rsidP="00871631">
            <w:pPr>
              <w:rPr>
                <w:rFonts w:eastAsia="Calibri"/>
                <w:sz w:val="18"/>
                <w:szCs w:val="18"/>
              </w:rPr>
            </w:pPr>
          </w:p>
          <w:p w14:paraId="74574E5F" w14:textId="77777777" w:rsidR="00052799" w:rsidRPr="002D7AE6" w:rsidRDefault="00052799" w:rsidP="00871631">
            <w:pPr>
              <w:rPr>
                <w:rFonts w:eastAsia="Calibri"/>
                <w:sz w:val="18"/>
                <w:szCs w:val="18"/>
              </w:rPr>
            </w:pPr>
            <w:r w:rsidRPr="002D7AE6">
              <w:rPr>
                <w:rFonts w:eastAsia="Calibri"/>
                <w:sz w:val="18"/>
                <w:szCs w:val="18"/>
              </w:rPr>
              <w:t>In addition, were police not to be notified of large, lengthy target shooting activities on private land, police would not be able to appropriately respond to queries or complaints from the public about these activities. For example, the police may not receive information that would allow it to assure members of the public that shooting activity relates to sporting events (e.g. where an emergency call was made regarding suspect or unusual activity).</w:t>
            </w:r>
          </w:p>
          <w:p w14:paraId="546682C1" w14:textId="77777777" w:rsidR="00052799" w:rsidRPr="002D7AE6" w:rsidRDefault="00052799" w:rsidP="00871631">
            <w:pPr>
              <w:rPr>
                <w:rFonts w:eastAsia="Calibri"/>
                <w:sz w:val="18"/>
                <w:szCs w:val="18"/>
              </w:rPr>
            </w:pPr>
          </w:p>
          <w:p w14:paraId="7BB303D8" w14:textId="2E6E8426" w:rsidR="00052799" w:rsidRPr="002D7AE6" w:rsidRDefault="00052799" w:rsidP="00871631">
            <w:pPr>
              <w:rPr>
                <w:rFonts w:eastAsia="Calibri"/>
                <w:sz w:val="18"/>
                <w:szCs w:val="18"/>
              </w:rPr>
            </w:pPr>
            <w:r w:rsidRPr="002D7AE6">
              <w:rPr>
                <w:rFonts w:eastAsia="Calibri"/>
                <w:sz w:val="18"/>
                <w:szCs w:val="18"/>
              </w:rPr>
              <w:t xml:space="preserve">That is, the absence of the remade </w:t>
            </w:r>
            <w:r w:rsidR="00B931AD">
              <w:rPr>
                <w:rFonts w:eastAsia="Calibri"/>
                <w:sz w:val="18"/>
                <w:szCs w:val="18"/>
              </w:rPr>
              <w:t>R</w:t>
            </w:r>
            <w:r w:rsidRPr="002D7AE6">
              <w:rPr>
                <w:rFonts w:eastAsia="Calibri"/>
                <w:sz w:val="18"/>
                <w:szCs w:val="18"/>
              </w:rPr>
              <w:t xml:space="preserve">egulations could pose both a threat to public safety and to public peace, if controls on approved ranges are undermined. </w:t>
            </w:r>
          </w:p>
        </w:tc>
      </w:tr>
      <w:tr w:rsidR="00052799" w:rsidRPr="002D7AE6" w14:paraId="02247733" w14:textId="77777777" w:rsidTr="00871631">
        <w:tc>
          <w:tcPr>
            <w:tcW w:w="1207" w:type="dxa"/>
            <w:shd w:val="clear" w:color="auto" w:fill="auto"/>
          </w:tcPr>
          <w:p w14:paraId="3DB029EB" w14:textId="77777777" w:rsidR="00052799" w:rsidRPr="002D7AE6" w:rsidRDefault="00052799" w:rsidP="00871631">
            <w:pPr>
              <w:rPr>
                <w:rFonts w:eastAsia="Calibri"/>
                <w:bCs/>
                <w:sz w:val="18"/>
                <w:szCs w:val="18"/>
              </w:rPr>
            </w:pPr>
            <w:r w:rsidRPr="002D7AE6">
              <w:rPr>
                <w:rFonts w:eastAsia="Calibri"/>
                <w:bCs/>
                <w:sz w:val="18"/>
                <w:szCs w:val="18"/>
              </w:rPr>
              <w:t>Purposes for applying for licences</w:t>
            </w:r>
          </w:p>
        </w:tc>
        <w:tc>
          <w:tcPr>
            <w:tcW w:w="1267" w:type="dxa"/>
            <w:shd w:val="clear" w:color="auto" w:fill="auto"/>
          </w:tcPr>
          <w:p w14:paraId="2A44E5A7" w14:textId="77777777" w:rsidR="00052799" w:rsidRPr="002D7AE6" w:rsidRDefault="00052799" w:rsidP="00871631">
            <w:pPr>
              <w:rPr>
                <w:rFonts w:eastAsia="Calibri"/>
                <w:sz w:val="18"/>
                <w:szCs w:val="18"/>
              </w:rPr>
            </w:pPr>
            <w:r w:rsidRPr="002D7AE6">
              <w:rPr>
                <w:rFonts w:eastAsia="Calibri"/>
                <w:sz w:val="18"/>
                <w:szCs w:val="18"/>
              </w:rPr>
              <w:t xml:space="preserve">Sections 10(1)(e), 13(1)(a), 15(1)(c) </w:t>
            </w:r>
          </w:p>
        </w:tc>
        <w:tc>
          <w:tcPr>
            <w:tcW w:w="3395" w:type="dxa"/>
            <w:shd w:val="clear" w:color="auto" w:fill="auto"/>
          </w:tcPr>
          <w:p w14:paraId="302B03DF" w14:textId="77777777" w:rsidR="00052799" w:rsidRPr="002D7AE6" w:rsidRDefault="00052799" w:rsidP="00871631">
            <w:pPr>
              <w:rPr>
                <w:rFonts w:eastAsia="Calibri"/>
                <w:sz w:val="18"/>
                <w:szCs w:val="18"/>
              </w:rPr>
            </w:pPr>
            <w:r w:rsidRPr="002D7AE6">
              <w:rPr>
                <w:rFonts w:eastAsia="Calibri"/>
                <w:sz w:val="18"/>
                <w:szCs w:val="18"/>
              </w:rPr>
              <w:t xml:space="preserve">The Act sets out a number of reasons for which the Chief Commissioner may choose to grant different classes of firearms licence and provides that further purposes may be prescribed by regulation. </w:t>
            </w:r>
          </w:p>
          <w:p w14:paraId="7D40516F" w14:textId="77777777" w:rsidR="00052799" w:rsidRPr="002D7AE6" w:rsidRDefault="00052799" w:rsidP="00871631">
            <w:pPr>
              <w:rPr>
                <w:rFonts w:eastAsia="Calibri"/>
                <w:sz w:val="18"/>
                <w:szCs w:val="18"/>
              </w:rPr>
            </w:pPr>
          </w:p>
          <w:p w14:paraId="2780FDD8" w14:textId="60D081D1" w:rsidR="00052799" w:rsidRPr="002D7AE6" w:rsidRDefault="00052799" w:rsidP="00871631">
            <w:pPr>
              <w:rPr>
                <w:rFonts w:eastAsia="Calibri"/>
                <w:sz w:val="18"/>
                <w:szCs w:val="18"/>
              </w:rPr>
            </w:pPr>
            <w:r w:rsidRPr="002D7AE6">
              <w:rPr>
                <w:rFonts w:eastAsia="Calibri"/>
                <w:sz w:val="18"/>
                <w:szCs w:val="18"/>
              </w:rPr>
              <w:t xml:space="preserve">The current </w:t>
            </w:r>
            <w:r w:rsidR="00B931AD">
              <w:rPr>
                <w:rFonts w:eastAsia="Calibri"/>
                <w:sz w:val="18"/>
                <w:szCs w:val="18"/>
              </w:rPr>
              <w:t>R</w:t>
            </w:r>
            <w:r w:rsidRPr="002D7AE6">
              <w:rPr>
                <w:rFonts w:eastAsia="Calibri"/>
                <w:sz w:val="18"/>
                <w:szCs w:val="18"/>
              </w:rPr>
              <w:t>egulations establish that the Chief Commissioner may also issue licences to applicants for reasons including:</w:t>
            </w:r>
          </w:p>
          <w:p w14:paraId="1A971E50" w14:textId="77777777" w:rsidR="00052799" w:rsidRPr="002D7AE6" w:rsidRDefault="00052799" w:rsidP="00052799">
            <w:pPr>
              <w:pStyle w:val="ListParagraph"/>
              <w:numPr>
                <w:ilvl w:val="0"/>
                <w:numId w:val="40"/>
              </w:numPr>
              <w:spacing w:after="0" w:line="240" w:lineRule="auto"/>
              <w:rPr>
                <w:rFonts w:ascii="Arial" w:hAnsi="Arial" w:cs="Arial"/>
                <w:sz w:val="18"/>
                <w:szCs w:val="18"/>
              </w:rPr>
            </w:pPr>
            <w:r w:rsidRPr="002D7AE6">
              <w:rPr>
                <w:rFonts w:ascii="Arial" w:hAnsi="Arial" w:cs="Arial"/>
                <w:sz w:val="18"/>
                <w:szCs w:val="18"/>
              </w:rPr>
              <w:t>public ceremonial events,</w:t>
            </w:r>
          </w:p>
          <w:p w14:paraId="3272AA8C" w14:textId="77777777" w:rsidR="00052799" w:rsidRPr="002D7AE6" w:rsidRDefault="00052799" w:rsidP="00052799">
            <w:pPr>
              <w:pStyle w:val="ListParagraph"/>
              <w:numPr>
                <w:ilvl w:val="0"/>
                <w:numId w:val="40"/>
              </w:numPr>
              <w:spacing w:after="0" w:line="240" w:lineRule="auto"/>
              <w:rPr>
                <w:rFonts w:ascii="Arial" w:hAnsi="Arial" w:cs="Arial"/>
                <w:sz w:val="18"/>
                <w:szCs w:val="18"/>
              </w:rPr>
            </w:pPr>
            <w:r w:rsidRPr="002D7AE6">
              <w:rPr>
                <w:rFonts w:ascii="Arial" w:hAnsi="Arial" w:cs="Arial"/>
                <w:sz w:val="18"/>
                <w:szCs w:val="18"/>
              </w:rPr>
              <w:t>starting or finishing sporting events</w:t>
            </w:r>
          </w:p>
          <w:p w14:paraId="74057B46" w14:textId="77777777" w:rsidR="00052799" w:rsidRPr="002D7AE6" w:rsidRDefault="00052799" w:rsidP="00052799">
            <w:pPr>
              <w:pStyle w:val="ListParagraph"/>
              <w:numPr>
                <w:ilvl w:val="0"/>
                <w:numId w:val="40"/>
              </w:numPr>
              <w:spacing w:after="0" w:line="240" w:lineRule="auto"/>
              <w:rPr>
                <w:rFonts w:ascii="Arial" w:hAnsi="Arial" w:cs="Arial"/>
                <w:sz w:val="18"/>
                <w:szCs w:val="18"/>
              </w:rPr>
            </w:pPr>
            <w:r w:rsidRPr="002D7AE6">
              <w:rPr>
                <w:rFonts w:ascii="Arial" w:hAnsi="Arial" w:cs="Arial"/>
                <w:sz w:val="18"/>
                <w:szCs w:val="18"/>
              </w:rPr>
              <w:t>historical re-enactments</w:t>
            </w:r>
          </w:p>
          <w:p w14:paraId="11571209" w14:textId="77777777" w:rsidR="00052799" w:rsidRPr="002D7AE6" w:rsidRDefault="00052799" w:rsidP="00052799">
            <w:pPr>
              <w:pStyle w:val="ListParagraph"/>
              <w:numPr>
                <w:ilvl w:val="0"/>
                <w:numId w:val="40"/>
              </w:numPr>
              <w:spacing w:after="0" w:line="240" w:lineRule="auto"/>
              <w:rPr>
                <w:rFonts w:ascii="Arial" w:hAnsi="Arial" w:cs="Arial"/>
                <w:sz w:val="18"/>
                <w:szCs w:val="18"/>
              </w:rPr>
            </w:pPr>
            <w:r w:rsidRPr="002D7AE6">
              <w:rPr>
                <w:rFonts w:ascii="Arial" w:hAnsi="Arial" w:cs="Arial"/>
                <w:sz w:val="18"/>
                <w:szCs w:val="18"/>
              </w:rPr>
              <w:t>training and trialling gundogs</w:t>
            </w:r>
          </w:p>
          <w:p w14:paraId="545BA26F" w14:textId="77777777" w:rsidR="00052799" w:rsidRPr="002D7AE6" w:rsidRDefault="00052799" w:rsidP="00871631">
            <w:pPr>
              <w:pStyle w:val="ListParagraph"/>
              <w:spacing w:after="0" w:line="240" w:lineRule="auto"/>
              <w:ind w:left="0"/>
              <w:rPr>
                <w:rFonts w:ascii="Arial" w:hAnsi="Arial" w:cs="Arial"/>
                <w:sz w:val="18"/>
                <w:szCs w:val="18"/>
              </w:rPr>
            </w:pPr>
          </w:p>
        </w:tc>
        <w:tc>
          <w:tcPr>
            <w:tcW w:w="3203" w:type="dxa"/>
            <w:shd w:val="clear" w:color="auto" w:fill="auto"/>
          </w:tcPr>
          <w:p w14:paraId="5A735AE2" w14:textId="3A110ADD" w:rsidR="00052799" w:rsidRPr="002D7AE6" w:rsidRDefault="00052799" w:rsidP="00871631">
            <w:pPr>
              <w:rPr>
                <w:rFonts w:eastAsia="Calibri"/>
                <w:sz w:val="18"/>
                <w:szCs w:val="18"/>
              </w:rPr>
            </w:pPr>
            <w:r w:rsidRPr="002D7AE6">
              <w:rPr>
                <w:rFonts w:eastAsia="Calibri"/>
                <w:sz w:val="18"/>
                <w:szCs w:val="18"/>
              </w:rPr>
              <w:t xml:space="preserve">In the absence of the remade </w:t>
            </w:r>
            <w:r w:rsidR="00B931AD">
              <w:rPr>
                <w:rFonts w:eastAsia="Calibri"/>
                <w:sz w:val="18"/>
                <w:szCs w:val="18"/>
              </w:rPr>
              <w:t>R</w:t>
            </w:r>
            <w:r w:rsidRPr="002D7AE6">
              <w:rPr>
                <w:rFonts w:eastAsia="Calibri"/>
                <w:sz w:val="18"/>
                <w:szCs w:val="18"/>
              </w:rPr>
              <w:t xml:space="preserve">egulations, the reasons for which licences could be granted to applicants would be limited to those contained in the Act. </w:t>
            </w:r>
          </w:p>
          <w:p w14:paraId="167272C9" w14:textId="77777777" w:rsidR="00052799" w:rsidRPr="002D7AE6" w:rsidRDefault="00052799" w:rsidP="00871631">
            <w:pPr>
              <w:rPr>
                <w:rFonts w:eastAsia="Calibri"/>
                <w:sz w:val="18"/>
                <w:szCs w:val="18"/>
              </w:rPr>
            </w:pPr>
          </w:p>
          <w:p w14:paraId="3FAA44F6" w14:textId="77777777" w:rsidR="00052799" w:rsidRPr="002D7AE6" w:rsidRDefault="00052799" w:rsidP="00871631">
            <w:pPr>
              <w:rPr>
                <w:rFonts w:eastAsia="Calibri"/>
                <w:sz w:val="18"/>
                <w:szCs w:val="18"/>
              </w:rPr>
            </w:pPr>
            <w:r w:rsidRPr="002D7AE6">
              <w:rPr>
                <w:rFonts w:eastAsia="Calibri"/>
                <w:sz w:val="18"/>
                <w:szCs w:val="18"/>
              </w:rPr>
              <w:t xml:space="preserve">This would mean that those persons and organisations that are currently able to apply for firearms licences in order to, for example, participate in historical re-enactments, train and trial gundogs, or to start or finish sporting events would no longer be able to rely on those activities to support an application for a firearms licence. This may impact the individuals involved in these activities and would limit the circumstances in which licences can be issued. </w:t>
            </w:r>
          </w:p>
        </w:tc>
      </w:tr>
      <w:tr w:rsidR="00052799" w:rsidRPr="002D7AE6" w14:paraId="1BFAE4B0" w14:textId="77777777" w:rsidTr="00052799">
        <w:tc>
          <w:tcPr>
            <w:tcW w:w="1207" w:type="dxa"/>
            <w:shd w:val="clear" w:color="auto" w:fill="DEEAF6"/>
          </w:tcPr>
          <w:p w14:paraId="4BFD8D3C" w14:textId="77777777" w:rsidR="00052799" w:rsidRPr="002D7AE6" w:rsidRDefault="00052799" w:rsidP="00871631">
            <w:pPr>
              <w:rPr>
                <w:rFonts w:eastAsia="Calibri"/>
                <w:bCs/>
                <w:sz w:val="18"/>
                <w:szCs w:val="18"/>
              </w:rPr>
            </w:pPr>
            <w:r w:rsidRPr="002D7AE6">
              <w:rPr>
                <w:rFonts w:eastAsia="Calibri"/>
                <w:bCs/>
                <w:sz w:val="18"/>
                <w:szCs w:val="18"/>
              </w:rPr>
              <w:t>Specified classes of handguns</w:t>
            </w:r>
          </w:p>
        </w:tc>
        <w:tc>
          <w:tcPr>
            <w:tcW w:w="1267" w:type="dxa"/>
            <w:shd w:val="clear" w:color="auto" w:fill="DEEAF6"/>
          </w:tcPr>
          <w:p w14:paraId="592008FF" w14:textId="77777777" w:rsidR="00052799" w:rsidRPr="002D7AE6" w:rsidRDefault="00052799" w:rsidP="00871631">
            <w:pPr>
              <w:rPr>
                <w:rFonts w:eastAsia="Calibri"/>
                <w:sz w:val="18"/>
                <w:szCs w:val="18"/>
              </w:rPr>
            </w:pPr>
            <w:r w:rsidRPr="002D7AE6">
              <w:rPr>
                <w:rFonts w:eastAsia="Calibri"/>
                <w:sz w:val="18"/>
                <w:szCs w:val="18"/>
              </w:rPr>
              <w:t>Section 16</w:t>
            </w:r>
          </w:p>
        </w:tc>
        <w:tc>
          <w:tcPr>
            <w:tcW w:w="3395" w:type="dxa"/>
            <w:shd w:val="clear" w:color="auto" w:fill="DEEAF6"/>
          </w:tcPr>
          <w:p w14:paraId="3D05F315" w14:textId="77777777" w:rsidR="00052799" w:rsidRPr="002D7AE6" w:rsidRDefault="00052799" w:rsidP="00871631">
            <w:pPr>
              <w:rPr>
                <w:rFonts w:eastAsia="Calibri"/>
                <w:sz w:val="18"/>
                <w:szCs w:val="18"/>
              </w:rPr>
            </w:pPr>
            <w:r w:rsidRPr="002D7AE6">
              <w:rPr>
                <w:rFonts w:eastAsia="Calibri"/>
                <w:sz w:val="18"/>
                <w:szCs w:val="18"/>
              </w:rPr>
              <w:t xml:space="preserve">The Act provides that holders of handgun target shooting licences must compete in a number of handgun target shoots and/or approved handgun target shooting matches every calendar year in order to maintain their licence. </w:t>
            </w:r>
          </w:p>
          <w:p w14:paraId="284B3B4E" w14:textId="77777777" w:rsidR="00052799" w:rsidRPr="002D7AE6" w:rsidRDefault="00052799" w:rsidP="00871631">
            <w:pPr>
              <w:rPr>
                <w:rFonts w:eastAsia="Calibri"/>
                <w:sz w:val="18"/>
                <w:szCs w:val="18"/>
              </w:rPr>
            </w:pPr>
          </w:p>
          <w:p w14:paraId="692EEE88" w14:textId="6E9CB7B3" w:rsidR="00052799" w:rsidRPr="002D7AE6" w:rsidRDefault="00052799" w:rsidP="00871631">
            <w:pPr>
              <w:rPr>
                <w:rFonts w:eastAsia="Calibri"/>
                <w:sz w:val="18"/>
                <w:szCs w:val="18"/>
              </w:rPr>
            </w:pPr>
            <w:r w:rsidRPr="002D7AE6">
              <w:rPr>
                <w:rFonts w:eastAsia="Calibri"/>
                <w:sz w:val="18"/>
                <w:szCs w:val="18"/>
              </w:rPr>
              <w:t xml:space="preserve">The Act specifies that the number of matches increases based on the number of specified classes of handgun the licensee possesses (with handguns not covered by a prescribed class constituting a single </w:t>
            </w:r>
            <w:r w:rsidR="000514BF">
              <w:rPr>
                <w:rFonts w:eastAsia="Calibri"/>
                <w:sz w:val="18"/>
                <w:szCs w:val="18"/>
              </w:rPr>
              <w:t>’</w:t>
            </w:r>
            <w:r w:rsidRPr="002D7AE6">
              <w:rPr>
                <w:rFonts w:eastAsia="Calibri"/>
                <w:sz w:val="18"/>
                <w:szCs w:val="18"/>
              </w:rPr>
              <w:t>general</w:t>
            </w:r>
            <w:r w:rsidR="000514BF">
              <w:rPr>
                <w:rFonts w:eastAsia="Calibri"/>
                <w:sz w:val="18"/>
                <w:szCs w:val="18"/>
              </w:rPr>
              <w:t>’</w:t>
            </w:r>
            <w:r w:rsidRPr="002D7AE6">
              <w:rPr>
                <w:rFonts w:eastAsia="Calibri"/>
                <w:sz w:val="18"/>
                <w:szCs w:val="18"/>
              </w:rPr>
              <w:t xml:space="preserve"> class), with participation also required for each class of handgun owned. </w:t>
            </w:r>
          </w:p>
          <w:p w14:paraId="4881D762" w14:textId="77777777" w:rsidR="00052799" w:rsidRPr="002D7AE6" w:rsidRDefault="00052799" w:rsidP="00871631">
            <w:pPr>
              <w:rPr>
                <w:rFonts w:eastAsia="Calibri"/>
                <w:sz w:val="18"/>
                <w:szCs w:val="18"/>
              </w:rPr>
            </w:pPr>
          </w:p>
          <w:p w14:paraId="3830ADBC" w14:textId="77777777" w:rsidR="00052799" w:rsidRPr="002D7AE6" w:rsidRDefault="00052799" w:rsidP="00871631">
            <w:pPr>
              <w:rPr>
                <w:rFonts w:eastAsia="Calibri"/>
                <w:sz w:val="18"/>
                <w:szCs w:val="18"/>
              </w:rPr>
            </w:pPr>
            <w:r w:rsidRPr="002D7AE6">
              <w:rPr>
                <w:rFonts w:eastAsia="Calibri"/>
                <w:sz w:val="18"/>
                <w:szCs w:val="18"/>
              </w:rPr>
              <w:t>As a result, the Act specifies that an owner of only one class of handgun must compete in 10 shoots or matches per year, while a holder of three specified classes must compete in at least 12 target shoots or matches, include at least four for each specified class of handgun held.</w:t>
            </w:r>
          </w:p>
          <w:p w14:paraId="3E85C4B0" w14:textId="77777777" w:rsidR="00052799" w:rsidRPr="002D7AE6" w:rsidRDefault="00052799" w:rsidP="00871631">
            <w:pPr>
              <w:rPr>
                <w:rFonts w:eastAsia="Calibri"/>
                <w:sz w:val="18"/>
                <w:szCs w:val="18"/>
              </w:rPr>
            </w:pPr>
          </w:p>
          <w:p w14:paraId="2CD7610A" w14:textId="0D404D1C" w:rsidR="00052799" w:rsidRPr="002D7AE6" w:rsidRDefault="00052799" w:rsidP="00871631">
            <w:pPr>
              <w:rPr>
                <w:rFonts w:eastAsia="Calibri"/>
                <w:sz w:val="18"/>
                <w:szCs w:val="18"/>
              </w:rPr>
            </w:pPr>
            <w:r w:rsidRPr="002D7AE6">
              <w:rPr>
                <w:rFonts w:eastAsia="Calibri"/>
                <w:sz w:val="18"/>
                <w:szCs w:val="18"/>
              </w:rPr>
              <w:t xml:space="preserve">The current </w:t>
            </w:r>
            <w:r w:rsidR="00B931AD">
              <w:rPr>
                <w:rFonts w:eastAsia="Calibri"/>
                <w:sz w:val="18"/>
                <w:szCs w:val="18"/>
              </w:rPr>
              <w:t>R</w:t>
            </w:r>
            <w:r w:rsidRPr="002D7AE6">
              <w:rPr>
                <w:rFonts w:eastAsia="Calibri"/>
                <w:sz w:val="18"/>
                <w:szCs w:val="18"/>
              </w:rPr>
              <w:t>egulations create four prescribed classes of handgun within the ‘general’ class, namely:</w:t>
            </w:r>
          </w:p>
          <w:p w14:paraId="5DB292F3" w14:textId="77777777" w:rsidR="00052799" w:rsidRPr="002D7AE6" w:rsidRDefault="00052799" w:rsidP="00052799">
            <w:pPr>
              <w:pStyle w:val="ListParagraph"/>
              <w:numPr>
                <w:ilvl w:val="0"/>
                <w:numId w:val="42"/>
              </w:numPr>
              <w:spacing w:after="0" w:line="240" w:lineRule="auto"/>
              <w:rPr>
                <w:rFonts w:ascii="Arial" w:hAnsi="Arial" w:cs="Arial"/>
                <w:sz w:val="18"/>
                <w:szCs w:val="18"/>
              </w:rPr>
            </w:pPr>
            <w:r w:rsidRPr="002D7AE6">
              <w:rPr>
                <w:rFonts w:ascii="Arial" w:hAnsi="Arial" w:cs="Arial"/>
                <w:sz w:val="18"/>
                <w:szCs w:val="18"/>
              </w:rPr>
              <w:t>air handguns</w:t>
            </w:r>
          </w:p>
          <w:p w14:paraId="26BC57B6" w14:textId="77777777" w:rsidR="00052799" w:rsidRPr="002D7AE6" w:rsidRDefault="00052799" w:rsidP="00052799">
            <w:pPr>
              <w:pStyle w:val="ListParagraph"/>
              <w:numPr>
                <w:ilvl w:val="0"/>
                <w:numId w:val="42"/>
              </w:numPr>
              <w:spacing w:after="0" w:line="240" w:lineRule="auto"/>
              <w:rPr>
                <w:rFonts w:ascii="Arial" w:hAnsi="Arial" w:cs="Arial"/>
                <w:sz w:val="18"/>
                <w:szCs w:val="18"/>
              </w:rPr>
            </w:pPr>
            <w:r w:rsidRPr="002D7AE6">
              <w:rPr>
                <w:rFonts w:ascii="Arial" w:hAnsi="Arial" w:cs="Arial"/>
                <w:sz w:val="18"/>
                <w:szCs w:val="18"/>
              </w:rPr>
              <w:t>rimfire handguns</w:t>
            </w:r>
          </w:p>
          <w:p w14:paraId="227D9605" w14:textId="77777777" w:rsidR="00052799" w:rsidRPr="002D7AE6" w:rsidRDefault="00052799" w:rsidP="00052799">
            <w:pPr>
              <w:pStyle w:val="ListParagraph"/>
              <w:numPr>
                <w:ilvl w:val="0"/>
                <w:numId w:val="42"/>
              </w:numPr>
              <w:spacing w:after="0" w:line="240" w:lineRule="auto"/>
              <w:rPr>
                <w:rFonts w:ascii="Arial" w:hAnsi="Arial" w:cs="Arial"/>
                <w:sz w:val="18"/>
                <w:szCs w:val="18"/>
              </w:rPr>
            </w:pPr>
            <w:r w:rsidRPr="002D7AE6">
              <w:rPr>
                <w:rFonts w:ascii="Arial" w:hAnsi="Arial" w:cs="Arial"/>
                <w:sz w:val="18"/>
                <w:szCs w:val="18"/>
              </w:rPr>
              <w:t xml:space="preserve">centrefire handguns with a calibre of.38 inches or less </w:t>
            </w:r>
            <w:r w:rsidRPr="002D7AE6">
              <w:rPr>
                <w:rFonts w:ascii="Arial" w:hAnsi="Arial" w:cs="Arial"/>
                <w:i/>
                <w:sz w:val="18"/>
                <w:szCs w:val="18"/>
              </w:rPr>
              <w:t xml:space="preserve">or </w:t>
            </w:r>
            <w:r w:rsidRPr="002D7AE6">
              <w:rPr>
                <w:rFonts w:ascii="Arial" w:hAnsi="Arial" w:cs="Arial"/>
                <w:sz w:val="18"/>
                <w:szCs w:val="18"/>
              </w:rPr>
              <w:t>black powder handguns, and</w:t>
            </w:r>
          </w:p>
          <w:p w14:paraId="46F0FA6F" w14:textId="77777777" w:rsidR="00052799" w:rsidRPr="002D7AE6" w:rsidRDefault="00052799" w:rsidP="00052799">
            <w:pPr>
              <w:pStyle w:val="ListParagraph"/>
              <w:numPr>
                <w:ilvl w:val="0"/>
                <w:numId w:val="42"/>
              </w:numPr>
              <w:spacing w:after="0" w:line="240" w:lineRule="auto"/>
              <w:rPr>
                <w:rFonts w:ascii="Arial" w:hAnsi="Arial" w:cs="Arial"/>
                <w:sz w:val="18"/>
                <w:szCs w:val="18"/>
              </w:rPr>
            </w:pPr>
            <w:r w:rsidRPr="002D7AE6">
              <w:rPr>
                <w:rFonts w:ascii="Arial" w:hAnsi="Arial" w:cs="Arial"/>
                <w:sz w:val="18"/>
                <w:szCs w:val="18"/>
              </w:rPr>
              <w:t>centrefire handguns with calibres greater than .38 of an inch but not more than .45 of an inch.</w:t>
            </w:r>
          </w:p>
          <w:p w14:paraId="25C44C24" w14:textId="77777777" w:rsidR="00052799" w:rsidRPr="002D7AE6" w:rsidRDefault="00052799" w:rsidP="00871631">
            <w:pPr>
              <w:rPr>
                <w:rFonts w:eastAsia="Calibri"/>
                <w:sz w:val="18"/>
                <w:szCs w:val="18"/>
              </w:rPr>
            </w:pPr>
          </w:p>
        </w:tc>
        <w:tc>
          <w:tcPr>
            <w:tcW w:w="3203" w:type="dxa"/>
            <w:shd w:val="clear" w:color="auto" w:fill="DEEAF6"/>
          </w:tcPr>
          <w:p w14:paraId="76A9D66B" w14:textId="77777777" w:rsidR="00052799" w:rsidRPr="002D7AE6" w:rsidRDefault="00052799" w:rsidP="00871631">
            <w:pPr>
              <w:rPr>
                <w:rFonts w:eastAsia="Calibri"/>
                <w:sz w:val="18"/>
                <w:szCs w:val="18"/>
              </w:rPr>
            </w:pPr>
            <w:r w:rsidRPr="002D7AE6">
              <w:rPr>
                <w:rFonts w:eastAsia="Calibri"/>
                <w:sz w:val="18"/>
                <w:szCs w:val="18"/>
              </w:rPr>
              <w:t xml:space="preserve">The Act would continue to require that the holders of handgun target shooting licences must compete in a number of handgun target shoots or target shooting matches every calendar year in order to maintain their licence. </w:t>
            </w:r>
          </w:p>
          <w:p w14:paraId="6C93C2CD" w14:textId="77777777" w:rsidR="00052799" w:rsidRPr="002D7AE6" w:rsidRDefault="00052799" w:rsidP="00871631">
            <w:pPr>
              <w:rPr>
                <w:rFonts w:eastAsia="Calibri"/>
                <w:sz w:val="18"/>
                <w:szCs w:val="18"/>
              </w:rPr>
            </w:pPr>
          </w:p>
          <w:p w14:paraId="7BA51D18" w14:textId="62B527DC" w:rsidR="00052799" w:rsidRPr="002D7AE6" w:rsidRDefault="00052799" w:rsidP="00871631">
            <w:pPr>
              <w:rPr>
                <w:rFonts w:eastAsia="Calibri"/>
                <w:sz w:val="18"/>
                <w:szCs w:val="18"/>
              </w:rPr>
            </w:pPr>
            <w:r w:rsidRPr="002D7AE6">
              <w:rPr>
                <w:rFonts w:eastAsia="Calibri"/>
                <w:sz w:val="18"/>
                <w:szCs w:val="18"/>
              </w:rPr>
              <w:t xml:space="preserve">All handguns would however be classified in the </w:t>
            </w:r>
            <w:r w:rsidR="000514BF">
              <w:rPr>
                <w:rFonts w:eastAsia="Calibri"/>
                <w:sz w:val="18"/>
                <w:szCs w:val="18"/>
              </w:rPr>
              <w:t>‘</w:t>
            </w:r>
            <w:r w:rsidRPr="002D7AE6">
              <w:rPr>
                <w:rFonts w:eastAsia="Calibri"/>
                <w:sz w:val="18"/>
                <w:szCs w:val="18"/>
              </w:rPr>
              <w:t>general</w:t>
            </w:r>
            <w:r w:rsidR="000514BF">
              <w:rPr>
                <w:rFonts w:eastAsia="Calibri"/>
                <w:sz w:val="18"/>
                <w:szCs w:val="18"/>
              </w:rPr>
              <w:t>’</w:t>
            </w:r>
            <w:r w:rsidRPr="002D7AE6">
              <w:rPr>
                <w:rFonts w:eastAsia="Calibri"/>
                <w:sz w:val="18"/>
                <w:szCs w:val="18"/>
              </w:rPr>
              <w:t xml:space="preserve"> class for the purposes of </w:t>
            </w:r>
            <w:r w:rsidR="00B931AD">
              <w:rPr>
                <w:rFonts w:eastAsia="Calibri"/>
                <w:sz w:val="18"/>
                <w:szCs w:val="18"/>
              </w:rPr>
              <w:t>s</w:t>
            </w:r>
            <w:r w:rsidRPr="002D7AE6">
              <w:rPr>
                <w:rFonts w:eastAsia="Calibri"/>
                <w:sz w:val="18"/>
                <w:szCs w:val="18"/>
              </w:rPr>
              <w:t xml:space="preserve">ection 16. </w:t>
            </w:r>
          </w:p>
          <w:p w14:paraId="085A0DD8" w14:textId="77777777" w:rsidR="00052799" w:rsidRPr="002D7AE6" w:rsidRDefault="00052799" w:rsidP="00871631">
            <w:pPr>
              <w:rPr>
                <w:rFonts w:eastAsia="Calibri"/>
                <w:sz w:val="18"/>
                <w:szCs w:val="18"/>
              </w:rPr>
            </w:pPr>
          </w:p>
          <w:p w14:paraId="01D1CF25" w14:textId="77777777" w:rsidR="00052799" w:rsidRPr="002D7AE6" w:rsidRDefault="00052799" w:rsidP="00871631">
            <w:pPr>
              <w:rPr>
                <w:rFonts w:eastAsia="Calibri"/>
                <w:sz w:val="18"/>
                <w:szCs w:val="18"/>
              </w:rPr>
            </w:pPr>
            <w:r w:rsidRPr="002D7AE6">
              <w:rPr>
                <w:rFonts w:eastAsia="Calibri"/>
                <w:sz w:val="18"/>
                <w:szCs w:val="18"/>
              </w:rPr>
              <w:t>As such, the minimum standard of 10 target shoots or matches per year would apply to all handgun target shooting licences, and there would be no requirement that any number of these be with different types of handgun. A holder of a handgun target shooting licence could therefore own, for example, a handgun firing 9mm centre fire ammunition despite only ever shooting an air handgun in competition.</w:t>
            </w:r>
          </w:p>
          <w:p w14:paraId="69047057" w14:textId="77777777" w:rsidR="00052799" w:rsidRPr="002D7AE6" w:rsidRDefault="00052799" w:rsidP="00871631">
            <w:pPr>
              <w:rPr>
                <w:rFonts w:eastAsia="Calibri"/>
                <w:sz w:val="18"/>
                <w:szCs w:val="18"/>
              </w:rPr>
            </w:pPr>
          </w:p>
          <w:p w14:paraId="6A56B8C2" w14:textId="04C7A4B5" w:rsidR="00052799" w:rsidRPr="002D7AE6" w:rsidRDefault="00052799">
            <w:pPr>
              <w:rPr>
                <w:rFonts w:eastAsia="Calibri"/>
                <w:sz w:val="18"/>
                <w:szCs w:val="18"/>
              </w:rPr>
            </w:pPr>
            <w:r w:rsidRPr="002D7AE6">
              <w:rPr>
                <w:rFonts w:eastAsia="Calibri"/>
                <w:sz w:val="18"/>
                <w:szCs w:val="18"/>
              </w:rPr>
              <w:t xml:space="preserve">This would run contrary to the principles in the Act whereby firearms should only be held for a genuine reason, by allowing individuals to hold more handguns than are required for their competition needs. </w:t>
            </w:r>
            <w:r w:rsidR="00B931AD">
              <w:rPr>
                <w:rFonts w:eastAsia="Calibri"/>
                <w:sz w:val="18"/>
                <w:szCs w:val="18"/>
              </w:rPr>
              <w:t>It would also be undermine the clear intention of section 16, which links participation requirements to the classes of handgun owned.</w:t>
            </w:r>
          </w:p>
        </w:tc>
      </w:tr>
    </w:tbl>
    <w:p w14:paraId="0323F13C" w14:textId="77777777" w:rsidR="00052799" w:rsidRPr="00BD464B" w:rsidRDefault="00052799" w:rsidP="00052799">
      <w:pPr>
        <w:pStyle w:val="Heading1"/>
        <w:pageBreakBefore/>
      </w:pPr>
      <w:bookmarkStart w:id="77" w:name="_Toc496783301"/>
      <w:bookmarkStart w:id="78" w:name="_Toc496783696"/>
      <w:bookmarkStart w:id="79" w:name="_Toc496783302"/>
      <w:bookmarkStart w:id="80" w:name="_Toc496783697"/>
      <w:bookmarkStart w:id="81" w:name="_Toc496783303"/>
      <w:bookmarkStart w:id="82" w:name="_Toc496783698"/>
      <w:bookmarkStart w:id="83" w:name="_Toc496783318"/>
      <w:bookmarkStart w:id="84" w:name="_Toc496783713"/>
      <w:bookmarkStart w:id="85" w:name="_Toc496783319"/>
      <w:bookmarkStart w:id="86" w:name="_Toc496783714"/>
      <w:bookmarkStart w:id="87" w:name="_Toc496783321"/>
      <w:bookmarkStart w:id="88" w:name="_Toc496783716"/>
      <w:bookmarkStart w:id="89" w:name="_Toc496783324"/>
      <w:bookmarkStart w:id="90" w:name="_Toc496783719"/>
      <w:bookmarkStart w:id="91" w:name="_Toc496783325"/>
      <w:bookmarkStart w:id="92" w:name="_Toc496783720"/>
      <w:bookmarkStart w:id="93" w:name="_Toc496783327"/>
      <w:bookmarkStart w:id="94" w:name="_Toc496783722"/>
      <w:bookmarkStart w:id="95" w:name="_Toc496783328"/>
      <w:bookmarkStart w:id="96" w:name="_Toc496783723"/>
      <w:bookmarkStart w:id="97" w:name="_Toc496783329"/>
      <w:bookmarkStart w:id="98" w:name="_Toc496783724"/>
      <w:bookmarkStart w:id="99" w:name="_Toc496783332"/>
      <w:bookmarkStart w:id="100" w:name="_Toc496783727"/>
      <w:bookmarkStart w:id="101" w:name="_Toc496783338"/>
      <w:bookmarkStart w:id="102" w:name="_Toc496783733"/>
      <w:bookmarkStart w:id="103" w:name="_Toc496783341"/>
      <w:bookmarkStart w:id="104" w:name="_Toc496783736"/>
      <w:bookmarkStart w:id="105" w:name="_Toc496783342"/>
      <w:bookmarkStart w:id="106" w:name="_Toc496783737"/>
      <w:bookmarkStart w:id="107" w:name="_Toc496783343"/>
      <w:bookmarkStart w:id="108" w:name="_Toc496783738"/>
      <w:bookmarkStart w:id="109" w:name="_Toc496783413"/>
      <w:bookmarkStart w:id="110" w:name="_Toc496783808"/>
      <w:bookmarkStart w:id="111" w:name="_Toc496783435"/>
      <w:bookmarkStart w:id="112" w:name="_Toc496783830"/>
      <w:bookmarkStart w:id="113" w:name="_Toc496783436"/>
      <w:bookmarkStart w:id="114" w:name="_Toc496783831"/>
      <w:bookmarkStart w:id="115" w:name="_Toc496783438"/>
      <w:bookmarkStart w:id="116" w:name="_Toc496783833"/>
      <w:bookmarkStart w:id="117" w:name="_Toc496783439"/>
      <w:bookmarkStart w:id="118" w:name="_Toc496783834"/>
      <w:bookmarkStart w:id="119" w:name="_Toc496783620"/>
      <w:bookmarkStart w:id="120" w:name="_Toc496784015"/>
      <w:bookmarkStart w:id="121" w:name="_Toc497398674"/>
      <w:bookmarkStart w:id="122" w:name="_Toc497922260"/>
      <w:bookmarkStart w:id="123" w:name="_Toc500505466"/>
      <w:bookmarkStart w:id="124" w:name="_Toc501539161"/>
      <w:bookmarkStart w:id="125" w:name="_Toc495338512"/>
      <w:bookmarkStart w:id="126" w:name="_Ref496708544"/>
      <w:bookmarkStart w:id="127" w:name="_Toc497492988"/>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Pr="00BD464B">
        <w:t>Non-fee-related decisions</w:t>
      </w:r>
      <w:bookmarkEnd w:id="121"/>
      <w:bookmarkEnd w:id="122"/>
      <w:bookmarkEnd w:id="123"/>
      <w:bookmarkEnd w:id="124"/>
    </w:p>
    <w:p w14:paraId="14EA2E3E" w14:textId="77777777" w:rsidR="00052799" w:rsidRPr="00610D49" w:rsidRDefault="00052799" w:rsidP="00052799">
      <w:pPr>
        <w:pStyle w:val="BodyText"/>
      </w:pPr>
      <w:r w:rsidRPr="00610D49">
        <w:t>The total estimated impact of the regulations is $13.8m, and the estimated impact of each component of the Regulations are as follows:</w:t>
      </w:r>
    </w:p>
    <w:p w14:paraId="76FCB0C7" w14:textId="5AC70B12" w:rsidR="00052799" w:rsidRPr="00610D49" w:rsidRDefault="00052799" w:rsidP="00052799">
      <w:pPr>
        <w:pStyle w:val="BodyText"/>
        <w:numPr>
          <w:ilvl w:val="0"/>
          <w:numId w:val="73"/>
        </w:numPr>
        <w:tabs>
          <w:tab w:val="clear" w:pos="340"/>
          <w:tab w:val="num" w:pos="1134"/>
        </w:tabs>
        <w:ind w:left="1134"/>
      </w:pPr>
      <w:r w:rsidRPr="00610D49">
        <w:t>Fees: The full cost of administering and enforcing the Act and Regulations in 2016</w:t>
      </w:r>
      <w:r w:rsidR="00B931AD">
        <w:t>–</w:t>
      </w:r>
      <w:r w:rsidRPr="00610D49">
        <w:t xml:space="preserve">17 was $13.4m </w:t>
      </w:r>
    </w:p>
    <w:p w14:paraId="5716B23C" w14:textId="77777777" w:rsidR="00052799" w:rsidRPr="00610D49" w:rsidRDefault="00052799" w:rsidP="00052799">
      <w:pPr>
        <w:pStyle w:val="BodyText"/>
        <w:numPr>
          <w:ilvl w:val="0"/>
          <w:numId w:val="73"/>
        </w:numPr>
        <w:tabs>
          <w:tab w:val="clear" w:pos="340"/>
          <w:tab w:val="num" w:pos="1134"/>
        </w:tabs>
        <w:ind w:left="1134"/>
      </w:pPr>
      <w:r w:rsidRPr="00610D49">
        <w:t>Non-fees: Estimated indicative regulatory impact of non-fee Regulations is $0.4m per annum.</w:t>
      </w:r>
    </w:p>
    <w:p w14:paraId="1CC09006" w14:textId="014536D9" w:rsidR="00052799" w:rsidRPr="00622D94" w:rsidRDefault="00052799" w:rsidP="00052799">
      <w:pPr>
        <w:pStyle w:val="Body"/>
      </w:pPr>
      <w:r>
        <w:t xml:space="preserve">The indicatively estimated impact of the non-fee options </w:t>
      </w:r>
      <w:r w:rsidRPr="00622D94">
        <w:t>is a very small proportion of the total impact of the regulations (equivalent to 3 per cent of the total impact of the Regulations of $13.8 million per annum – 97 per cent of which is driven by the fee-related regulations).</w:t>
      </w:r>
      <w:r>
        <w:t xml:space="preserve"> However, to assist with the flow of reading this document, the non-fee options are outlined first in this section, and the fee-related options are outlined subsequently in Section </w:t>
      </w:r>
      <w:r w:rsidR="001C7D77">
        <w:t>4</w:t>
      </w:r>
      <w:r>
        <w:t xml:space="preserve">). </w:t>
      </w:r>
    </w:p>
    <w:p w14:paraId="2262030F" w14:textId="2FB2FA19" w:rsidR="00052799" w:rsidRPr="00622D94" w:rsidRDefault="00052799" w:rsidP="00052799">
      <w:pPr>
        <w:pStyle w:val="Body"/>
      </w:pPr>
      <w:r w:rsidRPr="00622D94">
        <w:t xml:space="preserve">In considering the impact of the non-fee Regulations, the analysis in this section has been developed in keeping with guidance from the Victorian Guide to Regulation which notes that </w:t>
      </w:r>
      <w:r w:rsidR="000514BF">
        <w:t>‘</w:t>
      </w:r>
      <w:r w:rsidRPr="00622D94">
        <w:t>it is expected that the depth of analysis, and subsequently the resources used in impact assessment are proportionate to the size of the impact of the regulatory/legislative proposal being assessed</w:t>
      </w:r>
      <w:r w:rsidR="000514BF">
        <w:t>’</w:t>
      </w:r>
      <w:r w:rsidRPr="00622D94">
        <w:t>.</w:t>
      </w:r>
      <w:r w:rsidRPr="00622D94">
        <w:rPr>
          <w:rStyle w:val="FootnoteReference"/>
        </w:rPr>
        <w:footnoteReference w:id="17"/>
      </w:r>
      <w:r w:rsidRPr="00622D94">
        <w:t xml:space="preserve"> </w:t>
      </w:r>
    </w:p>
    <w:p w14:paraId="251C17DD" w14:textId="77777777" w:rsidR="00052799" w:rsidRPr="00622D94" w:rsidRDefault="00052799" w:rsidP="00052799">
      <w:pPr>
        <w:pStyle w:val="Heading2"/>
      </w:pPr>
      <w:bookmarkStart w:id="128" w:name="_Toc497398675"/>
      <w:bookmarkStart w:id="129" w:name="_Toc497922261"/>
      <w:bookmarkStart w:id="130" w:name="_Toc500505467"/>
      <w:bookmarkStart w:id="131" w:name="_Toc501539162"/>
      <w:r w:rsidRPr="00622D94">
        <w:t>Non-fee-related objectives and criteria</w:t>
      </w:r>
      <w:bookmarkEnd w:id="128"/>
      <w:bookmarkEnd w:id="129"/>
      <w:bookmarkEnd w:id="130"/>
      <w:bookmarkEnd w:id="131"/>
      <w:r w:rsidRPr="00622D94">
        <w:t xml:space="preserve"> </w:t>
      </w:r>
    </w:p>
    <w:p w14:paraId="41CC42B7" w14:textId="77777777" w:rsidR="00052799" w:rsidRPr="00622D94" w:rsidRDefault="00052799" w:rsidP="00052799">
      <w:pPr>
        <w:pStyle w:val="BodyText"/>
      </w:pPr>
      <w:r w:rsidRPr="00622D94">
        <w:t xml:space="preserve">The proposed regulations not related to fees are evaluated by comparing each proposed regulation and the base case, to determine which is more likely to achieve the Government’s objectives. </w:t>
      </w:r>
    </w:p>
    <w:p w14:paraId="5428409E" w14:textId="7EE71AC8" w:rsidR="00052799" w:rsidRPr="00622D94" w:rsidRDefault="00052799" w:rsidP="00052799">
      <w:pPr>
        <w:pStyle w:val="BodyText"/>
      </w:pPr>
      <w:r w:rsidRPr="00622D94">
        <w:t>As for the fee-related options, in assessing and comparing options, a multi-criteria analysis (MCA) has been used to measure the relative strength of each option.</w:t>
      </w:r>
      <w:r w:rsidR="00B931AD">
        <w:t xml:space="preserve"> The MCA process is explained in section </w:t>
      </w:r>
      <w:r w:rsidR="001C7D77">
        <w:t>4.7</w:t>
      </w:r>
      <w:r w:rsidR="00B931AD">
        <w:t xml:space="preserve"> below.</w:t>
      </w:r>
      <w:r w:rsidRPr="00622D94">
        <w:t xml:space="preserve"> Based on the Government’s objectives in remaking the Regulations, the criteria that will be used to assess the non-fee-related options in this RIS are:</w:t>
      </w:r>
    </w:p>
    <w:p w14:paraId="2743DAF2" w14:textId="77777777" w:rsidR="00052799" w:rsidRPr="00622D94" w:rsidRDefault="00052799" w:rsidP="00052799">
      <w:pPr>
        <w:pStyle w:val="BodyText"/>
      </w:pPr>
      <w:r w:rsidRPr="00622D94">
        <w:rPr>
          <w:b/>
        </w:rPr>
        <w:t xml:space="preserve">Safety: </w:t>
      </w:r>
      <w:r w:rsidRPr="00622D94">
        <w:t>The extent to which the option is expected to advance the safety objective of the Act, over and above the base case. For the purposes of this RIS, safety refers to the prevention of physical and psychological harm directly resulting from the accidental or deliberate misuse of legally owned firearms.</w:t>
      </w:r>
    </w:p>
    <w:p w14:paraId="71333ED1" w14:textId="77777777" w:rsidR="00052799" w:rsidRPr="00622D94" w:rsidRDefault="00052799" w:rsidP="00052799">
      <w:pPr>
        <w:pStyle w:val="BodyText"/>
      </w:pPr>
      <w:r w:rsidRPr="00622D94">
        <w:rPr>
          <w:b/>
        </w:rPr>
        <w:t xml:space="preserve">Public peace: </w:t>
      </w:r>
      <w:r w:rsidRPr="00622D94">
        <w:t>The degree to which the option is expected to advance the public peace objective of the Act, over and above the base case, by strengthening public perceptions of the risks posed by firearms. For the purposes of this RIS, public peace refers to the prevention of non-physical (psychological and emotional) harm resulting from perceptions about the risks of harm from firearms.</w:t>
      </w:r>
    </w:p>
    <w:p w14:paraId="55FDCE03" w14:textId="77777777" w:rsidR="00052799" w:rsidRPr="00622D94" w:rsidRDefault="00052799" w:rsidP="00052799">
      <w:pPr>
        <w:pStyle w:val="BodyText"/>
      </w:pPr>
      <w:r w:rsidRPr="00622D94">
        <w:rPr>
          <w:b/>
        </w:rPr>
        <w:t xml:space="preserve">Regulatory burden: </w:t>
      </w:r>
      <w:r w:rsidRPr="00622D94">
        <w:t xml:space="preserve">The degree to which the option imposes compliance costs, burdens or restrictions on the regulated community over and above the base case, for example, related to additional reporting or distorting the behaviour of regulated entities. A measure that is highly burdensome compared to the base case would attract a negative score, while one that reduces the regulatory burden relative to the base case would attract a positive score. Restrictions may include non-financial costs associated with compliance (being unable to engage in and enjoy one’s recreational pursuits due to safety restrictions, for example, would be an example of regulatory burden). </w:t>
      </w:r>
    </w:p>
    <w:p w14:paraId="04D52D20" w14:textId="77777777" w:rsidR="00052799" w:rsidRPr="00622D94" w:rsidRDefault="00052799" w:rsidP="00052799">
      <w:pPr>
        <w:pStyle w:val="BodyText"/>
      </w:pPr>
      <w:r w:rsidRPr="00622D94">
        <w:rPr>
          <w:b/>
        </w:rPr>
        <w:t xml:space="preserve">Administrative costs: </w:t>
      </w:r>
      <w:r w:rsidRPr="00622D94">
        <w:t xml:space="preserve">The degree to which the option creates administrative costs for Government bodies. An option which requires a significant number of FTE to effectively administer would, for example, attract a significant negative score by this measure. An option which reduces administrative costs relative to the base case would receive a positive score.  It is important to note that, throughout this section, this criterion is only relevant to those administrative costs created by non-fee related options, and that </w:t>
      </w:r>
      <w:r>
        <w:t xml:space="preserve">any changes in </w:t>
      </w:r>
      <w:r w:rsidRPr="00622D94">
        <w:t xml:space="preserve">administrative costs arising </w:t>
      </w:r>
      <w:r>
        <w:t xml:space="preserve">solely due to choices made in setting fees </w:t>
      </w:r>
      <w:r w:rsidRPr="00622D94">
        <w:t xml:space="preserve">are separately analysed in the section on fee-related options (and not counted twice). </w:t>
      </w:r>
    </w:p>
    <w:p w14:paraId="0130C48C" w14:textId="77777777" w:rsidR="00052799" w:rsidRPr="00622D94" w:rsidRDefault="00052799" w:rsidP="00052799">
      <w:pPr>
        <w:pStyle w:val="BodyText"/>
      </w:pPr>
      <w:r w:rsidRPr="00622D94">
        <w:t>The Victorian Guide to Regulation states that equal weighting should apply to benefit-related criteria and cost-related criteria, so that anticipated benefits and costs of the particular option can be assessed neutrally. Drawing on this, it is proposed that a 50 per cent weighting apply to the sum of all benefits and a 50 per cent weighting to the sum of all costs, as follows:</w:t>
      </w:r>
    </w:p>
    <w:p w14:paraId="46F0F0DF" w14:textId="77777777" w:rsidR="00052799" w:rsidRPr="00622D94" w:rsidRDefault="00052799" w:rsidP="00052799">
      <w:pPr>
        <w:pStyle w:val="BodyText"/>
      </w:pPr>
      <w:r w:rsidRPr="00622D94">
        <w:t xml:space="preserve">Safety, being the primary benefit advanced by the Act, is accorded a </w:t>
      </w:r>
      <w:r w:rsidRPr="00622D94">
        <w:rPr>
          <w:b/>
        </w:rPr>
        <w:t xml:space="preserve">30 per cent </w:t>
      </w:r>
      <w:r w:rsidRPr="00622D94">
        <w:t>weighting.</w:t>
      </w:r>
    </w:p>
    <w:p w14:paraId="245575D4" w14:textId="77777777" w:rsidR="00052799" w:rsidRPr="00622D94" w:rsidRDefault="00052799" w:rsidP="00052799">
      <w:pPr>
        <w:pStyle w:val="BodyText"/>
      </w:pPr>
      <w:r w:rsidRPr="00622D94">
        <w:t xml:space="preserve">As public peace is regarded as the second benefit advanced by the Act, this criterion is given a weighting of </w:t>
      </w:r>
      <w:r w:rsidRPr="00622D94">
        <w:rPr>
          <w:b/>
        </w:rPr>
        <w:t>20 per cent.</w:t>
      </w:r>
    </w:p>
    <w:p w14:paraId="7D960AA6" w14:textId="77777777" w:rsidR="00052799" w:rsidRPr="00622D94" w:rsidRDefault="00052799" w:rsidP="00052799">
      <w:pPr>
        <w:pStyle w:val="BodyText"/>
      </w:pPr>
      <w:r w:rsidRPr="00622D94">
        <w:t xml:space="preserve">The regulated community and government represent the two key stakeholder groups that would be impacted by any change to the framework. While the cost impact on both is important, the burden on the regulated community is likely to have a more substantial impact on the successful adoption of the Regulations, and has been assigned a slightly higher weighting of </w:t>
      </w:r>
      <w:r w:rsidRPr="00622D94">
        <w:rPr>
          <w:b/>
        </w:rPr>
        <w:t>30 per cent</w:t>
      </w:r>
      <w:r w:rsidRPr="00622D94">
        <w:t xml:space="preserve">. Administration costs to government have been assigned a </w:t>
      </w:r>
      <w:r w:rsidRPr="00622D94">
        <w:rPr>
          <w:b/>
        </w:rPr>
        <w:t>20 per cent</w:t>
      </w:r>
      <w:r w:rsidRPr="00622D94">
        <w:t xml:space="preserve"> weighting.</w:t>
      </w:r>
    </w:p>
    <w:p w14:paraId="00236AD5" w14:textId="77777777" w:rsidR="00052799" w:rsidRPr="00622D94" w:rsidRDefault="00052799" w:rsidP="00052799">
      <w:pPr>
        <w:pStyle w:val="BodyText"/>
      </w:pPr>
      <w:r>
        <w:t xml:space="preserve">The following table </w:t>
      </w:r>
      <w:r w:rsidRPr="00622D94">
        <w:t>summarises the above MCA weightings to be used for the assessment of non-fee-related options.</w:t>
      </w:r>
    </w:p>
    <w:p w14:paraId="69C62FD7" w14:textId="07B3728A" w:rsidR="00052799" w:rsidRPr="00622D94" w:rsidRDefault="00052799" w:rsidP="00052799">
      <w:pPr>
        <w:pStyle w:val="Caption"/>
      </w:pPr>
      <w:r w:rsidRPr="00622D94">
        <w:t xml:space="preserve">Table </w:t>
      </w:r>
      <w:r w:rsidR="001C7D77">
        <w:rPr>
          <w:noProof/>
        </w:rPr>
        <w:t>10</w:t>
      </w:r>
      <w:r w:rsidRPr="00622D94">
        <w:t>: MCA assessment table</w:t>
      </w:r>
    </w:p>
    <w:tbl>
      <w:tblPr>
        <w:tblW w:w="4445" w:type="pct"/>
        <w:tblInd w:w="907" w:type="dxa"/>
        <w:tblBorders>
          <w:top w:val="single" w:sz="4" w:space="0" w:color="666366"/>
          <w:bottom w:val="single" w:sz="4" w:space="0" w:color="666366"/>
          <w:insideH w:val="single" w:sz="2" w:space="0" w:color="C0C0C0"/>
        </w:tblBorders>
        <w:tblLayout w:type="fixed"/>
        <w:tblCellMar>
          <w:top w:w="57" w:type="dxa"/>
          <w:bottom w:w="57" w:type="dxa"/>
        </w:tblCellMar>
        <w:tblLook w:val="01E0" w:firstRow="1" w:lastRow="1" w:firstColumn="1" w:lastColumn="1" w:noHBand="0" w:noVBand="0"/>
        <w:tblCaption w:val="Table 10: MCA assessment table"/>
      </w:tblPr>
      <w:tblGrid>
        <w:gridCol w:w="6327"/>
        <w:gridCol w:w="2493"/>
      </w:tblGrid>
      <w:tr w:rsidR="00052799" w:rsidRPr="00622D94" w14:paraId="1EFE87AD" w14:textId="77777777" w:rsidTr="00871631">
        <w:trPr>
          <w:tblHeader/>
        </w:trPr>
        <w:tc>
          <w:tcPr>
            <w:tcW w:w="3587" w:type="pct"/>
            <w:tcBorders>
              <w:top w:val="single" w:sz="4" w:space="0" w:color="666366"/>
              <w:bottom w:val="single" w:sz="2" w:space="0" w:color="C0C0C0"/>
            </w:tcBorders>
            <w:shd w:val="clear" w:color="auto" w:fill="01356E"/>
          </w:tcPr>
          <w:p w14:paraId="7326295D" w14:textId="77777777" w:rsidR="00052799" w:rsidRPr="00622D94" w:rsidRDefault="00052799" w:rsidP="00871631">
            <w:pPr>
              <w:pStyle w:val="TableHeader"/>
            </w:pPr>
            <w:r w:rsidRPr="00622D94">
              <w:t>Criterion</w:t>
            </w:r>
          </w:p>
        </w:tc>
        <w:tc>
          <w:tcPr>
            <w:tcW w:w="1413" w:type="pct"/>
            <w:tcBorders>
              <w:top w:val="single" w:sz="4" w:space="0" w:color="666366"/>
              <w:bottom w:val="single" w:sz="2" w:space="0" w:color="C0C0C0"/>
            </w:tcBorders>
            <w:shd w:val="clear" w:color="auto" w:fill="01356E"/>
          </w:tcPr>
          <w:p w14:paraId="1A0DD058" w14:textId="77777777" w:rsidR="00052799" w:rsidRPr="00622D94" w:rsidRDefault="00052799" w:rsidP="00871631">
            <w:pPr>
              <w:pStyle w:val="TableHeader"/>
            </w:pPr>
            <w:r w:rsidRPr="00622D94">
              <w:t>Weighting</w:t>
            </w:r>
          </w:p>
        </w:tc>
      </w:tr>
      <w:tr w:rsidR="00052799" w:rsidRPr="00622D94" w14:paraId="34C92393" w14:textId="77777777" w:rsidTr="00871631">
        <w:tc>
          <w:tcPr>
            <w:tcW w:w="3587" w:type="pct"/>
            <w:tcBorders>
              <w:top w:val="single" w:sz="2" w:space="0" w:color="C0C0C0"/>
            </w:tcBorders>
            <w:shd w:val="clear" w:color="auto" w:fill="auto"/>
          </w:tcPr>
          <w:p w14:paraId="25A7CB2B" w14:textId="77777777" w:rsidR="00052799" w:rsidRPr="00622D94" w:rsidRDefault="00052799" w:rsidP="00871631">
            <w:pPr>
              <w:pStyle w:val="TableText"/>
            </w:pPr>
            <w:r w:rsidRPr="00622D94">
              <w:t>Safety</w:t>
            </w:r>
          </w:p>
        </w:tc>
        <w:tc>
          <w:tcPr>
            <w:tcW w:w="1413" w:type="pct"/>
            <w:tcBorders>
              <w:top w:val="single" w:sz="2" w:space="0" w:color="C0C0C0"/>
            </w:tcBorders>
            <w:shd w:val="clear" w:color="auto" w:fill="auto"/>
          </w:tcPr>
          <w:p w14:paraId="312A09DD" w14:textId="77777777" w:rsidR="00052799" w:rsidRPr="00622D94" w:rsidRDefault="00052799" w:rsidP="00871631">
            <w:pPr>
              <w:pStyle w:val="TableText"/>
            </w:pPr>
            <w:r w:rsidRPr="00622D94">
              <w:t>30%</w:t>
            </w:r>
          </w:p>
        </w:tc>
      </w:tr>
      <w:tr w:rsidR="00052799" w:rsidRPr="00622D94" w14:paraId="12959816" w14:textId="77777777" w:rsidTr="00871631">
        <w:tc>
          <w:tcPr>
            <w:tcW w:w="3587" w:type="pct"/>
            <w:shd w:val="clear" w:color="auto" w:fill="auto"/>
          </w:tcPr>
          <w:p w14:paraId="23669266" w14:textId="77777777" w:rsidR="00052799" w:rsidRPr="00622D94" w:rsidRDefault="00052799" w:rsidP="00871631">
            <w:pPr>
              <w:pStyle w:val="TableText"/>
            </w:pPr>
            <w:r w:rsidRPr="00622D94">
              <w:t>Public peace</w:t>
            </w:r>
          </w:p>
        </w:tc>
        <w:tc>
          <w:tcPr>
            <w:tcW w:w="1413" w:type="pct"/>
            <w:shd w:val="clear" w:color="auto" w:fill="auto"/>
          </w:tcPr>
          <w:p w14:paraId="310B1E49" w14:textId="77777777" w:rsidR="00052799" w:rsidRPr="00622D94" w:rsidRDefault="00052799" w:rsidP="00871631">
            <w:pPr>
              <w:pStyle w:val="TableText"/>
            </w:pPr>
            <w:r w:rsidRPr="00622D94">
              <w:t>20%</w:t>
            </w:r>
          </w:p>
        </w:tc>
      </w:tr>
      <w:tr w:rsidR="00052799" w:rsidRPr="00622D94" w14:paraId="24200BB4" w14:textId="77777777" w:rsidTr="00871631">
        <w:tc>
          <w:tcPr>
            <w:tcW w:w="3587" w:type="pct"/>
            <w:shd w:val="clear" w:color="auto" w:fill="auto"/>
          </w:tcPr>
          <w:p w14:paraId="0FF83500" w14:textId="77777777" w:rsidR="00052799" w:rsidRPr="00622D94" w:rsidRDefault="00052799" w:rsidP="00871631">
            <w:pPr>
              <w:pStyle w:val="TableText"/>
            </w:pPr>
            <w:r w:rsidRPr="00622D94">
              <w:t>Regulatory burden</w:t>
            </w:r>
          </w:p>
        </w:tc>
        <w:tc>
          <w:tcPr>
            <w:tcW w:w="1413" w:type="pct"/>
            <w:shd w:val="clear" w:color="auto" w:fill="auto"/>
          </w:tcPr>
          <w:p w14:paraId="4015EC89" w14:textId="77777777" w:rsidR="00052799" w:rsidRPr="00622D94" w:rsidRDefault="00052799" w:rsidP="00871631">
            <w:pPr>
              <w:pStyle w:val="TableText"/>
            </w:pPr>
            <w:r w:rsidRPr="00622D94">
              <w:t>30%</w:t>
            </w:r>
          </w:p>
        </w:tc>
      </w:tr>
      <w:tr w:rsidR="00052799" w:rsidRPr="00622D94" w14:paraId="4544CF56" w14:textId="77777777" w:rsidTr="00871631">
        <w:tc>
          <w:tcPr>
            <w:tcW w:w="3587" w:type="pct"/>
            <w:shd w:val="clear" w:color="auto" w:fill="auto"/>
          </w:tcPr>
          <w:p w14:paraId="7C6DBA40" w14:textId="77777777" w:rsidR="00052799" w:rsidRPr="00622D94" w:rsidRDefault="00052799" w:rsidP="00871631">
            <w:pPr>
              <w:pStyle w:val="TableText"/>
            </w:pPr>
            <w:r w:rsidRPr="00622D94">
              <w:t>Administrative costs</w:t>
            </w:r>
          </w:p>
        </w:tc>
        <w:tc>
          <w:tcPr>
            <w:tcW w:w="1413" w:type="pct"/>
            <w:shd w:val="clear" w:color="auto" w:fill="auto"/>
          </w:tcPr>
          <w:p w14:paraId="188F1C7E" w14:textId="77777777" w:rsidR="00052799" w:rsidRPr="00622D94" w:rsidRDefault="00052799" w:rsidP="00871631">
            <w:pPr>
              <w:pStyle w:val="TableText"/>
            </w:pPr>
            <w:r w:rsidRPr="00622D94">
              <w:t>20%</w:t>
            </w:r>
          </w:p>
        </w:tc>
      </w:tr>
    </w:tbl>
    <w:p w14:paraId="7BD2ED9B" w14:textId="77777777" w:rsidR="00052799" w:rsidRPr="00622D94" w:rsidRDefault="00052799" w:rsidP="00052799">
      <w:pPr>
        <w:pStyle w:val="Body"/>
      </w:pPr>
      <w:r>
        <w:t>For the purposes of clarity, it is important to note that the non-fee-related options analysis includes different criteria to the analysis of fee-related options. An important area of overlap is that in the fee-related options, one of the criteria is named ‘alignment with objectives of the Act’, and this overlaps with the two criteria in the non-fee options analysis section that are separately named ‘safety’ and ‘public peace’. The reason to list safety and public peace separately in this section is that there are several options considered where the option only has an impact on safety or public peace, rather than both – and separately listing the criteria allows the reader to isolate where this impact is likely to occur.</w:t>
      </w:r>
    </w:p>
    <w:p w14:paraId="65F24B91" w14:textId="77777777" w:rsidR="00052799" w:rsidRPr="00622D94" w:rsidRDefault="00052799" w:rsidP="00052799">
      <w:pPr>
        <w:pStyle w:val="Heading2"/>
      </w:pPr>
      <w:bookmarkStart w:id="132" w:name="_Toc497398676"/>
      <w:bookmarkStart w:id="133" w:name="_Toc497922262"/>
      <w:bookmarkStart w:id="134" w:name="_Toc500505468"/>
      <w:bookmarkStart w:id="135" w:name="_Toc501539163"/>
      <w:r w:rsidRPr="00622D94">
        <w:t>Non-fee-related options and assessment</w:t>
      </w:r>
      <w:bookmarkEnd w:id="132"/>
      <w:bookmarkEnd w:id="133"/>
      <w:bookmarkEnd w:id="134"/>
      <w:bookmarkEnd w:id="135"/>
    </w:p>
    <w:p w14:paraId="1B49E80C" w14:textId="77777777" w:rsidR="00052799" w:rsidRPr="00622D94" w:rsidRDefault="00052799" w:rsidP="00052799">
      <w:pPr>
        <w:pStyle w:val="BodyText"/>
      </w:pPr>
      <w:r w:rsidRPr="00622D94">
        <w:t xml:space="preserve">In considering the impact of the Regulations, fee setting is the most substantive component of the Regulations. Non-fee related regulations account for only a small proportion of the regulatory burden created by the Firearms Regulations. </w:t>
      </w:r>
    </w:p>
    <w:p w14:paraId="7D57DD30" w14:textId="77777777" w:rsidR="00052799" w:rsidRPr="00622D94" w:rsidRDefault="00052799" w:rsidP="00052799">
      <w:pPr>
        <w:pStyle w:val="Body"/>
      </w:pPr>
      <w:r w:rsidRPr="00622D94">
        <w:t xml:space="preserve">As previously indicated, the overall compliance costs associated with the non-fee options is indicatively estimated to be $0.4m per annum (3 per cent of the total cost of the Regulations). The following table summarises the non-fee option components which have been used to derive the indicative estimate of compliance costs. Given the non-substantial and non-controversial nature of the majority of the provisions in the non-fee components of the Regulations, it is proposed that the bulk of the non-fee related regulations of the existing regulatory regime be remade unchanged. In general, these Regulations are considered not to be substantial because they relate to activities with very small volumes, or prescribe details which give operation to activities that occur under the Act. For example, the </w:t>
      </w:r>
      <w:r>
        <w:t xml:space="preserve">Act establishes a range of activities that inter-state licence can undertake (e.g. dealers can acquire firearms from inter-state licensees in certain circumstances), and the </w:t>
      </w:r>
      <w:r w:rsidRPr="00622D94">
        <w:t xml:space="preserve">Regulations </w:t>
      </w:r>
      <w:r>
        <w:t>prescribe the states which are considered to be states for this purpose</w:t>
      </w:r>
      <w:r w:rsidRPr="00622D94">
        <w:t xml:space="preserve">. </w:t>
      </w:r>
    </w:p>
    <w:p w14:paraId="2ECD698F" w14:textId="6CF5B7D1" w:rsidR="00052799" w:rsidRPr="00622D94" w:rsidRDefault="00052799" w:rsidP="00052799">
      <w:pPr>
        <w:pStyle w:val="Caption"/>
      </w:pPr>
      <w:r w:rsidRPr="00622D94">
        <w:t xml:space="preserve">Table </w:t>
      </w:r>
      <w:r w:rsidR="001C7D77">
        <w:rPr>
          <w:noProof/>
        </w:rPr>
        <w:t>11</w:t>
      </w:r>
      <w:r w:rsidRPr="00622D94">
        <w:t>: Components of non-fee regulatory impact indicative estimates</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Caption w:val="Table 11: Components of non-fee regulatory impact indicative estimates"/>
      </w:tblPr>
      <w:tblGrid>
        <w:gridCol w:w="5954"/>
        <w:gridCol w:w="2693"/>
      </w:tblGrid>
      <w:tr w:rsidR="00052799" w:rsidRPr="00622D94" w14:paraId="0B7BBC77" w14:textId="77777777" w:rsidTr="00D25BA9">
        <w:trPr>
          <w:trHeight w:val="329"/>
          <w:tblHeader/>
        </w:trPr>
        <w:tc>
          <w:tcPr>
            <w:tcW w:w="5954" w:type="dxa"/>
            <w:shd w:val="clear" w:color="auto" w:fill="1F3864"/>
            <w:noWrap/>
          </w:tcPr>
          <w:p w14:paraId="195754D0" w14:textId="77777777" w:rsidR="00052799" w:rsidRPr="002D7AE6" w:rsidRDefault="00052799" w:rsidP="00871631">
            <w:pPr>
              <w:spacing w:beforeLines="20" w:before="48" w:afterLines="20" w:after="48"/>
              <w:rPr>
                <w:b/>
                <w:sz w:val="18"/>
                <w:szCs w:val="18"/>
              </w:rPr>
            </w:pPr>
            <w:r w:rsidRPr="002D7AE6">
              <w:rPr>
                <w:b/>
                <w:sz w:val="18"/>
                <w:szCs w:val="18"/>
              </w:rPr>
              <w:t>Component of non-fee regulations</w:t>
            </w:r>
          </w:p>
        </w:tc>
        <w:tc>
          <w:tcPr>
            <w:tcW w:w="2693" w:type="dxa"/>
            <w:tcBorders>
              <w:right w:val="single" w:sz="4" w:space="0" w:color="auto"/>
            </w:tcBorders>
            <w:shd w:val="clear" w:color="auto" w:fill="1F3864"/>
          </w:tcPr>
          <w:p w14:paraId="465D7C70" w14:textId="77777777" w:rsidR="00052799" w:rsidRPr="002D7AE6" w:rsidRDefault="00052799" w:rsidP="00871631">
            <w:pPr>
              <w:spacing w:beforeLines="20" w:before="48" w:afterLines="20" w:after="48"/>
              <w:jc w:val="center"/>
              <w:rPr>
                <w:b/>
                <w:sz w:val="18"/>
                <w:szCs w:val="18"/>
              </w:rPr>
            </w:pPr>
            <w:r w:rsidRPr="002D7AE6">
              <w:rPr>
                <w:b/>
                <w:sz w:val="18"/>
                <w:szCs w:val="18"/>
              </w:rPr>
              <w:t>Indicative estimate of compliance costs ($m)</w:t>
            </w:r>
          </w:p>
        </w:tc>
      </w:tr>
      <w:tr w:rsidR="00052799" w:rsidRPr="00622D94" w14:paraId="42A861F4" w14:textId="77777777" w:rsidTr="00871631">
        <w:trPr>
          <w:trHeight w:val="329"/>
        </w:trPr>
        <w:tc>
          <w:tcPr>
            <w:tcW w:w="5954" w:type="dxa"/>
            <w:tcBorders>
              <w:top w:val="single" w:sz="4" w:space="0" w:color="auto"/>
              <w:bottom w:val="single" w:sz="4" w:space="0" w:color="auto"/>
            </w:tcBorders>
            <w:noWrap/>
            <w:vAlign w:val="center"/>
          </w:tcPr>
          <w:p w14:paraId="24F9EAAA" w14:textId="7C1ACF49" w:rsidR="00052799" w:rsidRPr="002D7AE6" w:rsidRDefault="00052799" w:rsidP="00554C23">
            <w:pPr>
              <w:spacing w:beforeLines="20" w:before="48" w:afterLines="20" w:after="48"/>
              <w:rPr>
                <w:sz w:val="18"/>
                <w:szCs w:val="18"/>
              </w:rPr>
            </w:pPr>
            <w:r w:rsidRPr="002D7AE6">
              <w:rPr>
                <w:sz w:val="18"/>
                <w:szCs w:val="18"/>
              </w:rPr>
              <w:t>Particulars to be entered on a firearm dealers register</w:t>
            </w:r>
            <w:r w:rsidRPr="002D7AE6">
              <w:rPr>
                <w:rStyle w:val="FootnoteReference"/>
                <w:sz w:val="18"/>
                <w:szCs w:val="18"/>
              </w:rPr>
              <w:footnoteReference w:id="18"/>
            </w:r>
          </w:p>
        </w:tc>
        <w:tc>
          <w:tcPr>
            <w:tcW w:w="2693" w:type="dxa"/>
            <w:tcBorders>
              <w:top w:val="single" w:sz="4" w:space="0" w:color="auto"/>
              <w:bottom w:val="single" w:sz="4" w:space="0" w:color="auto"/>
            </w:tcBorders>
            <w:vAlign w:val="center"/>
          </w:tcPr>
          <w:p w14:paraId="22AC2F89" w14:textId="77777777" w:rsidR="00052799" w:rsidRPr="002D7AE6" w:rsidRDefault="00052799" w:rsidP="00871631">
            <w:pPr>
              <w:spacing w:before="80" w:after="80"/>
              <w:jc w:val="right"/>
              <w:rPr>
                <w:color w:val="000000"/>
                <w:sz w:val="18"/>
                <w:szCs w:val="18"/>
              </w:rPr>
            </w:pPr>
            <w:r w:rsidRPr="002D7AE6">
              <w:rPr>
                <w:color w:val="000000"/>
                <w:sz w:val="18"/>
                <w:szCs w:val="18"/>
              </w:rPr>
              <w:t>0.392</w:t>
            </w:r>
          </w:p>
        </w:tc>
      </w:tr>
      <w:tr w:rsidR="00052799" w:rsidRPr="00622D94" w14:paraId="75EB6028" w14:textId="77777777" w:rsidTr="00871631">
        <w:trPr>
          <w:trHeight w:val="329"/>
        </w:trPr>
        <w:tc>
          <w:tcPr>
            <w:tcW w:w="5954" w:type="dxa"/>
            <w:tcBorders>
              <w:top w:val="single" w:sz="4" w:space="0" w:color="auto"/>
              <w:bottom w:val="single" w:sz="4" w:space="0" w:color="auto"/>
            </w:tcBorders>
            <w:noWrap/>
            <w:vAlign w:val="center"/>
          </w:tcPr>
          <w:p w14:paraId="50C2968C" w14:textId="2B8F2E4A" w:rsidR="00052799" w:rsidRPr="002D7AE6" w:rsidRDefault="00052799" w:rsidP="00554C23">
            <w:pPr>
              <w:spacing w:beforeLines="20" w:before="48" w:afterLines="20" w:after="48"/>
              <w:rPr>
                <w:sz w:val="18"/>
                <w:szCs w:val="18"/>
              </w:rPr>
            </w:pPr>
            <w:r w:rsidRPr="002D7AE6">
              <w:rPr>
                <w:sz w:val="18"/>
                <w:szCs w:val="18"/>
              </w:rPr>
              <w:t>Particulars to be entered on a firearms collectors register</w:t>
            </w:r>
            <w:r w:rsidRPr="002D7AE6">
              <w:rPr>
                <w:rStyle w:val="FootnoteReference"/>
                <w:sz w:val="18"/>
                <w:szCs w:val="18"/>
              </w:rPr>
              <w:footnoteReference w:id="19"/>
            </w:r>
          </w:p>
        </w:tc>
        <w:tc>
          <w:tcPr>
            <w:tcW w:w="2693" w:type="dxa"/>
            <w:tcBorders>
              <w:top w:val="single" w:sz="4" w:space="0" w:color="auto"/>
              <w:bottom w:val="single" w:sz="4" w:space="0" w:color="auto"/>
            </w:tcBorders>
            <w:vAlign w:val="center"/>
          </w:tcPr>
          <w:p w14:paraId="54164895" w14:textId="77777777" w:rsidR="00052799" w:rsidRPr="002D7AE6" w:rsidRDefault="00052799" w:rsidP="00871631">
            <w:pPr>
              <w:spacing w:before="80" w:after="80"/>
              <w:jc w:val="right"/>
              <w:rPr>
                <w:color w:val="000000"/>
                <w:sz w:val="18"/>
                <w:szCs w:val="18"/>
              </w:rPr>
            </w:pPr>
            <w:r w:rsidRPr="002D7AE6">
              <w:rPr>
                <w:color w:val="000000"/>
                <w:sz w:val="18"/>
                <w:szCs w:val="18"/>
              </w:rPr>
              <w:t>0.006</w:t>
            </w:r>
          </w:p>
        </w:tc>
      </w:tr>
      <w:tr w:rsidR="00052799" w:rsidRPr="00622D94" w14:paraId="3AE804C3" w14:textId="77777777" w:rsidTr="00871631">
        <w:trPr>
          <w:trHeight w:val="329"/>
        </w:trPr>
        <w:tc>
          <w:tcPr>
            <w:tcW w:w="5954" w:type="dxa"/>
            <w:tcBorders>
              <w:top w:val="single" w:sz="4" w:space="0" w:color="auto"/>
              <w:bottom w:val="single" w:sz="4" w:space="0" w:color="auto"/>
            </w:tcBorders>
            <w:noWrap/>
            <w:vAlign w:val="center"/>
          </w:tcPr>
          <w:p w14:paraId="61D4CB2D" w14:textId="2EEF8FA5" w:rsidR="00052799" w:rsidRPr="002D7AE6" w:rsidRDefault="00052799" w:rsidP="00554C23">
            <w:pPr>
              <w:spacing w:beforeLines="20" w:before="48" w:afterLines="20" w:after="48"/>
              <w:rPr>
                <w:sz w:val="18"/>
                <w:szCs w:val="18"/>
              </w:rPr>
            </w:pPr>
            <w:r w:rsidRPr="002D7AE6">
              <w:rPr>
                <w:sz w:val="18"/>
                <w:szCs w:val="18"/>
              </w:rPr>
              <w:t>Conduct of shooting on private property</w:t>
            </w:r>
            <w:r w:rsidRPr="002D7AE6">
              <w:rPr>
                <w:rStyle w:val="FootnoteReference"/>
                <w:sz w:val="18"/>
                <w:szCs w:val="18"/>
              </w:rPr>
              <w:footnoteReference w:id="20"/>
            </w:r>
          </w:p>
        </w:tc>
        <w:tc>
          <w:tcPr>
            <w:tcW w:w="2693" w:type="dxa"/>
            <w:tcBorders>
              <w:top w:val="single" w:sz="4" w:space="0" w:color="auto"/>
              <w:bottom w:val="single" w:sz="4" w:space="0" w:color="auto"/>
            </w:tcBorders>
            <w:vAlign w:val="center"/>
          </w:tcPr>
          <w:p w14:paraId="3B8365E0" w14:textId="77777777" w:rsidR="00052799" w:rsidRPr="002D7AE6" w:rsidRDefault="00052799" w:rsidP="00871631">
            <w:pPr>
              <w:spacing w:before="80" w:after="80"/>
              <w:jc w:val="right"/>
              <w:rPr>
                <w:color w:val="000000"/>
                <w:sz w:val="18"/>
                <w:szCs w:val="18"/>
              </w:rPr>
            </w:pPr>
            <w:r w:rsidRPr="002D7AE6">
              <w:rPr>
                <w:color w:val="000000"/>
                <w:sz w:val="18"/>
                <w:szCs w:val="18"/>
              </w:rPr>
              <w:t>0.001</w:t>
            </w:r>
          </w:p>
        </w:tc>
      </w:tr>
      <w:tr w:rsidR="00052799" w:rsidRPr="00622D94" w14:paraId="1FC7B136" w14:textId="77777777" w:rsidTr="00871631">
        <w:trPr>
          <w:trHeight w:val="329"/>
        </w:trPr>
        <w:tc>
          <w:tcPr>
            <w:tcW w:w="5954" w:type="dxa"/>
            <w:tcBorders>
              <w:top w:val="single" w:sz="4" w:space="0" w:color="auto"/>
            </w:tcBorders>
            <w:noWrap/>
            <w:vAlign w:val="center"/>
          </w:tcPr>
          <w:p w14:paraId="720B8421" w14:textId="77777777" w:rsidR="00052799" w:rsidRPr="002D7AE6" w:rsidDel="003B149C" w:rsidRDefault="00052799" w:rsidP="00871631">
            <w:pPr>
              <w:spacing w:beforeLines="20" w:before="48" w:afterLines="20" w:after="48"/>
              <w:jc w:val="right"/>
              <w:rPr>
                <w:b/>
                <w:sz w:val="18"/>
                <w:szCs w:val="18"/>
              </w:rPr>
            </w:pPr>
            <w:r w:rsidRPr="002D7AE6">
              <w:rPr>
                <w:b/>
                <w:sz w:val="18"/>
                <w:szCs w:val="18"/>
              </w:rPr>
              <w:t>Total</w:t>
            </w:r>
          </w:p>
        </w:tc>
        <w:tc>
          <w:tcPr>
            <w:tcW w:w="2693" w:type="dxa"/>
            <w:tcBorders>
              <w:top w:val="single" w:sz="4" w:space="0" w:color="auto"/>
            </w:tcBorders>
            <w:vAlign w:val="center"/>
          </w:tcPr>
          <w:p w14:paraId="3ED8D748" w14:textId="77777777" w:rsidR="00052799" w:rsidRPr="002D7AE6" w:rsidRDefault="00052799" w:rsidP="00871631">
            <w:pPr>
              <w:spacing w:before="80" w:after="80"/>
              <w:jc w:val="right"/>
              <w:rPr>
                <w:b/>
                <w:color w:val="000000"/>
                <w:sz w:val="18"/>
                <w:szCs w:val="18"/>
              </w:rPr>
            </w:pPr>
            <w:r w:rsidRPr="002D7AE6">
              <w:rPr>
                <w:b/>
                <w:color w:val="000000"/>
                <w:sz w:val="18"/>
                <w:szCs w:val="18"/>
              </w:rPr>
              <w:t>0.399</w:t>
            </w:r>
          </w:p>
        </w:tc>
      </w:tr>
    </w:tbl>
    <w:p w14:paraId="4AE6261B" w14:textId="77777777" w:rsidR="00052799" w:rsidRPr="00622D94" w:rsidRDefault="00052799" w:rsidP="00052799">
      <w:pPr>
        <w:pStyle w:val="BodyText"/>
      </w:pPr>
      <w:r w:rsidRPr="00622D94">
        <w:t xml:space="preserve">Through consultations, firearms stakeholders generally supported remaking the vast majority of non-fee regulations, with only a few regulations attracting discussion or proposals for change. </w:t>
      </w:r>
    </w:p>
    <w:p w14:paraId="7A50AA34" w14:textId="1F592AD7" w:rsidR="00052799" w:rsidRPr="00622D94" w:rsidRDefault="00052799" w:rsidP="00052799">
      <w:pPr>
        <w:pStyle w:val="BodyText"/>
      </w:pPr>
      <w:r w:rsidRPr="00622D94">
        <w:t xml:space="preserve">Under the base case, the Regulations would sunset and a number of minor requirements which give operation to provisions of the Act would no longer be in effect. Discussion regarding how the various components of the Regulations would operate under the base case are listed in </w:t>
      </w:r>
      <w:r w:rsidR="00281570">
        <w:t xml:space="preserve">section </w:t>
      </w:r>
      <w:r w:rsidR="001C7D77">
        <w:t>2.3</w:t>
      </w:r>
      <w:r w:rsidR="00281570">
        <w:t xml:space="preserve"> above</w:t>
      </w:r>
      <w:r w:rsidRPr="00622D94">
        <w:t>. A number of other minor proposed changes which were not considered complex or contentious enough to require a full MCA are listed in</w:t>
      </w:r>
      <w:r w:rsidR="00B931AD">
        <w:t xml:space="preserve"> section </w:t>
      </w:r>
      <w:r w:rsidR="001C7D77">
        <w:t>8.3</w:t>
      </w:r>
      <w:r w:rsidR="00B931AD">
        <w:t xml:space="preserve"> and</w:t>
      </w:r>
      <w:r w:rsidRPr="00622D94">
        <w:t xml:space="preserve"> Appendix </w:t>
      </w:r>
      <w:r w:rsidR="00B931AD">
        <w:t>1</w:t>
      </w:r>
      <w:r w:rsidRPr="00622D94">
        <w:t>, along with the reasons supporting their inclusion in or omission from the exposure draft of the regulations.</w:t>
      </w:r>
    </w:p>
    <w:p w14:paraId="039E8947" w14:textId="4619DFC4" w:rsidR="00052799" w:rsidRPr="00622D94" w:rsidRDefault="00052799" w:rsidP="00052799">
      <w:pPr>
        <w:pStyle w:val="BodyText"/>
      </w:pPr>
      <w:r w:rsidRPr="00622D94">
        <w:t xml:space="preserve">However, </w:t>
      </w:r>
      <w:r w:rsidR="00281570">
        <w:t>five</w:t>
      </w:r>
      <w:r w:rsidR="00281570" w:rsidRPr="00622D94">
        <w:t xml:space="preserve"> </w:t>
      </w:r>
      <w:r w:rsidRPr="00622D94">
        <w:t>options were identified as justifying an MCA and have been assessed in the following section:</w:t>
      </w:r>
    </w:p>
    <w:p w14:paraId="740509FC" w14:textId="77777777" w:rsidR="00052799" w:rsidRPr="00622D94" w:rsidRDefault="00052799" w:rsidP="00052799">
      <w:pPr>
        <w:pStyle w:val="BodyText"/>
        <w:numPr>
          <w:ilvl w:val="0"/>
          <w:numId w:val="68"/>
        </w:numPr>
        <w:tabs>
          <w:tab w:val="clear" w:pos="340"/>
          <w:tab w:val="num" w:pos="1134"/>
        </w:tabs>
        <w:ind w:left="1134"/>
      </w:pPr>
      <w:r w:rsidRPr="00622D94">
        <w:t>making handgun chassis kits a prescribed item, requiring a permit to be obtained under section 57 of the Act;</w:t>
      </w:r>
    </w:p>
    <w:p w14:paraId="005CF44C" w14:textId="77777777" w:rsidR="00052799" w:rsidRPr="00622D94" w:rsidRDefault="00052799" w:rsidP="00052799">
      <w:pPr>
        <w:pStyle w:val="BodyText"/>
        <w:numPr>
          <w:ilvl w:val="0"/>
          <w:numId w:val="68"/>
        </w:numPr>
        <w:tabs>
          <w:tab w:val="clear" w:pos="340"/>
          <w:tab w:val="num" w:pos="1134"/>
        </w:tabs>
        <w:ind w:left="1134"/>
      </w:pPr>
      <w:r w:rsidRPr="00622D94">
        <w:t xml:space="preserve">remaking </w:t>
      </w:r>
      <w:r>
        <w:t>the current list of exempt devices</w:t>
      </w:r>
      <w:r w:rsidRPr="00622D94">
        <w:t>, and listing line throwers and dog-training devices as new exempt devices;</w:t>
      </w:r>
    </w:p>
    <w:p w14:paraId="0914C2E2" w14:textId="77777777" w:rsidR="00052799" w:rsidRPr="00622D94" w:rsidRDefault="00052799" w:rsidP="00052799">
      <w:pPr>
        <w:pStyle w:val="BodyText"/>
        <w:numPr>
          <w:ilvl w:val="0"/>
          <w:numId w:val="68"/>
        </w:numPr>
        <w:tabs>
          <w:tab w:val="clear" w:pos="340"/>
          <w:tab w:val="num" w:pos="1134"/>
        </w:tabs>
        <w:ind w:left="1134"/>
      </w:pPr>
      <w:r w:rsidRPr="00622D94">
        <w:t xml:space="preserve">remaking the maximum amount that a </w:t>
      </w:r>
      <w:r>
        <w:t>licensed</w:t>
      </w:r>
      <w:r w:rsidRPr="00622D94">
        <w:t xml:space="preserve"> firearms dealer may charge when acting as an agent</w:t>
      </w:r>
      <w:r>
        <w:t xml:space="preserve">, but setting this amount </w:t>
      </w:r>
      <w:r w:rsidRPr="00622D94">
        <w:t xml:space="preserve">in fee units; </w:t>
      </w:r>
    </w:p>
    <w:p w14:paraId="7C84FF36" w14:textId="77777777" w:rsidR="00052799" w:rsidRDefault="00052799" w:rsidP="00052799">
      <w:pPr>
        <w:pStyle w:val="BodyText"/>
        <w:numPr>
          <w:ilvl w:val="0"/>
          <w:numId w:val="68"/>
        </w:numPr>
        <w:tabs>
          <w:tab w:val="clear" w:pos="340"/>
          <w:tab w:val="num" w:pos="1134"/>
        </w:tabs>
        <w:ind w:left="1134"/>
      </w:pPr>
      <w:r w:rsidRPr="00622D94">
        <w:t xml:space="preserve">remaking </w:t>
      </w:r>
      <w:r>
        <w:t xml:space="preserve">infringement penalties in the current regulations, </w:t>
      </w:r>
      <w:r w:rsidRPr="00622D94">
        <w:t>and the associated schedule of offences for which infringement notices can be issued, and adding further prescr</w:t>
      </w:r>
      <w:r>
        <w:t>ibed offences; and</w:t>
      </w:r>
    </w:p>
    <w:p w14:paraId="153FC228" w14:textId="69AA482E" w:rsidR="00052799" w:rsidRPr="00622D94" w:rsidRDefault="00281570" w:rsidP="00052799">
      <w:pPr>
        <w:pStyle w:val="BodyText"/>
        <w:numPr>
          <w:ilvl w:val="0"/>
          <w:numId w:val="68"/>
        </w:numPr>
        <w:tabs>
          <w:tab w:val="clear" w:pos="340"/>
          <w:tab w:val="num" w:pos="1134"/>
        </w:tabs>
        <w:ind w:left="1134"/>
      </w:pPr>
      <w:r>
        <w:t>u</w:t>
      </w:r>
      <w:r w:rsidR="00052799" w:rsidRPr="00F276FF">
        <w:t>pdating licence</w:t>
      </w:r>
      <w:r w:rsidR="00052799">
        <w:t xml:space="preserve"> categories</w:t>
      </w:r>
      <w:r>
        <w:t xml:space="preserve"> and permit fees</w:t>
      </w:r>
      <w:r w:rsidR="00052799">
        <w:t>.</w:t>
      </w:r>
    </w:p>
    <w:p w14:paraId="4A08335A" w14:textId="77777777" w:rsidR="00052799" w:rsidRPr="00622D94" w:rsidRDefault="00052799" w:rsidP="00052799">
      <w:pPr>
        <w:pStyle w:val="Heading3"/>
      </w:pPr>
      <w:bookmarkStart w:id="136" w:name="_Toc497398677"/>
      <w:bookmarkStart w:id="137" w:name="_Toc497922263"/>
      <w:bookmarkStart w:id="138" w:name="_Toc500505469"/>
      <w:bookmarkStart w:id="139" w:name="_Toc501539164"/>
      <w:r w:rsidRPr="00622D94">
        <w:t>Non-fee Option 1: Prescribing handgun chassis kits as a prescribed item, requiring a permit to be applied for under section 57 of the Act</w:t>
      </w:r>
      <w:bookmarkEnd w:id="136"/>
      <w:bookmarkEnd w:id="137"/>
      <w:bookmarkEnd w:id="138"/>
      <w:bookmarkEnd w:id="139"/>
    </w:p>
    <w:p w14:paraId="37A6CDBA" w14:textId="77777777" w:rsidR="00052799" w:rsidRPr="00622D94" w:rsidRDefault="00052799" w:rsidP="00052799">
      <w:pPr>
        <w:pStyle w:val="Heading4"/>
      </w:pPr>
      <w:r w:rsidRPr="00622D94">
        <w:t>Description of Option</w:t>
      </w:r>
    </w:p>
    <w:p w14:paraId="152F1DBB" w14:textId="77777777" w:rsidR="00052799" w:rsidRDefault="00052799" w:rsidP="00052799">
      <w:pPr>
        <w:pStyle w:val="BodyText"/>
      </w:pPr>
      <w:r>
        <w:t>Under section 57 of the Act, a non-prohibited person must not possess carry or use a silencer or prescribed item without a permit issued by the Chief Commissioner. The section is intended to allow regulation of items other than firearms that increase the risk to safety and public peace posed by a firearm.</w:t>
      </w:r>
    </w:p>
    <w:p w14:paraId="4B945B83" w14:textId="7CC4C0A9" w:rsidR="00052799" w:rsidRPr="00622D94" w:rsidRDefault="00052799" w:rsidP="00052799">
      <w:pPr>
        <w:pStyle w:val="BodyText"/>
      </w:pPr>
      <w:r w:rsidRPr="00622D94">
        <w:t xml:space="preserve">A handgun chassis kit is a frame designed to attach to or around a handgun. A chassis kit can increase the danger posed by any given handgun by altering its operating characteristics to allow for fire which may be more accurate, rapid, or controllable. It can alter a handgun into a ‘carbine’ style configuration, often including a stock which allows the firearm to be secured against the shoulder while shooting. It can also alter a handgun’s appearance, to give it the appearance of a submachine gun. </w:t>
      </w:r>
    </w:p>
    <w:p w14:paraId="15877C7F" w14:textId="77777777" w:rsidR="00052799" w:rsidRPr="00622D94" w:rsidRDefault="00052799" w:rsidP="00052799">
      <w:pPr>
        <w:pStyle w:val="BodyText"/>
      </w:pPr>
      <w:r w:rsidRPr="00622D94">
        <w:t xml:space="preserve">Under the base case, there would be no prescribed items for the purposes of section 57 of the Act, and so handgun chassis kits could continue to be traded in or possessed without regulation under the Act. </w:t>
      </w:r>
    </w:p>
    <w:p w14:paraId="409219DF" w14:textId="77777777" w:rsidR="00052799" w:rsidRPr="00622D94" w:rsidRDefault="00052799" w:rsidP="00052799">
      <w:pPr>
        <w:pStyle w:val="BodyText"/>
      </w:pPr>
      <w:r w:rsidRPr="00622D94">
        <w:t xml:space="preserve">Under the base case, these kits are unregulated, and a person can possess, carry or use one without any form of permit. They can also be purchased without any form of prior approval, potentially allowing individuals with illicit firearms to legally source these kits. </w:t>
      </w:r>
    </w:p>
    <w:p w14:paraId="3FF7483E" w14:textId="77777777" w:rsidR="00052799" w:rsidRPr="00622D94" w:rsidRDefault="00052799" w:rsidP="00052799">
      <w:pPr>
        <w:pStyle w:val="BodyText"/>
      </w:pPr>
      <w:r w:rsidRPr="00622D94">
        <w:t>Under the proposed option, handgun chassis kits would be included in the regulations as prescribed items as per section 57 of the Act. This would mean that in order to legally possess, carry or use a chassis kit, an individual or company would need to obtain a permit from the Chief Commissioner under section 57 of the Act. Individuals who currently own chassis kits would be required to either dispose of them or to seek a permit in order to retain them.</w:t>
      </w:r>
    </w:p>
    <w:p w14:paraId="0C9B5BBA" w14:textId="77777777" w:rsidR="00052799" w:rsidRPr="00622D94" w:rsidRDefault="00052799" w:rsidP="00052799">
      <w:pPr>
        <w:pStyle w:val="Heading4"/>
      </w:pPr>
      <w:r w:rsidRPr="00622D94">
        <w:t>Rationale for considering Option</w:t>
      </w:r>
    </w:p>
    <w:p w14:paraId="3F1AA2F2" w14:textId="77777777" w:rsidR="00052799" w:rsidRPr="00622D94" w:rsidRDefault="00052799" w:rsidP="00052799">
      <w:pPr>
        <w:pStyle w:val="BodyText"/>
      </w:pPr>
      <w:r w:rsidRPr="00622D94">
        <w:t xml:space="preserve">Handgun chassis kits have the capacity to convert a general category handgun into a category D or E firearm, or to give it a more militaristic appearance. Allowing for the easy (and reversible) conversion of handguns into category E firearms would undermine the intention of the Act that licensees should, insofar as is possible, be constrained to accessing the categories of firearms they are licensed for. </w:t>
      </w:r>
    </w:p>
    <w:p w14:paraId="7BE9F67A" w14:textId="64E0F23F" w:rsidR="00052799" w:rsidRPr="00622D94" w:rsidRDefault="00052799" w:rsidP="00052799">
      <w:pPr>
        <w:pStyle w:val="BodyText"/>
      </w:pPr>
      <w:r w:rsidRPr="00622D94">
        <w:t xml:space="preserve">Chassis kits can alter the operating characteristics of a handgun to be substantially outside those normally associated with handguns, potentially increasing the risk </w:t>
      </w:r>
      <w:r w:rsidR="00281570">
        <w:t>they</w:t>
      </w:r>
      <w:r w:rsidRPr="00622D94">
        <w:t xml:space="preserve"> pose if misused. These dangers include:  </w:t>
      </w:r>
    </w:p>
    <w:p w14:paraId="59A19AFC" w14:textId="77777777" w:rsidR="00052799" w:rsidRPr="00622D94" w:rsidRDefault="00052799" w:rsidP="00052799">
      <w:pPr>
        <w:pStyle w:val="BodyText"/>
        <w:numPr>
          <w:ilvl w:val="0"/>
          <w:numId w:val="67"/>
        </w:numPr>
        <w:tabs>
          <w:tab w:val="clear" w:pos="340"/>
          <w:tab w:val="num" w:pos="1134"/>
        </w:tabs>
        <w:ind w:left="1134"/>
      </w:pPr>
      <w:r w:rsidRPr="00622D94">
        <w:t>Conversion into a carbine style configuration: Adding features such as a stock (and potentially a foregrip) to a handgun using a chassis kit can give it handling characteristics closer to that of a semi-automatic carbine than a handgun. A stock provides a point of stability against the shoulder which can help enable more rapid and accurate fire, particularly at longer distances.</w:t>
      </w:r>
    </w:p>
    <w:p w14:paraId="27C38858" w14:textId="77777777" w:rsidR="00052799" w:rsidRPr="00622D94" w:rsidRDefault="00052799" w:rsidP="00052799">
      <w:pPr>
        <w:pStyle w:val="BodyText"/>
        <w:numPr>
          <w:ilvl w:val="0"/>
          <w:numId w:val="67"/>
        </w:numPr>
        <w:tabs>
          <w:tab w:val="clear" w:pos="340"/>
          <w:tab w:val="num" w:pos="1134"/>
        </w:tabs>
        <w:ind w:left="1134"/>
      </w:pPr>
      <w:r w:rsidRPr="00622D94">
        <w:t xml:space="preserve">Addition of rail mountings: Rail mountings are mounting platforms made up of rails with multiple transverse slots that can be used to mount accessories to firearms. If a chassis kit adds additional rail mounts to a handgun, these can be used to support a wider variety of optics, aiming aids, and accessories (including grips) than a handgun frame could usually practically support. These features may substantially change the functionality of a handgun. </w:t>
      </w:r>
    </w:p>
    <w:p w14:paraId="135266CC" w14:textId="24BA577F" w:rsidR="00052799" w:rsidRPr="00622D94" w:rsidRDefault="00052799" w:rsidP="00052799">
      <w:pPr>
        <w:pStyle w:val="BodyText"/>
      </w:pPr>
      <w:r w:rsidRPr="00622D94">
        <w:t>Under the base case there would be no need to be a licensed firearms user in order to purchase these kits. Their increased use by criminals, legal shooters, and even their display by non-shooters (these devices could be freely sold outside of gun</w:t>
      </w:r>
      <w:r w:rsidR="00281570">
        <w:t xml:space="preserve"> </w:t>
      </w:r>
      <w:r w:rsidRPr="00622D94">
        <w:t xml:space="preserve">stores) has associated implications for safety and perceived risk of harm. </w:t>
      </w:r>
    </w:p>
    <w:p w14:paraId="5B3E56E1" w14:textId="77777777" w:rsidR="00052799" w:rsidRPr="00622D94" w:rsidRDefault="00052799" w:rsidP="00052799">
      <w:pPr>
        <w:pStyle w:val="BodyText"/>
      </w:pPr>
      <w:r w:rsidRPr="00622D94">
        <w:t xml:space="preserve">Victoria Police consider that chassis kits pose a threat to public safety because they allow for the conversion of a traditional looking handgun into a firearm which may have many of the characteristics of a higher risk, and therefore more tightly regulated, class of firearms. </w:t>
      </w:r>
    </w:p>
    <w:p w14:paraId="0197ED7A" w14:textId="7D5B322D" w:rsidR="00052799" w:rsidRPr="00622D94" w:rsidRDefault="00052799" w:rsidP="00052799">
      <w:pPr>
        <w:pStyle w:val="BodyText"/>
      </w:pPr>
      <w:r w:rsidRPr="00622D94">
        <w:t>Owning a handgun in Victoria requires an applicant to show a genuine reason to own a handgun. None of the accepted genuine reasons in Victoria are compatible with the use of a chassis kit under ordinary circumstances. Their use is widely prohibited in sporting and target shooting</w:t>
      </w:r>
      <w:r w:rsidR="00281570">
        <w:t xml:space="preserve"> and</w:t>
      </w:r>
      <w:r w:rsidRPr="00622D94">
        <w:t xml:space="preserve"> there are no approved handgun competitions that require their use. There are no security organisations that are currently approved to use them. Despite this, Victoria Police is aware of </w:t>
      </w:r>
      <w:r>
        <w:t>licensed</w:t>
      </w:r>
      <w:r w:rsidRPr="00622D94">
        <w:t xml:space="preserve"> firearms owners expressing or demonstrating an intention to obtain these kits for use at approved ranges, a fact which has influenced the proposed restriction of these kits. Victoria Police </w:t>
      </w:r>
      <w:r w:rsidR="00281570">
        <w:t>estimate</w:t>
      </w:r>
      <w:r w:rsidR="00281570" w:rsidRPr="00622D94">
        <w:t xml:space="preserve"> </w:t>
      </w:r>
      <w:r w:rsidRPr="00622D94">
        <w:t>that if this proposal were successful, there would be less than 12 applications for chassis kits received per annum.</w:t>
      </w:r>
      <w:r w:rsidRPr="00622D94">
        <w:rPr>
          <w:rStyle w:val="FootnoteReference"/>
        </w:rPr>
        <w:footnoteReference w:id="21"/>
      </w:r>
    </w:p>
    <w:p w14:paraId="3C7E1ED6" w14:textId="77777777" w:rsidR="00052799" w:rsidRPr="00622D94" w:rsidRDefault="00052799" w:rsidP="00052799">
      <w:pPr>
        <w:pStyle w:val="BodyText"/>
      </w:pPr>
      <w:r w:rsidRPr="00622D94">
        <w:t xml:space="preserve">Firearms stakeholders consulted in the development of this document supported this proposal. However, they noted that Chief Commissioner may, in future, consider issuing a section 57 permit for a chassis kit if evidence is provided that the kit is required for an individual with a disability to more safely and easily handle their firearm. Doing so would not require any changes to the proposed regulation. </w:t>
      </w:r>
    </w:p>
    <w:p w14:paraId="4D71D674" w14:textId="77777777" w:rsidR="00052799" w:rsidRPr="00622D94" w:rsidRDefault="00052799" w:rsidP="00052799">
      <w:pPr>
        <w:pStyle w:val="BodyText"/>
      </w:pPr>
      <w:r w:rsidRPr="00622D94">
        <w:t xml:space="preserve">Listing chassis kits as prescribed items would prevent individuals accessing these kits to potentially illegally alter their firearms and reduce the ability of unlicensed persons to use the kits to increase the lethality of an unregistered handgun or to make its appearance more threatening. It would also allow the Chief Commissioner to grant permits for their use where appropriate, if legitimate uses are identified. This treatment is consistent with that currently given to other prescribed items such as silencers, which have the capacity to be misused but for which permits are sometimes granted where a legitimate use is identified. </w:t>
      </w:r>
    </w:p>
    <w:p w14:paraId="233CF5DC" w14:textId="2EA0F151" w:rsidR="00052799" w:rsidRPr="00622D94" w:rsidRDefault="00052799" w:rsidP="00052799">
      <w:pPr>
        <w:pStyle w:val="BodyText"/>
      </w:pPr>
      <w:r w:rsidRPr="00622D94">
        <w:t xml:space="preserve">The introduction of this option would not prevent a licensed handgun user from attaching mounts and accessories to a handgun for legitimate purposes. Only chassis kits that alter the appearance of the handgun to </w:t>
      </w:r>
      <w:r w:rsidR="00E5181E">
        <w:t>resemble</w:t>
      </w:r>
      <w:r w:rsidRPr="00622D94">
        <w:t xml:space="preserve"> a machine gun</w:t>
      </w:r>
      <w:r w:rsidR="00E5181E">
        <w:t xml:space="preserve"> or longarm</w:t>
      </w:r>
      <w:r w:rsidRPr="00622D94">
        <w:t>, would require a permit under this proposal.</w:t>
      </w:r>
      <w:r>
        <w:t xml:space="preserve"> In practice, Victoria Police’s firearms experts would make decisions about whether a chassis kit changes the appearance of a handgun</w:t>
      </w:r>
      <w:r w:rsidR="00E5181E">
        <w:t xml:space="preserve"> in this way</w:t>
      </w:r>
      <w:r>
        <w:t>. In relation to public peace, the key consideration is whether a chassis kit appears to have a different (more powerful) functionality, whereas in relation to safety, the key consideration is whether the chassis kit actually has a different (more powerful) functionality.</w:t>
      </w:r>
    </w:p>
    <w:p w14:paraId="74B0CAF7" w14:textId="77777777" w:rsidR="00052799" w:rsidRPr="00622D94" w:rsidRDefault="00052799" w:rsidP="00052799">
      <w:pPr>
        <w:pStyle w:val="Heading4"/>
      </w:pPr>
      <w:r w:rsidRPr="00622D94">
        <w:t>Evaluation of Option</w:t>
      </w:r>
    </w:p>
    <w:p w14:paraId="3D6761F6" w14:textId="77777777" w:rsidR="00052799" w:rsidRPr="00622D94" w:rsidRDefault="00052799" w:rsidP="00052799">
      <w:pPr>
        <w:pStyle w:val="BodyText"/>
      </w:pPr>
      <w:r w:rsidRPr="00622D94">
        <w:rPr>
          <w:b/>
        </w:rPr>
        <w:t xml:space="preserve">Safety: </w:t>
      </w:r>
      <w:r w:rsidRPr="00622D94">
        <w:t>As discussed above, chassis kits can increase the danger posed by any given handgun by altering its operating characteristics to allow for fire which may be more accurate, rapid, or controllable, than would otherwise be possible without the use of such a kit. Under the base case, those desiring to misuse their firearms, including holders of illicit handguns, can freely source these kits.</w:t>
      </w:r>
    </w:p>
    <w:p w14:paraId="4225FA80" w14:textId="3F17963A" w:rsidR="00052799" w:rsidRPr="00622D94" w:rsidRDefault="00052799" w:rsidP="00052799">
      <w:pPr>
        <w:pStyle w:val="BodyText"/>
      </w:pPr>
      <w:r w:rsidRPr="00622D94">
        <w:t xml:space="preserve">Prescribing chassis kits would decrease the prospect of these kits being sourced by those that may misuse firearms. While it may not completely eliminate the risk of these kits being misused, it is likely to make their acquisition more difficult for those with no legitimate reason to possess them. </w:t>
      </w:r>
      <w:r>
        <w:t>The Department</w:t>
      </w:r>
      <w:r w:rsidRPr="00622D94">
        <w:t xml:space="preserve"> underst</w:t>
      </w:r>
      <w:r>
        <w:t>ands</w:t>
      </w:r>
      <w:r w:rsidRPr="00622D94">
        <w:t xml:space="preserve"> that </w:t>
      </w:r>
      <w:r w:rsidR="00281570">
        <w:t>a</w:t>
      </w:r>
      <w:r w:rsidR="00281570" w:rsidRPr="00622D94">
        <w:t xml:space="preserve"> </w:t>
      </w:r>
      <w:r w:rsidRPr="00622D94">
        <w:t xml:space="preserve">number of these kits </w:t>
      </w:r>
      <w:r w:rsidR="00281570">
        <w:t>are</w:t>
      </w:r>
      <w:r w:rsidRPr="00622D94">
        <w:t xml:space="preserve"> present in Victoria. </w:t>
      </w:r>
    </w:p>
    <w:p w14:paraId="4607DC10" w14:textId="77777777" w:rsidR="00052799" w:rsidRPr="00622D94" w:rsidRDefault="00052799" w:rsidP="00052799">
      <w:pPr>
        <w:pStyle w:val="BodyText"/>
      </w:pPr>
      <w:r w:rsidRPr="00622D94">
        <w:t>In considering an MCA score for this option against the safety criteria, a positive score was considered to represent the improvement in safety that would flow from limiting the inappropriate access of a large number of firearms users to considerably higher-risk firearms. This option, which restricts access to chassis kits (in practice, this would affect a moderate number of people, given that it would limit both criminal access to these kits, and would also affect the subset of handgun licensees who use or wish to use chassis kits), would result in a moderate decrease in the risk associated with a licensed handgun. As such, it has been scored as a 4 out of 10 for improvement in safety.</w:t>
      </w:r>
    </w:p>
    <w:p w14:paraId="36922A4E" w14:textId="06EB12BB" w:rsidR="00052799" w:rsidRPr="00622D94" w:rsidRDefault="00052799" w:rsidP="00052799">
      <w:pPr>
        <w:pStyle w:val="BodyText"/>
      </w:pPr>
      <w:r w:rsidRPr="00622D94">
        <w:rPr>
          <w:b/>
        </w:rPr>
        <w:t xml:space="preserve">Public peace: </w:t>
      </w:r>
      <w:r w:rsidRPr="00622D94">
        <w:t>As discussed, chassis kits have the potential to increase the danger posed by a handgun equipped with such a kit, and also to provide them a more intimidating and militaristic appearance. Under the base case, there would be no need for a person to be a licensed firearms user to purchase or possess these kits. Their increased use by criminals, legal shooters, and even their display by non-shooters (these devices could be freely sold outside of gun</w:t>
      </w:r>
      <w:r w:rsidR="00281570">
        <w:t xml:space="preserve"> </w:t>
      </w:r>
      <w:r w:rsidRPr="00622D94">
        <w:t xml:space="preserve">stores) could increase the perceived risk of harm associated with the potential misuse of firearms. As such, under the base case, these items would be more freely available, increasing the risk of intimidation of the public or disruption of public peace. As few permits are expected to be granted if the item is prescribed, the prescription of these kits is expected to lead to the possession of fewer kits than under the base case, therefore having a positive impact on public peace. </w:t>
      </w:r>
      <w:r>
        <w:t>The change will also mean that the kits will only be legally sold by licensed gun dealers.</w:t>
      </w:r>
      <w:r w:rsidRPr="00622D94">
        <w:t xml:space="preserve"> </w:t>
      </w:r>
    </w:p>
    <w:p w14:paraId="206DB9AC" w14:textId="520257EA" w:rsidR="00052799" w:rsidRPr="00622D94" w:rsidRDefault="00052799" w:rsidP="00052799">
      <w:pPr>
        <w:pStyle w:val="BodyText"/>
        <w:rPr>
          <w:b/>
        </w:rPr>
      </w:pPr>
      <w:r w:rsidRPr="00622D94">
        <w:rPr>
          <w:b/>
        </w:rPr>
        <w:t xml:space="preserve">Regulatory burden: </w:t>
      </w:r>
      <w:r w:rsidRPr="00622D94">
        <w:t>Relative to the base case, this option would impose a regulatory burden on those seeking to acquire a handgun chassis kit in the form of a requirement that they make an application to the Chief Commissioner and pay the appropriate fee should their application be approved. It would also require existing owners of the kits to obtain a permit for their kits or dispose of them. Given the lack of</w:t>
      </w:r>
      <w:r w:rsidR="00281570">
        <w:t xml:space="preserve"> known</w:t>
      </w:r>
      <w:r w:rsidRPr="00622D94">
        <w:t xml:space="preserve"> legitimate reasons under the Act to purchase these kits, the Department expects the number of applicants for such permits to be low. A score of -1 has been assigned to represent this small increase in the regulatory burden. There would be no increase in the regulatory burden for unlicensed users, as these users would not obtain a permit in any event.</w:t>
      </w:r>
    </w:p>
    <w:p w14:paraId="2C78ABF7" w14:textId="77777777" w:rsidR="00052799" w:rsidRPr="00622D94" w:rsidRDefault="00052799" w:rsidP="00052799">
      <w:pPr>
        <w:pStyle w:val="BodyText"/>
      </w:pPr>
      <w:r w:rsidRPr="00622D94">
        <w:rPr>
          <w:b/>
        </w:rPr>
        <w:t xml:space="preserve">Administrative costs: </w:t>
      </w:r>
      <w:r w:rsidRPr="00622D94">
        <w:t>The costs incurred by Victoria Police in granting permits for the use of these kits will approximate those currently incurred in the granting of permits for other prescribed items. This prescription would not require the creation of any new processes or procedures and its costs could be recovered through the proposed fee for the granting of a permit for a prescribed item. Accordingly, a score of -1 has been assigned to this criterion.</w:t>
      </w:r>
    </w:p>
    <w:p w14:paraId="2C69EA37" w14:textId="7E3FD2C4" w:rsidR="00052799" w:rsidRPr="00622D94" w:rsidRDefault="00052799" w:rsidP="00052799">
      <w:pPr>
        <w:pStyle w:val="Caption"/>
      </w:pPr>
      <w:r w:rsidRPr="00622D94">
        <w:t xml:space="preserve">Table </w:t>
      </w:r>
      <w:r w:rsidR="001C7D77">
        <w:rPr>
          <w:noProof/>
        </w:rPr>
        <w:t>12</w:t>
      </w:r>
      <w:r w:rsidRPr="00622D94">
        <w:t>: MCA for non-fee-Option 1</w:t>
      </w:r>
    </w:p>
    <w:tbl>
      <w:tblPr>
        <w:tblW w:w="4525" w:type="pct"/>
        <w:tblInd w:w="959" w:type="dxa"/>
        <w:tblBorders>
          <w:top w:val="single" w:sz="4" w:space="0" w:color="666366"/>
          <w:bottom w:val="single" w:sz="4" w:space="0" w:color="666366"/>
          <w:insideH w:val="single" w:sz="2" w:space="0" w:color="C0C0C0"/>
        </w:tblBorders>
        <w:tblLayout w:type="fixed"/>
        <w:tblCellMar>
          <w:top w:w="57" w:type="dxa"/>
          <w:bottom w:w="57" w:type="dxa"/>
        </w:tblCellMar>
        <w:tblLook w:val="01E0" w:firstRow="1" w:lastRow="1" w:firstColumn="1" w:lastColumn="1" w:noHBand="0" w:noVBand="0"/>
        <w:tblCaption w:val="Table 12: MCA for non-fee-Option 1"/>
      </w:tblPr>
      <w:tblGrid>
        <w:gridCol w:w="2204"/>
        <w:gridCol w:w="2259"/>
        <w:gridCol w:w="2259"/>
        <w:gridCol w:w="2257"/>
      </w:tblGrid>
      <w:tr w:rsidR="00052799" w:rsidRPr="00622D94" w14:paraId="4453F817" w14:textId="77777777" w:rsidTr="00871631">
        <w:trPr>
          <w:tblHeader/>
        </w:trPr>
        <w:tc>
          <w:tcPr>
            <w:tcW w:w="1227" w:type="pct"/>
            <w:tcBorders>
              <w:top w:val="single" w:sz="4" w:space="0" w:color="666366"/>
              <w:bottom w:val="single" w:sz="2" w:space="0" w:color="C0C0C0"/>
            </w:tcBorders>
            <w:shd w:val="clear" w:color="auto" w:fill="01356E"/>
          </w:tcPr>
          <w:p w14:paraId="764AFE65" w14:textId="77777777" w:rsidR="00052799" w:rsidRPr="002D7AE6" w:rsidRDefault="00052799" w:rsidP="00871631">
            <w:pPr>
              <w:pStyle w:val="TableHeader"/>
              <w:rPr>
                <w:sz w:val="18"/>
                <w:szCs w:val="18"/>
              </w:rPr>
            </w:pPr>
            <w:r w:rsidRPr="002D7AE6">
              <w:rPr>
                <w:sz w:val="18"/>
                <w:szCs w:val="18"/>
              </w:rPr>
              <w:t>Criterion</w:t>
            </w:r>
          </w:p>
        </w:tc>
        <w:tc>
          <w:tcPr>
            <w:tcW w:w="1258" w:type="pct"/>
            <w:tcBorders>
              <w:top w:val="single" w:sz="4" w:space="0" w:color="666366"/>
              <w:bottom w:val="single" w:sz="2" w:space="0" w:color="C0C0C0"/>
            </w:tcBorders>
            <w:shd w:val="clear" w:color="auto" w:fill="01356E"/>
          </w:tcPr>
          <w:p w14:paraId="360E4E4C" w14:textId="77777777" w:rsidR="00052799" w:rsidRPr="002D7AE6" w:rsidRDefault="00052799" w:rsidP="00871631">
            <w:pPr>
              <w:pStyle w:val="TableHeader"/>
              <w:rPr>
                <w:sz w:val="18"/>
                <w:szCs w:val="18"/>
              </w:rPr>
            </w:pPr>
            <w:r w:rsidRPr="002D7AE6">
              <w:rPr>
                <w:sz w:val="18"/>
                <w:szCs w:val="18"/>
              </w:rPr>
              <w:t>Weighting</w:t>
            </w:r>
          </w:p>
        </w:tc>
        <w:tc>
          <w:tcPr>
            <w:tcW w:w="1258" w:type="pct"/>
            <w:tcBorders>
              <w:top w:val="single" w:sz="4" w:space="0" w:color="666366"/>
              <w:bottom w:val="single" w:sz="2" w:space="0" w:color="C0C0C0"/>
            </w:tcBorders>
            <w:shd w:val="clear" w:color="auto" w:fill="01356E"/>
          </w:tcPr>
          <w:p w14:paraId="5DDE78C6" w14:textId="77777777" w:rsidR="00052799" w:rsidRPr="002D7AE6" w:rsidRDefault="00052799" w:rsidP="00871631">
            <w:pPr>
              <w:pStyle w:val="TableHeader"/>
              <w:rPr>
                <w:sz w:val="18"/>
                <w:szCs w:val="18"/>
              </w:rPr>
            </w:pPr>
            <w:r w:rsidRPr="002D7AE6">
              <w:rPr>
                <w:sz w:val="18"/>
                <w:szCs w:val="18"/>
              </w:rPr>
              <w:t>Assigned Score</w:t>
            </w:r>
          </w:p>
        </w:tc>
        <w:tc>
          <w:tcPr>
            <w:tcW w:w="1258" w:type="pct"/>
            <w:tcBorders>
              <w:top w:val="single" w:sz="4" w:space="0" w:color="666366"/>
              <w:bottom w:val="single" w:sz="2" w:space="0" w:color="C0C0C0"/>
            </w:tcBorders>
            <w:shd w:val="clear" w:color="auto" w:fill="01356E"/>
          </w:tcPr>
          <w:p w14:paraId="3ACC227D" w14:textId="77777777" w:rsidR="00052799" w:rsidRPr="002D7AE6" w:rsidRDefault="00052799" w:rsidP="00871631">
            <w:pPr>
              <w:pStyle w:val="TableHeader"/>
              <w:rPr>
                <w:sz w:val="18"/>
                <w:szCs w:val="18"/>
              </w:rPr>
            </w:pPr>
            <w:r w:rsidRPr="002D7AE6">
              <w:rPr>
                <w:sz w:val="18"/>
                <w:szCs w:val="18"/>
              </w:rPr>
              <w:t>Weighted Score</w:t>
            </w:r>
          </w:p>
        </w:tc>
      </w:tr>
      <w:tr w:rsidR="00052799" w:rsidRPr="00622D94" w14:paraId="7F664A49" w14:textId="77777777" w:rsidTr="00871631">
        <w:tc>
          <w:tcPr>
            <w:tcW w:w="1227" w:type="pct"/>
            <w:tcBorders>
              <w:top w:val="single" w:sz="2" w:space="0" w:color="C0C0C0"/>
            </w:tcBorders>
            <w:shd w:val="clear" w:color="auto" w:fill="auto"/>
          </w:tcPr>
          <w:p w14:paraId="64616CA9" w14:textId="77777777" w:rsidR="00052799" w:rsidRPr="002D7AE6" w:rsidRDefault="00052799" w:rsidP="00871631">
            <w:pPr>
              <w:pStyle w:val="TableText"/>
            </w:pPr>
            <w:r w:rsidRPr="002D7AE6">
              <w:t>Safety</w:t>
            </w:r>
          </w:p>
        </w:tc>
        <w:tc>
          <w:tcPr>
            <w:tcW w:w="1258" w:type="pct"/>
            <w:tcBorders>
              <w:top w:val="single" w:sz="2" w:space="0" w:color="C0C0C0"/>
            </w:tcBorders>
            <w:shd w:val="clear" w:color="auto" w:fill="auto"/>
          </w:tcPr>
          <w:p w14:paraId="0892753A" w14:textId="77777777" w:rsidR="00052799" w:rsidRPr="002D7AE6" w:rsidRDefault="00052799" w:rsidP="00871631">
            <w:pPr>
              <w:pStyle w:val="TableText"/>
            </w:pPr>
            <w:r w:rsidRPr="002D7AE6">
              <w:t>30%</w:t>
            </w:r>
          </w:p>
        </w:tc>
        <w:tc>
          <w:tcPr>
            <w:tcW w:w="1258" w:type="pct"/>
            <w:tcBorders>
              <w:top w:val="single" w:sz="2" w:space="0" w:color="C0C0C0"/>
            </w:tcBorders>
            <w:shd w:val="clear" w:color="auto" w:fill="auto"/>
          </w:tcPr>
          <w:p w14:paraId="75A7DFC6" w14:textId="77777777" w:rsidR="00052799" w:rsidRPr="002D7AE6" w:rsidRDefault="00052799" w:rsidP="00871631">
            <w:pPr>
              <w:pStyle w:val="TableText"/>
            </w:pPr>
            <w:r w:rsidRPr="002D7AE6">
              <w:t>4.00</w:t>
            </w:r>
          </w:p>
        </w:tc>
        <w:tc>
          <w:tcPr>
            <w:tcW w:w="1258" w:type="pct"/>
            <w:tcBorders>
              <w:top w:val="single" w:sz="2" w:space="0" w:color="C0C0C0"/>
            </w:tcBorders>
          </w:tcPr>
          <w:p w14:paraId="4440A77D" w14:textId="77777777" w:rsidR="00052799" w:rsidRPr="002D7AE6" w:rsidRDefault="00052799" w:rsidP="00871631">
            <w:pPr>
              <w:pStyle w:val="TableText"/>
            </w:pPr>
            <w:r w:rsidRPr="002D7AE6">
              <w:t>1.2</w:t>
            </w:r>
          </w:p>
        </w:tc>
      </w:tr>
      <w:tr w:rsidR="00052799" w:rsidRPr="00622D94" w14:paraId="373B75B8" w14:textId="77777777" w:rsidTr="00871631">
        <w:tc>
          <w:tcPr>
            <w:tcW w:w="1227" w:type="pct"/>
            <w:shd w:val="clear" w:color="auto" w:fill="auto"/>
          </w:tcPr>
          <w:p w14:paraId="123CD798" w14:textId="77777777" w:rsidR="00052799" w:rsidRPr="002D7AE6" w:rsidRDefault="00052799" w:rsidP="00871631">
            <w:pPr>
              <w:pStyle w:val="TableText"/>
            </w:pPr>
            <w:r w:rsidRPr="002D7AE6">
              <w:t>Public peace</w:t>
            </w:r>
          </w:p>
        </w:tc>
        <w:tc>
          <w:tcPr>
            <w:tcW w:w="1258" w:type="pct"/>
            <w:shd w:val="clear" w:color="auto" w:fill="auto"/>
          </w:tcPr>
          <w:p w14:paraId="4327AC79" w14:textId="77777777" w:rsidR="00052799" w:rsidRPr="002D7AE6" w:rsidRDefault="00052799" w:rsidP="00871631">
            <w:pPr>
              <w:pStyle w:val="TableText"/>
            </w:pPr>
            <w:r w:rsidRPr="002D7AE6">
              <w:t>20%</w:t>
            </w:r>
          </w:p>
        </w:tc>
        <w:tc>
          <w:tcPr>
            <w:tcW w:w="1258" w:type="pct"/>
            <w:shd w:val="clear" w:color="auto" w:fill="auto"/>
          </w:tcPr>
          <w:p w14:paraId="64107805" w14:textId="77777777" w:rsidR="00052799" w:rsidRPr="002D7AE6" w:rsidRDefault="00052799" w:rsidP="00871631">
            <w:pPr>
              <w:pStyle w:val="TableText"/>
            </w:pPr>
            <w:r w:rsidRPr="002D7AE6">
              <w:t>3.00</w:t>
            </w:r>
          </w:p>
        </w:tc>
        <w:tc>
          <w:tcPr>
            <w:tcW w:w="1258" w:type="pct"/>
          </w:tcPr>
          <w:p w14:paraId="66D93E64" w14:textId="77777777" w:rsidR="00052799" w:rsidRPr="002D7AE6" w:rsidRDefault="00052799" w:rsidP="00871631">
            <w:pPr>
              <w:pStyle w:val="TableText"/>
            </w:pPr>
            <w:r w:rsidRPr="002D7AE6">
              <w:t>0.60</w:t>
            </w:r>
          </w:p>
        </w:tc>
      </w:tr>
      <w:tr w:rsidR="00052799" w:rsidRPr="00622D94" w14:paraId="73FDCFB0" w14:textId="77777777" w:rsidTr="00871631">
        <w:tc>
          <w:tcPr>
            <w:tcW w:w="1227" w:type="pct"/>
            <w:shd w:val="clear" w:color="auto" w:fill="auto"/>
          </w:tcPr>
          <w:p w14:paraId="7F1FE330" w14:textId="77777777" w:rsidR="00052799" w:rsidRPr="002D7AE6" w:rsidRDefault="00052799" w:rsidP="00871631">
            <w:pPr>
              <w:pStyle w:val="TableText"/>
            </w:pPr>
            <w:r w:rsidRPr="002D7AE6">
              <w:t>Regulatory burden</w:t>
            </w:r>
          </w:p>
        </w:tc>
        <w:tc>
          <w:tcPr>
            <w:tcW w:w="1258" w:type="pct"/>
            <w:shd w:val="clear" w:color="auto" w:fill="auto"/>
          </w:tcPr>
          <w:p w14:paraId="055BB65B" w14:textId="77777777" w:rsidR="00052799" w:rsidRPr="002D7AE6" w:rsidRDefault="00052799" w:rsidP="00871631">
            <w:pPr>
              <w:pStyle w:val="TableText"/>
            </w:pPr>
            <w:r w:rsidRPr="002D7AE6">
              <w:t>30%</w:t>
            </w:r>
          </w:p>
        </w:tc>
        <w:tc>
          <w:tcPr>
            <w:tcW w:w="1258" w:type="pct"/>
            <w:shd w:val="clear" w:color="auto" w:fill="auto"/>
          </w:tcPr>
          <w:p w14:paraId="2A6F75BC" w14:textId="77777777" w:rsidR="00052799" w:rsidRPr="002D7AE6" w:rsidRDefault="00052799" w:rsidP="00871631">
            <w:pPr>
              <w:pStyle w:val="TableText"/>
            </w:pPr>
            <w:r w:rsidRPr="002D7AE6">
              <w:t>-1.00</w:t>
            </w:r>
          </w:p>
        </w:tc>
        <w:tc>
          <w:tcPr>
            <w:tcW w:w="1258" w:type="pct"/>
          </w:tcPr>
          <w:p w14:paraId="11047B60" w14:textId="77777777" w:rsidR="00052799" w:rsidRPr="002D7AE6" w:rsidRDefault="00052799" w:rsidP="00871631">
            <w:pPr>
              <w:pStyle w:val="TableText"/>
            </w:pPr>
            <w:r w:rsidRPr="002D7AE6">
              <w:t>-0.30</w:t>
            </w:r>
          </w:p>
        </w:tc>
      </w:tr>
      <w:tr w:rsidR="00052799" w:rsidRPr="00622D94" w14:paraId="0ECC3C4F" w14:textId="77777777" w:rsidTr="00871631">
        <w:tc>
          <w:tcPr>
            <w:tcW w:w="1227" w:type="pct"/>
            <w:shd w:val="clear" w:color="auto" w:fill="auto"/>
          </w:tcPr>
          <w:p w14:paraId="6B158D85" w14:textId="77777777" w:rsidR="00052799" w:rsidRPr="002D7AE6" w:rsidRDefault="00052799" w:rsidP="00871631">
            <w:pPr>
              <w:pStyle w:val="TableText"/>
            </w:pPr>
            <w:r w:rsidRPr="002D7AE6">
              <w:t>Administrative costs</w:t>
            </w:r>
          </w:p>
        </w:tc>
        <w:tc>
          <w:tcPr>
            <w:tcW w:w="1258" w:type="pct"/>
            <w:shd w:val="clear" w:color="auto" w:fill="auto"/>
          </w:tcPr>
          <w:p w14:paraId="34E30773" w14:textId="77777777" w:rsidR="00052799" w:rsidRPr="002D7AE6" w:rsidRDefault="00052799" w:rsidP="00871631">
            <w:pPr>
              <w:pStyle w:val="TableText"/>
            </w:pPr>
            <w:r w:rsidRPr="002D7AE6">
              <w:t>20%</w:t>
            </w:r>
          </w:p>
        </w:tc>
        <w:tc>
          <w:tcPr>
            <w:tcW w:w="1258" w:type="pct"/>
            <w:shd w:val="clear" w:color="auto" w:fill="auto"/>
          </w:tcPr>
          <w:p w14:paraId="04A1A26B" w14:textId="77777777" w:rsidR="00052799" w:rsidRPr="002D7AE6" w:rsidRDefault="00052799" w:rsidP="00871631">
            <w:pPr>
              <w:pStyle w:val="TableText"/>
            </w:pPr>
            <w:r w:rsidRPr="002D7AE6">
              <w:t>-1.00</w:t>
            </w:r>
          </w:p>
        </w:tc>
        <w:tc>
          <w:tcPr>
            <w:tcW w:w="1258" w:type="pct"/>
          </w:tcPr>
          <w:p w14:paraId="47E09BF7" w14:textId="77777777" w:rsidR="00052799" w:rsidRPr="002D7AE6" w:rsidRDefault="00052799" w:rsidP="00871631">
            <w:pPr>
              <w:pStyle w:val="TableText"/>
            </w:pPr>
            <w:r w:rsidRPr="002D7AE6">
              <w:t>-0.20</w:t>
            </w:r>
          </w:p>
        </w:tc>
      </w:tr>
      <w:tr w:rsidR="00052799" w:rsidRPr="00622D94" w14:paraId="6BEBF508" w14:textId="77777777" w:rsidTr="00871631">
        <w:tc>
          <w:tcPr>
            <w:tcW w:w="3742" w:type="pct"/>
            <w:gridSpan w:val="3"/>
            <w:shd w:val="clear" w:color="auto" w:fill="auto"/>
          </w:tcPr>
          <w:p w14:paraId="4C32538D" w14:textId="77777777" w:rsidR="00052799" w:rsidRPr="002D7AE6" w:rsidRDefault="00052799" w:rsidP="00871631">
            <w:pPr>
              <w:pStyle w:val="TableText"/>
              <w:rPr>
                <w:b/>
              </w:rPr>
            </w:pPr>
            <w:r w:rsidRPr="002D7AE6">
              <w:rPr>
                <w:b/>
              </w:rPr>
              <w:t>Total</w:t>
            </w:r>
          </w:p>
        </w:tc>
        <w:tc>
          <w:tcPr>
            <w:tcW w:w="1258" w:type="pct"/>
          </w:tcPr>
          <w:p w14:paraId="41BC328C" w14:textId="77777777" w:rsidR="00052799" w:rsidRPr="002D7AE6" w:rsidRDefault="00052799" w:rsidP="00871631">
            <w:pPr>
              <w:pStyle w:val="TableText"/>
              <w:rPr>
                <w:b/>
              </w:rPr>
            </w:pPr>
            <w:r w:rsidRPr="002D7AE6">
              <w:rPr>
                <w:b/>
              </w:rPr>
              <w:t>1.3</w:t>
            </w:r>
          </w:p>
        </w:tc>
      </w:tr>
    </w:tbl>
    <w:p w14:paraId="56241B62" w14:textId="033A3361" w:rsidR="00052799" w:rsidRPr="00622D94" w:rsidRDefault="00052799" w:rsidP="00052799">
      <w:pPr>
        <w:pStyle w:val="BodyText"/>
      </w:pPr>
      <w:r w:rsidRPr="00622D94">
        <w:t xml:space="preserve">The Department proposes making this change, given that the apparent safety and perceived risks of harm benefits outweigh the regulatory burden and administrative costs involved. Besides chassis kits, no other devices were proposed </w:t>
      </w:r>
      <w:r w:rsidR="00281570">
        <w:t>prior to the end of</w:t>
      </w:r>
      <w:r w:rsidR="00281570" w:rsidRPr="00622D94">
        <w:t xml:space="preserve"> </w:t>
      </w:r>
      <w:r w:rsidRPr="00622D94">
        <w:t>consultations for consideration as prescribed items.</w:t>
      </w:r>
    </w:p>
    <w:p w14:paraId="423B5299" w14:textId="77777777" w:rsidR="00052799" w:rsidRPr="00622D94" w:rsidRDefault="00052799" w:rsidP="00052799">
      <w:pPr>
        <w:pStyle w:val="Heading3"/>
      </w:pPr>
      <w:bookmarkStart w:id="140" w:name="_Toc497398678"/>
      <w:bookmarkStart w:id="141" w:name="_Toc497922264"/>
      <w:bookmarkStart w:id="142" w:name="_Toc500505470"/>
      <w:bookmarkStart w:id="143" w:name="_Toc501539165"/>
      <w:r w:rsidRPr="00622D94">
        <w:t xml:space="preserve">Non-fee Option 2: </w:t>
      </w:r>
      <w:bookmarkEnd w:id="140"/>
      <w:bookmarkEnd w:id="141"/>
      <w:r>
        <w:t>R</w:t>
      </w:r>
      <w:r w:rsidRPr="00C2271D">
        <w:t>emaking the current list of exempt devices, and listing line throwers and dog-training devices as new exempt devices</w:t>
      </w:r>
      <w:bookmarkEnd w:id="142"/>
      <w:bookmarkEnd w:id="143"/>
      <w:r w:rsidRPr="00622D94" w:rsidDel="0050074C">
        <w:t xml:space="preserve"> </w:t>
      </w:r>
    </w:p>
    <w:p w14:paraId="78DC82CF" w14:textId="77777777" w:rsidR="00052799" w:rsidRPr="00622D94" w:rsidRDefault="00052799" w:rsidP="00052799">
      <w:pPr>
        <w:pStyle w:val="Heading4"/>
      </w:pPr>
      <w:r w:rsidRPr="00622D94">
        <w:t>Description of Option</w:t>
      </w:r>
    </w:p>
    <w:p w14:paraId="3E932720" w14:textId="410F66F9" w:rsidR="00052799" w:rsidRPr="00622D94" w:rsidRDefault="00052799" w:rsidP="00052799">
      <w:pPr>
        <w:pStyle w:val="BodyText"/>
      </w:pPr>
      <w:r w:rsidRPr="00622D94">
        <w:t xml:space="preserve">As discussed above, a number of devices are exempt from the operation of the Act, including devices that are exempted under the regulations. A detailed description of the existing exempt devices in the regulations is contained in </w:t>
      </w:r>
      <w:r w:rsidR="001C7D77" w:rsidRPr="00610D49">
        <w:t xml:space="preserve">Table </w:t>
      </w:r>
      <w:r w:rsidR="001C7D77">
        <w:rPr>
          <w:noProof/>
        </w:rPr>
        <w:t>9</w:t>
      </w:r>
      <w:r w:rsidRPr="00622D94">
        <w:t>. For the reasons explained above, Victoria Police consider that these devices do not merit classification as firearms, as they pose a lower risk of harm than conventional firearms and have specific occupational or recreational uses. Although capable of firing a projectile, they lack the characteristics of conventional firearms (force, accuracy, muzzle velocity and so on) that give them the potential for harm.</w:t>
      </w:r>
    </w:p>
    <w:p w14:paraId="2E50CE11" w14:textId="77777777" w:rsidR="00052799" w:rsidRPr="00622D94" w:rsidRDefault="00052799" w:rsidP="00052799">
      <w:pPr>
        <w:pStyle w:val="BodyText"/>
      </w:pPr>
      <w:r w:rsidRPr="00622D94">
        <w:t xml:space="preserve">If not for the operation of regulations, some presently exempt devices would be within the definition of ‘firearm’ under the Act, and would be regulated. Non-fee option 2 would remake the existing regulation (including existing exempt devices), as there was support for maintaining the existing list from both firearms stakeholders and Victoria Police. Both of these groups considered that the existing exempt devices all posed negligible risk due to their essential characteristics making them poorly suited for use as weapons, and that they all had legitimate uses which made their availability to the unlicensed community desirable. As a result, expending resources regulating them would be inconsistent with the safety and public peace objectives of the Act. </w:t>
      </w:r>
    </w:p>
    <w:p w14:paraId="6CFE3B0A" w14:textId="77777777" w:rsidR="00052799" w:rsidRPr="00622D94" w:rsidRDefault="00052799" w:rsidP="00052799">
      <w:pPr>
        <w:pStyle w:val="BodyText"/>
      </w:pPr>
      <w:r w:rsidRPr="00622D94">
        <w:t xml:space="preserve">In addition, this option would also add the following additional devices to </w:t>
      </w:r>
      <w:r>
        <w:t xml:space="preserve">the list of exempt devices in the current </w:t>
      </w:r>
      <w:r w:rsidRPr="00622D94">
        <w:t>regulation</w:t>
      </w:r>
      <w:r>
        <w:t>s</w:t>
      </w:r>
      <w:r w:rsidRPr="00622D94">
        <w:t>:</w:t>
      </w:r>
    </w:p>
    <w:p w14:paraId="702BD8CE" w14:textId="77777777" w:rsidR="00052799" w:rsidRPr="00622D94" w:rsidRDefault="00052799" w:rsidP="00052799">
      <w:pPr>
        <w:pStyle w:val="BodyText"/>
        <w:numPr>
          <w:ilvl w:val="0"/>
          <w:numId w:val="65"/>
        </w:numPr>
        <w:tabs>
          <w:tab w:val="clear" w:pos="340"/>
          <w:tab w:val="num" w:pos="1780"/>
        </w:tabs>
        <w:ind w:left="1780"/>
      </w:pPr>
      <w:r w:rsidRPr="00622D94">
        <w:t>arborist line throwers</w:t>
      </w:r>
      <w:r w:rsidRPr="00622D94">
        <w:rPr>
          <w:rStyle w:val="FootnoteReference"/>
        </w:rPr>
        <w:footnoteReference w:id="22"/>
      </w:r>
      <w:r w:rsidRPr="00622D94">
        <w:t xml:space="preserve"> (devices used to launch a rope or line, used by arborists to connect a line to out-of-reach vegetation). A line thrower is a large device which is not readily concealable, does not fire conventional cartridge ammunition and has specific commercial uses, namely, to facilitate the work of arborists.</w:t>
      </w:r>
    </w:p>
    <w:p w14:paraId="5D293F82" w14:textId="77777777" w:rsidR="00052799" w:rsidRPr="00622D94" w:rsidRDefault="00052799" w:rsidP="00052799">
      <w:pPr>
        <w:pStyle w:val="BodyText"/>
        <w:numPr>
          <w:ilvl w:val="0"/>
          <w:numId w:val="65"/>
        </w:numPr>
        <w:tabs>
          <w:tab w:val="clear" w:pos="340"/>
          <w:tab w:val="num" w:pos="1780"/>
        </w:tabs>
        <w:ind w:left="1780"/>
      </w:pPr>
      <w:r w:rsidRPr="00622D94">
        <w:t>dog-training devices, also known as ‘dummy launchers’ (devices used to launch a ball or other retrievable projectile, for the purpose of training dogs for hunting or other purposes). These devices are not readily concealable, fire large, low-risk projectiles, and have specific commercial purposes relating to dog training.</w:t>
      </w:r>
    </w:p>
    <w:p w14:paraId="127654FE" w14:textId="227F95BC" w:rsidR="00052799" w:rsidRDefault="00052799" w:rsidP="00052799">
      <w:pPr>
        <w:pStyle w:val="BodyText"/>
      </w:pPr>
      <w:r>
        <w:t>The two categories above would be covered under the Act’s definition of a firearm as they are designed (or capable of being modified) to discharge a missile using compressed gas or strongly combustible materials.</w:t>
      </w:r>
      <w:r w:rsidR="00281570">
        <w:rPr>
          <w:rStyle w:val="FootnoteReference"/>
        </w:rPr>
        <w:footnoteReference w:id="23"/>
      </w:r>
    </w:p>
    <w:p w14:paraId="60A743ED" w14:textId="77777777" w:rsidR="00052799" w:rsidRPr="00622D94" w:rsidRDefault="00052799" w:rsidP="00052799">
      <w:pPr>
        <w:pStyle w:val="BodyText"/>
      </w:pPr>
      <w:r w:rsidRPr="00622D94">
        <w:t xml:space="preserve">As a result of including these devices as ‘exempt devices’ under the regulations, they would no longer be covered by the provisions of the Act, and thus would not require registration or for their owners to be </w:t>
      </w:r>
      <w:r>
        <w:t>licensed</w:t>
      </w:r>
      <w:r w:rsidRPr="00622D94">
        <w:t xml:space="preserve">. </w:t>
      </w:r>
    </w:p>
    <w:p w14:paraId="0BE5C905" w14:textId="77777777" w:rsidR="00052799" w:rsidRPr="00622D94" w:rsidRDefault="00052799" w:rsidP="00052799">
      <w:pPr>
        <w:pStyle w:val="BodyText"/>
      </w:pPr>
      <w:r w:rsidRPr="00622D94">
        <w:t xml:space="preserve">Under the base case, these devices would be considered firearms under the Act, and be subject to all of its provisions, including licensing and registration requirements. </w:t>
      </w:r>
    </w:p>
    <w:p w14:paraId="095D8A34" w14:textId="77777777" w:rsidR="00052799" w:rsidRPr="00622D94" w:rsidRDefault="00052799" w:rsidP="00052799">
      <w:pPr>
        <w:pStyle w:val="Heading4"/>
      </w:pPr>
      <w:r w:rsidRPr="00622D94">
        <w:t>Rationale for considering Option</w:t>
      </w:r>
    </w:p>
    <w:p w14:paraId="648BA802" w14:textId="77777777" w:rsidR="00052799" w:rsidRPr="00622D94" w:rsidRDefault="00052799" w:rsidP="00052799">
      <w:pPr>
        <w:pStyle w:val="BodyText"/>
      </w:pPr>
      <w:r w:rsidRPr="00622D94">
        <w:t xml:space="preserve">In the view of Victoria Police, none of the listed devices pose any significant threat to public safety or perceived risks of harm. Victoria Police also observed that these devices have either commercial or recreational applications that may be limited by their classification as firearms. </w:t>
      </w:r>
    </w:p>
    <w:p w14:paraId="5CB93AA1" w14:textId="77777777" w:rsidR="00052799" w:rsidRPr="00622D94" w:rsidRDefault="00052799" w:rsidP="00052799">
      <w:pPr>
        <w:pStyle w:val="BodyText"/>
      </w:pPr>
      <w:r w:rsidRPr="00622D94">
        <w:t>In 2016, the Law Reform Commission of Western Australia recommended that industrial tools (including nail guns and line throwers) and other similar devices should be excluded from the definition of firearms. Drawing on submissions, it noted that these devices are tools of trade and generally not concealable.</w:t>
      </w:r>
      <w:r w:rsidRPr="00622D94">
        <w:rPr>
          <w:rStyle w:val="FootnoteReference"/>
        </w:rPr>
        <w:footnoteReference w:id="24"/>
      </w:r>
    </w:p>
    <w:p w14:paraId="490B0D87" w14:textId="24BAA044" w:rsidR="00052799" w:rsidRPr="00622D94" w:rsidRDefault="00052799" w:rsidP="00052799">
      <w:pPr>
        <w:pStyle w:val="BodyText"/>
      </w:pPr>
      <w:r w:rsidRPr="00622D94">
        <w:t>In the case of line throwers used by arborists, these devices are already exempt from the definition of firearm in the Act when used for rescue purposes. The proposed change to the regulations would expand access to arborists. An exemption for line throwers exists in some other jurisdictions,</w:t>
      </w:r>
      <w:r w:rsidRPr="00622D94">
        <w:rPr>
          <w:rStyle w:val="FootnoteReference"/>
        </w:rPr>
        <w:footnoteReference w:id="25"/>
      </w:r>
      <w:r w:rsidRPr="00622D94">
        <w:t xml:space="preserve"> and these products are excluded from the definition of firearm for importation purposes, meaning they are not subject to import controls.</w:t>
      </w:r>
      <w:r w:rsidRPr="00622D94">
        <w:rPr>
          <w:rStyle w:val="FootnoteReference"/>
        </w:rPr>
        <w:footnoteReference w:id="26"/>
      </w:r>
      <w:r w:rsidRPr="00622D94">
        <w:t xml:space="preserve"> This suggests that these devices carry a small risk, and are commonly treated as different to existing categories of firearm. Other jurisdictions where these devices are exempt did not advise of any injuries or other adverse events resulting from their use. Further, line throwers are already exempt under the Act when used for rescue, rescue training, or rescue demonstration purposes and there is no evidence that their current availability in Victoria has created any identifiable harms or reasonable threats of harm. </w:t>
      </w:r>
    </w:p>
    <w:p w14:paraId="4812C21E" w14:textId="77777777" w:rsidR="00052799" w:rsidRPr="00622D94" w:rsidRDefault="00052799" w:rsidP="00052799">
      <w:pPr>
        <w:pStyle w:val="BodyText"/>
      </w:pPr>
      <w:r w:rsidRPr="00622D94">
        <w:t>In the case of dog-training devices, these devices are exempt in a number of other jurisdictions</w:t>
      </w:r>
      <w:r w:rsidRPr="00622D94">
        <w:rPr>
          <w:rStyle w:val="FootnoteReference"/>
        </w:rPr>
        <w:footnoteReference w:id="27"/>
      </w:r>
      <w:r w:rsidRPr="00622D94">
        <w:t xml:space="preserve"> and, like line throwers, are not subject to import controls.</w:t>
      </w:r>
      <w:r w:rsidRPr="00622D94">
        <w:rPr>
          <w:rStyle w:val="FootnoteReference"/>
        </w:rPr>
        <w:footnoteReference w:id="28"/>
      </w:r>
      <w:r w:rsidRPr="00622D94">
        <w:t xml:space="preserve"> Although generally fired using blanks, the devices do not resemble conventional firearms. Further, they are only capable of firing large, relatively low velocity projectiles, and as such present a far lower risk of wounding a person than conventional ammunition. They lack the combination of high velocity and a small surface area that give conventional bullets or pellets their penetrative power and capacity to wound by puncturing flesh or bone. This suggests it is appropriate to remove these devices from being regulated as firearms.</w:t>
      </w:r>
      <w:r>
        <w:t xml:space="preserve"> None of the jurisdictions consulted in relation to these devices advised of any negative consequences of their availability without a licence.</w:t>
      </w:r>
    </w:p>
    <w:p w14:paraId="12ADDD15" w14:textId="77777777" w:rsidR="00052799" w:rsidRPr="00622D94" w:rsidRDefault="00052799" w:rsidP="00052799">
      <w:pPr>
        <w:pStyle w:val="Heading4"/>
      </w:pPr>
      <w:r w:rsidRPr="00622D94">
        <w:t>Evaluation of Option</w:t>
      </w:r>
    </w:p>
    <w:p w14:paraId="33071C7C" w14:textId="26A305C1" w:rsidR="00052799" w:rsidRPr="00622D94" w:rsidRDefault="00052799" w:rsidP="00052799">
      <w:pPr>
        <w:pStyle w:val="BodyText"/>
      </w:pPr>
      <w:r w:rsidRPr="00622D94">
        <w:rPr>
          <w:b/>
        </w:rPr>
        <w:t xml:space="preserve">Safety: </w:t>
      </w:r>
      <w:r w:rsidRPr="00622D94">
        <w:t xml:space="preserve">While it is possible that the newly proposed devices could conceivably be used in a manner which could cause harm, Victoria Police and the </w:t>
      </w:r>
      <w:r w:rsidR="000514BF">
        <w:t>D</w:t>
      </w:r>
      <w:r w:rsidRPr="00622D94">
        <w:t xml:space="preserve">epartment consider that the risk of harm is not sufficient to justify regulating them as firearms. These devices generally launch projectiles which make them unsuitable for use as weapons (the projectiles usually being large, low velocity, and poorly designed for inflicting any substantial injury) and not capable of adaptation for use in this way. In addition, other laws apply to prevent the use of these devices in a dangerous manner—regulation of their use does not require the heightened scrutiny of the Act or Regulations. Stakeholders also considered that the risk of harm posed by these devices to be negligible. Given the experience of partially exempting line throwers in the past, it also seems unlikely that extending the exemption to the use of line throwers by arborists would pose any danger of uncertain definitions leading to the availability of devices other than those intended. A score of zero has thus been deemed appropriate. </w:t>
      </w:r>
    </w:p>
    <w:p w14:paraId="32DCA12E" w14:textId="572087AA" w:rsidR="00052799" w:rsidRPr="00622D94" w:rsidRDefault="00052799" w:rsidP="00052799">
      <w:pPr>
        <w:pStyle w:val="BodyText"/>
      </w:pPr>
      <w:r w:rsidRPr="00622D94">
        <w:rPr>
          <w:b/>
        </w:rPr>
        <w:t>Public peace:</w:t>
      </w:r>
      <w:r w:rsidRPr="00622D94">
        <w:t xml:space="preserve"> It is possible that devices like dog-training launchers could be used to cause minor public disturbances if misused, but Victoria Police and the </w:t>
      </w:r>
      <w:r w:rsidR="000514BF">
        <w:t>D</w:t>
      </w:r>
      <w:r w:rsidRPr="00622D94">
        <w:t>epartment consider the risk relatively minor relative to their usefulness. The devices do not closely resemble firearms, and could not reasonably be used to threaten or intimidate. Stakeholders did not consider that the existing or proposed exempt devices pose a threat to perceived risks of harm. As such, a score of -1 is assigned for a very minor increase in the perceived risk of harm.</w:t>
      </w:r>
    </w:p>
    <w:p w14:paraId="55203D46" w14:textId="51CCD4C2" w:rsidR="00052799" w:rsidRPr="00622D94" w:rsidRDefault="00052799" w:rsidP="00052799">
      <w:pPr>
        <w:pStyle w:val="BodyText"/>
      </w:pPr>
      <w:r w:rsidRPr="00622D94">
        <w:rPr>
          <w:b/>
        </w:rPr>
        <w:t xml:space="preserve">Regulatory burden: </w:t>
      </w:r>
      <w:r w:rsidRPr="00622D94">
        <w:t xml:space="preserve">Compared to the base case, users of listed devices would no longer be required to comply with the requirements of the Act. They would not need to apply for firearms licences, would be able to source these devices without the involvements of a firearms dealer, and would not require permits to use these devices in </w:t>
      </w:r>
      <w:r w:rsidR="00281570">
        <w:t>towns or other public</w:t>
      </w:r>
      <w:r w:rsidR="00281570" w:rsidRPr="00622D94">
        <w:t xml:space="preserve"> </w:t>
      </w:r>
      <w:r w:rsidRPr="00622D94">
        <w:t>places. For those users, this would represent a considerable reduction in the regulatory burden relative to the base case where these devices are regulated. It is also reasonable to assume, based on public enquiries received by Victoria Police, that a number of potential users of these devices may not presently use them because of their treatment under the regulations. A dog training launcher may be useful for a part-time or volunteer dog trainer, but not so useful as to merit paying for a firearms licence and going through the process to acquire a launcher under the base case. Allowing these individuals to more practically access these devices also represented a reduction in regulatory burden relative to the base case. It is important to note that in all instances, the number of people expected to be affected by these exemptions is small. Victoria Police estimates that the new exemptions would result in a maximum of 30 existing licences falling into the new exempt categories.</w:t>
      </w:r>
      <w:r w:rsidRPr="00622D94">
        <w:rPr>
          <w:rStyle w:val="FootnoteReference"/>
        </w:rPr>
        <w:footnoteReference w:id="29"/>
      </w:r>
      <w:r w:rsidRPr="00622D94">
        <w:t xml:space="preserve"> Based on this option having a material impact in reducing regulatory burden for a small group of people (both those currently licensed and those who choose not to use these devices because of the licensing requirement), a score of +2 has been assigned.</w:t>
      </w:r>
    </w:p>
    <w:p w14:paraId="50DB7EEB" w14:textId="77777777" w:rsidR="00052799" w:rsidRDefault="00052799" w:rsidP="00052799">
      <w:pPr>
        <w:pStyle w:val="BodyText"/>
      </w:pPr>
      <w:r w:rsidRPr="00622D94">
        <w:rPr>
          <w:b/>
        </w:rPr>
        <w:t xml:space="preserve">Administrative costs: </w:t>
      </w:r>
      <w:r w:rsidRPr="00622D94">
        <w:t>Compared to the base case, Victoria Police would no longer need to incur costs regulating these devices, leading to a reduction in administrative costs. The impact is expected to be less than the impact on regulatory burden, as users who currently do not but would use these devices, if they were exempt, do not currently impose administrative costs on Victoria Police, unlike those who currently hold a licence. As such, a score of +1 has been assigned.</w:t>
      </w:r>
    </w:p>
    <w:p w14:paraId="0FA0EB12" w14:textId="77777777" w:rsidR="00052799" w:rsidRPr="00622D94" w:rsidRDefault="00052799" w:rsidP="00052799">
      <w:pPr>
        <w:pStyle w:val="BodyText"/>
        <w:rPr>
          <w:b/>
        </w:rPr>
      </w:pPr>
    </w:p>
    <w:p w14:paraId="2B66C205" w14:textId="51691016" w:rsidR="00052799" w:rsidRPr="00622D94" w:rsidRDefault="00052799">
      <w:pPr>
        <w:pStyle w:val="Caption"/>
        <w:keepNext/>
      </w:pPr>
      <w:r w:rsidRPr="00622D94">
        <w:t xml:space="preserve">Table </w:t>
      </w:r>
      <w:r w:rsidR="001C7D77">
        <w:rPr>
          <w:noProof/>
        </w:rPr>
        <w:t>13</w:t>
      </w:r>
      <w:r w:rsidRPr="00622D94">
        <w:t>: MCA for non-fee option 2</w:t>
      </w:r>
    </w:p>
    <w:tbl>
      <w:tblPr>
        <w:tblW w:w="4553" w:type="pct"/>
        <w:tblInd w:w="907" w:type="dxa"/>
        <w:tblBorders>
          <w:top w:val="single" w:sz="4" w:space="0" w:color="666366"/>
          <w:bottom w:val="single" w:sz="4" w:space="0" w:color="666366"/>
          <w:insideH w:val="single" w:sz="2" w:space="0" w:color="C0C0C0"/>
        </w:tblBorders>
        <w:tblLayout w:type="fixed"/>
        <w:tblCellMar>
          <w:top w:w="57" w:type="dxa"/>
          <w:bottom w:w="57" w:type="dxa"/>
        </w:tblCellMar>
        <w:tblLook w:val="01E0" w:firstRow="1" w:lastRow="1" w:firstColumn="1" w:lastColumn="1" w:noHBand="0" w:noVBand="0"/>
        <w:tblCaption w:val="Table 13: MCA for non-fee option 2"/>
      </w:tblPr>
      <w:tblGrid>
        <w:gridCol w:w="2258"/>
        <w:gridCol w:w="2258"/>
        <w:gridCol w:w="2259"/>
        <w:gridCol w:w="2259"/>
      </w:tblGrid>
      <w:tr w:rsidR="00052799" w:rsidRPr="00622D94" w14:paraId="20ECD574" w14:textId="77777777" w:rsidTr="00871631">
        <w:trPr>
          <w:tblHeader/>
        </w:trPr>
        <w:tc>
          <w:tcPr>
            <w:tcW w:w="1250" w:type="pct"/>
            <w:tcBorders>
              <w:top w:val="single" w:sz="4" w:space="0" w:color="666366"/>
              <w:bottom w:val="single" w:sz="2" w:space="0" w:color="C0C0C0"/>
            </w:tcBorders>
            <w:shd w:val="clear" w:color="auto" w:fill="01356E"/>
          </w:tcPr>
          <w:p w14:paraId="202E014D" w14:textId="77777777" w:rsidR="00052799" w:rsidRPr="002D7AE6" w:rsidRDefault="00052799">
            <w:pPr>
              <w:pStyle w:val="TableHeader"/>
              <w:rPr>
                <w:sz w:val="18"/>
                <w:szCs w:val="18"/>
              </w:rPr>
            </w:pPr>
            <w:r w:rsidRPr="002D7AE6">
              <w:rPr>
                <w:sz w:val="18"/>
                <w:szCs w:val="18"/>
              </w:rPr>
              <w:t>Criterion</w:t>
            </w:r>
          </w:p>
        </w:tc>
        <w:tc>
          <w:tcPr>
            <w:tcW w:w="1250" w:type="pct"/>
            <w:tcBorders>
              <w:top w:val="single" w:sz="4" w:space="0" w:color="666366"/>
              <w:bottom w:val="single" w:sz="2" w:space="0" w:color="C0C0C0"/>
            </w:tcBorders>
            <w:shd w:val="clear" w:color="auto" w:fill="01356E"/>
          </w:tcPr>
          <w:p w14:paraId="1FF4A564" w14:textId="77777777" w:rsidR="00052799" w:rsidRPr="002D7AE6" w:rsidRDefault="00052799">
            <w:pPr>
              <w:pStyle w:val="TableHeader"/>
              <w:rPr>
                <w:sz w:val="18"/>
                <w:szCs w:val="18"/>
              </w:rPr>
            </w:pPr>
            <w:r w:rsidRPr="002D7AE6">
              <w:rPr>
                <w:sz w:val="18"/>
                <w:szCs w:val="18"/>
              </w:rPr>
              <w:t>Weighting</w:t>
            </w:r>
          </w:p>
        </w:tc>
        <w:tc>
          <w:tcPr>
            <w:tcW w:w="1250" w:type="pct"/>
            <w:tcBorders>
              <w:top w:val="single" w:sz="4" w:space="0" w:color="666366"/>
              <w:bottom w:val="single" w:sz="2" w:space="0" w:color="C0C0C0"/>
            </w:tcBorders>
            <w:shd w:val="clear" w:color="auto" w:fill="01356E"/>
          </w:tcPr>
          <w:p w14:paraId="0779AC92" w14:textId="77777777" w:rsidR="00052799" w:rsidRPr="002D7AE6" w:rsidRDefault="00052799">
            <w:pPr>
              <w:pStyle w:val="TableHeader"/>
              <w:rPr>
                <w:sz w:val="18"/>
                <w:szCs w:val="18"/>
              </w:rPr>
            </w:pPr>
            <w:r w:rsidRPr="002D7AE6">
              <w:rPr>
                <w:sz w:val="18"/>
                <w:szCs w:val="18"/>
              </w:rPr>
              <w:t>Assigned Score</w:t>
            </w:r>
          </w:p>
        </w:tc>
        <w:tc>
          <w:tcPr>
            <w:tcW w:w="1250" w:type="pct"/>
            <w:tcBorders>
              <w:top w:val="single" w:sz="4" w:space="0" w:color="666366"/>
              <w:bottom w:val="single" w:sz="2" w:space="0" w:color="C0C0C0"/>
            </w:tcBorders>
            <w:shd w:val="clear" w:color="auto" w:fill="01356E"/>
          </w:tcPr>
          <w:p w14:paraId="61DE1C34" w14:textId="77777777" w:rsidR="00052799" w:rsidRPr="002D7AE6" w:rsidRDefault="00052799">
            <w:pPr>
              <w:pStyle w:val="TableHeader"/>
              <w:rPr>
                <w:sz w:val="18"/>
                <w:szCs w:val="18"/>
              </w:rPr>
            </w:pPr>
            <w:r w:rsidRPr="002D7AE6">
              <w:rPr>
                <w:sz w:val="18"/>
                <w:szCs w:val="18"/>
              </w:rPr>
              <w:t>Weighted Score</w:t>
            </w:r>
          </w:p>
        </w:tc>
      </w:tr>
      <w:tr w:rsidR="00052799" w:rsidRPr="00622D94" w14:paraId="6D26FD3B" w14:textId="77777777" w:rsidTr="00871631">
        <w:tc>
          <w:tcPr>
            <w:tcW w:w="1250" w:type="pct"/>
            <w:tcBorders>
              <w:top w:val="single" w:sz="2" w:space="0" w:color="C0C0C0"/>
            </w:tcBorders>
            <w:shd w:val="clear" w:color="auto" w:fill="auto"/>
          </w:tcPr>
          <w:p w14:paraId="38C57F75" w14:textId="77777777" w:rsidR="00052799" w:rsidRPr="002D7AE6" w:rsidRDefault="00052799" w:rsidP="004B487D">
            <w:pPr>
              <w:pStyle w:val="TableText"/>
              <w:keepNext/>
            </w:pPr>
            <w:r w:rsidRPr="002D7AE6">
              <w:t>Safety</w:t>
            </w:r>
          </w:p>
        </w:tc>
        <w:tc>
          <w:tcPr>
            <w:tcW w:w="1250" w:type="pct"/>
            <w:tcBorders>
              <w:top w:val="single" w:sz="2" w:space="0" w:color="C0C0C0"/>
            </w:tcBorders>
            <w:shd w:val="clear" w:color="auto" w:fill="auto"/>
          </w:tcPr>
          <w:p w14:paraId="0BB78DD0" w14:textId="77777777" w:rsidR="00052799" w:rsidRPr="002D7AE6" w:rsidRDefault="00052799" w:rsidP="004B487D">
            <w:pPr>
              <w:pStyle w:val="TableText"/>
              <w:keepNext/>
            </w:pPr>
            <w:r w:rsidRPr="002D7AE6">
              <w:t>30%</w:t>
            </w:r>
          </w:p>
        </w:tc>
        <w:tc>
          <w:tcPr>
            <w:tcW w:w="1250" w:type="pct"/>
            <w:tcBorders>
              <w:top w:val="single" w:sz="2" w:space="0" w:color="C0C0C0"/>
            </w:tcBorders>
            <w:shd w:val="clear" w:color="auto" w:fill="auto"/>
          </w:tcPr>
          <w:p w14:paraId="1BC82408" w14:textId="77777777" w:rsidR="00052799" w:rsidRPr="002D7AE6" w:rsidRDefault="00052799" w:rsidP="004B487D">
            <w:pPr>
              <w:pStyle w:val="TableText"/>
              <w:keepNext/>
            </w:pPr>
            <w:r w:rsidRPr="002D7AE6">
              <w:t>0.00</w:t>
            </w:r>
          </w:p>
        </w:tc>
        <w:tc>
          <w:tcPr>
            <w:tcW w:w="1250" w:type="pct"/>
            <w:tcBorders>
              <w:top w:val="single" w:sz="2" w:space="0" w:color="C0C0C0"/>
            </w:tcBorders>
          </w:tcPr>
          <w:p w14:paraId="681AF49C" w14:textId="77777777" w:rsidR="00052799" w:rsidRPr="002D7AE6" w:rsidRDefault="00052799" w:rsidP="004B487D">
            <w:pPr>
              <w:pStyle w:val="TableText"/>
              <w:keepNext/>
            </w:pPr>
            <w:r w:rsidRPr="002D7AE6">
              <w:t>0.00</w:t>
            </w:r>
          </w:p>
        </w:tc>
      </w:tr>
      <w:tr w:rsidR="00052799" w:rsidRPr="00622D94" w14:paraId="69970FA9" w14:textId="77777777" w:rsidTr="00871631">
        <w:tc>
          <w:tcPr>
            <w:tcW w:w="1250" w:type="pct"/>
            <w:shd w:val="clear" w:color="auto" w:fill="auto"/>
          </w:tcPr>
          <w:p w14:paraId="0BCDA43E" w14:textId="77777777" w:rsidR="00052799" w:rsidRPr="002D7AE6" w:rsidRDefault="00052799" w:rsidP="004B487D">
            <w:pPr>
              <w:pStyle w:val="TableText"/>
              <w:keepNext/>
            </w:pPr>
            <w:r w:rsidRPr="002D7AE6">
              <w:t>Public peace</w:t>
            </w:r>
          </w:p>
        </w:tc>
        <w:tc>
          <w:tcPr>
            <w:tcW w:w="1250" w:type="pct"/>
            <w:shd w:val="clear" w:color="auto" w:fill="auto"/>
          </w:tcPr>
          <w:p w14:paraId="6B228FE6" w14:textId="77777777" w:rsidR="00052799" w:rsidRPr="002D7AE6" w:rsidRDefault="00052799" w:rsidP="004B487D">
            <w:pPr>
              <w:pStyle w:val="TableText"/>
              <w:keepNext/>
            </w:pPr>
            <w:r w:rsidRPr="002D7AE6">
              <w:t>20%</w:t>
            </w:r>
          </w:p>
        </w:tc>
        <w:tc>
          <w:tcPr>
            <w:tcW w:w="1250" w:type="pct"/>
            <w:shd w:val="clear" w:color="auto" w:fill="auto"/>
          </w:tcPr>
          <w:p w14:paraId="27F75F4B" w14:textId="77777777" w:rsidR="00052799" w:rsidRPr="002D7AE6" w:rsidRDefault="00052799" w:rsidP="004B487D">
            <w:pPr>
              <w:pStyle w:val="TableText"/>
              <w:keepNext/>
            </w:pPr>
            <w:r w:rsidRPr="002D7AE6">
              <w:t>-1.00</w:t>
            </w:r>
          </w:p>
        </w:tc>
        <w:tc>
          <w:tcPr>
            <w:tcW w:w="1250" w:type="pct"/>
          </w:tcPr>
          <w:p w14:paraId="580F9A15" w14:textId="77777777" w:rsidR="00052799" w:rsidRPr="002D7AE6" w:rsidRDefault="00052799" w:rsidP="004B487D">
            <w:pPr>
              <w:pStyle w:val="TableText"/>
              <w:keepNext/>
            </w:pPr>
            <w:r w:rsidRPr="002D7AE6">
              <w:t>-0.20</w:t>
            </w:r>
          </w:p>
        </w:tc>
      </w:tr>
      <w:tr w:rsidR="00052799" w:rsidRPr="00622D94" w14:paraId="07F8F466" w14:textId="77777777" w:rsidTr="00871631">
        <w:tc>
          <w:tcPr>
            <w:tcW w:w="1250" w:type="pct"/>
            <w:shd w:val="clear" w:color="auto" w:fill="auto"/>
          </w:tcPr>
          <w:p w14:paraId="6340C625" w14:textId="77777777" w:rsidR="00052799" w:rsidRPr="002D7AE6" w:rsidRDefault="00052799" w:rsidP="00871631">
            <w:pPr>
              <w:pStyle w:val="TableText"/>
            </w:pPr>
            <w:r w:rsidRPr="002D7AE6">
              <w:t>Regulatory burden</w:t>
            </w:r>
          </w:p>
        </w:tc>
        <w:tc>
          <w:tcPr>
            <w:tcW w:w="1250" w:type="pct"/>
            <w:shd w:val="clear" w:color="auto" w:fill="auto"/>
          </w:tcPr>
          <w:p w14:paraId="46FE6E08" w14:textId="77777777" w:rsidR="00052799" w:rsidRPr="002D7AE6" w:rsidRDefault="00052799" w:rsidP="00871631">
            <w:pPr>
              <w:pStyle w:val="TableText"/>
            </w:pPr>
            <w:r w:rsidRPr="002D7AE6">
              <w:t>30%</w:t>
            </w:r>
          </w:p>
        </w:tc>
        <w:tc>
          <w:tcPr>
            <w:tcW w:w="1250" w:type="pct"/>
            <w:shd w:val="clear" w:color="auto" w:fill="auto"/>
          </w:tcPr>
          <w:p w14:paraId="29CFF4A9" w14:textId="77777777" w:rsidR="00052799" w:rsidRPr="002D7AE6" w:rsidRDefault="00052799" w:rsidP="00871631">
            <w:pPr>
              <w:pStyle w:val="TableText"/>
            </w:pPr>
            <w:r w:rsidRPr="002D7AE6">
              <w:t>2.00</w:t>
            </w:r>
          </w:p>
        </w:tc>
        <w:tc>
          <w:tcPr>
            <w:tcW w:w="1250" w:type="pct"/>
          </w:tcPr>
          <w:p w14:paraId="29E9C360" w14:textId="77777777" w:rsidR="00052799" w:rsidRPr="002D7AE6" w:rsidRDefault="00052799" w:rsidP="00871631">
            <w:pPr>
              <w:pStyle w:val="TableText"/>
            </w:pPr>
            <w:r w:rsidRPr="002D7AE6">
              <w:t>0.60</w:t>
            </w:r>
          </w:p>
        </w:tc>
      </w:tr>
      <w:tr w:rsidR="00052799" w:rsidRPr="00622D94" w14:paraId="3E1CC46C" w14:textId="77777777" w:rsidTr="00871631">
        <w:tc>
          <w:tcPr>
            <w:tcW w:w="1250" w:type="pct"/>
            <w:shd w:val="clear" w:color="auto" w:fill="auto"/>
          </w:tcPr>
          <w:p w14:paraId="74C49B35" w14:textId="77777777" w:rsidR="00052799" w:rsidRPr="002D7AE6" w:rsidRDefault="00052799" w:rsidP="00871631">
            <w:pPr>
              <w:pStyle w:val="TableText"/>
            </w:pPr>
            <w:r w:rsidRPr="002D7AE6">
              <w:t>Administrative costs</w:t>
            </w:r>
          </w:p>
        </w:tc>
        <w:tc>
          <w:tcPr>
            <w:tcW w:w="1250" w:type="pct"/>
            <w:shd w:val="clear" w:color="auto" w:fill="auto"/>
          </w:tcPr>
          <w:p w14:paraId="35833C43" w14:textId="77777777" w:rsidR="00052799" w:rsidRPr="002D7AE6" w:rsidRDefault="00052799" w:rsidP="00871631">
            <w:pPr>
              <w:pStyle w:val="TableText"/>
            </w:pPr>
            <w:r w:rsidRPr="002D7AE6">
              <w:t>20%</w:t>
            </w:r>
          </w:p>
        </w:tc>
        <w:tc>
          <w:tcPr>
            <w:tcW w:w="1250" w:type="pct"/>
            <w:shd w:val="clear" w:color="auto" w:fill="auto"/>
          </w:tcPr>
          <w:p w14:paraId="06ABA17F" w14:textId="77777777" w:rsidR="00052799" w:rsidRPr="002D7AE6" w:rsidRDefault="00052799" w:rsidP="00871631">
            <w:pPr>
              <w:pStyle w:val="TableText"/>
            </w:pPr>
            <w:r w:rsidRPr="002D7AE6">
              <w:t>1.00</w:t>
            </w:r>
          </w:p>
        </w:tc>
        <w:tc>
          <w:tcPr>
            <w:tcW w:w="1250" w:type="pct"/>
          </w:tcPr>
          <w:p w14:paraId="015F3FBC" w14:textId="77777777" w:rsidR="00052799" w:rsidRPr="002D7AE6" w:rsidRDefault="00052799" w:rsidP="00871631">
            <w:pPr>
              <w:pStyle w:val="TableText"/>
            </w:pPr>
            <w:r w:rsidRPr="002D7AE6">
              <w:t>0.20</w:t>
            </w:r>
          </w:p>
        </w:tc>
      </w:tr>
      <w:tr w:rsidR="00052799" w:rsidRPr="00622D94" w14:paraId="20606A25" w14:textId="77777777" w:rsidTr="00871631">
        <w:tc>
          <w:tcPr>
            <w:tcW w:w="3750" w:type="pct"/>
            <w:gridSpan w:val="3"/>
            <w:shd w:val="clear" w:color="auto" w:fill="auto"/>
          </w:tcPr>
          <w:p w14:paraId="70A834C1" w14:textId="77777777" w:rsidR="00052799" w:rsidRPr="002D7AE6" w:rsidRDefault="00052799" w:rsidP="00871631">
            <w:pPr>
              <w:pStyle w:val="TableText"/>
              <w:rPr>
                <w:b/>
              </w:rPr>
            </w:pPr>
            <w:r w:rsidRPr="002D7AE6">
              <w:rPr>
                <w:b/>
              </w:rPr>
              <w:t>Total</w:t>
            </w:r>
          </w:p>
        </w:tc>
        <w:tc>
          <w:tcPr>
            <w:tcW w:w="1250" w:type="pct"/>
          </w:tcPr>
          <w:p w14:paraId="7FFCCD64" w14:textId="77777777" w:rsidR="00052799" w:rsidRPr="002D7AE6" w:rsidRDefault="00052799" w:rsidP="00871631">
            <w:pPr>
              <w:pStyle w:val="TableText"/>
              <w:rPr>
                <w:b/>
              </w:rPr>
            </w:pPr>
            <w:r w:rsidRPr="002D7AE6">
              <w:rPr>
                <w:b/>
              </w:rPr>
              <w:t>0.6</w:t>
            </w:r>
          </w:p>
        </w:tc>
      </w:tr>
    </w:tbl>
    <w:p w14:paraId="2DD4C7D0" w14:textId="77777777" w:rsidR="00052799" w:rsidRDefault="00052799" w:rsidP="00052799">
      <w:pPr>
        <w:pStyle w:val="BodyText"/>
      </w:pPr>
      <w:r w:rsidRPr="00622D94">
        <w:t xml:space="preserve">Based on the above MCA, the Department considers that </w:t>
      </w:r>
      <w:r>
        <w:t>the current list of exempt devices</w:t>
      </w:r>
      <w:r w:rsidRPr="00622D94">
        <w:t xml:space="preserve"> should be remade, with the addition of the two new types of devices listed above. </w:t>
      </w:r>
    </w:p>
    <w:p w14:paraId="57023D25" w14:textId="77777777" w:rsidR="00052799" w:rsidRPr="00622D94" w:rsidRDefault="00052799" w:rsidP="00052799">
      <w:pPr>
        <w:pStyle w:val="BodyText"/>
      </w:pPr>
      <w:r>
        <w:t>C</w:t>
      </w:r>
      <w:r w:rsidRPr="00622D94">
        <w:t>ertain other devices were considered for inclusion as exempt devices</w:t>
      </w:r>
      <w:r>
        <w:t xml:space="preserve"> (note that these were raised by Victoria Police, and not by stakeholders)</w:t>
      </w:r>
      <w:r w:rsidRPr="00622D94">
        <w:t>,</w:t>
      </w:r>
      <w:r>
        <w:t xml:space="preserve"> namely</w:t>
      </w:r>
      <w:r w:rsidRPr="00622D94">
        <w:t xml:space="preserve"> </w:t>
      </w:r>
      <w:r>
        <w:t xml:space="preserve">bird fright launchers, merchandise cannons and bait launchers. These devices are considered to pose a low risk of harm and, as with the items referred to above, have specific occupational or recreational uses. However, </w:t>
      </w:r>
      <w:r w:rsidRPr="00622D94">
        <w:t xml:space="preserve">import restrictions mean that, </w:t>
      </w:r>
      <w:r>
        <w:t>even if they were exempted in Victoria</w:t>
      </w:r>
      <w:r w:rsidRPr="00622D94">
        <w:t>, they would</w:t>
      </w:r>
      <w:r>
        <w:t xml:space="preserve"> likely</w:t>
      </w:r>
      <w:r w:rsidRPr="00622D94">
        <w:t xml:space="preserve"> remain practically inaccessible</w:t>
      </w:r>
      <w:r>
        <w:t xml:space="preserve"> legally</w:t>
      </w:r>
      <w:r w:rsidRPr="00622D94">
        <w:t xml:space="preserve">. </w:t>
      </w:r>
      <w:r>
        <w:t xml:space="preserve"> </w:t>
      </w:r>
      <w:r w:rsidRPr="00622D94">
        <w:t xml:space="preserve">Accordingly, the </w:t>
      </w:r>
      <w:r>
        <w:t xml:space="preserve">Department did not consider that </w:t>
      </w:r>
      <w:r w:rsidRPr="00622D94">
        <w:t xml:space="preserve">exemption of these devices </w:t>
      </w:r>
      <w:r>
        <w:t xml:space="preserve">through the regulations </w:t>
      </w:r>
      <w:r w:rsidRPr="00622D94">
        <w:t xml:space="preserve">was </w:t>
      </w:r>
      <w:r>
        <w:t>feasible</w:t>
      </w:r>
      <w:r w:rsidRPr="00622D94">
        <w:t>.</w:t>
      </w:r>
    </w:p>
    <w:p w14:paraId="0BF09254" w14:textId="77777777" w:rsidR="00052799" w:rsidRPr="00622D94" w:rsidRDefault="00052799" w:rsidP="00052799">
      <w:pPr>
        <w:pStyle w:val="Heading3"/>
      </w:pPr>
      <w:bookmarkStart w:id="144" w:name="_Toc497398679"/>
      <w:bookmarkStart w:id="145" w:name="_Toc497922265"/>
      <w:bookmarkStart w:id="146" w:name="_Toc500505471"/>
      <w:bookmarkStart w:id="147" w:name="_Toc501539166"/>
      <w:r w:rsidRPr="00622D94">
        <w:t xml:space="preserve">Non-fee-Option 3: </w:t>
      </w:r>
      <w:bookmarkEnd w:id="144"/>
      <w:bookmarkEnd w:id="145"/>
      <w:r>
        <w:t>R</w:t>
      </w:r>
      <w:r w:rsidRPr="00C2271D">
        <w:t xml:space="preserve">emaking the maximum amount that a </w:t>
      </w:r>
      <w:r>
        <w:t>licensed</w:t>
      </w:r>
      <w:r w:rsidRPr="00C2271D">
        <w:t xml:space="preserve"> firearms dealer may charge when acting as an agent, but setting this amount in fee units</w:t>
      </w:r>
      <w:bookmarkEnd w:id="146"/>
      <w:bookmarkEnd w:id="147"/>
      <w:r w:rsidRPr="00622D94">
        <w:t xml:space="preserve"> </w:t>
      </w:r>
    </w:p>
    <w:p w14:paraId="272A6AD9" w14:textId="77777777" w:rsidR="00052799" w:rsidRPr="00622D94" w:rsidRDefault="00052799" w:rsidP="00052799">
      <w:pPr>
        <w:pStyle w:val="Heading4"/>
      </w:pPr>
      <w:r w:rsidRPr="00622D94">
        <w:t>Description of Option</w:t>
      </w:r>
    </w:p>
    <w:p w14:paraId="2151C181" w14:textId="77777777" w:rsidR="00052799" w:rsidRPr="00622D94" w:rsidRDefault="00052799" w:rsidP="00052799">
      <w:pPr>
        <w:pStyle w:val="BodyText"/>
      </w:pPr>
      <w:r w:rsidRPr="00622D94">
        <w:t xml:space="preserve">Under the base case, there would be no legally imposed limit on the amount that a dealer could charge for acting as an agent under section 95 or 96 of the Act. Market forces would thus determine what dealers charged. </w:t>
      </w:r>
    </w:p>
    <w:p w14:paraId="58792DF4" w14:textId="77777777" w:rsidR="00052799" w:rsidRPr="00622D94" w:rsidRDefault="00052799" w:rsidP="00052799">
      <w:pPr>
        <w:pStyle w:val="BodyText"/>
      </w:pPr>
      <w:r w:rsidRPr="00622D94">
        <w:t>Th</w:t>
      </w:r>
      <w:r>
        <w:t>e proposed</w:t>
      </w:r>
      <w:r w:rsidRPr="00622D94">
        <w:t xml:space="preserve"> option would re-make the existing </w:t>
      </w:r>
      <w:r>
        <w:t xml:space="preserve">requirement of </w:t>
      </w:r>
      <w:r w:rsidRPr="00622D94">
        <w:t xml:space="preserve">a maximum fee that a licensed firearm dealer could charge when acting as an agent under section 95 or 96 of the Act. Based on feedback from consultations with stakeholders, this option would both raise the fee from the current $25 limit (which was uniformly regarded as inadequate by stakeholders) and prescribe it in fee units rather than as a set amount. Based on consultation with dealers and other stakeholders, three fee units was selected as the level for consideration in this option, allowing for fees to increase from $25 to $42.66 at 2017/18 fee unit values (and allowing the nominal value to increase over time to account for inflation as determined by the Treasurer’s rate). This amount was broadly in line with rates commonly charged in other Australian jurisdictions where no fee limitations were in effect but dealer markets were considered functional and healthy in this regard. It was lower than the higher fees commonly charged by dealers presiding over transfers of firearms from users licensed interstate, which are not currently limited by </w:t>
      </w:r>
      <w:r>
        <w:t>regulations</w:t>
      </w:r>
      <w:r w:rsidRPr="00622D94">
        <w:t>.</w:t>
      </w:r>
      <w:r>
        <w:t xml:space="preserve"> Given that fees of $50 in NSW are not uncommon, it is possible that the current fee limit set in Victoria is resulting in an effective cross-subsidy from other dealer goods or services that are not price-capped by legislation or regulations.</w:t>
      </w:r>
    </w:p>
    <w:p w14:paraId="3BE4DD68" w14:textId="77777777" w:rsidR="00052799" w:rsidRPr="00622D94" w:rsidRDefault="00052799" w:rsidP="00052799">
      <w:pPr>
        <w:pStyle w:val="Heading4"/>
      </w:pPr>
      <w:r w:rsidRPr="00622D94">
        <w:t>Rationale for considering Option</w:t>
      </w:r>
    </w:p>
    <w:p w14:paraId="560EAA9C" w14:textId="77777777" w:rsidR="00052799" w:rsidRPr="00622D94" w:rsidRDefault="00052799" w:rsidP="00052799">
      <w:pPr>
        <w:pStyle w:val="BodyText"/>
      </w:pPr>
      <w:r w:rsidRPr="00622D94">
        <w:t>As a firearm can only be transferred from one user to another through a dealer acting as agent,</w:t>
      </w:r>
      <w:r w:rsidRPr="00622D94">
        <w:rPr>
          <w:rStyle w:val="FootnoteReference"/>
        </w:rPr>
        <w:footnoteReference w:id="30"/>
      </w:r>
      <w:r w:rsidRPr="00622D94">
        <w:t xml:space="preserve"> there is a risk that </w:t>
      </w:r>
      <w:r>
        <w:t xml:space="preserve">some </w:t>
      </w:r>
      <w:r w:rsidRPr="00622D94">
        <w:t xml:space="preserve">dealers may exploit their exclusive right to provide this service by charging excessive fees. Remaking the regulation is considered on the basis that it may help guarantee that </w:t>
      </w:r>
      <w:r>
        <w:t>licensed</w:t>
      </w:r>
      <w:r w:rsidRPr="00622D94">
        <w:t xml:space="preserve"> individuals will be able to find a dealer to act as an agent in a firearm sale or transfer at a reasonable cost, even if there is only one dealer available in their area. Feedback from consultations indicated that, where few dealers were accessible in a given area, there is a concern competitive forces may not operate effectively to contain the fee charged.</w:t>
      </w:r>
    </w:p>
    <w:p w14:paraId="0BB3F59F" w14:textId="77777777" w:rsidR="00052799" w:rsidRPr="00622D94" w:rsidRDefault="00052799" w:rsidP="00052799">
      <w:pPr>
        <w:pStyle w:val="BodyText"/>
      </w:pPr>
      <w:r w:rsidRPr="00622D94">
        <w:t>Equivalent provisions exist in Queensland and South Australia, where the maximum fee is set at $10 and $24, respectively. Tasmania removed an equivalent provision from its legislation in 2016, in order to ‘allow market forces to prevail and not to restrict competition’.</w:t>
      </w:r>
      <w:r>
        <w:t xml:space="preserve"> The Department sought advice on the ramifications of this change, but it wasn’t provided in time to be incorporated in the RIS.</w:t>
      </w:r>
      <w:r w:rsidRPr="00622D94">
        <w:t xml:space="preserve"> Other jurisdictions do not appear to impose a maximum fee. In the absence of these restrictions, the price charged by dealers for acting as an agent has climbed according to stakeholders, with anecdotal evidence suggesting that amounts of approximately $50 were not uncommon in NSW. </w:t>
      </w:r>
    </w:p>
    <w:p w14:paraId="11E28B2A" w14:textId="77777777" w:rsidR="00052799" w:rsidRDefault="00052799" w:rsidP="00052799">
      <w:pPr>
        <w:pStyle w:val="BodyText"/>
      </w:pPr>
      <w:r w:rsidRPr="00622D94">
        <w:t>Establishing the maximum amount in fee units is considered on the basis that it will allow for the automatic indexing of the maximum amount to be charged. Dealers would be required to ensure that the maximum fee charged reflected the current fee unit amount, which would change every year. Some dealers indicated support for a maximum fee, on the basis that it provides comfort to users that the fee charged is not excessive.</w:t>
      </w:r>
    </w:p>
    <w:p w14:paraId="3B0178CA" w14:textId="77777777" w:rsidR="00052799" w:rsidRPr="00622D94" w:rsidRDefault="00052799" w:rsidP="00052799">
      <w:pPr>
        <w:pStyle w:val="BodyText"/>
      </w:pPr>
      <w:r>
        <w:rPr>
          <w:noProof/>
          <w:lang w:eastAsia="en-AU"/>
        </w:rPr>
        <mc:AlternateContent>
          <mc:Choice Requires="wps">
            <w:drawing>
              <wp:inline distT="0" distB="0" distL="0" distR="0" wp14:anchorId="004D7B74" wp14:editId="3785B5DB">
                <wp:extent cx="5757545" cy="1432560"/>
                <wp:effectExtent l="0" t="0" r="14605" b="15875"/>
                <wp:docPr id="2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7545" cy="1432560"/>
                        </a:xfrm>
                        <a:prstGeom prst="roundRect">
                          <a:avLst>
                            <a:gd name="adj" fmla="val 16667"/>
                          </a:avLst>
                        </a:prstGeom>
                        <a:noFill/>
                        <a:ln w="9525"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E2A5236" w14:textId="77777777" w:rsidR="007D4B3A" w:rsidRPr="007831D0" w:rsidRDefault="007D4B3A" w:rsidP="00052799">
                            <w:pPr>
                              <w:pStyle w:val="BodyText"/>
                              <w:ind w:left="0"/>
                              <w:rPr>
                                <w:b/>
                                <w:sz w:val="18"/>
                              </w:rPr>
                            </w:pPr>
                            <w:r>
                              <w:rPr>
                                <w:b/>
                                <w:sz w:val="18"/>
                              </w:rPr>
                              <w:t>Consultation questions:</w:t>
                            </w:r>
                          </w:p>
                          <w:p w14:paraId="28A0BC6F" w14:textId="77777777" w:rsidR="007D4B3A" w:rsidRDefault="007D4B3A" w:rsidP="00052799">
                            <w:pPr>
                              <w:pStyle w:val="BodyText"/>
                              <w:ind w:left="0"/>
                              <w:rPr>
                                <w:sz w:val="18"/>
                              </w:rPr>
                            </w:pPr>
                            <w:r>
                              <w:rPr>
                                <w:sz w:val="18"/>
                              </w:rPr>
                              <w:t xml:space="preserve">To what extent will the change in the maximum fee amount impact the behaviour of shooters and firearms dealers? </w:t>
                            </w:r>
                          </w:p>
                          <w:p w14:paraId="3969A77F" w14:textId="77777777" w:rsidR="007D4B3A" w:rsidRDefault="007D4B3A" w:rsidP="00052799">
                            <w:pPr>
                              <w:pStyle w:val="BodyText"/>
                              <w:ind w:left="0"/>
                              <w:rPr>
                                <w:sz w:val="18"/>
                              </w:rPr>
                            </w:pPr>
                            <w:r>
                              <w:rPr>
                                <w:sz w:val="18"/>
                              </w:rPr>
                              <w:t xml:space="preserve">Is three fee units an appropriate amount? </w:t>
                            </w:r>
                          </w:p>
                          <w:p w14:paraId="254B7D51" w14:textId="77777777" w:rsidR="007D4B3A" w:rsidRDefault="007D4B3A" w:rsidP="00052799">
                            <w:pPr>
                              <w:pStyle w:val="BodyText"/>
                              <w:ind w:left="0"/>
                            </w:pPr>
                            <w:r>
                              <w:rPr>
                                <w:sz w:val="18"/>
                              </w:rPr>
                              <w:t xml:space="preserve">Should the cap be abolished entirely? </w:t>
                            </w:r>
                          </w:p>
                        </w:txbxContent>
                      </wps:txbx>
                      <wps:bodyPr rot="0" vert="horz" wrap="square" lIns="91440" tIns="45720" rIns="91440" bIns="45720" anchor="t" anchorCtr="0" upright="1">
                        <a:spAutoFit/>
                      </wps:bodyPr>
                    </wps:wsp>
                  </a:graphicData>
                </a:graphic>
              </wp:inline>
            </w:drawing>
          </mc:Choice>
          <mc:Fallback>
            <w:pict>
              <v:roundrect w14:anchorId="004D7B74" id="_x0000_s1028" style="width:453.35pt;height:112.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" filled="f">
                <v:textbox style="mso-fit-shape-to-text:t">
                  <w:txbxContent>
                    <w:p w14:paraId="2E2A5236" w14:textId="77777777" w:rsidR="007D4B3A" w:rsidRPr="007831D0" w:rsidRDefault="007D4B3A" w:rsidP="00052799">
                      <w:pPr>
                        <w:pStyle w:val="BodyText"/>
                        <w:ind w:left="0"/>
                        <w:rPr>
                          <w:b/>
                          <w:sz w:val="18"/>
                        </w:rPr>
                      </w:pPr>
                      <w:r>
                        <w:rPr>
                          <w:b/>
                          <w:sz w:val="18"/>
                        </w:rPr>
                        <w:t>Consultation questions:</w:t>
                      </w:r>
                    </w:p>
                    <w:p w14:paraId="28A0BC6F" w14:textId="77777777" w:rsidR="007D4B3A" w:rsidRDefault="007D4B3A" w:rsidP="00052799">
                      <w:pPr>
                        <w:pStyle w:val="BodyText"/>
                        <w:ind w:left="0"/>
                        <w:rPr>
                          <w:sz w:val="18"/>
                        </w:rPr>
                      </w:pPr>
                      <w:r>
                        <w:rPr>
                          <w:sz w:val="18"/>
                        </w:rPr>
                        <w:t xml:space="preserve">To what extent will the change in the maximum fee amount impact the behaviour of shooters and firearms dealers? </w:t>
                      </w:r>
                    </w:p>
                    <w:p w14:paraId="3969A77F" w14:textId="77777777" w:rsidR="007D4B3A" w:rsidRDefault="007D4B3A" w:rsidP="00052799">
                      <w:pPr>
                        <w:pStyle w:val="BodyText"/>
                        <w:ind w:left="0"/>
                        <w:rPr>
                          <w:sz w:val="18"/>
                        </w:rPr>
                      </w:pPr>
                      <w:r>
                        <w:rPr>
                          <w:sz w:val="18"/>
                        </w:rPr>
                        <w:t xml:space="preserve">Is three fee units an appropriate amount? </w:t>
                      </w:r>
                    </w:p>
                    <w:p w14:paraId="254B7D51" w14:textId="77777777" w:rsidR="007D4B3A" w:rsidRDefault="007D4B3A" w:rsidP="00052799">
                      <w:pPr>
                        <w:pStyle w:val="BodyText"/>
                        <w:ind w:left="0"/>
                      </w:pPr>
                      <w:r>
                        <w:rPr>
                          <w:sz w:val="18"/>
                        </w:rPr>
                        <w:t xml:space="preserve">Should the cap be abolished entirely? </w:t>
                      </w:r>
                    </w:p>
                  </w:txbxContent>
                </v:textbox>
                <w10:anchorlock/>
              </v:roundrect>
            </w:pict>
          </mc:Fallback>
        </mc:AlternateContent>
      </w:r>
    </w:p>
    <w:p w14:paraId="4283AF81" w14:textId="77777777" w:rsidR="00052799" w:rsidRPr="00622D94" w:rsidRDefault="00052799" w:rsidP="00052799">
      <w:pPr>
        <w:pStyle w:val="Heading4"/>
      </w:pPr>
      <w:r w:rsidRPr="00622D94">
        <w:t>Evaluation of Option</w:t>
      </w:r>
    </w:p>
    <w:p w14:paraId="50F0C4B3" w14:textId="77777777" w:rsidR="00052799" w:rsidRPr="00622D94" w:rsidRDefault="00052799" w:rsidP="00052799">
      <w:pPr>
        <w:pStyle w:val="BodyText"/>
      </w:pPr>
      <w:r w:rsidRPr="00622D94">
        <w:rPr>
          <w:b/>
        </w:rPr>
        <w:t xml:space="preserve">Safety: </w:t>
      </w:r>
      <w:r>
        <w:t>In relation to</w:t>
      </w:r>
      <w:r w:rsidRPr="00622D94">
        <w:t xml:space="preserve"> safety</w:t>
      </w:r>
      <w:r>
        <w:t>,</w:t>
      </w:r>
      <w:r w:rsidRPr="00622D94">
        <w:t xml:space="preserve"> </w:t>
      </w:r>
      <w:r>
        <w:t>consultations</w:t>
      </w:r>
      <w:r w:rsidRPr="00622D94">
        <w:t xml:space="preserve"> indicated a belief that the dealer market was not sufficiently small or monopolistic that </w:t>
      </w:r>
      <w:r>
        <w:t>licensed</w:t>
      </w:r>
      <w:r w:rsidRPr="00622D94">
        <w:t xml:space="preserve"> individuals would be unable to locate a dealer willing to act as an agent in a transfer at a reasonable price and </w:t>
      </w:r>
      <w:r>
        <w:t xml:space="preserve">it is unlikely they </w:t>
      </w:r>
      <w:r w:rsidRPr="00622D94">
        <w:t>would be encouraged to</w:t>
      </w:r>
      <w:r>
        <w:t xml:space="preserve"> </w:t>
      </w:r>
      <w:r w:rsidRPr="00622D94">
        <w:t>transfer</w:t>
      </w:r>
      <w:r>
        <w:t xml:space="preserve"> firearm</w:t>
      </w:r>
      <w:r w:rsidRPr="00622D94">
        <w:t>s otherwise than through the agency of a dealer</w:t>
      </w:r>
      <w:r>
        <w:t>, given the significant penalties associated with possession of unregistered firearms</w:t>
      </w:r>
      <w:r w:rsidRPr="00622D94">
        <w:t>.</w:t>
      </w:r>
      <w:r>
        <w:t xml:space="preserve">  However, there is a risk that, were the cap not in place, users may loan firearms to acquaintances, rather than transferring them, to avoid the need to engage in a transfer. This raises safety issues, as it affects the accuracy of the register. In addition, stakeholders identified that, if licensees were required to travel long distances to find a dealer willing to process a transfer for a reasonable price, firearms may remain in vehicles for longer periods, increasing the risk of theft. Accordingly, maintaining the maximum fee receives a slightly positive score on safety.</w:t>
      </w:r>
    </w:p>
    <w:p w14:paraId="3FB6E2E4" w14:textId="77777777" w:rsidR="00052799" w:rsidRPr="00622D94" w:rsidRDefault="00052799" w:rsidP="00052799">
      <w:pPr>
        <w:pStyle w:val="BodyText"/>
      </w:pPr>
      <w:r w:rsidRPr="00622D94">
        <w:rPr>
          <w:b/>
        </w:rPr>
        <w:t xml:space="preserve">Public peace: </w:t>
      </w:r>
      <w:r>
        <w:t>For the same reasons</w:t>
      </w:r>
      <w:r w:rsidRPr="00622D94">
        <w:t xml:space="preserve">, </w:t>
      </w:r>
      <w:r>
        <w:t>the removal of the</w:t>
      </w:r>
      <w:r w:rsidRPr="00622D94">
        <w:t xml:space="preserve"> limit </w:t>
      </w:r>
      <w:r>
        <w:t>may</w:t>
      </w:r>
      <w:r w:rsidRPr="00622D94">
        <w:t xml:space="preserve"> have an impact on perceived risks of harm.</w:t>
      </w:r>
    </w:p>
    <w:p w14:paraId="662B12D4" w14:textId="77777777" w:rsidR="00052799" w:rsidRPr="00622D94" w:rsidRDefault="00052799" w:rsidP="00052799">
      <w:pPr>
        <w:pStyle w:val="BodyText"/>
      </w:pPr>
      <w:r w:rsidRPr="00622D94">
        <w:rPr>
          <w:b/>
        </w:rPr>
        <w:t xml:space="preserve">Regulatory burden: </w:t>
      </w:r>
      <w:r w:rsidRPr="00622D94">
        <w:t xml:space="preserve">Feedback from dealers suggest that all dealers that are willing to act as agents in section 95 or 96 transfers generally charge the maximum allowable fee at present. Higher fees are generally in place where dealers act as agents in inter-state transfers. Anecdotal evidence from firearms stakeholders suggests that, were the regulation not remade, dealers would increase fees to around $50.  This suggests that the regulatory limit is denying dealers the ability to charge market rates or to effectively compete to act as agents for section 95 or 96 transfers, imposing an economic cost on them. Consultations with firearms stakeholders suggested that dealers in some other States are not subject to similar regulations and their markets appear to be functioning well. </w:t>
      </w:r>
    </w:p>
    <w:p w14:paraId="1D7E2C3B" w14:textId="77777777" w:rsidR="00052799" w:rsidRPr="00622D94" w:rsidRDefault="00052799" w:rsidP="00052799">
      <w:pPr>
        <w:pStyle w:val="BodyText"/>
      </w:pPr>
      <w:r w:rsidRPr="00622D94">
        <w:rPr>
          <w:b/>
        </w:rPr>
        <w:t xml:space="preserve">Administrative costs: </w:t>
      </w:r>
      <w:r w:rsidRPr="00622D94">
        <w:t>If a maximum fee is prescribed, effort would need to be expended monitoring and enforcing dealer compliance with this maximum fee. In 2015/16 for example, an infringement notice was issued to a dealer for charging more than the prescribed amount for acting as an agent under section 95 or 96 of the Act</w:t>
      </w:r>
      <w:r w:rsidRPr="00622D94">
        <w:rPr>
          <w:rStyle w:val="FootnoteReference"/>
        </w:rPr>
        <w:footnoteReference w:id="31"/>
      </w:r>
      <w:r w:rsidRPr="00622D94">
        <w:t>. Under the base case, this administrative effort would be unnecessary.</w:t>
      </w:r>
    </w:p>
    <w:p w14:paraId="0C73856A" w14:textId="5115523E" w:rsidR="00052799" w:rsidRPr="00622D94" w:rsidRDefault="00052799" w:rsidP="00052799">
      <w:pPr>
        <w:pStyle w:val="Caption"/>
      </w:pPr>
      <w:r w:rsidRPr="00622D94">
        <w:t xml:space="preserve">Table </w:t>
      </w:r>
      <w:r w:rsidR="001C7D77">
        <w:rPr>
          <w:noProof/>
        </w:rPr>
        <w:t>14</w:t>
      </w:r>
      <w:r w:rsidRPr="00622D94">
        <w:t>: MCA for non-fee option 3</w:t>
      </w:r>
    </w:p>
    <w:tbl>
      <w:tblPr>
        <w:tblW w:w="4553" w:type="pct"/>
        <w:tblInd w:w="907" w:type="dxa"/>
        <w:tblBorders>
          <w:top w:val="single" w:sz="4" w:space="0" w:color="666366"/>
          <w:bottom w:val="single" w:sz="4" w:space="0" w:color="666366"/>
          <w:insideH w:val="single" w:sz="2" w:space="0" w:color="C0C0C0"/>
        </w:tblBorders>
        <w:tblLayout w:type="fixed"/>
        <w:tblCellMar>
          <w:top w:w="57" w:type="dxa"/>
          <w:bottom w:w="57" w:type="dxa"/>
        </w:tblCellMar>
        <w:tblLook w:val="01E0" w:firstRow="1" w:lastRow="1" w:firstColumn="1" w:lastColumn="1" w:noHBand="0" w:noVBand="0"/>
        <w:tblCaption w:val="Table 14: MCA for non-fee option 3"/>
      </w:tblPr>
      <w:tblGrid>
        <w:gridCol w:w="2258"/>
        <w:gridCol w:w="2258"/>
        <w:gridCol w:w="2259"/>
        <w:gridCol w:w="2259"/>
      </w:tblGrid>
      <w:tr w:rsidR="00052799" w:rsidRPr="00622D94" w14:paraId="6EC3BC95" w14:textId="77777777" w:rsidTr="00871631">
        <w:trPr>
          <w:tblHeader/>
        </w:trPr>
        <w:tc>
          <w:tcPr>
            <w:tcW w:w="1250" w:type="pct"/>
            <w:tcBorders>
              <w:top w:val="single" w:sz="4" w:space="0" w:color="666366"/>
              <w:bottom w:val="single" w:sz="2" w:space="0" w:color="C0C0C0"/>
            </w:tcBorders>
            <w:shd w:val="clear" w:color="auto" w:fill="01356E"/>
          </w:tcPr>
          <w:p w14:paraId="46D1ECE7" w14:textId="77777777" w:rsidR="00052799" w:rsidRPr="002D7AE6" w:rsidRDefault="00052799" w:rsidP="00871631">
            <w:pPr>
              <w:pStyle w:val="TableHeader"/>
              <w:rPr>
                <w:sz w:val="18"/>
                <w:szCs w:val="18"/>
              </w:rPr>
            </w:pPr>
            <w:r w:rsidRPr="002D7AE6">
              <w:rPr>
                <w:sz w:val="18"/>
                <w:szCs w:val="18"/>
              </w:rPr>
              <w:t>Criterion</w:t>
            </w:r>
          </w:p>
        </w:tc>
        <w:tc>
          <w:tcPr>
            <w:tcW w:w="1250" w:type="pct"/>
            <w:tcBorders>
              <w:top w:val="single" w:sz="4" w:space="0" w:color="666366"/>
              <w:bottom w:val="single" w:sz="2" w:space="0" w:color="C0C0C0"/>
            </w:tcBorders>
            <w:shd w:val="clear" w:color="auto" w:fill="01356E"/>
          </w:tcPr>
          <w:p w14:paraId="7E7A3900" w14:textId="77777777" w:rsidR="00052799" w:rsidRPr="002D7AE6" w:rsidRDefault="00052799" w:rsidP="00871631">
            <w:pPr>
              <w:pStyle w:val="TableHeader"/>
              <w:rPr>
                <w:sz w:val="18"/>
                <w:szCs w:val="18"/>
              </w:rPr>
            </w:pPr>
            <w:r w:rsidRPr="002D7AE6">
              <w:rPr>
                <w:sz w:val="18"/>
                <w:szCs w:val="18"/>
              </w:rPr>
              <w:t>Weighting</w:t>
            </w:r>
          </w:p>
        </w:tc>
        <w:tc>
          <w:tcPr>
            <w:tcW w:w="1250" w:type="pct"/>
            <w:tcBorders>
              <w:top w:val="single" w:sz="4" w:space="0" w:color="666366"/>
              <w:bottom w:val="single" w:sz="2" w:space="0" w:color="C0C0C0"/>
            </w:tcBorders>
            <w:shd w:val="clear" w:color="auto" w:fill="01356E"/>
          </w:tcPr>
          <w:p w14:paraId="31E9A219" w14:textId="77777777" w:rsidR="00052799" w:rsidRPr="002D7AE6" w:rsidRDefault="00052799" w:rsidP="00871631">
            <w:pPr>
              <w:pStyle w:val="TableHeader"/>
              <w:rPr>
                <w:sz w:val="18"/>
                <w:szCs w:val="18"/>
              </w:rPr>
            </w:pPr>
            <w:r w:rsidRPr="002D7AE6">
              <w:rPr>
                <w:sz w:val="18"/>
                <w:szCs w:val="18"/>
              </w:rPr>
              <w:t>Assigned Score</w:t>
            </w:r>
          </w:p>
        </w:tc>
        <w:tc>
          <w:tcPr>
            <w:tcW w:w="1250" w:type="pct"/>
            <w:tcBorders>
              <w:top w:val="single" w:sz="4" w:space="0" w:color="666366"/>
              <w:bottom w:val="single" w:sz="2" w:space="0" w:color="C0C0C0"/>
            </w:tcBorders>
            <w:shd w:val="clear" w:color="auto" w:fill="01356E"/>
          </w:tcPr>
          <w:p w14:paraId="6AFC5E8A" w14:textId="77777777" w:rsidR="00052799" w:rsidRPr="002D7AE6" w:rsidRDefault="00052799" w:rsidP="00871631">
            <w:pPr>
              <w:pStyle w:val="TableHeader"/>
              <w:rPr>
                <w:sz w:val="18"/>
                <w:szCs w:val="18"/>
              </w:rPr>
            </w:pPr>
            <w:r w:rsidRPr="002D7AE6">
              <w:rPr>
                <w:sz w:val="18"/>
                <w:szCs w:val="18"/>
              </w:rPr>
              <w:t>Weighted Score</w:t>
            </w:r>
          </w:p>
        </w:tc>
      </w:tr>
      <w:tr w:rsidR="00052799" w:rsidRPr="00622D94" w14:paraId="4AFD95F6" w14:textId="77777777" w:rsidTr="00871631">
        <w:tc>
          <w:tcPr>
            <w:tcW w:w="1250" w:type="pct"/>
            <w:tcBorders>
              <w:top w:val="single" w:sz="2" w:space="0" w:color="C0C0C0"/>
            </w:tcBorders>
            <w:shd w:val="clear" w:color="auto" w:fill="auto"/>
          </w:tcPr>
          <w:p w14:paraId="6626820F" w14:textId="77777777" w:rsidR="00052799" w:rsidRPr="002D7AE6" w:rsidRDefault="00052799" w:rsidP="00871631">
            <w:pPr>
              <w:pStyle w:val="TableText"/>
            </w:pPr>
            <w:r w:rsidRPr="002D7AE6">
              <w:t>Safety</w:t>
            </w:r>
          </w:p>
        </w:tc>
        <w:tc>
          <w:tcPr>
            <w:tcW w:w="1250" w:type="pct"/>
            <w:tcBorders>
              <w:top w:val="single" w:sz="2" w:space="0" w:color="C0C0C0"/>
            </w:tcBorders>
            <w:shd w:val="clear" w:color="auto" w:fill="auto"/>
          </w:tcPr>
          <w:p w14:paraId="6E5862DF" w14:textId="77777777" w:rsidR="00052799" w:rsidRPr="002D7AE6" w:rsidRDefault="00052799" w:rsidP="00871631">
            <w:pPr>
              <w:pStyle w:val="TableText"/>
            </w:pPr>
            <w:r w:rsidRPr="002D7AE6">
              <w:t>30%</w:t>
            </w:r>
          </w:p>
        </w:tc>
        <w:tc>
          <w:tcPr>
            <w:tcW w:w="1250" w:type="pct"/>
            <w:tcBorders>
              <w:top w:val="single" w:sz="2" w:space="0" w:color="C0C0C0"/>
            </w:tcBorders>
            <w:shd w:val="clear" w:color="auto" w:fill="auto"/>
          </w:tcPr>
          <w:p w14:paraId="4FD5F4A7" w14:textId="77777777" w:rsidR="00052799" w:rsidRPr="002D7AE6" w:rsidRDefault="00052799" w:rsidP="00871631">
            <w:pPr>
              <w:pStyle w:val="TableText"/>
            </w:pPr>
            <w:r w:rsidRPr="002D7AE6">
              <w:t>1</w:t>
            </w:r>
          </w:p>
        </w:tc>
        <w:tc>
          <w:tcPr>
            <w:tcW w:w="1250" w:type="pct"/>
            <w:tcBorders>
              <w:top w:val="single" w:sz="2" w:space="0" w:color="C0C0C0"/>
            </w:tcBorders>
          </w:tcPr>
          <w:p w14:paraId="5E179D62" w14:textId="77777777" w:rsidR="00052799" w:rsidRPr="002D7AE6" w:rsidRDefault="00052799" w:rsidP="00871631">
            <w:pPr>
              <w:pStyle w:val="TableText"/>
            </w:pPr>
            <w:r w:rsidRPr="002D7AE6">
              <w:t>+0.3</w:t>
            </w:r>
          </w:p>
        </w:tc>
      </w:tr>
      <w:tr w:rsidR="00052799" w:rsidRPr="00622D94" w14:paraId="063BCC3A" w14:textId="77777777" w:rsidTr="00871631">
        <w:tc>
          <w:tcPr>
            <w:tcW w:w="1250" w:type="pct"/>
            <w:shd w:val="clear" w:color="auto" w:fill="auto"/>
          </w:tcPr>
          <w:p w14:paraId="7D6EE4A4" w14:textId="77777777" w:rsidR="00052799" w:rsidRPr="002D7AE6" w:rsidRDefault="00052799" w:rsidP="00871631">
            <w:pPr>
              <w:pStyle w:val="TableText"/>
            </w:pPr>
            <w:r w:rsidRPr="002D7AE6">
              <w:t>Public peace</w:t>
            </w:r>
          </w:p>
        </w:tc>
        <w:tc>
          <w:tcPr>
            <w:tcW w:w="1250" w:type="pct"/>
            <w:shd w:val="clear" w:color="auto" w:fill="auto"/>
          </w:tcPr>
          <w:p w14:paraId="22466576" w14:textId="77777777" w:rsidR="00052799" w:rsidRPr="002D7AE6" w:rsidRDefault="00052799" w:rsidP="00871631">
            <w:pPr>
              <w:pStyle w:val="TableText"/>
            </w:pPr>
            <w:r w:rsidRPr="002D7AE6">
              <w:t>20%</w:t>
            </w:r>
          </w:p>
        </w:tc>
        <w:tc>
          <w:tcPr>
            <w:tcW w:w="1250" w:type="pct"/>
            <w:shd w:val="clear" w:color="auto" w:fill="auto"/>
          </w:tcPr>
          <w:p w14:paraId="01AF1957" w14:textId="77777777" w:rsidR="00052799" w:rsidRPr="002D7AE6" w:rsidRDefault="00052799" w:rsidP="00871631">
            <w:pPr>
              <w:pStyle w:val="TableText"/>
            </w:pPr>
            <w:r w:rsidRPr="002D7AE6">
              <w:t>1</w:t>
            </w:r>
          </w:p>
        </w:tc>
        <w:tc>
          <w:tcPr>
            <w:tcW w:w="1250" w:type="pct"/>
          </w:tcPr>
          <w:p w14:paraId="356BDE4C" w14:textId="77777777" w:rsidR="00052799" w:rsidRPr="002D7AE6" w:rsidRDefault="00052799" w:rsidP="00871631">
            <w:pPr>
              <w:pStyle w:val="TableText"/>
            </w:pPr>
            <w:r w:rsidRPr="002D7AE6">
              <w:t>+0.2</w:t>
            </w:r>
          </w:p>
        </w:tc>
      </w:tr>
      <w:tr w:rsidR="00052799" w:rsidRPr="00622D94" w14:paraId="300D3BC1" w14:textId="77777777" w:rsidTr="00871631">
        <w:tc>
          <w:tcPr>
            <w:tcW w:w="1250" w:type="pct"/>
            <w:shd w:val="clear" w:color="auto" w:fill="auto"/>
          </w:tcPr>
          <w:p w14:paraId="3F16838B" w14:textId="77777777" w:rsidR="00052799" w:rsidRPr="002D7AE6" w:rsidRDefault="00052799" w:rsidP="00871631">
            <w:pPr>
              <w:pStyle w:val="TableText"/>
            </w:pPr>
            <w:r w:rsidRPr="002D7AE6">
              <w:t>Regulatory burden</w:t>
            </w:r>
          </w:p>
        </w:tc>
        <w:tc>
          <w:tcPr>
            <w:tcW w:w="1250" w:type="pct"/>
            <w:shd w:val="clear" w:color="auto" w:fill="auto"/>
          </w:tcPr>
          <w:p w14:paraId="5DC1475B" w14:textId="77777777" w:rsidR="00052799" w:rsidRPr="002D7AE6" w:rsidRDefault="00052799" w:rsidP="00871631">
            <w:pPr>
              <w:pStyle w:val="TableText"/>
            </w:pPr>
            <w:r w:rsidRPr="002D7AE6">
              <w:t>30%</w:t>
            </w:r>
          </w:p>
        </w:tc>
        <w:tc>
          <w:tcPr>
            <w:tcW w:w="1250" w:type="pct"/>
            <w:shd w:val="clear" w:color="auto" w:fill="auto"/>
          </w:tcPr>
          <w:p w14:paraId="5ADB626C" w14:textId="77777777" w:rsidR="00052799" w:rsidRPr="002D7AE6" w:rsidRDefault="00052799" w:rsidP="00871631">
            <w:pPr>
              <w:pStyle w:val="TableText"/>
            </w:pPr>
            <w:r w:rsidRPr="002D7AE6">
              <w:t>-1</w:t>
            </w:r>
          </w:p>
        </w:tc>
        <w:tc>
          <w:tcPr>
            <w:tcW w:w="1250" w:type="pct"/>
          </w:tcPr>
          <w:p w14:paraId="2D5BA672" w14:textId="77777777" w:rsidR="00052799" w:rsidRPr="002D7AE6" w:rsidRDefault="00052799" w:rsidP="00871631">
            <w:pPr>
              <w:pStyle w:val="TableText"/>
            </w:pPr>
            <w:r w:rsidRPr="002D7AE6">
              <w:t>-0.3</w:t>
            </w:r>
          </w:p>
        </w:tc>
      </w:tr>
      <w:tr w:rsidR="00052799" w:rsidRPr="00622D94" w14:paraId="0DCA2C0E" w14:textId="77777777" w:rsidTr="00871631">
        <w:tc>
          <w:tcPr>
            <w:tcW w:w="1250" w:type="pct"/>
            <w:shd w:val="clear" w:color="auto" w:fill="auto"/>
          </w:tcPr>
          <w:p w14:paraId="06BA3AE0" w14:textId="77777777" w:rsidR="00052799" w:rsidRPr="002D7AE6" w:rsidRDefault="00052799" w:rsidP="00871631">
            <w:pPr>
              <w:pStyle w:val="TableText"/>
            </w:pPr>
            <w:r w:rsidRPr="002D7AE6">
              <w:t>Administrative costs</w:t>
            </w:r>
          </w:p>
        </w:tc>
        <w:tc>
          <w:tcPr>
            <w:tcW w:w="1250" w:type="pct"/>
            <w:shd w:val="clear" w:color="auto" w:fill="auto"/>
          </w:tcPr>
          <w:p w14:paraId="31715C19" w14:textId="77777777" w:rsidR="00052799" w:rsidRPr="002D7AE6" w:rsidRDefault="00052799" w:rsidP="00871631">
            <w:pPr>
              <w:pStyle w:val="TableText"/>
            </w:pPr>
            <w:r w:rsidRPr="002D7AE6">
              <w:t>20%</w:t>
            </w:r>
          </w:p>
        </w:tc>
        <w:tc>
          <w:tcPr>
            <w:tcW w:w="1250" w:type="pct"/>
            <w:shd w:val="clear" w:color="auto" w:fill="auto"/>
          </w:tcPr>
          <w:p w14:paraId="64E6F1D0" w14:textId="77777777" w:rsidR="00052799" w:rsidRPr="002D7AE6" w:rsidRDefault="00052799" w:rsidP="00871631">
            <w:pPr>
              <w:pStyle w:val="TableText"/>
            </w:pPr>
            <w:r w:rsidRPr="002D7AE6">
              <w:t>-1</w:t>
            </w:r>
          </w:p>
        </w:tc>
        <w:tc>
          <w:tcPr>
            <w:tcW w:w="1250" w:type="pct"/>
          </w:tcPr>
          <w:p w14:paraId="0AD7A463" w14:textId="77777777" w:rsidR="00052799" w:rsidRPr="002D7AE6" w:rsidRDefault="00052799" w:rsidP="00871631">
            <w:pPr>
              <w:pStyle w:val="TableText"/>
            </w:pPr>
            <w:r w:rsidRPr="002D7AE6">
              <w:t>-0.2</w:t>
            </w:r>
          </w:p>
        </w:tc>
      </w:tr>
      <w:tr w:rsidR="00052799" w:rsidRPr="00622D94" w14:paraId="15642E59" w14:textId="77777777" w:rsidTr="00871631">
        <w:tc>
          <w:tcPr>
            <w:tcW w:w="3750" w:type="pct"/>
            <w:gridSpan w:val="3"/>
            <w:shd w:val="clear" w:color="auto" w:fill="auto"/>
          </w:tcPr>
          <w:p w14:paraId="2008D082" w14:textId="77777777" w:rsidR="00052799" w:rsidRPr="002D7AE6" w:rsidRDefault="00052799" w:rsidP="00871631">
            <w:pPr>
              <w:pStyle w:val="TableText"/>
              <w:rPr>
                <w:b/>
              </w:rPr>
            </w:pPr>
            <w:r w:rsidRPr="002D7AE6">
              <w:rPr>
                <w:b/>
              </w:rPr>
              <w:t>Total</w:t>
            </w:r>
          </w:p>
        </w:tc>
        <w:tc>
          <w:tcPr>
            <w:tcW w:w="1250" w:type="pct"/>
          </w:tcPr>
          <w:p w14:paraId="0D33C047" w14:textId="77777777" w:rsidR="00052799" w:rsidRPr="002D7AE6" w:rsidRDefault="00052799" w:rsidP="00871631">
            <w:pPr>
              <w:pStyle w:val="TableText"/>
              <w:rPr>
                <w:b/>
              </w:rPr>
            </w:pPr>
            <w:r w:rsidRPr="002D7AE6">
              <w:rPr>
                <w:b/>
              </w:rPr>
              <w:t>0</w:t>
            </w:r>
          </w:p>
        </w:tc>
      </w:tr>
    </w:tbl>
    <w:p w14:paraId="3F52DBE8" w14:textId="3A0AE501" w:rsidR="00052799" w:rsidRPr="001F3D02" w:rsidRDefault="00052799" w:rsidP="00052799">
      <w:pPr>
        <w:pStyle w:val="Body"/>
      </w:pPr>
      <w:bookmarkStart w:id="148" w:name="_Toc497398680"/>
      <w:bookmarkStart w:id="149" w:name="_Toc497922266"/>
      <w:r>
        <w:t>While this non-fee option receives a neutral</w:t>
      </w:r>
      <w:r w:rsidRPr="001F3D02">
        <w:t xml:space="preserve"> MCA score, </w:t>
      </w:r>
      <w:r>
        <w:t xml:space="preserve">during consultations, </w:t>
      </w:r>
      <w:r w:rsidRPr="001F3D02">
        <w:t xml:space="preserve">stakeholders </w:t>
      </w:r>
      <w:r>
        <w:t xml:space="preserve">noted that protecting consumers in areas where there was limited choice of dealer should be a </w:t>
      </w:r>
      <w:r w:rsidR="00281570">
        <w:t>taken into account when</w:t>
      </w:r>
      <w:r>
        <w:t xml:space="preserve"> assessing this option, and consequently </w:t>
      </w:r>
      <w:r w:rsidRPr="001F3D02">
        <w:t>supported this approach</w:t>
      </w:r>
      <w:r>
        <w:t>. Stakeholders considered that remaking the maximum fee at three fee units will allow dealers the ability to charge higher transaction fees relative to the current Regulations, while also providing protections to the customers of dealers. A</w:t>
      </w:r>
      <w:r w:rsidRPr="001F3D02">
        <w:t xml:space="preserve">s such, while </w:t>
      </w:r>
      <w:r>
        <w:t xml:space="preserve">this option </w:t>
      </w:r>
      <w:r w:rsidRPr="001F3D02">
        <w:t>does not have a positive MCA score, the Department supports r</w:t>
      </w:r>
      <w:r w:rsidRPr="00E51D04">
        <w:t>emaking the maximum</w:t>
      </w:r>
      <w:r>
        <w:t xml:space="preserve"> dealer transaction</w:t>
      </w:r>
      <w:r w:rsidRPr="001F3D02">
        <w:t xml:space="preserve"> fee at three fee units </w:t>
      </w:r>
      <w:r>
        <w:t xml:space="preserve">in </w:t>
      </w:r>
      <w:r w:rsidRPr="001F3D02">
        <w:t>the remade Regulations.</w:t>
      </w:r>
    </w:p>
    <w:p w14:paraId="68CB295F" w14:textId="77777777" w:rsidR="00052799" w:rsidRPr="00622D94" w:rsidRDefault="00052799" w:rsidP="00052799">
      <w:pPr>
        <w:pStyle w:val="Heading3"/>
      </w:pPr>
      <w:bookmarkStart w:id="150" w:name="_Toc500505472"/>
      <w:bookmarkStart w:id="151" w:name="_Toc501539167"/>
      <w:r w:rsidRPr="00622D94">
        <w:t xml:space="preserve">Non-fee-Option 4: </w:t>
      </w:r>
      <w:bookmarkEnd w:id="148"/>
      <w:bookmarkEnd w:id="149"/>
      <w:r>
        <w:t>R</w:t>
      </w:r>
      <w:r w:rsidRPr="00C2271D">
        <w:t>emaking infringement penalties in the current regulations, and the associated schedule of offences for which infringement notices can be issued, and adding further prescribed offences</w:t>
      </w:r>
      <w:bookmarkEnd w:id="150"/>
      <w:bookmarkEnd w:id="151"/>
      <w:r w:rsidRPr="00622D94">
        <w:t xml:space="preserve"> </w:t>
      </w:r>
    </w:p>
    <w:p w14:paraId="54FF1666" w14:textId="77777777" w:rsidR="00052799" w:rsidRPr="00622D94" w:rsidRDefault="00052799" w:rsidP="00052799">
      <w:pPr>
        <w:pStyle w:val="Heading4"/>
      </w:pPr>
      <w:r w:rsidRPr="00622D94">
        <w:t>Description of Option</w:t>
      </w:r>
    </w:p>
    <w:p w14:paraId="590B2EAE" w14:textId="77777777" w:rsidR="00052799" w:rsidRDefault="00052799" w:rsidP="00052799">
      <w:pPr>
        <w:pStyle w:val="BodyText"/>
      </w:pPr>
      <w:r w:rsidRPr="00622D94">
        <w:t xml:space="preserve">Three new offences would be listed in the Regulations as prescribed offences for which infringement notices could be issued. These offences are as follows in the table below: </w:t>
      </w:r>
    </w:p>
    <w:p w14:paraId="1D0AAB12" w14:textId="478D1758" w:rsidR="009F677B" w:rsidRPr="00622D94" w:rsidRDefault="009F677B" w:rsidP="009F677B">
      <w:pPr>
        <w:pStyle w:val="Caption"/>
      </w:pPr>
      <w:r w:rsidRPr="00622D94">
        <w:t xml:space="preserve">Table </w:t>
      </w:r>
      <w:r w:rsidR="001C7D77">
        <w:rPr>
          <w:noProof/>
        </w:rPr>
        <w:t>15</w:t>
      </w:r>
      <w:r>
        <w:t>: Summary of proposed new infringement offences and penalties</w:t>
      </w:r>
    </w:p>
    <w:tbl>
      <w:tblPr>
        <w:tblW w:w="4543" w:type="pct"/>
        <w:tblInd w:w="907" w:type="dxa"/>
        <w:tblBorders>
          <w:top w:val="single" w:sz="4" w:space="0" w:color="666366"/>
          <w:bottom w:val="single" w:sz="4" w:space="0" w:color="666366"/>
          <w:insideH w:val="single" w:sz="2" w:space="0" w:color="C0C0C0"/>
        </w:tblBorders>
        <w:tblLayout w:type="fixed"/>
        <w:tblCellMar>
          <w:top w:w="57" w:type="dxa"/>
          <w:bottom w:w="57" w:type="dxa"/>
        </w:tblCellMar>
        <w:tblLook w:val="01E0" w:firstRow="1" w:lastRow="1" w:firstColumn="1" w:lastColumn="1" w:noHBand="0" w:noVBand="0"/>
        <w:tblCaption w:val="Table 15: Summary of proposed new infringement offences and penalties"/>
      </w:tblPr>
      <w:tblGrid>
        <w:gridCol w:w="1364"/>
        <w:gridCol w:w="4109"/>
        <w:gridCol w:w="1951"/>
        <w:gridCol w:w="1590"/>
      </w:tblGrid>
      <w:tr w:rsidR="00052799" w:rsidRPr="00622D94" w14:paraId="72894AE6" w14:textId="77777777" w:rsidTr="00871631">
        <w:trPr>
          <w:trHeight w:val="297"/>
          <w:tblHeader/>
        </w:trPr>
        <w:tc>
          <w:tcPr>
            <w:tcW w:w="757" w:type="pct"/>
            <w:tcBorders>
              <w:top w:val="single" w:sz="4" w:space="0" w:color="666366"/>
              <w:bottom w:val="single" w:sz="2" w:space="0" w:color="C0C0C0"/>
            </w:tcBorders>
            <w:shd w:val="clear" w:color="auto" w:fill="01356E"/>
          </w:tcPr>
          <w:p w14:paraId="3D518D8F" w14:textId="77777777" w:rsidR="00052799" w:rsidRPr="002D7AE6" w:rsidRDefault="00052799" w:rsidP="00871631">
            <w:pPr>
              <w:pStyle w:val="TableHeader"/>
              <w:rPr>
                <w:sz w:val="18"/>
                <w:szCs w:val="18"/>
              </w:rPr>
            </w:pPr>
            <w:r w:rsidRPr="002D7AE6">
              <w:rPr>
                <w:sz w:val="18"/>
                <w:szCs w:val="18"/>
              </w:rPr>
              <w:t>Section of Act</w:t>
            </w:r>
          </w:p>
        </w:tc>
        <w:tc>
          <w:tcPr>
            <w:tcW w:w="2279" w:type="pct"/>
            <w:tcBorders>
              <w:top w:val="single" w:sz="4" w:space="0" w:color="666366"/>
              <w:bottom w:val="single" w:sz="2" w:space="0" w:color="C0C0C0"/>
            </w:tcBorders>
            <w:shd w:val="clear" w:color="auto" w:fill="01356E"/>
          </w:tcPr>
          <w:p w14:paraId="7CB06D61" w14:textId="77777777" w:rsidR="00052799" w:rsidRPr="002D7AE6" w:rsidRDefault="00052799" w:rsidP="00871631">
            <w:pPr>
              <w:pStyle w:val="TableHeader"/>
              <w:rPr>
                <w:sz w:val="18"/>
                <w:szCs w:val="18"/>
              </w:rPr>
            </w:pPr>
            <w:r w:rsidRPr="002D7AE6">
              <w:rPr>
                <w:sz w:val="18"/>
                <w:szCs w:val="18"/>
              </w:rPr>
              <w:t>Description</w:t>
            </w:r>
          </w:p>
        </w:tc>
        <w:tc>
          <w:tcPr>
            <w:tcW w:w="1082" w:type="pct"/>
            <w:tcBorders>
              <w:top w:val="single" w:sz="4" w:space="0" w:color="666366"/>
              <w:bottom w:val="single" w:sz="2" w:space="0" w:color="C0C0C0"/>
            </w:tcBorders>
            <w:shd w:val="clear" w:color="auto" w:fill="01356E"/>
          </w:tcPr>
          <w:p w14:paraId="1761188E" w14:textId="407104BB" w:rsidR="00052799" w:rsidRPr="002D7AE6" w:rsidRDefault="00052799" w:rsidP="00554C23">
            <w:pPr>
              <w:pStyle w:val="TableHeader"/>
              <w:jc w:val="center"/>
              <w:rPr>
                <w:sz w:val="18"/>
                <w:szCs w:val="18"/>
              </w:rPr>
            </w:pPr>
            <w:r w:rsidRPr="002D7AE6">
              <w:rPr>
                <w:sz w:val="18"/>
                <w:szCs w:val="18"/>
              </w:rPr>
              <w:t>Proposed penalty (2017</w:t>
            </w:r>
            <w:r w:rsidR="00554C23">
              <w:rPr>
                <w:sz w:val="18"/>
                <w:szCs w:val="18"/>
              </w:rPr>
              <w:t>–</w:t>
            </w:r>
            <w:r w:rsidRPr="002D7AE6">
              <w:rPr>
                <w:sz w:val="18"/>
                <w:szCs w:val="18"/>
              </w:rPr>
              <w:t>18)</w:t>
            </w:r>
          </w:p>
        </w:tc>
        <w:tc>
          <w:tcPr>
            <w:tcW w:w="882" w:type="pct"/>
            <w:tcBorders>
              <w:top w:val="single" w:sz="4" w:space="0" w:color="666366"/>
              <w:bottom w:val="single" w:sz="2" w:space="0" w:color="C0C0C0"/>
            </w:tcBorders>
            <w:shd w:val="clear" w:color="auto" w:fill="01356E"/>
          </w:tcPr>
          <w:p w14:paraId="02F7ABDF" w14:textId="77777777" w:rsidR="00052799" w:rsidRPr="002D7AE6" w:rsidRDefault="00052799" w:rsidP="00871631">
            <w:pPr>
              <w:pStyle w:val="TableHeader"/>
              <w:jc w:val="center"/>
              <w:rPr>
                <w:sz w:val="18"/>
                <w:szCs w:val="18"/>
              </w:rPr>
            </w:pPr>
            <w:r w:rsidRPr="002D7AE6">
              <w:rPr>
                <w:sz w:val="18"/>
                <w:szCs w:val="18"/>
              </w:rPr>
              <w:t>Proposed Penalty</w:t>
            </w:r>
          </w:p>
        </w:tc>
      </w:tr>
      <w:tr w:rsidR="00052799" w:rsidRPr="00622D94" w14:paraId="4B8CBB3B" w14:textId="77777777" w:rsidTr="009F677B">
        <w:trPr>
          <w:trHeight w:val="273"/>
        </w:trPr>
        <w:tc>
          <w:tcPr>
            <w:tcW w:w="757" w:type="pct"/>
            <w:tcBorders>
              <w:top w:val="single" w:sz="2" w:space="0" w:color="C0C0C0"/>
              <w:bottom w:val="single" w:sz="4" w:space="0" w:color="auto"/>
            </w:tcBorders>
            <w:shd w:val="clear" w:color="auto" w:fill="auto"/>
          </w:tcPr>
          <w:p w14:paraId="180B3EF0" w14:textId="77777777" w:rsidR="00052799" w:rsidRPr="002D7AE6" w:rsidRDefault="00052799" w:rsidP="00871631">
            <w:pPr>
              <w:pStyle w:val="TableText"/>
            </w:pPr>
            <w:r w:rsidRPr="002D7AE6">
              <w:t>87(2)</w:t>
            </w:r>
          </w:p>
        </w:tc>
        <w:tc>
          <w:tcPr>
            <w:tcW w:w="2279" w:type="pct"/>
            <w:tcBorders>
              <w:top w:val="single" w:sz="2" w:space="0" w:color="C0C0C0"/>
              <w:bottom w:val="single" w:sz="4" w:space="0" w:color="auto"/>
            </w:tcBorders>
            <w:shd w:val="clear" w:color="auto" w:fill="auto"/>
          </w:tcPr>
          <w:p w14:paraId="027A3E74" w14:textId="77777777" w:rsidR="00052799" w:rsidRPr="002D7AE6" w:rsidRDefault="00052799" w:rsidP="00871631">
            <w:pPr>
              <w:pStyle w:val="TableText"/>
            </w:pPr>
            <w:r w:rsidRPr="002D7AE6">
              <w:t>Failure to record all required particulars in a dealer’s register of transactions</w:t>
            </w:r>
          </w:p>
        </w:tc>
        <w:tc>
          <w:tcPr>
            <w:tcW w:w="1082" w:type="pct"/>
            <w:tcBorders>
              <w:top w:val="single" w:sz="2" w:space="0" w:color="C0C0C0"/>
              <w:left w:val="nil"/>
              <w:bottom w:val="single" w:sz="4" w:space="0" w:color="auto"/>
              <w:right w:val="nil"/>
            </w:tcBorders>
            <w:shd w:val="clear" w:color="auto" w:fill="auto"/>
            <w:vAlign w:val="center"/>
          </w:tcPr>
          <w:p w14:paraId="26BAA3A3" w14:textId="77777777" w:rsidR="00052799" w:rsidRPr="002D7AE6" w:rsidRDefault="00052799" w:rsidP="00871631">
            <w:pPr>
              <w:pStyle w:val="TableText"/>
              <w:jc w:val="right"/>
            </w:pPr>
            <w:r w:rsidRPr="002D7AE6">
              <w:t>$158.57</w:t>
            </w:r>
          </w:p>
        </w:tc>
        <w:tc>
          <w:tcPr>
            <w:tcW w:w="882" w:type="pct"/>
            <w:tcBorders>
              <w:top w:val="single" w:sz="2" w:space="0" w:color="C0C0C0"/>
              <w:bottom w:val="single" w:sz="4" w:space="0" w:color="auto"/>
            </w:tcBorders>
            <w:shd w:val="clear" w:color="auto" w:fill="auto"/>
            <w:vAlign w:val="center"/>
          </w:tcPr>
          <w:p w14:paraId="6124603C" w14:textId="77777777" w:rsidR="00052799" w:rsidRPr="002D7AE6" w:rsidRDefault="00052799" w:rsidP="00871631">
            <w:pPr>
              <w:pStyle w:val="TableText"/>
              <w:jc w:val="center"/>
            </w:pPr>
            <w:r w:rsidRPr="002D7AE6">
              <w:t>1 penalty unit</w:t>
            </w:r>
          </w:p>
        </w:tc>
      </w:tr>
      <w:tr w:rsidR="00052799" w:rsidRPr="00622D94" w14:paraId="5ABAA04E" w14:textId="77777777" w:rsidTr="00871631">
        <w:trPr>
          <w:trHeight w:val="273"/>
        </w:trPr>
        <w:tc>
          <w:tcPr>
            <w:tcW w:w="757" w:type="pct"/>
            <w:tcBorders>
              <w:top w:val="single" w:sz="4" w:space="0" w:color="auto"/>
              <w:bottom w:val="single" w:sz="4" w:space="0" w:color="auto"/>
            </w:tcBorders>
            <w:shd w:val="clear" w:color="auto" w:fill="auto"/>
          </w:tcPr>
          <w:p w14:paraId="70F7B3AD" w14:textId="77777777" w:rsidR="00052799" w:rsidRPr="002D7AE6" w:rsidRDefault="00052799" w:rsidP="00871631">
            <w:pPr>
              <w:pStyle w:val="TableText"/>
            </w:pPr>
            <w:r w:rsidRPr="002D7AE6">
              <w:t>121(1)</w:t>
            </w:r>
          </w:p>
        </w:tc>
        <w:tc>
          <w:tcPr>
            <w:tcW w:w="2279" w:type="pct"/>
            <w:tcBorders>
              <w:top w:val="single" w:sz="4" w:space="0" w:color="auto"/>
              <w:bottom w:val="single" w:sz="4" w:space="0" w:color="auto"/>
            </w:tcBorders>
            <w:shd w:val="clear" w:color="auto" w:fill="auto"/>
          </w:tcPr>
          <w:p w14:paraId="69B4ED9B" w14:textId="77777777" w:rsidR="00052799" w:rsidRPr="002D7AE6" w:rsidRDefault="00052799" w:rsidP="00871631">
            <w:pPr>
              <w:pStyle w:val="TableText"/>
            </w:pPr>
            <w:r w:rsidRPr="002D7AE6">
              <w:t>Failure to securely store a category A or B longarm</w:t>
            </w:r>
          </w:p>
        </w:tc>
        <w:tc>
          <w:tcPr>
            <w:tcW w:w="1082" w:type="pct"/>
            <w:tcBorders>
              <w:top w:val="single" w:sz="4" w:space="0" w:color="auto"/>
              <w:left w:val="nil"/>
              <w:bottom w:val="single" w:sz="4" w:space="0" w:color="auto"/>
              <w:right w:val="nil"/>
            </w:tcBorders>
            <w:shd w:val="clear" w:color="auto" w:fill="auto"/>
            <w:vAlign w:val="center"/>
          </w:tcPr>
          <w:p w14:paraId="5D0C3397" w14:textId="77777777" w:rsidR="00052799" w:rsidRPr="002D7AE6" w:rsidRDefault="00052799" w:rsidP="00871631">
            <w:pPr>
              <w:pStyle w:val="TableText"/>
              <w:jc w:val="right"/>
            </w:pPr>
            <w:r w:rsidRPr="002D7AE6">
              <w:t>$317.14</w:t>
            </w:r>
          </w:p>
        </w:tc>
        <w:tc>
          <w:tcPr>
            <w:tcW w:w="882" w:type="pct"/>
            <w:tcBorders>
              <w:top w:val="single" w:sz="4" w:space="0" w:color="auto"/>
              <w:bottom w:val="single" w:sz="4" w:space="0" w:color="auto"/>
            </w:tcBorders>
            <w:shd w:val="clear" w:color="auto" w:fill="auto"/>
            <w:vAlign w:val="center"/>
          </w:tcPr>
          <w:p w14:paraId="3824115B" w14:textId="77777777" w:rsidR="00052799" w:rsidRPr="002D7AE6" w:rsidRDefault="00052799" w:rsidP="00871631">
            <w:pPr>
              <w:pStyle w:val="TableText"/>
              <w:jc w:val="center"/>
            </w:pPr>
            <w:r w:rsidRPr="002D7AE6">
              <w:t>2 penalty units</w:t>
            </w:r>
          </w:p>
        </w:tc>
      </w:tr>
      <w:tr w:rsidR="00052799" w:rsidRPr="00622D94" w14:paraId="1E22B2EA" w14:textId="77777777" w:rsidTr="00871631">
        <w:trPr>
          <w:trHeight w:val="273"/>
        </w:trPr>
        <w:tc>
          <w:tcPr>
            <w:tcW w:w="757" w:type="pct"/>
            <w:tcBorders>
              <w:top w:val="single" w:sz="4" w:space="0" w:color="auto"/>
              <w:bottom w:val="single" w:sz="4" w:space="0" w:color="auto"/>
            </w:tcBorders>
            <w:shd w:val="clear" w:color="auto" w:fill="auto"/>
          </w:tcPr>
          <w:p w14:paraId="44A4BEC8" w14:textId="77777777" w:rsidR="00052799" w:rsidRPr="002D7AE6" w:rsidRDefault="00052799" w:rsidP="00871631">
            <w:pPr>
              <w:pStyle w:val="TableText"/>
            </w:pPr>
            <w:r w:rsidRPr="002D7AE6">
              <w:t>121(1A)</w:t>
            </w:r>
          </w:p>
        </w:tc>
        <w:tc>
          <w:tcPr>
            <w:tcW w:w="2279" w:type="pct"/>
            <w:tcBorders>
              <w:top w:val="single" w:sz="4" w:space="0" w:color="auto"/>
              <w:bottom w:val="single" w:sz="4" w:space="0" w:color="auto"/>
            </w:tcBorders>
            <w:shd w:val="clear" w:color="auto" w:fill="auto"/>
          </w:tcPr>
          <w:p w14:paraId="7F37CE74" w14:textId="77777777" w:rsidR="00052799" w:rsidRPr="002D7AE6" w:rsidRDefault="00052799" w:rsidP="00871631">
            <w:pPr>
              <w:pStyle w:val="TableText"/>
            </w:pPr>
            <w:r w:rsidRPr="002D7AE6">
              <w:t>Fail to securely store ammunition possessed under a category A or B longarm licence.</w:t>
            </w:r>
          </w:p>
        </w:tc>
        <w:tc>
          <w:tcPr>
            <w:tcW w:w="1082" w:type="pct"/>
            <w:tcBorders>
              <w:top w:val="single" w:sz="4" w:space="0" w:color="auto"/>
              <w:left w:val="nil"/>
              <w:bottom w:val="single" w:sz="4" w:space="0" w:color="auto"/>
              <w:right w:val="nil"/>
            </w:tcBorders>
            <w:shd w:val="clear" w:color="auto" w:fill="auto"/>
            <w:vAlign w:val="center"/>
          </w:tcPr>
          <w:p w14:paraId="1AF82324" w14:textId="77777777" w:rsidR="00052799" w:rsidRPr="002D7AE6" w:rsidRDefault="00052799" w:rsidP="00871631">
            <w:pPr>
              <w:pStyle w:val="TableText"/>
              <w:jc w:val="right"/>
            </w:pPr>
            <w:r w:rsidRPr="002D7AE6">
              <w:t>$317.14</w:t>
            </w:r>
          </w:p>
        </w:tc>
        <w:tc>
          <w:tcPr>
            <w:tcW w:w="882" w:type="pct"/>
            <w:tcBorders>
              <w:top w:val="single" w:sz="4" w:space="0" w:color="auto"/>
              <w:bottom w:val="single" w:sz="4" w:space="0" w:color="auto"/>
            </w:tcBorders>
            <w:shd w:val="clear" w:color="auto" w:fill="auto"/>
            <w:vAlign w:val="center"/>
          </w:tcPr>
          <w:p w14:paraId="3C68DE3E" w14:textId="77777777" w:rsidR="00052799" w:rsidRPr="002D7AE6" w:rsidRDefault="00052799" w:rsidP="00871631">
            <w:pPr>
              <w:pStyle w:val="TableText"/>
              <w:jc w:val="center"/>
            </w:pPr>
            <w:r w:rsidRPr="002D7AE6">
              <w:t>2 penalty units</w:t>
            </w:r>
          </w:p>
        </w:tc>
      </w:tr>
    </w:tbl>
    <w:p w14:paraId="34366BF0" w14:textId="77777777" w:rsidR="00052799" w:rsidRPr="00622D94" w:rsidRDefault="00052799" w:rsidP="00052799">
      <w:pPr>
        <w:pStyle w:val="BodyText"/>
      </w:pPr>
    </w:p>
    <w:p w14:paraId="26D7A11E" w14:textId="77777777" w:rsidR="00052799" w:rsidRPr="00622D94" w:rsidRDefault="00052799" w:rsidP="00052799">
      <w:pPr>
        <w:pStyle w:val="Heading4"/>
      </w:pPr>
      <w:r w:rsidRPr="00622D94">
        <w:t>Rationale for considering Option</w:t>
      </w:r>
    </w:p>
    <w:p w14:paraId="394CC7F4" w14:textId="77777777" w:rsidR="00052799" w:rsidRPr="00622D94" w:rsidRDefault="00052799" w:rsidP="00052799">
      <w:pPr>
        <w:pStyle w:val="BodyText"/>
      </w:pPr>
      <w:r w:rsidRPr="00622D94">
        <w:t>Currently, Victoria Police files charges in approximately 100 cases per year in relation to the offence of failing to appropriately store Category A and B longarms (this does not account for the number of informal resolutions).</w:t>
      </w:r>
      <w:r w:rsidRPr="00622D94">
        <w:rPr>
          <w:rStyle w:val="FootnoteReference"/>
        </w:rPr>
        <w:footnoteReference w:id="32"/>
      </w:r>
      <w:r w:rsidRPr="00622D94">
        <w:t xml:space="preserve"> </w:t>
      </w:r>
    </w:p>
    <w:p w14:paraId="519F9D21" w14:textId="77777777" w:rsidR="00052799" w:rsidRPr="00622D94" w:rsidRDefault="00052799" w:rsidP="00052799">
      <w:pPr>
        <w:pStyle w:val="BodyText"/>
      </w:pPr>
      <w:r w:rsidRPr="00622D94">
        <w:t xml:space="preserve">In some cases, the laying of charges may be considered overly punitive or a waste of resources if the conduct involved was very minor.  Victoria Police indicated during consultations that sending minor offences to Court involved police time and resources out of proportion with the severity of the offence, and that taking alleged offenders to court over minor breaches imposed a penalty beyond that merited by the infraction, both in terms of the cost and time of attending court, and in any sentence imposed.  In these cases, allowing an infringement notice to be issued may provide a useful option that sits between laying charges and issuing a caution notice on the spectrum of severity. Infringement notices can be more easily and quickly issued than charges, and be more quickly and readily settled by the infringing party. </w:t>
      </w:r>
    </w:p>
    <w:p w14:paraId="735BCB62" w14:textId="77777777" w:rsidR="00052799" w:rsidRPr="00622D94" w:rsidRDefault="00052799" w:rsidP="00052799">
      <w:pPr>
        <w:pStyle w:val="BodyText"/>
      </w:pPr>
      <w:r w:rsidRPr="00622D94">
        <w:t>It is intended that infringement notices would only be issued for less serious instances of these offences.</w:t>
      </w:r>
      <w:r>
        <w:rPr>
          <w:rStyle w:val="FootnoteReference"/>
        </w:rPr>
        <w:footnoteReference w:id="33"/>
      </w:r>
      <w:r w:rsidRPr="00622D94">
        <w:t xml:space="preserve"> Police officers would retain discretion to issue charges in more serious examples of these offences. In the case of the storage offences, examples of real world cases where Victoria Police believe an infringement notice may have been a useful alternative to a court process include: </w:t>
      </w:r>
    </w:p>
    <w:p w14:paraId="23966AFC" w14:textId="77777777" w:rsidR="00052799" w:rsidRPr="00622D94" w:rsidRDefault="00052799" w:rsidP="00052799">
      <w:pPr>
        <w:pStyle w:val="BodyText"/>
        <w:numPr>
          <w:ilvl w:val="0"/>
          <w:numId w:val="72"/>
        </w:numPr>
        <w:tabs>
          <w:tab w:val="clear" w:pos="340"/>
          <w:tab w:val="num" w:pos="1134"/>
        </w:tabs>
        <w:ind w:left="1134"/>
      </w:pPr>
      <w:r w:rsidRPr="00622D94">
        <w:t>A licence holder stores firearms in a compliant safe which, upon inspection, they have forgotten to lock.</w:t>
      </w:r>
    </w:p>
    <w:p w14:paraId="5C930D1A" w14:textId="77777777" w:rsidR="00052799" w:rsidRPr="00622D94" w:rsidRDefault="00052799" w:rsidP="00052799">
      <w:pPr>
        <w:pStyle w:val="BodyText"/>
        <w:numPr>
          <w:ilvl w:val="0"/>
          <w:numId w:val="72"/>
        </w:numPr>
        <w:tabs>
          <w:tab w:val="clear" w:pos="340"/>
          <w:tab w:val="num" w:pos="1134"/>
        </w:tabs>
        <w:ind w:left="1134"/>
      </w:pPr>
      <w:r w:rsidRPr="00622D94">
        <w:t>A licence holder possesses a compliant safe, but a firearm is found outside of it during inspection.</w:t>
      </w:r>
    </w:p>
    <w:p w14:paraId="106A8A32" w14:textId="77777777" w:rsidR="00052799" w:rsidRPr="00622D94" w:rsidRDefault="00052799" w:rsidP="00052799">
      <w:pPr>
        <w:pStyle w:val="BodyText"/>
        <w:numPr>
          <w:ilvl w:val="0"/>
          <w:numId w:val="72"/>
        </w:numPr>
        <w:tabs>
          <w:tab w:val="clear" w:pos="340"/>
          <w:tab w:val="num" w:pos="1134"/>
        </w:tabs>
        <w:ind w:left="1134"/>
      </w:pPr>
      <w:r w:rsidRPr="00622D94">
        <w:t>A storage receptacle (safe) which weighs less than 150kg is otherwise compliant, but is not affixed to the structure of the building.</w:t>
      </w:r>
    </w:p>
    <w:p w14:paraId="62445B48" w14:textId="77777777" w:rsidR="00052799" w:rsidRPr="00622D94" w:rsidRDefault="00052799" w:rsidP="00052799">
      <w:pPr>
        <w:pStyle w:val="BodyText"/>
      </w:pPr>
      <w:r w:rsidRPr="00622D94">
        <w:t>The proposal to prescribe offences relating to the secure storage of firearms and related ammunition (contrary to sections 121(1) and (1A), respectively) does not extend to other categories of firearm or their ammunition. Inappropriate storage of these firearms and their ammunition was considered to be too serious to be dealt with by way of an infringement notice.</w:t>
      </w:r>
    </w:p>
    <w:p w14:paraId="736EBF0E" w14:textId="77777777" w:rsidR="00052799" w:rsidRPr="00622D94" w:rsidRDefault="00052799" w:rsidP="00052799">
      <w:pPr>
        <w:pStyle w:val="Heading4"/>
      </w:pPr>
      <w:r w:rsidRPr="00622D94">
        <w:t>Evaluation of Option</w:t>
      </w:r>
    </w:p>
    <w:p w14:paraId="7AA47D7C" w14:textId="77777777" w:rsidR="00052799" w:rsidRPr="00622D94" w:rsidRDefault="00052799" w:rsidP="00052799">
      <w:pPr>
        <w:pStyle w:val="BodyText"/>
        <w:rPr>
          <w:b/>
        </w:rPr>
      </w:pPr>
      <w:r w:rsidRPr="00622D94">
        <w:rPr>
          <w:b/>
        </w:rPr>
        <w:t xml:space="preserve">Safety: </w:t>
      </w:r>
      <w:r w:rsidRPr="00622D94">
        <w:t>The listing of these offences as prescribed offences in the Regulations would support more effective and widespread enforcement activities by giving police an alternative to taking court action.</w:t>
      </w:r>
    </w:p>
    <w:p w14:paraId="136EF290" w14:textId="77777777" w:rsidR="00052799" w:rsidRPr="00622D94" w:rsidRDefault="00052799" w:rsidP="00052799">
      <w:pPr>
        <w:pStyle w:val="BodyText"/>
      </w:pPr>
      <w:r w:rsidRPr="00622D94">
        <w:t>Normally, less serious examples of these offences would be dealt with at court through mechanisms such as diversion. Because infringement notices are quicker to issue and require less administrative support, allowing them to be issued for these common offences would allow enforcement resources to be used more efficiently and free up personnel and resources for additional enforcement activity. More enforcement activity would, all else being equal, increase the chances that unsafe practices or contraventions of rules would be detected, improving public safety outcomes. Increasing the range of options available for enforcement will enable Victoria Police to better tailor its approach based on the risk posed by instances of non-compliance (i.e. by dealing with lower risk matters in a less formal and resource-intensive manner).</w:t>
      </w:r>
    </w:p>
    <w:p w14:paraId="225C432C" w14:textId="77777777" w:rsidR="00052799" w:rsidRPr="00622D94" w:rsidRDefault="00052799" w:rsidP="00052799">
      <w:pPr>
        <w:pStyle w:val="BodyText"/>
      </w:pPr>
      <w:r w:rsidRPr="00622D94">
        <w:t>Additionally, the option to issue infringement notices may mean that infractions which would normally be considered too minor to merit charges being laid, could instead be dealt with through an infringement notice. This would provide an additional disincentive to infractions which, despite being minor, are likely to pose some level of threat to the safety of the public. As a result of the likely overall improvement in safety, a score of +2 has been assigned to this criterion.</w:t>
      </w:r>
    </w:p>
    <w:p w14:paraId="4889C60D" w14:textId="77777777" w:rsidR="00052799" w:rsidRPr="00622D94" w:rsidRDefault="00052799" w:rsidP="00052799">
      <w:pPr>
        <w:pStyle w:val="BodyText"/>
      </w:pPr>
      <w:r w:rsidRPr="00622D94">
        <w:rPr>
          <w:b/>
        </w:rPr>
        <w:t xml:space="preserve">Public peace: </w:t>
      </w:r>
      <w:r w:rsidRPr="00622D94">
        <w:t>The ability to issue infringement notices may free up resources for wider-ranging enforcement activities which may in turn increase public perceptions of safety and faith in the enforcement system. The impact on perceived risks of harm is, however, likely to be less pronounced than the impact on safety. Accordingly, a score of +1 has been assigned to this criterion.</w:t>
      </w:r>
    </w:p>
    <w:p w14:paraId="687FBD1B" w14:textId="77777777" w:rsidR="00052799" w:rsidRPr="00622D94" w:rsidRDefault="00052799" w:rsidP="00052799">
      <w:pPr>
        <w:pStyle w:val="BodyText"/>
      </w:pPr>
      <w:r w:rsidRPr="00622D94">
        <w:rPr>
          <w:b/>
        </w:rPr>
        <w:t xml:space="preserve">Regulatory burden: </w:t>
      </w:r>
      <w:r w:rsidRPr="00622D94">
        <w:t>Under the base case, these offences would still exist (by virtue of the relevant sections of the Act); however, those individuals who are believed to have contravened these sections would need to be dealt with through the laying of charges should Victoria Police believe that punitive action is necessary. This may lead to the charged party being subject to a larger penalty and a more onerous process than would have been the case if an infringement notice had been available to Victoria Police as an option. In some cases, infringement notices may be issued where, absent the proposed change, no charges would have been filed. For those individuals, the regulatory burden would increase slightly. Accordingly, a score of zero has been assigned</w:t>
      </w:r>
      <w:r>
        <w:t xml:space="preserve"> – that is, because there is assumed to be no net effect of having a higher volume of infringements, given that each infringement is likely to be less onerous)</w:t>
      </w:r>
      <w:r w:rsidRPr="00622D94">
        <w:t xml:space="preserve">. </w:t>
      </w:r>
    </w:p>
    <w:p w14:paraId="0786B397" w14:textId="77777777" w:rsidR="00052799" w:rsidRDefault="00052799" w:rsidP="00052799">
      <w:pPr>
        <w:pStyle w:val="BodyText"/>
      </w:pPr>
      <w:r w:rsidRPr="00622D94">
        <w:rPr>
          <w:b/>
        </w:rPr>
        <w:t>Administrative costs:</w:t>
      </w:r>
      <w:r w:rsidRPr="00622D94">
        <w:t xml:space="preserve"> As discussed, under the base case, these offences would continue to exist by virtue of the relevant sections of the Act, however any enforcement of them would need to be dealt with through the courts. Allowing for Victoria Police to respond by issuing infringement notices in appropriate cases would reduce the administrative costs associated with enforcement. </w:t>
      </w:r>
    </w:p>
    <w:p w14:paraId="55A46838" w14:textId="6B02490B" w:rsidR="009F677B" w:rsidRPr="00622D94" w:rsidRDefault="009F677B" w:rsidP="009F677B">
      <w:pPr>
        <w:pStyle w:val="Caption"/>
      </w:pPr>
      <w:r w:rsidRPr="00622D94">
        <w:t xml:space="preserve">Table </w:t>
      </w:r>
      <w:r w:rsidR="001C7D77">
        <w:rPr>
          <w:noProof/>
        </w:rPr>
        <w:t>16</w:t>
      </w:r>
      <w:r w:rsidRPr="00622D94">
        <w:t>: MCA for non-fe</w:t>
      </w:r>
      <w:r>
        <w:t>e option 4</w:t>
      </w:r>
    </w:p>
    <w:tbl>
      <w:tblPr>
        <w:tblW w:w="4553" w:type="pct"/>
        <w:tblInd w:w="907" w:type="dxa"/>
        <w:tblBorders>
          <w:top w:val="single" w:sz="4" w:space="0" w:color="666366"/>
          <w:bottom w:val="single" w:sz="4" w:space="0" w:color="666366"/>
          <w:insideH w:val="single" w:sz="2" w:space="0" w:color="C0C0C0"/>
        </w:tblBorders>
        <w:tblLayout w:type="fixed"/>
        <w:tblCellMar>
          <w:top w:w="57" w:type="dxa"/>
          <w:bottom w:w="57" w:type="dxa"/>
        </w:tblCellMar>
        <w:tblLook w:val="01E0" w:firstRow="1" w:lastRow="1" w:firstColumn="1" w:lastColumn="1" w:noHBand="0" w:noVBand="0"/>
        <w:tblCaption w:val="Table 16: MCA for non-fee option 4"/>
      </w:tblPr>
      <w:tblGrid>
        <w:gridCol w:w="2258"/>
        <w:gridCol w:w="2258"/>
        <w:gridCol w:w="2259"/>
        <w:gridCol w:w="2259"/>
      </w:tblGrid>
      <w:tr w:rsidR="00052799" w:rsidRPr="00622D94" w14:paraId="2711E29B" w14:textId="77777777" w:rsidTr="00871631">
        <w:trPr>
          <w:tblHeader/>
        </w:trPr>
        <w:tc>
          <w:tcPr>
            <w:tcW w:w="1250" w:type="pct"/>
            <w:tcBorders>
              <w:top w:val="single" w:sz="4" w:space="0" w:color="666366"/>
              <w:bottom w:val="single" w:sz="2" w:space="0" w:color="C0C0C0"/>
            </w:tcBorders>
            <w:shd w:val="clear" w:color="auto" w:fill="01356E"/>
          </w:tcPr>
          <w:p w14:paraId="1F3F074F" w14:textId="77777777" w:rsidR="00052799" w:rsidRPr="002D7AE6" w:rsidRDefault="00052799" w:rsidP="00871631">
            <w:pPr>
              <w:pStyle w:val="TableHeader"/>
              <w:rPr>
                <w:sz w:val="18"/>
                <w:szCs w:val="18"/>
              </w:rPr>
            </w:pPr>
            <w:r w:rsidRPr="002D7AE6">
              <w:rPr>
                <w:sz w:val="18"/>
                <w:szCs w:val="18"/>
              </w:rPr>
              <w:t>Criterion</w:t>
            </w:r>
          </w:p>
        </w:tc>
        <w:tc>
          <w:tcPr>
            <w:tcW w:w="1250" w:type="pct"/>
            <w:tcBorders>
              <w:top w:val="single" w:sz="4" w:space="0" w:color="666366"/>
              <w:bottom w:val="single" w:sz="2" w:space="0" w:color="C0C0C0"/>
            </w:tcBorders>
            <w:shd w:val="clear" w:color="auto" w:fill="01356E"/>
          </w:tcPr>
          <w:p w14:paraId="500828CE" w14:textId="77777777" w:rsidR="00052799" w:rsidRPr="002D7AE6" w:rsidRDefault="00052799" w:rsidP="00871631">
            <w:pPr>
              <w:pStyle w:val="TableHeader"/>
              <w:rPr>
                <w:sz w:val="18"/>
                <w:szCs w:val="18"/>
              </w:rPr>
            </w:pPr>
            <w:r w:rsidRPr="002D7AE6">
              <w:rPr>
                <w:sz w:val="18"/>
                <w:szCs w:val="18"/>
              </w:rPr>
              <w:t>Weighting</w:t>
            </w:r>
          </w:p>
        </w:tc>
        <w:tc>
          <w:tcPr>
            <w:tcW w:w="1250" w:type="pct"/>
            <w:tcBorders>
              <w:top w:val="single" w:sz="4" w:space="0" w:color="666366"/>
              <w:bottom w:val="single" w:sz="2" w:space="0" w:color="C0C0C0"/>
            </w:tcBorders>
            <w:shd w:val="clear" w:color="auto" w:fill="01356E"/>
          </w:tcPr>
          <w:p w14:paraId="64124F22" w14:textId="77777777" w:rsidR="00052799" w:rsidRPr="002D7AE6" w:rsidRDefault="00052799" w:rsidP="00871631">
            <w:pPr>
              <w:pStyle w:val="TableHeader"/>
              <w:rPr>
                <w:sz w:val="18"/>
                <w:szCs w:val="18"/>
              </w:rPr>
            </w:pPr>
            <w:r w:rsidRPr="002D7AE6">
              <w:rPr>
                <w:sz w:val="18"/>
                <w:szCs w:val="18"/>
              </w:rPr>
              <w:t>Assigned Score</w:t>
            </w:r>
          </w:p>
        </w:tc>
        <w:tc>
          <w:tcPr>
            <w:tcW w:w="1250" w:type="pct"/>
            <w:tcBorders>
              <w:top w:val="single" w:sz="4" w:space="0" w:color="666366"/>
              <w:bottom w:val="single" w:sz="2" w:space="0" w:color="C0C0C0"/>
            </w:tcBorders>
            <w:shd w:val="clear" w:color="auto" w:fill="01356E"/>
          </w:tcPr>
          <w:p w14:paraId="2D72C590" w14:textId="77777777" w:rsidR="00052799" w:rsidRPr="002D7AE6" w:rsidRDefault="00052799" w:rsidP="00871631">
            <w:pPr>
              <w:pStyle w:val="TableHeader"/>
              <w:rPr>
                <w:sz w:val="18"/>
                <w:szCs w:val="18"/>
              </w:rPr>
            </w:pPr>
            <w:r w:rsidRPr="002D7AE6">
              <w:rPr>
                <w:sz w:val="18"/>
                <w:szCs w:val="18"/>
              </w:rPr>
              <w:t>Weighted Score</w:t>
            </w:r>
          </w:p>
        </w:tc>
      </w:tr>
      <w:tr w:rsidR="00052799" w:rsidRPr="00622D94" w14:paraId="53B63CC1" w14:textId="77777777" w:rsidTr="00871631">
        <w:tc>
          <w:tcPr>
            <w:tcW w:w="1250" w:type="pct"/>
            <w:tcBorders>
              <w:top w:val="single" w:sz="2" w:space="0" w:color="C0C0C0"/>
            </w:tcBorders>
            <w:shd w:val="clear" w:color="auto" w:fill="auto"/>
          </w:tcPr>
          <w:p w14:paraId="742F1E1C" w14:textId="77777777" w:rsidR="00052799" w:rsidRPr="002D7AE6" w:rsidRDefault="00052799" w:rsidP="00871631">
            <w:pPr>
              <w:pStyle w:val="TableText"/>
            </w:pPr>
            <w:r w:rsidRPr="002D7AE6">
              <w:t>Safety</w:t>
            </w:r>
          </w:p>
        </w:tc>
        <w:tc>
          <w:tcPr>
            <w:tcW w:w="1250" w:type="pct"/>
            <w:tcBorders>
              <w:top w:val="single" w:sz="2" w:space="0" w:color="C0C0C0"/>
            </w:tcBorders>
            <w:shd w:val="clear" w:color="auto" w:fill="auto"/>
          </w:tcPr>
          <w:p w14:paraId="4EA31527" w14:textId="77777777" w:rsidR="00052799" w:rsidRPr="002D7AE6" w:rsidRDefault="00052799" w:rsidP="00871631">
            <w:pPr>
              <w:pStyle w:val="TableText"/>
            </w:pPr>
            <w:r w:rsidRPr="002D7AE6">
              <w:t>30%</w:t>
            </w:r>
          </w:p>
        </w:tc>
        <w:tc>
          <w:tcPr>
            <w:tcW w:w="1250" w:type="pct"/>
            <w:tcBorders>
              <w:top w:val="single" w:sz="2" w:space="0" w:color="C0C0C0"/>
            </w:tcBorders>
            <w:shd w:val="clear" w:color="auto" w:fill="auto"/>
          </w:tcPr>
          <w:p w14:paraId="616F521B" w14:textId="77777777" w:rsidR="00052799" w:rsidRPr="002D7AE6" w:rsidRDefault="00052799" w:rsidP="00871631">
            <w:pPr>
              <w:pStyle w:val="TableText"/>
            </w:pPr>
            <w:r w:rsidRPr="002D7AE6">
              <w:t>2.00</w:t>
            </w:r>
          </w:p>
        </w:tc>
        <w:tc>
          <w:tcPr>
            <w:tcW w:w="1250" w:type="pct"/>
            <w:tcBorders>
              <w:top w:val="single" w:sz="2" w:space="0" w:color="C0C0C0"/>
            </w:tcBorders>
          </w:tcPr>
          <w:p w14:paraId="06ADC6F4" w14:textId="77777777" w:rsidR="00052799" w:rsidRPr="002D7AE6" w:rsidRDefault="00052799" w:rsidP="00871631">
            <w:pPr>
              <w:pStyle w:val="TableText"/>
            </w:pPr>
            <w:r w:rsidRPr="002D7AE6">
              <w:t>0.6</w:t>
            </w:r>
          </w:p>
        </w:tc>
      </w:tr>
      <w:tr w:rsidR="00052799" w:rsidRPr="00622D94" w14:paraId="00F37F7F" w14:textId="77777777" w:rsidTr="00871631">
        <w:tc>
          <w:tcPr>
            <w:tcW w:w="1250" w:type="pct"/>
            <w:shd w:val="clear" w:color="auto" w:fill="auto"/>
          </w:tcPr>
          <w:p w14:paraId="1145A836" w14:textId="77777777" w:rsidR="00052799" w:rsidRPr="002D7AE6" w:rsidRDefault="00052799" w:rsidP="00871631">
            <w:pPr>
              <w:pStyle w:val="TableText"/>
            </w:pPr>
            <w:r w:rsidRPr="002D7AE6">
              <w:t>Public peace</w:t>
            </w:r>
          </w:p>
        </w:tc>
        <w:tc>
          <w:tcPr>
            <w:tcW w:w="1250" w:type="pct"/>
            <w:shd w:val="clear" w:color="auto" w:fill="auto"/>
          </w:tcPr>
          <w:p w14:paraId="3852C8E7" w14:textId="77777777" w:rsidR="00052799" w:rsidRPr="002D7AE6" w:rsidRDefault="00052799" w:rsidP="00871631">
            <w:pPr>
              <w:pStyle w:val="TableText"/>
            </w:pPr>
            <w:r w:rsidRPr="002D7AE6">
              <w:t>20%</w:t>
            </w:r>
          </w:p>
        </w:tc>
        <w:tc>
          <w:tcPr>
            <w:tcW w:w="1250" w:type="pct"/>
            <w:shd w:val="clear" w:color="auto" w:fill="auto"/>
          </w:tcPr>
          <w:p w14:paraId="5AF222FA" w14:textId="77777777" w:rsidR="00052799" w:rsidRPr="002D7AE6" w:rsidRDefault="00052799" w:rsidP="00871631">
            <w:pPr>
              <w:pStyle w:val="TableText"/>
            </w:pPr>
            <w:r w:rsidRPr="002D7AE6">
              <w:t>1.00</w:t>
            </w:r>
          </w:p>
        </w:tc>
        <w:tc>
          <w:tcPr>
            <w:tcW w:w="1250" w:type="pct"/>
          </w:tcPr>
          <w:p w14:paraId="1634C197" w14:textId="77777777" w:rsidR="00052799" w:rsidRPr="002D7AE6" w:rsidRDefault="00052799" w:rsidP="00871631">
            <w:pPr>
              <w:pStyle w:val="TableText"/>
            </w:pPr>
            <w:r w:rsidRPr="002D7AE6">
              <w:t>0.2</w:t>
            </w:r>
          </w:p>
        </w:tc>
      </w:tr>
      <w:tr w:rsidR="00052799" w:rsidRPr="00622D94" w14:paraId="3578800A" w14:textId="77777777" w:rsidTr="00871631">
        <w:tc>
          <w:tcPr>
            <w:tcW w:w="1250" w:type="pct"/>
            <w:shd w:val="clear" w:color="auto" w:fill="auto"/>
          </w:tcPr>
          <w:p w14:paraId="186EE31C" w14:textId="77777777" w:rsidR="00052799" w:rsidRPr="002D7AE6" w:rsidRDefault="00052799" w:rsidP="00871631">
            <w:pPr>
              <w:pStyle w:val="TableText"/>
            </w:pPr>
            <w:r w:rsidRPr="002D7AE6">
              <w:t>Regulatory Burden</w:t>
            </w:r>
          </w:p>
        </w:tc>
        <w:tc>
          <w:tcPr>
            <w:tcW w:w="1250" w:type="pct"/>
            <w:shd w:val="clear" w:color="auto" w:fill="auto"/>
          </w:tcPr>
          <w:p w14:paraId="710B76F2" w14:textId="77777777" w:rsidR="00052799" w:rsidRPr="002D7AE6" w:rsidRDefault="00052799" w:rsidP="00871631">
            <w:pPr>
              <w:pStyle w:val="TableText"/>
            </w:pPr>
            <w:r w:rsidRPr="002D7AE6">
              <w:t>30%</w:t>
            </w:r>
          </w:p>
        </w:tc>
        <w:tc>
          <w:tcPr>
            <w:tcW w:w="1250" w:type="pct"/>
            <w:shd w:val="clear" w:color="auto" w:fill="auto"/>
          </w:tcPr>
          <w:p w14:paraId="5FDF1C15" w14:textId="77777777" w:rsidR="00052799" w:rsidRPr="002D7AE6" w:rsidRDefault="00052799" w:rsidP="00871631">
            <w:pPr>
              <w:pStyle w:val="TableText"/>
            </w:pPr>
            <w:r w:rsidRPr="002D7AE6">
              <w:t>0.00</w:t>
            </w:r>
          </w:p>
        </w:tc>
        <w:tc>
          <w:tcPr>
            <w:tcW w:w="1250" w:type="pct"/>
          </w:tcPr>
          <w:p w14:paraId="0D454519" w14:textId="77777777" w:rsidR="00052799" w:rsidRPr="002D7AE6" w:rsidRDefault="00052799" w:rsidP="00871631">
            <w:pPr>
              <w:pStyle w:val="TableText"/>
            </w:pPr>
            <w:r w:rsidRPr="002D7AE6">
              <w:t>0.0</w:t>
            </w:r>
          </w:p>
        </w:tc>
      </w:tr>
      <w:tr w:rsidR="00052799" w:rsidRPr="00622D94" w14:paraId="2A862F71" w14:textId="77777777" w:rsidTr="00871631">
        <w:tc>
          <w:tcPr>
            <w:tcW w:w="1250" w:type="pct"/>
            <w:shd w:val="clear" w:color="auto" w:fill="auto"/>
          </w:tcPr>
          <w:p w14:paraId="6AD4BCB2" w14:textId="77777777" w:rsidR="00052799" w:rsidRPr="002D7AE6" w:rsidRDefault="00052799" w:rsidP="00871631">
            <w:pPr>
              <w:pStyle w:val="TableText"/>
            </w:pPr>
            <w:r w:rsidRPr="002D7AE6">
              <w:t>Administrative Costs</w:t>
            </w:r>
          </w:p>
        </w:tc>
        <w:tc>
          <w:tcPr>
            <w:tcW w:w="1250" w:type="pct"/>
            <w:shd w:val="clear" w:color="auto" w:fill="auto"/>
          </w:tcPr>
          <w:p w14:paraId="7E57FA49" w14:textId="77777777" w:rsidR="00052799" w:rsidRPr="002D7AE6" w:rsidRDefault="00052799" w:rsidP="00871631">
            <w:pPr>
              <w:pStyle w:val="TableText"/>
            </w:pPr>
            <w:r w:rsidRPr="002D7AE6">
              <w:t>20%</w:t>
            </w:r>
          </w:p>
        </w:tc>
        <w:tc>
          <w:tcPr>
            <w:tcW w:w="1250" w:type="pct"/>
            <w:shd w:val="clear" w:color="auto" w:fill="auto"/>
          </w:tcPr>
          <w:p w14:paraId="1029CC04" w14:textId="77777777" w:rsidR="00052799" w:rsidRPr="002D7AE6" w:rsidRDefault="00052799" w:rsidP="00871631">
            <w:pPr>
              <w:pStyle w:val="TableText"/>
            </w:pPr>
            <w:r w:rsidRPr="002D7AE6">
              <w:t>2.00</w:t>
            </w:r>
          </w:p>
        </w:tc>
        <w:tc>
          <w:tcPr>
            <w:tcW w:w="1250" w:type="pct"/>
          </w:tcPr>
          <w:p w14:paraId="2E8474EB" w14:textId="77777777" w:rsidR="00052799" w:rsidRPr="002D7AE6" w:rsidRDefault="00052799" w:rsidP="00871631">
            <w:pPr>
              <w:pStyle w:val="TableText"/>
            </w:pPr>
            <w:r w:rsidRPr="002D7AE6">
              <w:t>0.4</w:t>
            </w:r>
          </w:p>
        </w:tc>
      </w:tr>
      <w:tr w:rsidR="00052799" w:rsidRPr="00622D94" w14:paraId="69EC560A" w14:textId="77777777" w:rsidTr="00871631">
        <w:tc>
          <w:tcPr>
            <w:tcW w:w="3750" w:type="pct"/>
            <w:gridSpan w:val="3"/>
            <w:shd w:val="clear" w:color="auto" w:fill="auto"/>
          </w:tcPr>
          <w:p w14:paraId="78D6D43E" w14:textId="77777777" w:rsidR="00052799" w:rsidRPr="002D7AE6" w:rsidRDefault="00052799" w:rsidP="00871631">
            <w:pPr>
              <w:pStyle w:val="TableText"/>
              <w:rPr>
                <w:b/>
              </w:rPr>
            </w:pPr>
          </w:p>
        </w:tc>
        <w:tc>
          <w:tcPr>
            <w:tcW w:w="1250" w:type="pct"/>
          </w:tcPr>
          <w:p w14:paraId="649958B0" w14:textId="77777777" w:rsidR="00052799" w:rsidRPr="002D7AE6" w:rsidRDefault="00052799" w:rsidP="00871631">
            <w:pPr>
              <w:pStyle w:val="TableText"/>
              <w:rPr>
                <w:b/>
              </w:rPr>
            </w:pPr>
            <w:r w:rsidRPr="002D7AE6">
              <w:rPr>
                <w:b/>
              </w:rPr>
              <w:t>1.2</w:t>
            </w:r>
          </w:p>
        </w:tc>
      </w:tr>
    </w:tbl>
    <w:p w14:paraId="2AADB25F" w14:textId="77777777" w:rsidR="00052799" w:rsidRDefault="00052799" w:rsidP="00052799">
      <w:pPr>
        <w:pStyle w:val="Body"/>
      </w:pPr>
      <w:r>
        <w:t>Given the likely improvements for effectiveness of monitoring and enforcement activities, the Department is proposing that the new infringement provisions be made.</w:t>
      </w:r>
    </w:p>
    <w:p w14:paraId="64A0C033" w14:textId="4F0018A0" w:rsidR="00052799" w:rsidRPr="00610D49" w:rsidRDefault="00052799" w:rsidP="00052799">
      <w:pPr>
        <w:pStyle w:val="Heading3"/>
      </w:pPr>
      <w:bookmarkStart w:id="152" w:name="_Toc500505473"/>
      <w:bookmarkStart w:id="153" w:name="_Toc501539168"/>
      <w:r>
        <w:t xml:space="preserve">Non-fee Option 5: </w:t>
      </w:r>
      <w:r w:rsidRPr="00F276FF">
        <w:t>Updating licence</w:t>
      </w:r>
      <w:r>
        <w:t xml:space="preserve"> categories</w:t>
      </w:r>
      <w:bookmarkEnd w:id="152"/>
      <w:r w:rsidR="00830CFC">
        <w:t xml:space="preserve"> and permit fees</w:t>
      </w:r>
      <w:bookmarkEnd w:id="153"/>
    </w:p>
    <w:p w14:paraId="05FA4EA1" w14:textId="77777777" w:rsidR="00052799" w:rsidRDefault="00052799" w:rsidP="00052799">
      <w:pPr>
        <w:pStyle w:val="BodyText"/>
      </w:pPr>
      <w:r>
        <w:t>The Regulations prescribe licence categories for a range of different licence holders. Over the life of the Regulations, Victoria Police has identified a number of minor potential changes to licence categories which could improve the operations of the regulatory framework. These changes aim to serve to the following main purposes:</w:t>
      </w:r>
    </w:p>
    <w:p w14:paraId="6EA731C1" w14:textId="51BD93FB" w:rsidR="00052799" w:rsidRDefault="00052799" w:rsidP="00052799">
      <w:pPr>
        <w:pStyle w:val="BodyText"/>
        <w:numPr>
          <w:ilvl w:val="0"/>
          <w:numId w:val="72"/>
        </w:numPr>
        <w:tabs>
          <w:tab w:val="clear" w:pos="340"/>
          <w:tab w:val="num" w:pos="1134"/>
        </w:tabs>
        <w:ind w:left="1134"/>
      </w:pPr>
      <w:r>
        <w:t>Encouraging fewer dealers to hold licences for higher</w:t>
      </w:r>
      <w:r w:rsidR="00830CFC">
        <w:t>-</w:t>
      </w:r>
      <w:r>
        <w:t>risk firearms, so that Victoria Police can focus its monitoring and enforcement activities on dealers who deal in higher risk firearms (thereby allowing it to potentially better identify issues involving higher risk firearms)</w:t>
      </w:r>
    </w:p>
    <w:p w14:paraId="1F2CACF4" w14:textId="77777777" w:rsidR="00052799" w:rsidRDefault="00052799" w:rsidP="00052799">
      <w:pPr>
        <w:pStyle w:val="BodyText"/>
        <w:numPr>
          <w:ilvl w:val="0"/>
          <w:numId w:val="72"/>
        </w:numPr>
        <w:tabs>
          <w:tab w:val="clear" w:pos="340"/>
          <w:tab w:val="num" w:pos="1134"/>
        </w:tabs>
        <w:ind w:left="1134"/>
      </w:pPr>
      <w:r>
        <w:t>Recovering costs for Victoria Police’s activities that are currently not prescribed in Regulations as activities with a fee associated.</w:t>
      </w:r>
    </w:p>
    <w:p w14:paraId="0FF3DF97" w14:textId="77777777" w:rsidR="00052799" w:rsidRDefault="00052799" w:rsidP="00052799">
      <w:pPr>
        <w:pStyle w:val="Heading4"/>
      </w:pPr>
      <w:r>
        <w:t>Amendments to existing firearms dealer licence categories</w:t>
      </w:r>
    </w:p>
    <w:p w14:paraId="19D55A42" w14:textId="77777777" w:rsidR="00052799" w:rsidRPr="00610D49" w:rsidRDefault="00052799" w:rsidP="00052799">
      <w:pPr>
        <w:pStyle w:val="BodyText"/>
      </w:pPr>
      <w:r w:rsidRPr="00610D49">
        <w:t>Section 60 of the Act allows for the Chief Commissioner to licence a person to operate as a dealer either for all categories of firearms or for a selection of categories, and for all aspects of the business or only particular aspects. In practice (and if Schedule 4 of the Regulations was remade in its current form) dealer licences are issued in three classes:</w:t>
      </w:r>
    </w:p>
    <w:p w14:paraId="28F44482" w14:textId="77777777" w:rsidR="00052799" w:rsidRPr="00610D49" w:rsidRDefault="00052799" w:rsidP="00052799">
      <w:pPr>
        <w:pStyle w:val="Bulletnormal"/>
        <w:tabs>
          <w:tab w:val="clear" w:pos="283"/>
        </w:tabs>
      </w:pPr>
      <w:r w:rsidRPr="00610D49">
        <w:t xml:space="preserve">Class 1: dealing in all categories of firearm </w:t>
      </w:r>
    </w:p>
    <w:p w14:paraId="3DF50159" w14:textId="77777777" w:rsidR="00052799" w:rsidRPr="00610D49" w:rsidRDefault="00052799" w:rsidP="00052799">
      <w:pPr>
        <w:pStyle w:val="Bulletnormal"/>
        <w:tabs>
          <w:tab w:val="clear" w:pos="283"/>
        </w:tabs>
      </w:pPr>
      <w:r w:rsidRPr="00610D49">
        <w:t xml:space="preserve">Class 2: dealing in only category A longarms, category B longarms and general category handguns, or </w:t>
      </w:r>
    </w:p>
    <w:p w14:paraId="7B41902A" w14:textId="77777777" w:rsidR="00052799" w:rsidRPr="00610D49" w:rsidRDefault="00052799" w:rsidP="00052799">
      <w:pPr>
        <w:pStyle w:val="Bulletnormal"/>
        <w:tabs>
          <w:tab w:val="clear" w:pos="283"/>
        </w:tabs>
      </w:pPr>
      <w:r w:rsidRPr="00610D49">
        <w:t xml:space="preserve">Class 3: the repair of firearms (all categories) and/or the sale of ammunition. </w:t>
      </w:r>
    </w:p>
    <w:p w14:paraId="1D449D7C" w14:textId="77777777" w:rsidR="00052799" w:rsidRPr="00610D49" w:rsidRDefault="00052799" w:rsidP="00052799">
      <w:pPr>
        <w:pStyle w:val="Body"/>
      </w:pPr>
      <w:r w:rsidRPr="00610D49">
        <w:t>This option would adjust the Class 2 dealer licence so that dealers holding this class of licence could also trade in category C longarms, as well as the categories that they can currently trade in. It would also allow class 2 dealers to accept, for surrender or destruction, firearms from outside those classes for which they are ordinarily licensed</w:t>
      </w:r>
      <w:r>
        <w:t xml:space="preserve"> (to be implemented through licence conditions)</w:t>
      </w:r>
      <w:r w:rsidRPr="00610D49">
        <w:t xml:space="preserve">. </w:t>
      </w:r>
    </w:p>
    <w:p w14:paraId="6C5A6C32" w14:textId="1A437CC0" w:rsidR="00052799" w:rsidRPr="00610D49" w:rsidRDefault="00052799" w:rsidP="00052799">
      <w:pPr>
        <w:pStyle w:val="BodyText"/>
      </w:pPr>
      <w:r w:rsidRPr="00610D49">
        <w:t>Class 2 licences do not currently allow dealers to trade in category C firearms. These firearms are common in rural areas, particularly because of their use for the genuine reason of primary production. Consultation with dealers and Victoria Police suggests that the combination of these factors means that Class 2 licences are perceived to limit the ability of dealers to service the rural and regional Victorian market effectively.  Consultations also highlighted that the lack</w:t>
      </w:r>
      <w:r w:rsidR="00554C23">
        <w:t xml:space="preserve"> of ability to deal in category </w:t>
      </w:r>
      <w:r w:rsidRPr="00610D49">
        <w:t>C longarms restricts the ability of Class 2 dealers from being</w:t>
      </w:r>
      <w:r w:rsidR="00554C23">
        <w:t xml:space="preserve"> able to purchase used category </w:t>
      </w:r>
      <w:r w:rsidRPr="00610D49">
        <w:t xml:space="preserve">C </w:t>
      </w:r>
      <w:r w:rsidR="00554C23">
        <w:t>longarms</w:t>
      </w:r>
      <w:r w:rsidRPr="00610D49">
        <w:t xml:space="preserve"> from licensees, accept them into storage or accept them during an amnesty. </w:t>
      </w:r>
    </w:p>
    <w:p w14:paraId="63F5A54F" w14:textId="7F064624" w:rsidR="00052799" w:rsidRPr="00610D49" w:rsidRDefault="00052799" w:rsidP="00052799">
      <w:pPr>
        <w:pStyle w:val="BodyText"/>
      </w:pPr>
      <w:r w:rsidRPr="00610D49">
        <w:t xml:space="preserve">Victoria Police noted that a consequence of the current Class 1 and Class 2 arrangement is that some dealers may obtain a Class 1 licence under the existing regulations solely to be allowed to trade in category C longarms. In addition to category C firearms, Class 1 licences also allow dealers to trade in Category D and E </w:t>
      </w:r>
      <w:r w:rsidR="00554C23">
        <w:t>longarms</w:t>
      </w:r>
      <w:r w:rsidRPr="00610D49">
        <w:t xml:space="preserve"> (access to which is highly restricted). In practice, this means that some Class 1 licensees are authorised to trade in Category D and E firearms, despite having no business need to do so. Victoria Police consider that it is undesirable, from the perspective of public safety, to have more dealers licensed to sell category D and E firearms than is necessary to meet the limited market need for these firearms. </w:t>
      </w:r>
      <w:r>
        <w:t>The Department</w:t>
      </w:r>
      <w:r w:rsidRPr="00610D49">
        <w:t xml:space="preserve"> consider</w:t>
      </w:r>
      <w:r>
        <w:t>s</w:t>
      </w:r>
      <w:r w:rsidRPr="00610D49">
        <w:t xml:space="preserve"> that including category C firearms within the scope of a Class 2 dealer licence will mean that more dealers can effectively operate their business on the more restricted (and lower cost) Class 2 licence. </w:t>
      </w:r>
      <w:r>
        <w:t xml:space="preserve">It is also possible that making this change could </w:t>
      </w:r>
      <w:r w:rsidRPr="006D1639">
        <w:t xml:space="preserve">enable Victoria Police to better concentrate its monitoring activity through more effectively targeting dealers who deal in higher-risk firearms. </w:t>
      </w:r>
      <w:r w:rsidRPr="00A60C4C">
        <w:t>By concentrating Victoria Police’s monitoring activity on dealers who deal in higher-risk firearms, there is likely to be a shift in regulatory burden away from dealers who deal in lower-risk firearms, and a commensurate increase in regulatory burden for dealers who deal in higher-risk firearms.</w:t>
      </w:r>
    </w:p>
    <w:p w14:paraId="61D3BE4F" w14:textId="70E2E690" w:rsidR="00052799" w:rsidRDefault="00052799" w:rsidP="00052799">
      <w:pPr>
        <w:pStyle w:val="BodyText"/>
      </w:pPr>
      <w:r>
        <w:t>Less than 8</w:t>
      </w:r>
      <w:r w:rsidRPr="00610D49">
        <w:t>0 per cent</w:t>
      </w:r>
      <w:r>
        <w:t xml:space="preserve"> of</w:t>
      </w:r>
      <w:r w:rsidRPr="00610D49">
        <w:t xml:space="preserve"> licensed firearms dealers in Victoria hold a Class 1 firearms dealer licence. Victoria Police estimates that approximately 20 per cent of dealers currently holding Class 1 licences would transition to Class 2 licences if this change was made. Given the small difference between the two licence fees, and the low volumes of the two categories, the overall revenue (and administrative cost) impact </w:t>
      </w:r>
      <w:r>
        <w:t xml:space="preserve">will be less than </w:t>
      </w:r>
      <w:r w:rsidRPr="00610D49">
        <w:t>$</w:t>
      </w:r>
      <w:r>
        <w:t>5</w:t>
      </w:r>
      <w:r w:rsidRPr="00610D49">
        <w:t>,</w:t>
      </w:r>
      <w:r>
        <w:t>0</w:t>
      </w:r>
      <w:r w:rsidRPr="00610D49">
        <w:t>00 in 2017</w:t>
      </w:r>
      <w:r w:rsidR="00830CFC">
        <w:t>–</w:t>
      </w:r>
      <w:r w:rsidRPr="00610D49">
        <w:t>18.</w:t>
      </w:r>
      <w:r w:rsidRPr="00610D49">
        <w:rPr>
          <w:rStyle w:val="FootnoteReference"/>
        </w:rPr>
        <w:footnoteReference w:id="34"/>
      </w:r>
    </w:p>
    <w:p w14:paraId="1338CB26" w14:textId="77777777" w:rsidR="00052799" w:rsidRDefault="00052799" w:rsidP="00052799">
      <w:pPr>
        <w:pStyle w:val="BodyText"/>
      </w:pPr>
      <w:r w:rsidRPr="00610D49">
        <w:t>Th</w:t>
      </w:r>
      <w:r>
        <w:t>e</w:t>
      </w:r>
      <w:r w:rsidRPr="00610D49">
        <w:t xml:space="preserve"> proposal</w:t>
      </w:r>
      <w:r>
        <w:t xml:space="preserve">s of broadening the Class 2 dealer licence </w:t>
      </w:r>
      <w:r w:rsidRPr="00610D49">
        <w:t xml:space="preserve">would result in minor administrative savings (as a greater proportion of applicants would be diverted into </w:t>
      </w:r>
      <w:r>
        <w:t>lower risk dealer licences</w:t>
      </w:r>
      <w:r w:rsidRPr="00610D49">
        <w:t>, which requires less effort to process). The regulatory burden on dealers would also be reduced—firearms dealers able to carry on their businesses under a Class 2 dealer licence, rather than Class 1, would no longer be subject to the higher fees and burdens associated with a Class 1 licence</w:t>
      </w:r>
      <w:r>
        <w:t>.</w:t>
      </w:r>
    </w:p>
    <w:p w14:paraId="04D61A3E" w14:textId="77777777" w:rsidR="00052799" w:rsidRDefault="00052799" w:rsidP="00052799">
      <w:pPr>
        <w:pStyle w:val="BodyText"/>
      </w:pPr>
      <w:r w:rsidRPr="00610D49">
        <w:t>The proposal would also reduce risks to public safety and security. Victoria Police has indicated that it has concerns about dealer licences being issued</w:t>
      </w:r>
      <w:r>
        <w:t xml:space="preserve"> for higher risk firearms where the dealer does not actively deal in those firearms</w:t>
      </w:r>
      <w:r w:rsidRPr="00610D49">
        <w:t xml:space="preserve">, </w:t>
      </w:r>
      <w:r>
        <w:t>given that</w:t>
      </w:r>
      <w:r w:rsidRPr="00610D49">
        <w:t xml:space="preserve"> </w:t>
      </w:r>
      <w:r>
        <w:t>h</w:t>
      </w:r>
      <w:r w:rsidRPr="00610D49">
        <w:t xml:space="preserve">aving fewer dealers licensed to carry these firearms unnecessarily would reduce the risk to the public (by reducing the number of locations in which higher-risk firearms are held). </w:t>
      </w:r>
      <w:r>
        <w:t>T</w:t>
      </w:r>
      <w:r w:rsidRPr="00610D49">
        <w:t xml:space="preserve">his proposal </w:t>
      </w:r>
      <w:r>
        <w:t xml:space="preserve">is likely to </w:t>
      </w:r>
      <w:r w:rsidRPr="00610D49">
        <w:t xml:space="preserve">allow for better allocation of Victoria Police’s </w:t>
      </w:r>
      <w:r>
        <w:t>compliance resources</w:t>
      </w:r>
      <w:r w:rsidRPr="00610D49">
        <w:t xml:space="preserve">, by allowing it to dedicate more effort to regulating those dealers that actively deal in </w:t>
      </w:r>
      <w:r>
        <w:t>higher risk</w:t>
      </w:r>
      <w:r w:rsidRPr="00610D49">
        <w:t xml:space="preserve"> firearms. </w:t>
      </w:r>
    </w:p>
    <w:p w14:paraId="24B98129" w14:textId="7264A2CD" w:rsidR="00052799" w:rsidRPr="00610D49" w:rsidRDefault="00052799" w:rsidP="00052799">
      <w:pPr>
        <w:pStyle w:val="Heading4"/>
      </w:pPr>
      <w:r>
        <w:t>Creation of a paintball marke</w:t>
      </w:r>
      <w:r w:rsidR="00554C23">
        <w:t>r class of firearm dealer licenc</w:t>
      </w:r>
      <w:r>
        <w:t>e</w:t>
      </w:r>
    </w:p>
    <w:p w14:paraId="7B9CC40E" w14:textId="77777777" w:rsidR="00052799" w:rsidRDefault="00052799" w:rsidP="00052799">
      <w:pPr>
        <w:pStyle w:val="BodyText"/>
      </w:pPr>
      <w:r>
        <w:t>It is also proposed to create</w:t>
      </w:r>
      <w:r w:rsidRPr="00721776">
        <w:t xml:space="preserve"> a standalone paintball marke</w:t>
      </w:r>
      <w:r>
        <w:t>r class of firearm dealer licenc</w:t>
      </w:r>
      <w:r w:rsidRPr="00721776">
        <w:t xml:space="preserve">e. </w:t>
      </w:r>
      <w:r>
        <w:t>This option would see a new, lower cost firearm dealer licence category created which would allow a dealer only to trade in paintball markers. This class of licence would be targeted to operators of paintball ranges, who sometimes hold dealer licence to enable them to trade in paintball markers, and dealers who supply paintball markers to ranges. At present, these individuals are required to hold a class 1 dealer’s licence. While demand for this licence category is not expected to be substantial, the paintball industry supported the proposal when consulted. No stakeholders raised objections to the change during consultations and it was generally agreed that, given the lesser enforcement activity and public safety threat associated with paintball guns as opposed to, for example, general category handguns.</w:t>
      </w:r>
    </w:p>
    <w:p w14:paraId="481A35D6" w14:textId="260DB3E5" w:rsidR="00052799" w:rsidRDefault="00052799" w:rsidP="00052799">
      <w:pPr>
        <w:pStyle w:val="BodyText"/>
      </w:pPr>
      <w:r>
        <w:t xml:space="preserve">As with the broadening the Class 2 dealer licence, the creation of a paintball marker licence </w:t>
      </w:r>
      <w:r w:rsidRPr="00610D49">
        <w:t>would result in minor administrative savings (as applicants would be diverted into</w:t>
      </w:r>
      <w:r>
        <w:t xml:space="preserve"> the new paintball licence class</w:t>
      </w:r>
      <w:r w:rsidRPr="00610D49">
        <w:t>, which</w:t>
      </w:r>
      <w:r>
        <w:t xml:space="preserve"> </w:t>
      </w:r>
      <w:r w:rsidR="00830CFC">
        <w:t>is expected to</w:t>
      </w:r>
      <w:r w:rsidRPr="00610D49">
        <w:t xml:space="preserve"> require less effort to process</w:t>
      </w:r>
      <w:r>
        <w:t xml:space="preserve"> than an application for a licence allowing the holder to trade in other firearms categories</w:t>
      </w:r>
      <w:r w:rsidRPr="00610D49">
        <w:t>). The regulatory burden on dealers would also be reduced—</w:t>
      </w:r>
      <w:r>
        <w:t xml:space="preserve">paintball operators and those dealing in </w:t>
      </w:r>
      <w:r w:rsidR="00830CFC">
        <w:t xml:space="preserve">paintball </w:t>
      </w:r>
      <w:r>
        <w:t>markers (but no other firearms) could</w:t>
      </w:r>
      <w:r w:rsidRPr="00610D49">
        <w:t xml:space="preserve"> carry on their businesses under </w:t>
      </w:r>
      <w:r>
        <w:t>the new licence class</w:t>
      </w:r>
      <w:r w:rsidRPr="00610D49">
        <w:t xml:space="preserve">, </w:t>
      </w:r>
      <w:r>
        <w:t xml:space="preserve">and would not be subject to the higher fees and burdens associated with a Class </w:t>
      </w:r>
      <w:r w:rsidR="00830CFC">
        <w:t>1</w:t>
      </w:r>
      <w:r>
        <w:t xml:space="preserve"> licence. </w:t>
      </w:r>
    </w:p>
    <w:p w14:paraId="30902A2F" w14:textId="716A83C7" w:rsidR="00052799" w:rsidRDefault="00052799" w:rsidP="00052799">
      <w:pPr>
        <w:pStyle w:val="BodyText"/>
      </w:pPr>
      <w:r>
        <w:t xml:space="preserve">There would also be a public safety dividend as fewer individuals would, </w:t>
      </w:r>
      <w:r w:rsidR="00830CFC">
        <w:t>in all likelihood</w:t>
      </w:r>
      <w:r>
        <w:t>, be licensed to carry firearms of a higher category than they are trading in. Just as category D and E firearms, all else being equal, generally pose a higher risk than category A</w:t>
      </w:r>
      <w:r w:rsidR="00830CFC">
        <w:t xml:space="preserve">, B and </w:t>
      </w:r>
      <w:r>
        <w:t>C firearms, category A</w:t>
      </w:r>
      <w:r w:rsidR="00830CFC">
        <w:t xml:space="preserve">, B and </w:t>
      </w:r>
      <w:r>
        <w:t xml:space="preserve">C firearms generally pose a higher risk than paintball markers. Victoria </w:t>
      </w:r>
      <w:r w:rsidR="00830CFC">
        <w:t>P</w:t>
      </w:r>
      <w:r>
        <w:t xml:space="preserve">olice has indicated that having fewer dealers licensed to carry firearms that they do not trade in would assist them to better allocate compliance resources away from those who currently trade only in paintball markers (but whom are licensed as Class </w:t>
      </w:r>
      <w:r w:rsidR="00830CFC">
        <w:t>1</w:t>
      </w:r>
      <w:r>
        <w:t xml:space="preserve"> dealers) and towards those that actively trade in firearms other than paintball markers. </w:t>
      </w:r>
    </w:p>
    <w:p w14:paraId="25AF25F1" w14:textId="77777777" w:rsidR="00052799" w:rsidRPr="00610D49" w:rsidRDefault="00052799" w:rsidP="00052799">
      <w:pPr>
        <w:pStyle w:val="Heading4"/>
      </w:pPr>
      <w:r>
        <w:t>Cost-recovery related changes</w:t>
      </w:r>
    </w:p>
    <w:p w14:paraId="4B4F525C" w14:textId="77777777" w:rsidR="00052799" w:rsidRDefault="00052799" w:rsidP="00052799">
      <w:pPr>
        <w:pStyle w:val="BodyText"/>
      </w:pPr>
      <w:r>
        <w:t>The Regulations currently prescribe fees in order to recover the costs associated with Victoria Police’s activities in administering the regulatory framework. Victoria Police has identified two categories of activities where there is not a fee currently prescribed:</w:t>
      </w:r>
    </w:p>
    <w:p w14:paraId="3D177C06" w14:textId="77777777" w:rsidR="00052799" w:rsidRPr="001F3D02" w:rsidRDefault="00052799" w:rsidP="00052799">
      <w:pPr>
        <w:pStyle w:val="Bulletnormal"/>
        <w:tabs>
          <w:tab w:val="clear" w:pos="283"/>
        </w:tabs>
      </w:pPr>
      <w:r w:rsidRPr="001F3D02">
        <w:t>the issue of permits a populous place permit</w:t>
      </w:r>
    </w:p>
    <w:p w14:paraId="48FDBB89" w14:textId="77777777" w:rsidR="00052799" w:rsidRPr="00261878" w:rsidRDefault="00052799" w:rsidP="00052799">
      <w:pPr>
        <w:pStyle w:val="Bulletnormal"/>
        <w:tabs>
          <w:tab w:val="clear" w:pos="283"/>
        </w:tabs>
      </w:pPr>
      <w:r w:rsidRPr="00F420A2">
        <w:t>the issue of permits to acquire category D and E longarms</w:t>
      </w:r>
      <w:r w:rsidRPr="00090042">
        <w:t>.</w:t>
      </w:r>
    </w:p>
    <w:p w14:paraId="491049F1" w14:textId="5E91488D" w:rsidR="00052799" w:rsidRDefault="00052799" w:rsidP="00052799">
      <w:pPr>
        <w:pStyle w:val="BodyText"/>
      </w:pPr>
      <w:r w:rsidRPr="00721776">
        <w:t>There is currently no fee prescribed for issuing a permit under section 130 of the Act. There is substantial work involved in assessing an application for a permit, including a site inspection.</w:t>
      </w:r>
      <w:r>
        <w:t xml:space="preserve"> Where a populous place permit is undertaken, a sworn member travels to a site where the potential shooting activity is to occur, undertake</w:t>
      </w:r>
      <w:r w:rsidR="00830CFC">
        <w:t>s</w:t>
      </w:r>
      <w:r>
        <w:t xml:space="preserve"> an inspection, and then return</w:t>
      </w:r>
      <w:r w:rsidR="00830CFC">
        <w:t>s</w:t>
      </w:r>
      <w:r>
        <w:t xml:space="preserve"> to the police station and write</w:t>
      </w:r>
      <w:r w:rsidR="00830CFC">
        <w:t>s</w:t>
      </w:r>
      <w:r>
        <w:t xml:space="preserve"> a </w:t>
      </w:r>
      <w:r w:rsidRPr="006D1639">
        <w:t xml:space="preserve">report on the activity </w:t>
      </w:r>
      <w:r w:rsidRPr="00A60C4C">
        <w:t xml:space="preserve">– this process is followed by Victoria Police as an operational decision based on the requirement to satisfy itself of the conditions of granting such a permit under </w:t>
      </w:r>
      <w:r w:rsidR="00830CFC">
        <w:t>s</w:t>
      </w:r>
      <w:r w:rsidRPr="00A60C4C">
        <w:t>ection 130(4) of the Act</w:t>
      </w:r>
      <w:r w:rsidRPr="006D1639">
        <w:t>. I</w:t>
      </w:r>
      <w:r>
        <w:t>n 2015 there were less than 100 of these populous place permits granted, and less than 200 in 2016. The activities have a benefit specifically for the applicant of the populous place permits (as opposed to licensees generally or broader taxpayers). As an example of a populous place permit applicant, these could be where pest control activities will occur for the benefit of an owner of a warehouse in a semi-regional location. If the current regulations would continue, the cost of these activities would be cross-subsidised by firearms licensees generally. Under the base case (i.e. where the regulations lapsed and no fees were charged), the cost of these activities would be recovered by taxpayers generally.</w:t>
      </w:r>
    </w:p>
    <w:p w14:paraId="10F16DDB" w14:textId="77777777" w:rsidR="00052799" w:rsidRDefault="00052799" w:rsidP="00052799">
      <w:pPr>
        <w:pStyle w:val="BodyText"/>
      </w:pPr>
      <w:r w:rsidRPr="00721776">
        <w:t xml:space="preserve">There is currently no fee prescribed for </w:t>
      </w:r>
      <w:r>
        <w:t>issuing a permit to acquire for category D and E longarms. As a result, the current practice of Victoria Police is to charge applicants for category D and E longarms at the rate prescribed for permits to acquire category B and C longarms. There is no reason to exempt a category D and E longarm applicant from being charged on a cost-recovery basis – all other applicants for permits to acquire are charged on a cost-recovery basis – and introducing this fee in regulation will ensure that the regulations reflect current practice of recovering costs based on the same principles.</w:t>
      </w:r>
    </w:p>
    <w:p w14:paraId="19103318" w14:textId="77777777" w:rsidR="00052799" w:rsidRDefault="00052799" w:rsidP="00052799">
      <w:pPr>
        <w:pStyle w:val="Heading4"/>
      </w:pPr>
      <w:r w:rsidRPr="00622D94">
        <w:t>Evaluation of Option</w:t>
      </w:r>
    </w:p>
    <w:p w14:paraId="1D84CC9A" w14:textId="77777777" w:rsidR="00052799" w:rsidRDefault="00052799" w:rsidP="00052799">
      <w:pPr>
        <w:pStyle w:val="BodyText"/>
      </w:pPr>
      <w:r>
        <w:t>For ease of consideration of the key components of this option, the key rationale for each of the four components is summarised in the table below.</w:t>
      </w:r>
    </w:p>
    <w:p w14:paraId="0AAA0238" w14:textId="3A9C4FFF" w:rsidR="009F677B" w:rsidRPr="00622D94" w:rsidRDefault="009F677B" w:rsidP="009F677B">
      <w:pPr>
        <w:pStyle w:val="Caption"/>
        <w:keepNext/>
      </w:pPr>
      <w:r w:rsidRPr="00622D94">
        <w:t xml:space="preserve">Table </w:t>
      </w:r>
      <w:r w:rsidR="001C7D77">
        <w:rPr>
          <w:noProof/>
        </w:rPr>
        <w:t>17</w:t>
      </w:r>
      <w:r>
        <w:t>: Summary of rationale for each component of non-fee option 5</w:t>
      </w:r>
    </w:p>
    <w:tbl>
      <w:tblPr>
        <w:tblW w:w="4544" w:type="pct"/>
        <w:tblInd w:w="907" w:type="dxa"/>
        <w:tblBorders>
          <w:top w:val="single" w:sz="4" w:space="0" w:color="666366"/>
          <w:bottom w:val="single" w:sz="4" w:space="0" w:color="666366"/>
          <w:insideH w:val="single" w:sz="2" w:space="0" w:color="C0C0C0"/>
        </w:tblBorders>
        <w:tblLayout w:type="fixed"/>
        <w:tblCellMar>
          <w:top w:w="57" w:type="dxa"/>
          <w:bottom w:w="57" w:type="dxa"/>
        </w:tblCellMar>
        <w:tblLook w:val="0000" w:firstRow="0" w:lastRow="0" w:firstColumn="0" w:lastColumn="0" w:noHBand="0" w:noVBand="0"/>
        <w:tblCaption w:val="Table 17: Summary of rationale for each component of non-fee option 5"/>
      </w:tblPr>
      <w:tblGrid>
        <w:gridCol w:w="3062"/>
        <w:gridCol w:w="5954"/>
      </w:tblGrid>
      <w:tr w:rsidR="00052799" w:rsidRPr="00176ADE" w14:paraId="12B3D00D" w14:textId="77777777" w:rsidTr="00871631">
        <w:trPr>
          <w:trHeight w:val="292"/>
          <w:tblHeader/>
        </w:trPr>
        <w:tc>
          <w:tcPr>
            <w:tcW w:w="1698" w:type="pct"/>
            <w:tcBorders>
              <w:top w:val="single" w:sz="4" w:space="0" w:color="666366"/>
              <w:bottom w:val="single" w:sz="2" w:space="0" w:color="C0C0C0"/>
            </w:tcBorders>
            <w:shd w:val="clear" w:color="auto" w:fill="01356E"/>
            <w:vAlign w:val="center"/>
          </w:tcPr>
          <w:p w14:paraId="3723E2C1" w14:textId="77777777" w:rsidR="00052799" w:rsidRPr="002D7AE6" w:rsidRDefault="00052799" w:rsidP="00871631">
            <w:pPr>
              <w:pStyle w:val="TableHeader"/>
              <w:jc w:val="center"/>
              <w:rPr>
                <w:sz w:val="18"/>
                <w:szCs w:val="18"/>
              </w:rPr>
            </w:pPr>
            <w:r w:rsidRPr="002D7AE6">
              <w:rPr>
                <w:sz w:val="18"/>
                <w:szCs w:val="18"/>
              </w:rPr>
              <w:t>Component of option</w:t>
            </w:r>
          </w:p>
        </w:tc>
        <w:tc>
          <w:tcPr>
            <w:tcW w:w="3302" w:type="pct"/>
            <w:tcBorders>
              <w:top w:val="single" w:sz="4" w:space="0" w:color="666366"/>
              <w:bottom w:val="single" w:sz="2" w:space="0" w:color="C0C0C0"/>
            </w:tcBorders>
            <w:shd w:val="clear" w:color="auto" w:fill="01356E"/>
            <w:vAlign w:val="center"/>
          </w:tcPr>
          <w:p w14:paraId="76BED9BB" w14:textId="77777777" w:rsidR="00052799" w:rsidRPr="002D7AE6" w:rsidRDefault="00052799" w:rsidP="00871631">
            <w:pPr>
              <w:pStyle w:val="TableHeader"/>
              <w:jc w:val="center"/>
              <w:rPr>
                <w:sz w:val="18"/>
                <w:szCs w:val="18"/>
              </w:rPr>
            </w:pPr>
            <w:r w:rsidRPr="002D7AE6">
              <w:rPr>
                <w:sz w:val="18"/>
                <w:szCs w:val="18"/>
              </w:rPr>
              <w:t>Key rationale</w:t>
            </w:r>
          </w:p>
        </w:tc>
      </w:tr>
      <w:tr w:rsidR="00052799" w:rsidRPr="00176ADE" w14:paraId="7EE4E729" w14:textId="77777777" w:rsidTr="00871631">
        <w:trPr>
          <w:trHeight w:val="292"/>
        </w:trPr>
        <w:tc>
          <w:tcPr>
            <w:tcW w:w="1698" w:type="pct"/>
            <w:shd w:val="clear" w:color="auto" w:fill="auto"/>
          </w:tcPr>
          <w:p w14:paraId="1741329B" w14:textId="77777777" w:rsidR="00052799" w:rsidRPr="002D7AE6" w:rsidRDefault="00052799" w:rsidP="00871631">
            <w:pPr>
              <w:rPr>
                <w:sz w:val="18"/>
                <w:szCs w:val="18"/>
              </w:rPr>
            </w:pPr>
            <w:r w:rsidRPr="002D7AE6">
              <w:rPr>
                <w:sz w:val="18"/>
                <w:szCs w:val="18"/>
              </w:rPr>
              <w:t>Allowing Class 2 dealers to trade in Category C longarms</w:t>
            </w:r>
          </w:p>
        </w:tc>
        <w:tc>
          <w:tcPr>
            <w:tcW w:w="3302" w:type="pct"/>
            <w:shd w:val="clear" w:color="auto" w:fill="auto"/>
          </w:tcPr>
          <w:p w14:paraId="3B3F1A68" w14:textId="77777777" w:rsidR="00052799" w:rsidRPr="002D7AE6" w:rsidRDefault="00052799" w:rsidP="00871631">
            <w:pPr>
              <w:pStyle w:val="TableText"/>
            </w:pPr>
            <w:r w:rsidRPr="002D7AE6">
              <w:t>Enables Victoria Police to better allocate its compliance resources, by allowing it to dedicate more effort to regulating those dealers that actively deal in higher risk firearms. May reduce the number of locations where higher risk firearms are held.</w:t>
            </w:r>
          </w:p>
        </w:tc>
      </w:tr>
      <w:tr w:rsidR="00052799" w:rsidRPr="00176ADE" w14:paraId="7F060AB5" w14:textId="77777777" w:rsidTr="00871631">
        <w:trPr>
          <w:trHeight w:val="292"/>
        </w:trPr>
        <w:tc>
          <w:tcPr>
            <w:tcW w:w="1698" w:type="pct"/>
            <w:shd w:val="clear" w:color="auto" w:fill="auto"/>
          </w:tcPr>
          <w:p w14:paraId="2E8518DD" w14:textId="77777777" w:rsidR="00052799" w:rsidRPr="002D7AE6" w:rsidRDefault="00052799" w:rsidP="00871631">
            <w:pPr>
              <w:rPr>
                <w:sz w:val="18"/>
                <w:szCs w:val="18"/>
              </w:rPr>
            </w:pPr>
            <w:r w:rsidRPr="002D7AE6">
              <w:rPr>
                <w:sz w:val="18"/>
                <w:szCs w:val="18"/>
              </w:rPr>
              <w:t>Creation a standalone paintball marker class of firearm dealer licence.</w:t>
            </w:r>
          </w:p>
        </w:tc>
        <w:tc>
          <w:tcPr>
            <w:tcW w:w="3302" w:type="pct"/>
            <w:shd w:val="clear" w:color="auto" w:fill="auto"/>
          </w:tcPr>
          <w:p w14:paraId="4317B19F" w14:textId="77777777" w:rsidR="00052799" w:rsidRPr="002D7AE6" w:rsidRDefault="00052799" w:rsidP="00871631">
            <w:pPr>
              <w:pStyle w:val="TableText"/>
            </w:pPr>
            <w:r w:rsidRPr="002D7AE6">
              <w:t>Enables Victoria Police to better allocate its compliance resources, by allowing it to dedicate more effort to regulating those dealers that actively deal in higher risk firearms. May reduce the number of locations where higher risk firearms are held.</w:t>
            </w:r>
          </w:p>
        </w:tc>
      </w:tr>
      <w:tr w:rsidR="00052799" w:rsidRPr="00176ADE" w14:paraId="071BAC14" w14:textId="77777777" w:rsidTr="00871631">
        <w:trPr>
          <w:trHeight w:val="274"/>
        </w:trPr>
        <w:tc>
          <w:tcPr>
            <w:tcW w:w="1698" w:type="pct"/>
            <w:shd w:val="clear" w:color="auto" w:fill="auto"/>
          </w:tcPr>
          <w:p w14:paraId="25D5BBD0" w14:textId="77777777" w:rsidR="00052799" w:rsidRPr="002D7AE6" w:rsidRDefault="00052799" w:rsidP="00871631">
            <w:pPr>
              <w:pStyle w:val="TableText"/>
            </w:pPr>
            <w:r w:rsidRPr="002D7AE6">
              <w:t>Creation of a fee for the issue of permits a populous place permit</w:t>
            </w:r>
          </w:p>
        </w:tc>
        <w:tc>
          <w:tcPr>
            <w:tcW w:w="3302" w:type="pct"/>
            <w:shd w:val="clear" w:color="auto" w:fill="auto"/>
          </w:tcPr>
          <w:p w14:paraId="1392F05C" w14:textId="77777777" w:rsidR="00052799" w:rsidRPr="002D7AE6" w:rsidRDefault="00052799" w:rsidP="00871631">
            <w:pPr>
              <w:pStyle w:val="TableText"/>
            </w:pPr>
            <w:r w:rsidRPr="002D7AE6">
              <w:t>This would result in costs being recovered from applicants for these permits.</w:t>
            </w:r>
          </w:p>
        </w:tc>
      </w:tr>
      <w:tr w:rsidR="00052799" w:rsidRPr="00176ADE" w14:paraId="3E15D9DD" w14:textId="77777777" w:rsidTr="00871631">
        <w:trPr>
          <w:trHeight w:val="274"/>
        </w:trPr>
        <w:tc>
          <w:tcPr>
            <w:tcW w:w="1698" w:type="pct"/>
            <w:shd w:val="clear" w:color="auto" w:fill="auto"/>
          </w:tcPr>
          <w:p w14:paraId="4BA526A6" w14:textId="77777777" w:rsidR="00052799" w:rsidRPr="002D7AE6" w:rsidRDefault="00052799" w:rsidP="00871631">
            <w:pPr>
              <w:pStyle w:val="TableText"/>
            </w:pPr>
            <w:r w:rsidRPr="002D7AE6">
              <w:t>Creation of a fee for a permit to acquire category D and E longarms</w:t>
            </w:r>
          </w:p>
        </w:tc>
        <w:tc>
          <w:tcPr>
            <w:tcW w:w="3302" w:type="pct"/>
            <w:shd w:val="clear" w:color="auto" w:fill="auto"/>
          </w:tcPr>
          <w:p w14:paraId="19C88EAA" w14:textId="77777777" w:rsidR="00052799" w:rsidRPr="002D7AE6" w:rsidRDefault="00052799" w:rsidP="00871631">
            <w:pPr>
              <w:pStyle w:val="TableText"/>
            </w:pPr>
            <w:r w:rsidRPr="002D7AE6">
              <w:t>This would prescribe a fee category for permits to acquire under these categories, thereby ensuring that the regulations reflect current practice of recovering costs based on the same principles.</w:t>
            </w:r>
          </w:p>
        </w:tc>
      </w:tr>
    </w:tbl>
    <w:p w14:paraId="6753BF69" w14:textId="77777777" w:rsidR="00052799" w:rsidRPr="007B2F2C" w:rsidRDefault="00052799" w:rsidP="00052799">
      <w:pPr>
        <w:pStyle w:val="BodyText"/>
      </w:pPr>
      <w:r>
        <w:t>Evaluation of this group of components is summarised against each of the criteria below.</w:t>
      </w:r>
    </w:p>
    <w:p w14:paraId="12E30DF7" w14:textId="77777777" w:rsidR="00052799" w:rsidRPr="00622D94" w:rsidRDefault="00052799" w:rsidP="00052799">
      <w:pPr>
        <w:pStyle w:val="BodyText"/>
      </w:pPr>
      <w:r w:rsidRPr="00622D94">
        <w:rPr>
          <w:b/>
        </w:rPr>
        <w:t xml:space="preserve">Safety: </w:t>
      </w:r>
      <w:r>
        <w:t>The changes to dealer licence categories will better enable Victoria Police to target its monitoring activities, and may reduce the number of locations where higher risk firearms are held.</w:t>
      </w:r>
      <w:r w:rsidRPr="00622D94">
        <w:t xml:space="preserve"> As a result of the likely overall improvement in safety, a score of +</w:t>
      </w:r>
      <w:r>
        <w:t>3</w:t>
      </w:r>
      <w:r w:rsidRPr="00622D94">
        <w:t xml:space="preserve"> has been assigned to this criterion.</w:t>
      </w:r>
    </w:p>
    <w:p w14:paraId="2B9B8902" w14:textId="77777777" w:rsidR="00052799" w:rsidRPr="00622D94" w:rsidRDefault="00052799" w:rsidP="00052799">
      <w:pPr>
        <w:pStyle w:val="BodyText"/>
      </w:pPr>
      <w:r w:rsidRPr="00622D94">
        <w:rPr>
          <w:b/>
        </w:rPr>
        <w:t xml:space="preserve">Public peace: </w:t>
      </w:r>
      <w:r>
        <w:t>The changes to dealer licence categories will better enable Victoria Police to target its monitoring activities, and may reduce the number of locations where higher risk firearms are held.</w:t>
      </w:r>
      <w:r w:rsidRPr="00622D94">
        <w:t xml:space="preserve"> The impact on perceived risks of harm is, however, likely to be less pronounced than the impact on safety. According</w:t>
      </w:r>
      <w:r>
        <w:t>ly, a score of +2</w:t>
      </w:r>
      <w:r w:rsidRPr="00622D94">
        <w:t xml:space="preserve"> has been assigned to this criterion.</w:t>
      </w:r>
    </w:p>
    <w:p w14:paraId="08E3E81F" w14:textId="06993BA4" w:rsidR="00052799" w:rsidRPr="00622D94" w:rsidRDefault="00052799" w:rsidP="00052799">
      <w:pPr>
        <w:pStyle w:val="BodyText"/>
      </w:pPr>
      <w:r w:rsidRPr="00622D94">
        <w:rPr>
          <w:b/>
        </w:rPr>
        <w:t xml:space="preserve">Regulatory burden: </w:t>
      </w:r>
      <w:r w:rsidRPr="00622D94">
        <w:t xml:space="preserve">Under the base case, </w:t>
      </w:r>
      <w:r>
        <w:t>the Act would require dealers to be licensed, but no categories would be prescribed. Prescribing categories is likely to reduce burden by clarifying requirements.</w:t>
      </w:r>
      <w:r w:rsidRPr="001F3E3E">
        <w:t xml:space="preserve"> </w:t>
      </w:r>
      <w:r w:rsidRPr="00622D94">
        <w:t>According</w:t>
      </w:r>
      <w:r>
        <w:t>ly, a score of +1</w:t>
      </w:r>
      <w:r w:rsidRPr="00622D94">
        <w:t xml:space="preserve"> has been assigned to this criterion.</w:t>
      </w:r>
    </w:p>
    <w:p w14:paraId="2A4CB14C" w14:textId="77777777" w:rsidR="00052799" w:rsidRDefault="00052799" w:rsidP="00052799">
      <w:pPr>
        <w:pStyle w:val="BodyText"/>
      </w:pPr>
      <w:r w:rsidRPr="00622D94">
        <w:rPr>
          <w:b/>
        </w:rPr>
        <w:t>Administrative costs:</w:t>
      </w:r>
      <w:r w:rsidRPr="00622D94">
        <w:t xml:space="preserve"> </w:t>
      </w:r>
      <w:r>
        <w:t>U</w:t>
      </w:r>
      <w:r w:rsidRPr="00622D94">
        <w:t xml:space="preserve">nder the base case, Victoria Police </w:t>
      </w:r>
      <w:r>
        <w:t>would continue to undertake enforcement and monitoring activity across the different dealers and populous places, however, the activity may be less well targeted. In the absence of further information, a score of zero</w:t>
      </w:r>
      <w:r w:rsidRPr="00622D94">
        <w:t xml:space="preserve"> has been assigned to this criterion.</w:t>
      </w:r>
    </w:p>
    <w:p w14:paraId="5B3A87C0" w14:textId="4063AC56" w:rsidR="009F677B" w:rsidRPr="00622D94" w:rsidRDefault="009F677B" w:rsidP="009F677B">
      <w:pPr>
        <w:pStyle w:val="Caption"/>
      </w:pPr>
      <w:r w:rsidRPr="00622D94">
        <w:t xml:space="preserve">Table </w:t>
      </w:r>
      <w:r w:rsidR="001C7D77">
        <w:rPr>
          <w:noProof/>
        </w:rPr>
        <w:t>18</w:t>
      </w:r>
      <w:r w:rsidRPr="00622D94">
        <w:t>: MCA for non-fe</w:t>
      </w:r>
      <w:r>
        <w:t>e option 5</w:t>
      </w:r>
    </w:p>
    <w:tbl>
      <w:tblPr>
        <w:tblW w:w="4553" w:type="pct"/>
        <w:tblInd w:w="907" w:type="dxa"/>
        <w:tblBorders>
          <w:top w:val="single" w:sz="4" w:space="0" w:color="666366"/>
          <w:bottom w:val="single" w:sz="4" w:space="0" w:color="666366"/>
          <w:insideH w:val="single" w:sz="2" w:space="0" w:color="C0C0C0"/>
        </w:tblBorders>
        <w:tblLayout w:type="fixed"/>
        <w:tblCellMar>
          <w:top w:w="57" w:type="dxa"/>
          <w:bottom w:w="57" w:type="dxa"/>
        </w:tblCellMar>
        <w:tblLook w:val="01E0" w:firstRow="1" w:lastRow="1" w:firstColumn="1" w:lastColumn="1" w:noHBand="0" w:noVBand="0"/>
        <w:tblCaption w:val="Table 18: MCA for non-fee option 5"/>
      </w:tblPr>
      <w:tblGrid>
        <w:gridCol w:w="2258"/>
        <w:gridCol w:w="2258"/>
        <w:gridCol w:w="2259"/>
        <w:gridCol w:w="2259"/>
      </w:tblGrid>
      <w:tr w:rsidR="00052799" w:rsidRPr="00622D94" w14:paraId="5D4996BA" w14:textId="77777777" w:rsidTr="00871631">
        <w:trPr>
          <w:tblHeader/>
        </w:trPr>
        <w:tc>
          <w:tcPr>
            <w:tcW w:w="1250" w:type="pct"/>
            <w:tcBorders>
              <w:top w:val="single" w:sz="4" w:space="0" w:color="666366"/>
              <w:bottom w:val="single" w:sz="2" w:space="0" w:color="C0C0C0"/>
            </w:tcBorders>
            <w:shd w:val="clear" w:color="auto" w:fill="01356E"/>
          </w:tcPr>
          <w:p w14:paraId="6F76B41A" w14:textId="77777777" w:rsidR="00052799" w:rsidRPr="002D7AE6" w:rsidRDefault="00052799" w:rsidP="00871631">
            <w:pPr>
              <w:pStyle w:val="TableHeader"/>
              <w:rPr>
                <w:sz w:val="18"/>
                <w:szCs w:val="18"/>
              </w:rPr>
            </w:pPr>
            <w:r w:rsidRPr="002D7AE6">
              <w:rPr>
                <w:sz w:val="18"/>
                <w:szCs w:val="18"/>
              </w:rPr>
              <w:t>Criterion</w:t>
            </w:r>
          </w:p>
        </w:tc>
        <w:tc>
          <w:tcPr>
            <w:tcW w:w="1250" w:type="pct"/>
            <w:tcBorders>
              <w:top w:val="single" w:sz="4" w:space="0" w:color="666366"/>
              <w:bottom w:val="single" w:sz="2" w:space="0" w:color="C0C0C0"/>
            </w:tcBorders>
            <w:shd w:val="clear" w:color="auto" w:fill="01356E"/>
          </w:tcPr>
          <w:p w14:paraId="37E8441B" w14:textId="77777777" w:rsidR="00052799" w:rsidRPr="002D7AE6" w:rsidRDefault="00052799" w:rsidP="00871631">
            <w:pPr>
              <w:pStyle w:val="TableHeader"/>
              <w:rPr>
                <w:sz w:val="18"/>
                <w:szCs w:val="18"/>
              </w:rPr>
            </w:pPr>
            <w:r w:rsidRPr="002D7AE6">
              <w:rPr>
                <w:sz w:val="18"/>
                <w:szCs w:val="18"/>
              </w:rPr>
              <w:t>Weighting</w:t>
            </w:r>
          </w:p>
        </w:tc>
        <w:tc>
          <w:tcPr>
            <w:tcW w:w="1250" w:type="pct"/>
            <w:tcBorders>
              <w:top w:val="single" w:sz="4" w:space="0" w:color="666366"/>
              <w:bottom w:val="single" w:sz="2" w:space="0" w:color="C0C0C0"/>
            </w:tcBorders>
            <w:shd w:val="clear" w:color="auto" w:fill="01356E"/>
          </w:tcPr>
          <w:p w14:paraId="6489809F" w14:textId="77777777" w:rsidR="00052799" w:rsidRPr="002D7AE6" w:rsidRDefault="00052799" w:rsidP="00871631">
            <w:pPr>
              <w:pStyle w:val="TableHeader"/>
              <w:rPr>
                <w:sz w:val="18"/>
                <w:szCs w:val="18"/>
              </w:rPr>
            </w:pPr>
            <w:r w:rsidRPr="002D7AE6">
              <w:rPr>
                <w:sz w:val="18"/>
                <w:szCs w:val="18"/>
              </w:rPr>
              <w:t>Assigned Score</w:t>
            </w:r>
          </w:p>
        </w:tc>
        <w:tc>
          <w:tcPr>
            <w:tcW w:w="1250" w:type="pct"/>
            <w:tcBorders>
              <w:top w:val="single" w:sz="4" w:space="0" w:color="666366"/>
              <w:bottom w:val="single" w:sz="2" w:space="0" w:color="C0C0C0"/>
            </w:tcBorders>
            <w:shd w:val="clear" w:color="auto" w:fill="01356E"/>
          </w:tcPr>
          <w:p w14:paraId="0A18322D" w14:textId="77777777" w:rsidR="00052799" w:rsidRPr="002D7AE6" w:rsidRDefault="00052799" w:rsidP="00871631">
            <w:pPr>
              <w:pStyle w:val="TableHeader"/>
              <w:rPr>
                <w:sz w:val="18"/>
                <w:szCs w:val="18"/>
              </w:rPr>
            </w:pPr>
            <w:r w:rsidRPr="002D7AE6">
              <w:rPr>
                <w:sz w:val="18"/>
                <w:szCs w:val="18"/>
              </w:rPr>
              <w:t>Weighted Score</w:t>
            </w:r>
          </w:p>
        </w:tc>
      </w:tr>
      <w:tr w:rsidR="00052799" w:rsidRPr="00622D94" w14:paraId="7876CF98" w14:textId="77777777" w:rsidTr="00871631">
        <w:tc>
          <w:tcPr>
            <w:tcW w:w="1250" w:type="pct"/>
            <w:tcBorders>
              <w:top w:val="single" w:sz="2" w:space="0" w:color="C0C0C0"/>
            </w:tcBorders>
            <w:shd w:val="clear" w:color="auto" w:fill="auto"/>
          </w:tcPr>
          <w:p w14:paraId="6B28481E" w14:textId="77777777" w:rsidR="00052799" w:rsidRPr="002D7AE6" w:rsidRDefault="00052799" w:rsidP="00871631">
            <w:pPr>
              <w:pStyle w:val="TableText"/>
            </w:pPr>
            <w:r w:rsidRPr="002D7AE6">
              <w:t>Safety</w:t>
            </w:r>
          </w:p>
        </w:tc>
        <w:tc>
          <w:tcPr>
            <w:tcW w:w="1250" w:type="pct"/>
            <w:tcBorders>
              <w:top w:val="single" w:sz="2" w:space="0" w:color="C0C0C0"/>
            </w:tcBorders>
            <w:shd w:val="clear" w:color="auto" w:fill="auto"/>
          </w:tcPr>
          <w:p w14:paraId="03638BFB" w14:textId="77777777" w:rsidR="00052799" w:rsidRPr="002D7AE6" w:rsidRDefault="00052799" w:rsidP="00871631">
            <w:pPr>
              <w:pStyle w:val="TableText"/>
            </w:pPr>
            <w:r w:rsidRPr="002D7AE6">
              <w:t>30%</w:t>
            </w:r>
          </w:p>
        </w:tc>
        <w:tc>
          <w:tcPr>
            <w:tcW w:w="1250" w:type="pct"/>
            <w:tcBorders>
              <w:top w:val="single" w:sz="2" w:space="0" w:color="C0C0C0"/>
            </w:tcBorders>
            <w:shd w:val="clear" w:color="auto" w:fill="auto"/>
          </w:tcPr>
          <w:p w14:paraId="1CFDD103" w14:textId="77777777" w:rsidR="00052799" w:rsidRPr="002D7AE6" w:rsidRDefault="00052799" w:rsidP="00871631">
            <w:pPr>
              <w:pStyle w:val="TableText"/>
            </w:pPr>
            <w:r w:rsidRPr="002D7AE6">
              <w:t>3.00</w:t>
            </w:r>
          </w:p>
        </w:tc>
        <w:tc>
          <w:tcPr>
            <w:tcW w:w="1250" w:type="pct"/>
            <w:tcBorders>
              <w:top w:val="single" w:sz="2" w:space="0" w:color="C0C0C0"/>
            </w:tcBorders>
          </w:tcPr>
          <w:p w14:paraId="504815BD" w14:textId="77777777" w:rsidR="00052799" w:rsidRPr="002D7AE6" w:rsidRDefault="00052799" w:rsidP="00871631">
            <w:pPr>
              <w:pStyle w:val="TableText"/>
            </w:pPr>
            <w:r w:rsidRPr="002D7AE6">
              <w:t>0.9</w:t>
            </w:r>
          </w:p>
        </w:tc>
      </w:tr>
      <w:tr w:rsidR="00052799" w:rsidRPr="00622D94" w14:paraId="42C34B79" w14:textId="77777777" w:rsidTr="00871631">
        <w:tc>
          <w:tcPr>
            <w:tcW w:w="1250" w:type="pct"/>
            <w:shd w:val="clear" w:color="auto" w:fill="auto"/>
          </w:tcPr>
          <w:p w14:paraId="0106F58E" w14:textId="77777777" w:rsidR="00052799" w:rsidRPr="002D7AE6" w:rsidRDefault="00052799" w:rsidP="00871631">
            <w:pPr>
              <w:pStyle w:val="TableText"/>
            </w:pPr>
            <w:r w:rsidRPr="002D7AE6">
              <w:t>Public peace</w:t>
            </w:r>
          </w:p>
        </w:tc>
        <w:tc>
          <w:tcPr>
            <w:tcW w:w="1250" w:type="pct"/>
            <w:shd w:val="clear" w:color="auto" w:fill="auto"/>
          </w:tcPr>
          <w:p w14:paraId="0306FB77" w14:textId="77777777" w:rsidR="00052799" w:rsidRPr="002D7AE6" w:rsidRDefault="00052799" w:rsidP="00871631">
            <w:pPr>
              <w:pStyle w:val="TableText"/>
            </w:pPr>
            <w:r w:rsidRPr="002D7AE6">
              <w:t>20%</w:t>
            </w:r>
          </w:p>
        </w:tc>
        <w:tc>
          <w:tcPr>
            <w:tcW w:w="1250" w:type="pct"/>
            <w:shd w:val="clear" w:color="auto" w:fill="auto"/>
          </w:tcPr>
          <w:p w14:paraId="3DE9C485" w14:textId="77777777" w:rsidR="00052799" w:rsidRPr="002D7AE6" w:rsidRDefault="00052799" w:rsidP="00871631">
            <w:pPr>
              <w:pStyle w:val="TableText"/>
            </w:pPr>
            <w:r w:rsidRPr="002D7AE6">
              <w:t>2.00</w:t>
            </w:r>
          </w:p>
        </w:tc>
        <w:tc>
          <w:tcPr>
            <w:tcW w:w="1250" w:type="pct"/>
          </w:tcPr>
          <w:p w14:paraId="4C2501CF" w14:textId="77777777" w:rsidR="00052799" w:rsidRPr="002D7AE6" w:rsidRDefault="00052799" w:rsidP="00871631">
            <w:pPr>
              <w:pStyle w:val="TableText"/>
            </w:pPr>
            <w:r w:rsidRPr="002D7AE6">
              <w:t>0.4</w:t>
            </w:r>
          </w:p>
        </w:tc>
      </w:tr>
      <w:tr w:rsidR="00052799" w:rsidRPr="00622D94" w14:paraId="2747B8FE" w14:textId="77777777" w:rsidTr="00871631">
        <w:tc>
          <w:tcPr>
            <w:tcW w:w="1250" w:type="pct"/>
            <w:shd w:val="clear" w:color="auto" w:fill="auto"/>
          </w:tcPr>
          <w:p w14:paraId="593342AA" w14:textId="77777777" w:rsidR="00052799" w:rsidRPr="002D7AE6" w:rsidRDefault="00052799" w:rsidP="00871631">
            <w:pPr>
              <w:pStyle w:val="TableText"/>
            </w:pPr>
            <w:r w:rsidRPr="002D7AE6">
              <w:t>Regulatory Burden</w:t>
            </w:r>
          </w:p>
        </w:tc>
        <w:tc>
          <w:tcPr>
            <w:tcW w:w="1250" w:type="pct"/>
            <w:shd w:val="clear" w:color="auto" w:fill="auto"/>
          </w:tcPr>
          <w:p w14:paraId="1E914834" w14:textId="77777777" w:rsidR="00052799" w:rsidRPr="002D7AE6" w:rsidRDefault="00052799" w:rsidP="00871631">
            <w:pPr>
              <w:pStyle w:val="TableText"/>
            </w:pPr>
            <w:r w:rsidRPr="002D7AE6">
              <w:t>30%</w:t>
            </w:r>
          </w:p>
        </w:tc>
        <w:tc>
          <w:tcPr>
            <w:tcW w:w="1250" w:type="pct"/>
            <w:shd w:val="clear" w:color="auto" w:fill="auto"/>
          </w:tcPr>
          <w:p w14:paraId="468BC191" w14:textId="77777777" w:rsidR="00052799" w:rsidRPr="002D7AE6" w:rsidRDefault="00052799" w:rsidP="00871631">
            <w:pPr>
              <w:pStyle w:val="TableText"/>
            </w:pPr>
            <w:r w:rsidRPr="002D7AE6">
              <w:t>1.00</w:t>
            </w:r>
          </w:p>
        </w:tc>
        <w:tc>
          <w:tcPr>
            <w:tcW w:w="1250" w:type="pct"/>
          </w:tcPr>
          <w:p w14:paraId="7A8DA6DF" w14:textId="77777777" w:rsidR="00052799" w:rsidRPr="002D7AE6" w:rsidRDefault="00052799" w:rsidP="00871631">
            <w:pPr>
              <w:pStyle w:val="TableText"/>
            </w:pPr>
            <w:r w:rsidRPr="002D7AE6">
              <w:t>0.3</w:t>
            </w:r>
          </w:p>
        </w:tc>
      </w:tr>
      <w:tr w:rsidR="00052799" w:rsidRPr="00622D94" w14:paraId="67F60833" w14:textId="77777777" w:rsidTr="00871631">
        <w:tc>
          <w:tcPr>
            <w:tcW w:w="1250" w:type="pct"/>
            <w:shd w:val="clear" w:color="auto" w:fill="auto"/>
          </w:tcPr>
          <w:p w14:paraId="0590A50B" w14:textId="77777777" w:rsidR="00052799" w:rsidRPr="002D7AE6" w:rsidRDefault="00052799" w:rsidP="00871631">
            <w:pPr>
              <w:pStyle w:val="TableText"/>
            </w:pPr>
            <w:r w:rsidRPr="002D7AE6">
              <w:t>Administrative Costs</w:t>
            </w:r>
          </w:p>
        </w:tc>
        <w:tc>
          <w:tcPr>
            <w:tcW w:w="1250" w:type="pct"/>
            <w:shd w:val="clear" w:color="auto" w:fill="auto"/>
          </w:tcPr>
          <w:p w14:paraId="19185663" w14:textId="77777777" w:rsidR="00052799" w:rsidRPr="002D7AE6" w:rsidRDefault="00052799" w:rsidP="00871631">
            <w:pPr>
              <w:pStyle w:val="TableText"/>
            </w:pPr>
            <w:r w:rsidRPr="002D7AE6">
              <w:t>20%</w:t>
            </w:r>
          </w:p>
        </w:tc>
        <w:tc>
          <w:tcPr>
            <w:tcW w:w="1250" w:type="pct"/>
            <w:shd w:val="clear" w:color="auto" w:fill="auto"/>
          </w:tcPr>
          <w:p w14:paraId="55B6E111" w14:textId="77777777" w:rsidR="00052799" w:rsidRPr="002D7AE6" w:rsidRDefault="00052799" w:rsidP="00871631">
            <w:pPr>
              <w:pStyle w:val="TableText"/>
            </w:pPr>
            <w:r w:rsidRPr="002D7AE6">
              <w:t>0.00</w:t>
            </w:r>
          </w:p>
        </w:tc>
        <w:tc>
          <w:tcPr>
            <w:tcW w:w="1250" w:type="pct"/>
          </w:tcPr>
          <w:p w14:paraId="63E51F7E" w14:textId="77777777" w:rsidR="00052799" w:rsidRPr="002D7AE6" w:rsidRDefault="00052799" w:rsidP="00871631">
            <w:pPr>
              <w:pStyle w:val="TableText"/>
            </w:pPr>
            <w:r w:rsidRPr="002D7AE6">
              <w:t>0.0</w:t>
            </w:r>
          </w:p>
        </w:tc>
      </w:tr>
      <w:tr w:rsidR="00052799" w:rsidRPr="00622D94" w14:paraId="6A74F69E" w14:textId="77777777" w:rsidTr="00871631">
        <w:tc>
          <w:tcPr>
            <w:tcW w:w="3750" w:type="pct"/>
            <w:gridSpan w:val="3"/>
            <w:shd w:val="clear" w:color="auto" w:fill="auto"/>
          </w:tcPr>
          <w:p w14:paraId="64A58E27" w14:textId="77777777" w:rsidR="00052799" w:rsidRPr="002D7AE6" w:rsidRDefault="00052799" w:rsidP="00871631">
            <w:pPr>
              <w:pStyle w:val="TableText"/>
              <w:rPr>
                <w:b/>
              </w:rPr>
            </w:pPr>
          </w:p>
        </w:tc>
        <w:tc>
          <w:tcPr>
            <w:tcW w:w="1250" w:type="pct"/>
          </w:tcPr>
          <w:p w14:paraId="3E4B5126" w14:textId="77777777" w:rsidR="00052799" w:rsidRPr="002D7AE6" w:rsidRDefault="00052799" w:rsidP="00871631">
            <w:pPr>
              <w:pStyle w:val="TableText"/>
              <w:rPr>
                <w:b/>
              </w:rPr>
            </w:pPr>
            <w:r w:rsidRPr="002D7AE6">
              <w:rPr>
                <w:b/>
              </w:rPr>
              <w:t>1.6</w:t>
            </w:r>
          </w:p>
        </w:tc>
      </w:tr>
    </w:tbl>
    <w:p w14:paraId="2426071B" w14:textId="77777777" w:rsidR="00052799" w:rsidRPr="00610D49" w:rsidRDefault="00052799" w:rsidP="00052799">
      <w:pPr>
        <w:pStyle w:val="BodyText"/>
      </w:pPr>
      <w:r>
        <w:t>On balance, given the improvements for safety and public peace, the Department considers that it is appropriate to incorporate these changes into the remade regulations.</w:t>
      </w:r>
    </w:p>
    <w:p w14:paraId="61EB6C60" w14:textId="77777777" w:rsidR="00052799" w:rsidRPr="00610D49" w:rsidRDefault="00052799" w:rsidP="00052799">
      <w:pPr>
        <w:pStyle w:val="Heading1"/>
        <w:pageBreakBefore/>
      </w:pPr>
      <w:bookmarkStart w:id="154" w:name="_Ref498976262"/>
      <w:bookmarkStart w:id="155" w:name="_Toc500505474"/>
      <w:bookmarkStart w:id="156" w:name="_Toc501539169"/>
      <w:r w:rsidRPr="00610D49">
        <w:t>Fee-related decisions</w:t>
      </w:r>
      <w:bookmarkEnd w:id="125"/>
      <w:bookmarkEnd w:id="126"/>
      <w:bookmarkEnd w:id="127"/>
      <w:bookmarkEnd w:id="154"/>
      <w:bookmarkEnd w:id="155"/>
      <w:bookmarkEnd w:id="156"/>
    </w:p>
    <w:p w14:paraId="1FA9895A" w14:textId="77777777" w:rsidR="00052799" w:rsidRPr="00610D49" w:rsidRDefault="00052799" w:rsidP="00052799">
      <w:pPr>
        <w:pStyle w:val="BodyText"/>
      </w:pPr>
      <w:r>
        <w:t>As previously outlined, t</w:t>
      </w:r>
      <w:r w:rsidRPr="00610D49">
        <w:t>he total estimated impact of the regulations is $13.8m, and the estimated impact of each component of the Regulations are as follows:</w:t>
      </w:r>
    </w:p>
    <w:p w14:paraId="4606F971" w14:textId="77777777" w:rsidR="00052799" w:rsidRPr="00610D49" w:rsidRDefault="00052799" w:rsidP="00052799">
      <w:pPr>
        <w:pStyle w:val="BodyText"/>
        <w:numPr>
          <w:ilvl w:val="0"/>
          <w:numId w:val="73"/>
        </w:numPr>
        <w:tabs>
          <w:tab w:val="clear" w:pos="340"/>
          <w:tab w:val="num" w:pos="1134"/>
        </w:tabs>
        <w:ind w:left="1134"/>
      </w:pPr>
      <w:r w:rsidRPr="00610D49">
        <w:t xml:space="preserve">Fees: The full cost of administering and enforcing the Act and Regulations in 2016-17 was $13.4m </w:t>
      </w:r>
    </w:p>
    <w:p w14:paraId="149C434A" w14:textId="77777777" w:rsidR="00052799" w:rsidRPr="00610D49" w:rsidRDefault="00052799" w:rsidP="00052799">
      <w:pPr>
        <w:pStyle w:val="BodyText"/>
        <w:numPr>
          <w:ilvl w:val="0"/>
          <w:numId w:val="73"/>
        </w:numPr>
        <w:tabs>
          <w:tab w:val="clear" w:pos="340"/>
          <w:tab w:val="num" w:pos="1134"/>
        </w:tabs>
        <w:ind w:left="1134"/>
      </w:pPr>
      <w:r w:rsidRPr="00610D49">
        <w:t>Non-fees: Estimated indicative regulatory impact of non-fee Regulations is $0.4m per annum.</w:t>
      </w:r>
    </w:p>
    <w:p w14:paraId="49CE1C30" w14:textId="77777777" w:rsidR="00052799" w:rsidRPr="00610D49" w:rsidRDefault="00052799" w:rsidP="00052799">
      <w:pPr>
        <w:pStyle w:val="BodyText"/>
      </w:pPr>
      <w:r>
        <w:t>O</w:t>
      </w:r>
      <w:r w:rsidRPr="00610D49">
        <w:t>ptions concerning the fees are discussed in this section.</w:t>
      </w:r>
    </w:p>
    <w:p w14:paraId="031C4105" w14:textId="77777777" w:rsidR="00052799" w:rsidRPr="00610D49" w:rsidRDefault="00052799" w:rsidP="00052799">
      <w:pPr>
        <w:pStyle w:val="Heading2"/>
      </w:pPr>
      <w:bookmarkStart w:id="157" w:name="_Toc495338513"/>
      <w:bookmarkStart w:id="158" w:name="_Toc497492989"/>
      <w:bookmarkStart w:id="159" w:name="_Toc500505475"/>
      <w:bookmarkStart w:id="160" w:name="_Toc501539170"/>
      <w:r w:rsidRPr="00610D49">
        <w:t>Fee-related residual problem</w:t>
      </w:r>
      <w:bookmarkEnd w:id="157"/>
      <w:bookmarkEnd w:id="158"/>
      <w:bookmarkEnd w:id="159"/>
      <w:bookmarkEnd w:id="160"/>
    </w:p>
    <w:p w14:paraId="6DF71FA6" w14:textId="46182F62" w:rsidR="00052799" w:rsidRPr="00610D49" w:rsidRDefault="00052799" w:rsidP="00052799">
      <w:pPr>
        <w:pStyle w:val="BodyText"/>
      </w:pPr>
      <w:r w:rsidRPr="00610D49">
        <w:t>Allowing the Regulations to sunset would mean there was no legal basis to require that fee</w:t>
      </w:r>
      <w:r w:rsidR="00830CFC">
        <w:t>s</w:t>
      </w:r>
      <w:r w:rsidRPr="00610D49">
        <w:t xml:space="preserve"> be paid under the Act for licences, permits or approvals.</w:t>
      </w:r>
    </w:p>
    <w:p w14:paraId="3C862469" w14:textId="77777777" w:rsidR="00052799" w:rsidRPr="00610D49" w:rsidRDefault="00052799" w:rsidP="00052799">
      <w:pPr>
        <w:pStyle w:val="BodyText"/>
      </w:pPr>
      <w:r w:rsidRPr="00610D49">
        <w:t xml:space="preserve">If this were to occur, the regulatory framework would be need to funded from general revenue, and thus all taxpayers, rather than just those whose activities give rise to or increase the need for regulatory activity relating to the use of firearms. </w:t>
      </w:r>
    </w:p>
    <w:p w14:paraId="012F995B" w14:textId="77777777" w:rsidR="00052799" w:rsidRPr="00610D49" w:rsidRDefault="00052799" w:rsidP="00052799">
      <w:pPr>
        <w:pStyle w:val="BodyText"/>
      </w:pPr>
      <w:r w:rsidRPr="00610D49">
        <w:t xml:space="preserve">In order to administer the regulatory framework in a way that is consistent with the objectives of the Act and Regulations, Victoria Police undertake a number of compliance and enforcement activities. For example, Victoria Police aims to mitigate potential risks to community safety posed by firearms by undertaking licensing and permit assessments, along with a range of education, monitoring and enforcement activities, such as the inspection of storage arrangements at dealerships and at premises occupied by firearm owners, to ensure they meet the requisite standards. </w:t>
      </w:r>
    </w:p>
    <w:p w14:paraId="1A1AD6EF" w14:textId="77777777" w:rsidR="00052799" w:rsidRPr="00610D49" w:rsidRDefault="00052799" w:rsidP="00052799">
      <w:pPr>
        <w:pStyle w:val="BodyText"/>
      </w:pPr>
      <w:r w:rsidRPr="00610D49">
        <w:t>The costs of Government activities driven by the requirements of the regulatory framework were estimated to have been $13.4m in 2016-17. This includes costs relating to assessment, monitoring and enforcement. More detail on the costs of the regulatory framework is set out below.</w:t>
      </w:r>
    </w:p>
    <w:p w14:paraId="12B43C03" w14:textId="77777777" w:rsidR="00052799" w:rsidRPr="00610D49" w:rsidRDefault="00052799" w:rsidP="00052799">
      <w:pPr>
        <w:pStyle w:val="BodyText"/>
      </w:pPr>
      <w:r w:rsidRPr="00610D49">
        <w:t>The Victorian Government’s default position with regard to the costs of a regulatory scheme is full cost recovery, where ‘full cost’ represents the value of all the resources used or consumed in the provision of the associated output or activity.</w:t>
      </w:r>
      <w:r w:rsidRPr="00610D49">
        <w:rPr>
          <w:rStyle w:val="FootnoteReference"/>
        </w:rPr>
        <w:footnoteReference w:id="35"/>
      </w:r>
      <w:r w:rsidRPr="00610D49">
        <w:t xml:space="preserve"> The rationale for cost recovery is explained below.</w:t>
      </w:r>
    </w:p>
    <w:p w14:paraId="276EEC03" w14:textId="77777777" w:rsidR="00052799" w:rsidRPr="00610D49" w:rsidRDefault="00052799" w:rsidP="00052799">
      <w:pPr>
        <w:pStyle w:val="BodyText"/>
      </w:pPr>
      <w:r w:rsidRPr="00610D49">
        <w:t>Cost recovery, in this context, means recouping the costs of government-provided activities in accordance with the costs associated with regulatory efforts to reduce the risks posed by the presence of firearms in the community (namely, the accidental or deliberate misuse of firearms).</w:t>
      </w:r>
      <w:r w:rsidRPr="00610D49">
        <w:rPr>
          <w:rStyle w:val="FootnoteReference"/>
        </w:rPr>
        <w:t xml:space="preserve"> </w:t>
      </w:r>
      <w:r w:rsidRPr="00610D49">
        <w:rPr>
          <w:rStyle w:val="FootnoteReference"/>
        </w:rPr>
        <w:footnoteReference w:id="36"/>
      </w:r>
      <w:r w:rsidRPr="00610D49">
        <w:t xml:space="preserve"> </w:t>
      </w:r>
    </w:p>
    <w:p w14:paraId="6560F1A9" w14:textId="77777777" w:rsidR="00052799" w:rsidRPr="00610D49" w:rsidRDefault="00052799" w:rsidP="00052799">
      <w:pPr>
        <w:pStyle w:val="Heading2"/>
      </w:pPr>
      <w:bookmarkStart w:id="161" w:name="_Toc495338514"/>
      <w:bookmarkStart w:id="162" w:name="_Toc497492990"/>
      <w:bookmarkStart w:id="163" w:name="_Toc500505476"/>
      <w:bookmarkStart w:id="164" w:name="_Toc501539171"/>
      <w:r w:rsidRPr="00610D49">
        <w:t>Fee-related objectives and criteria</w:t>
      </w:r>
      <w:bookmarkEnd w:id="161"/>
      <w:bookmarkEnd w:id="162"/>
      <w:bookmarkEnd w:id="163"/>
      <w:bookmarkEnd w:id="164"/>
      <w:r w:rsidRPr="00610D49">
        <w:t xml:space="preserve"> </w:t>
      </w:r>
    </w:p>
    <w:p w14:paraId="5323DC4A" w14:textId="77777777" w:rsidR="00052799" w:rsidRPr="00610D49" w:rsidRDefault="00052799" w:rsidP="00052799">
      <w:pPr>
        <w:pStyle w:val="BodyText"/>
      </w:pPr>
      <w:r w:rsidRPr="00610D49">
        <w:t>The Victorian Government’s Cost Recovery Guidelines (the Guidelines) are published by the Department of Treasury and Finance, and clarify the Government’s policy principles underpinning cost recovery arrangements. The Guidelines outline that cost recovery aims to achieve two key objectives.</w:t>
      </w:r>
      <w:r w:rsidRPr="00610D49">
        <w:rPr>
          <w:rStyle w:val="FootnoteReference"/>
        </w:rPr>
        <w:footnoteReference w:id="37"/>
      </w:r>
    </w:p>
    <w:p w14:paraId="21C6D6A8" w14:textId="77777777" w:rsidR="00052799" w:rsidRPr="00610D49" w:rsidRDefault="00052799" w:rsidP="00052799">
      <w:pPr>
        <w:pStyle w:val="BodyText"/>
        <w:numPr>
          <w:ilvl w:val="0"/>
          <w:numId w:val="51"/>
        </w:numPr>
        <w:tabs>
          <w:tab w:val="clear" w:pos="340"/>
          <w:tab w:val="num" w:pos="1134"/>
        </w:tabs>
        <w:ind w:left="1134"/>
      </w:pPr>
      <w:r w:rsidRPr="00610D49">
        <w:rPr>
          <w:b/>
        </w:rPr>
        <w:t xml:space="preserve">Efficiency: </w:t>
      </w:r>
      <w:r w:rsidRPr="00610D49">
        <w:t xml:space="preserve">Cost recovery aims to achieve ‘allocative efficiency’ by providing a signal to users about the full cost of the resources involved in the provision of services requiring government involvement. Full cost recovery ensures that the cost of using or trading in firearms incorporates the cost of associated regulatory activity, and therefore provides a price signal to firearms users/dealers regarding the efficient price and service levels from a whole-of-economy perspective.  </w:t>
      </w:r>
    </w:p>
    <w:p w14:paraId="6425A15A" w14:textId="77777777" w:rsidR="00052799" w:rsidRPr="00610D49" w:rsidRDefault="00052799" w:rsidP="00052799">
      <w:pPr>
        <w:pStyle w:val="BodyText"/>
        <w:numPr>
          <w:ilvl w:val="0"/>
          <w:numId w:val="51"/>
        </w:numPr>
        <w:tabs>
          <w:tab w:val="clear" w:pos="340"/>
          <w:tab w:val="num" w:pos="1134"/>
        </w:tabs>
        <w:ind w:left="1134"/>
        <w:rPr>
          <w:b/>
        </w:rPr>
      </w:pPr>
      <w:r w:rsidRPr="00610D49">
        <w:rPr>
          <w:b/>
        </w:rPr>
        <w:t xml:space="preserve">Equity: </w:t>
      </w:r>
      <w:r w:rsidRPr="00610D49">
        <w:t xml:space="preserve">Cost recovery aims to achieve horizontal equity such that costs are incurred by those whose activities generate the need for government regulation. </w:t>
      </w:r>
    </w:p>
    <w:p w14:paraId="12ABEDFD" w14:textId="77777777" w:rsidR="00052799" w:rsidRPr="00610D49" w:rsidRDefault="00052799" w:rsidP="00052799">
      <w:pPr>
        <w:pStyle w:val="BodyText"/>
      </w:pPr>
      <w:r w:rsidRPr="00610D49">
        <w:t>In relation to firearms users and dealers, this means that</w:t>
      </w:r>
      <w:r>
        <w:t>, in general</w:t>
      </w:r>
      <w:r w:rsidRPr="00610D49">
        <w:t>:</w:t>
      </w:r>
    </w:p>
    <w:p w14:paraId="68D5B2CA" w14:textId="77777777" w:rsidR="00052799" w:rsidRPr="00610D49" w:rsidRDefault="00052799" w:rsidP="00052799">
      <w:pPr>
        <w:pStyle w:val="BodyText"/>
        <w:numPr>
          <w:ilvl w:val="0"/>
          <w:numId w:val="49"/>
        </w:numPr>
        <w:tabs>
          <w:tab w:val="clear" w:pos="340"/>
          <w:tab w:val="num" w:pos="1134"/>
        </w:tabs>
        <w:ind w:left="1134"/>
      </w:pPr>
      <w:r w:rsidRPr="00610D49">
        <w:t>Cost recovery avoids the situation where all taxpayers have to pay the costs associated with regulating the firearms industry and firearms owners regardless of whether or not they contribute to the need for Government activity in this area.</w:t>
      </w:r>
    </w:p>
    <w:p w14:paraId="6938CBD8" w14:textId="77777777" w:rsidR="00052799" w:rsidRPr="00610D49" w:rsidRDefault="00052799" w:rsidP="00052799">
      <w:pPr>
        <w:pStyle w:val="BodyText"/>
        <w:numPr>
          <w:ilvl w:val="0"/>
          <w:numId w:val="49"/>
        </w:numPr>
        <w:tabs>
          <w:tab w:val="clear" w:pos="340"/>
          <w:tab w:val="num" w:pos="1134"/>
        </w:tabs>
        <w:ind w:left="1134"/>
      </w:pPr>
      <w:r w:rsidRPr="00610D49">
        <w:t>Fees reflect any differences in the extent of necessary regulatory activity conducted by Victoria Police in relation to different user groups. That is, groups that generate a larger amount of activity by the regulator attract a higher fee, and are not cross-subsidised by user groups whose activities require less regulatory activity.</w:t>
      </w:r>
    </w:p>
    <w:p w14:paraId="42F0FCDA" w14:textId="28DE8D88" w:rsidR="00052799" w:rsidRDefault="00052799" w:rsidP="00052799">
      <w:pPr>
        <w:pStyle w:val="BodyText"/>
      </w:pPr>
      <w:r>
        <w:t xml:space="preserve">Within this framework, a </w:t>
      </w:r>
      <w:r w:rsidRPr="00622722">
        <w:t>possible reason for diverging from full cost recovery is where the activity generates a benefit for those other than the licence</w:t>
      </w:r>
      <w:r w:rsidR="00CE5BAE">
        <w:t xml:space="preserve"> </w:t>
      </w:r>
      <w:r w:rsidRPr="00622722">
        <w:t>holder</w:t>
      </w:r>
      <w:r>
        <w:t>.</w:t>
      </w:r>
    </w:p>
    <w:p w14:paraId="322119CD" w14:textId="7AAF7E5A" w:rsidR="00052799" w:rsidRPr="00610D49" w:rsidRDefault="00052799" w:rsidP="00052799">
      <w:pPr>
        <w:pStyle w:val="BodyText"/>
      </w:pPr>
      <w:r w:rsidRPr="00610D49">
        <w:t>All firearms industry participants (including all licence and permit holders, and applicants for those licences) contribute to the ongoing need for Victoria Police’s activities in administering the regulatory framework to protect the community. For example, Victoria Police incurs costs associated with ensuring that all licence applicants meet the requirements of a licence before granting one. Th</w:t>
      </w:r>
      <w:r w:rsidR="00CE5BAE">
        <w:t>e</w:t>
      </w:r>
      <w:r w:rsidRPr="00610D49">
        <w:t>s</w:t>
      </w:r>
      <w:r w:rsidR="00CE5BAE">
        <w:t>e</w:t>
      </w:r>
      <w:r w:rsidRPr="00610D49">
        <w:t xml:space="preserve"> assessment process</w:t>
      </w:r>
      <w:r w:rsidR="00CE5BAE">
        <w:t>es</w:t>
      </w:r>
      <w:r w:rsidRPr="00610D49">
        <w:t xml:space="preserve"> aim to mitigate the risk of harm which could result if, for instance, a prohibited person was able to obtain a permit to acquire. Further costs are associated with activities that continue after the granting of a licence, such as inspections to ensure licence holders meet storage requirements for their firearms. These storage inspections seek to limit the harm that could follow from the potential theft of the licence holder’s firearms</w:t>
      </w:r>
      <w:r>
        <w:t>, or access by others,</w:t>
      </w:r>
      <w:r w:rsidRPr="00610D49">
        <w:t xml:space="preserve"> if the storage arrangements were inadequate. </w:t>
      </w:r>
    </w:p>
    <w:p w14:paraId="3AE7A8D0" w14:textId="77777777" w:rsidR="00052799" w:rsidRPr="00610D49" w:rsidRDefault="00052799" w:rsidP="00052799">
      <w:pPr>
        <w:pStyle w:val="BodyText"/>
      </w:pPr>
      <w:r w:rsidRPr="00610D49">
        <w:t xml:space="preserve">In relation to licence and permit assessments, different types of applicants also require different levels of activity from Victoria Police. For example, individual applications require assessments only of an individual, whereas body corporate applications could require assessment of a number of people related to the application. Applications for a dealer’s licence require consideration of a wider range of factors, including the appropriateness of the proposed location, and a level of rigour that would not be warranted in the assessment and granting of, for example, a junior licence, as this type of licensee will not be able to purchase or own firearms in their own right. Equity requires that, insofar as is possible, these different classes of licensees pay fees that reflect the distinct costs efficiently incurred in assessing their own licence or permit applications. </w:t>
      </w:r>
    </w:p>
    <w:p w14:paraId="6443F725" w14:textId="77777777" w:rsidR="00052799" w:rsidRPr="00610D49" w:rsidRDefault="00052799" w:rsidP="00052799">
      <w:pPr>
        <w:pStyle w:val="BodyText"/>
      </w:pPr>
      <w:r w:rsidRPr="00610D49">
        <w:t xml:space="preserve">In addition to horizontal equity, </w:t>
      </w:r>
      <w:r w:rsidRPr="00610D49">
        <w:rPr>
          <w:i/>
        </w:rPr>
        <w:t xml:space="preserve">vertical </w:t>
      </w:r>
      <w:r w:rsidRPr="00610D49">
        <w:t>equity can be a further consideration for cost recovery. Vertical equity suggests that there can be circumstances where those with greater means may be called on to contribute proportionally more to the cost of maintaining the regulatory framework than those with lesser means. This may be a relevant consideration where it is thought that fees might inappropriately create a barrier to people with lesser means accessing firearms or the firearms industry</w:t>
      </w:r>
      <w:r>
        <w:t>.</w:t>
      </w:r>
      <w:r w:rsidRPr="00610D49">
        <w:t xml:space="preserve"> </w:t>
      </w:r>
      <w:r>
        <w:t xml:space="preserve">In general, </w:t>
      </w:r>
      <w:r w:rsidRPr="00610D49">
        <w:t>the</w:t>
      </w:r>
      <w:r>
        <w:t xml:space="preserve"> Department considers that there are a number of specific instances where vertical equity is relevant for considering deviations from standard cost recovery, for example, where larger fees for minors to obtain junior firearms licences inappropriately create a barrier to gaining a firearms licences</w:t>
      </w:r>
      <w:r w:rsidRPr="00610D49">
        <w:t>.</w:t>
      </w:r>
    </w:p>
    <w:p w14:paraId="1E6D4081" w14:textId="77777777" w:rsidR="00052799" w:rsidRPr="00610D49" w:rsidRDefault="00052799" w:rsidP="00052799">
      <w:pPr>
        <w:pStyle w:val="BodyText"/>
        <w:rPr>
          <w:b/>
        </w:rPr>
      </w:pPr>
      <w:r w:rsidRPr="00610D49">
        <w:rPr>
          <w:b/>
        </w:rPr>
        <w:t>Related policy objectives</w:t>
      </w:r>
    </w:p>
    <w:p w14:paraId="60504437" w14:textId="77777777" w:rsidR="00052799" w:rsidRPr="00610D49" w:rsidRDefault="00052799" w:rsidP="00052799">
      <w:pPr>
        <w:pStyle w:val="BodyText"/>
      </w:pPr>
      <w:r w:rsidRPr="00610D49">
        <w:t xml:space="preserve">While cost recovery objectives are important for achieving efficiency and equity in how the costs of administering the regulatory framework are funded, fees must also be set with a view to the objectives of the overarching Act and Regulations. For example, if fees are set too high, fees could pose a disincentive for firearms users and dealers be registered or </w:t>
      </w:r>
      <w:r>
        <w:t>licensed</w:t>
      </w:r>
      <w:r w:rsidRPr="00610D49">
        <w:t xml:space="preserve"> in the first place, potentially resulting in a less effective regime for controlling the risks posed by these groups. </w:t>
      </w:r>
    </w:p>
    <w:p w14:paraId="0255EA65" w14:textId="77777777" w:rsidR="00052799" w:rsidRPr="00610D49" w:rsidRDefault="00052799" w:rsidP="00052799">
      <w:pPr>
        <w:pStyle w:val="BodyText"/>
      </w:pPr>
      <w:r w:rsidRPr="00610D49">
        <w:t>It should be noted that the costs associated with fees are only one component of the costs incurred by firearms users and dealers in complying with the substantive requirements of the Act and the Regulations, such as storage costs, club membership fees and costs associated with applications, record keeping and notifications. As a result, the fees set by the Regulations are not the only economic factor affecting whether users are compliant with the regulatory framework.</w:t>
      </w:r>
      <w:r>
        <w:t xml:space="preserve"> Therefore, it is important to consider the possible effect of fees on behaviour and outcomes (and, therefore, the appropriate policy approach) in terms of the size of the fee relative to the other costs of firearm ownership. </w:t>
      </w:r>
    </w:p>
    <w:p w14:paraId="350DD432" w14:textId="77777777" w:rsidR="00052799" w:rsidRPr="00610D49" w:rsidRDefault="00052799" w:rsidP="00052799">
      <w:pPr>
        <w:pStyle w:val="BodyText"/>
        <w:rPr>
          <w:b/>
        </w:rPr>
      </w:pPr>
      <w:r w:rsidRPr="00610D49">
        <w:rPr>
          <w:b/>
        </w:rPr>
        <w:t>Circumstances potentially justifying less than full cost recovery</w:t>
      </w:r>
    </w:p>
    <w:p w14:paraId="6E926226" w14:textId="77777777" w:rsidR="00052799" w:rsidRDefault="00052799" w:rsidP="00052799">
      <w:pPr>
        <w:pStyle w:val="BodyText"/>
      </w:pPr>
      <w:r w:rsidRPr="00610D49">
        <w:t xml:space="preserve">As noted above, the Government’s </w:t>
      </w:r>
      <w:r>
        <w:t xml:space="preserve">general </w:t>
      </w:r>
      <w:r w:rsidRPr="00610D49">
        <w:t>policy on cost recovery is that ‘regulatory fees and user charges should be set on a full cost recovery basis’.</w:t>
      </w:r>
      <w:r w:rsidRPr="00610D49">
        <w:rPr>
          <w:rStyle w:val="FootnoteReference"/>
        </w:rPr>
        <w:footnoteReference w:id="38"/>
      </w:r>
      <w:r w:rsidRPr="00610D49">
        <w:t xml:space="preserve"> Consistent with the principles of efficiency and equity, there are certain circumstances in which the policy of full recovery can be departed from. Examples of those circumstances, and their relevance to the regulatory framework for firearms, are outlined in the table below.  </w:t>
      </w:r>
    </w:p>
    <w:p w14:paraId="00CC3070" w14:textId="3394C9E3" w:rsidR="009F677B" w:rsidRPr="00622D94" w:rsidRDefault="009F677B" w:rsidP="009F677B">
      <w:pPr>
        <w:pStyle w:val="Caption"/>
      </w:pPr>
      <w:r w:rsidRPr="00622D94">
        <w:t xml:space="preserve">Table </w:t>
      </w:r>
      <w:r w:rsidR="001C7D77">
        <w:rPr>
          <w:noProof/>
        </w:rPr>
        <w:t>19</w:t>
      </w:r>
      <w:r>
        <w:t>: Overview of circumstances in which less than full cost recovery justified</w:t>
      </w:r>
    </w:p>
    <w:tbl>
      <w:tblPr>
        <w:tblW w:w="8647" w:type="dxa"/>
        <w:tblInd w:w="810" w:type="dxa"/>
        <w:tblBorders>
          <w:insideH w:val="single" w:sz="4" w:space="0" w:color="auto"/>
        </w:tblBorders>
        <w:tblLook w:val="04A0" w:firstRow="1" w:lastRow="0" w:firstColumn="1" w:lastColumn="0" w:noHBand="0" w:noVBand="1"/>
        <w:tblCaption w:val="Table 19: Overview of circumstances in which less than full cost recovery justified"/>
      </w:tblPr>
      <w:tblGrid>
        <w:gridCol w:w="3119"/>
        <w:gridCol w:w="5528"/>
      </w:tblGrid>
      <w:tr w:rsidR="00052799" w:rsidRPr="002D7AE6" w14:paraId="63C57269" w14:textId="77777777" w:rsidTr="00871631">
        <w:trPr>
          <w:trHeight w:val="20"/>
          <w:tblHeader/>
        </w:trPr>
        <w:tc>
          <w:tcPr>
            <w:tcW w:w="3119" w:type="dxa"/>
            <w:shd w:val="clear" w:color="auto" w:fill="002060"/>
            <w:noWrap/>
            <w:hideMark/>
          </w:tcPr>
          <w:p w14:paraId="346AEA11" w14:textId="77777777" w:rsidR="00052799" w:rsidRPr="002D7AE6" w:rsidRDefault="00052799" w:rsidP="00871631">
            <w:pPr>
              <w:pStyle w:val="Tableheading"/>
              <w:rPr>
                <w:color w:val="FFFFFF"/>
                <w:sz w:val="18"/>
                <w:szCs w:val="18"/>
              </w:rPr>
            </w:pPr>
            <w:r w:rsidRPr="002D7AE6">
              <w:rPr>
                <w:color w:val="FFFFFF"/>
                <w:sz w:val="18"/>
                <w:szCs w:val="18"/>
              </w:rPr>
              <w:t>Circumstance in which full cost recovery may not be desirable</w:t>
            </w:r>
            <w:r w:rsidRPr="002D7AE6">
              <w:rPr>
                <w:rStyle w:val="FootnoteReference"/>
                <w:color w:val="FFFFFF"/>
                <w:sz w:val="18"/>
                <w:szCs w:val="18"/>
              </w:rPr>
              <w:footnoteReference w:id="39"/>
            </w:r>
          </w:p>
        </w:tc>
        <w:tc>
          <w:tcPr>
            <w:tcW w:w="5528" w:type="dxa"/>
            <w:shd w:val="clear" w:color="auto" w:fill="002060"/>
          </w:tcPr>
          <w:p w14:paraId="04A25C8E" w14:textId="77777777" w:rsidR="00052799" w:rsidRPr="002D7AE6" w:rsidRDefault="00052799" w:rsidP="00871631">
            <w:pPr>
              <w:pStyle w:val="Tableheading"/>
              <w:rPr>
                <w:iCs/>
                <w:color w:val="FFFFFF"/>
                <w:sz w:val="18"/>
                <w:szCs w:val="18"/>
              </w:rPr>
            </w:pPr>
            <w:r w:rsidRPr="002D7AE6">
              <w:rPr>
                <w:iCs/>
                <w:color w:val="FFFFFF"/>
                <w:sz w:val="18"/>
                <w:szCs w:val="18"/>
              </w:rPr>
              <w:t>Relevance for the regulatory framework for firearms</w:t>
            </w:r>
          </w:p>
        </w:tc>
      </w:tr>
      <w:tr w:rsidR="00052799" w:rsidRPr="002D7AE6" w14:paraId="6764C5B2" w14:textId="77777777" w:rsidTr="00052799">
        <w:trPr>
          <w:trHeight w:val="20"/>
        </w:trPr>
        <w:tc>
          <w:tcPr>
            <w:tcW w:w="3119" w:type="dxa"/>
            <w:shd w:val="clear" w:color="auto" w:fill="FFFFFF"/>
            <w:noWrap/>
            <w:hideMark/>
          </w:tcPr>
          <w:p w14:paraId="28C31EE5" w14:textId="77777777" w:rsidR="00052799" w:rsidRPr="002D7AE6" w:rsidRDefault="00052799" w:rsidP="00871631">
            <w:pPr>
              <w:pStyle w:val="Tabletext0"/>
              <w:rPr>
                <w:b/>
                <w:sz w:val="18"/>
                <w:szCs w:val="18"/>
              </w:rPr>
            </w:pPr>
            <w:r w:rsidRPr="002D7AE6">
              <w:rPr>
                <w:b/>
                <w:sz w:val="18"/>
                <w:szCs w:val="18"/>
              </w:rPr>
              <w:t>Practical implementation issues make cost recovery infeasible</w:t>
            </w:r>
          </w:p>
        </w:tc>
        <w:tc>
          <w:tcPr>
            <w:tcW w:w="5528" w:type="dxa"/>
            <w:shd w:val="clear" w:color="auto" w:fill="FFFFFF"/>
            <w:noWrap/>
          </w:tcPr>
          <w:p w14:paraId="6084F2D5" w14:textId="77777777" w:rsidR="00052799" w:rsidRPr="002D7AE6" w:rsidRDefault="00052799" w:rsidP="00871631">
            <w:pPr>
              <w:pStyle w:val="Tabletext0"/>
              <w:rPr>
                <w:sz w:val="18"/>
                <w:szCs w:val="18"/>
              </w:rPr>
            </w:pPr>
            <w:r w:rsidRPr="002D7AE6">
              <w:rPr>
                <w:sz w:val="18"/>
                <w:szCs w:val="18"/>
              </w:rPr>
              <w:t>Not considered relevant on the basis that the systems currently in use by Licensing and Regulation Division of Victoria Police</w:t>
            </w:r>
            <w:r w:rsidRPr="002D7AE6" w:rsidDel="00BA7C97">
              <w:rPr>
                <w:sz w:val="18"/>
                <w:szCs w:val="18"/>
              </w:rPr>
              <w:t xml:space="preserve"> </w:t>
            </w:r>
            <w:r w:rsidRPr="002D7AE6">
              <w:rPr>
                <w:sz w:val="18"/>
                <w:szCs w:val="18"/>
              </w:rPr>
              <w:t>allow for fees to be charged when issuing a firearms licence or permit.</w:t>
            </w:r>
          </w:p>
        </w:tc>
      </w:tr>
      <w:tr w:rsidR="00052799" w:rsidRPr="002D7AE6" w14:paraId="1383461E" w14:textId="77777777" w:rsidTr="002D7AE6">
        <w:trPr>
          <w:cantSplit/>
          <w:trHeight w:val="20"/>
        </w:trPr>
        <w:tc>
          <w:tcPr>
            <w:tcW w:w="3119" w:type="dxa"/>
            <w:shd w:val="clear" w:color="auto" w:fill="FFFFFF"/>
            <w:noWrap/>
          </w:tcPr>
          <w:p w14:paraId="20012238" w14:textId="77777777" w:rsidR="00052799" w:rsidRPr="002D7AE6" w:rsidRDefault="00052799" w:rsidP="00871631">
            <w:pPr>
              <w:pStyle w:val="Tabletext0"/>
              <w:rPr>
                <w:b/>
                <w:sz w:val="18"/>
                <w:szCs w:val="18"/>
              </w:rPr>
            </w:pPr>
            <w:r w:rsidRPr="002D7AE6">
              <w:rPr>
                <w:b/>
                <w:sz w:val="18"/>
                <w:szCs w:val="18"/>
              </w:rPr>
              <w:t>The regulated activity has benefits for unrelated third parties (sometimes referred to as ‘positive externalities’)</w:t>
            </w:r>
          </w:p>
        </w:tc>
        <w:tc>
          <w:tcPr>
            <w:tcW w:w="5528" w:type="dxa"/>
            <w:shd w:val="clear" w:color="auto" w:fill="FFFFFF"/>
            <w:noWrap/>
          </w:tcPr>
          <w:p w14:paraId="668A8F0A" w14:textId="77777777" w:rsidR="00052799" w:rsidRPr="002D7AE6" w:rsidRDefault="00052799" w:rsidP="00871631">
            <w:pPr>
              <w:pStyle w:val="Tabletext0"/>
              <w:rPr>
                <w:sz w:val="18"/>
                <w:szCs w:val="18"/>
              </w:rPr>
            </w:pPr>
            <w:r w:rsidRPr="002D7AE6">
              <w:rPr>
                <w:sz w:val="18"/>
                <w:szCs w:val="18"/>
              </w:rPr>
              <w:t>The use of firearms, on the whole, generates benefits for the users themselves, without particular benefit to unrelated third parties. However, specific categories and classes of use may have positive externalities associated with them. For example, the use of firearms by primary producers to control pests can have positive impacts both on surrounding producers and on the wider ecosystem. Some may also consider that firearms sporting events also generate positive externalities—for example, public enjoyment associated with the Olympics.</w:t>
            </w:r>
          </w:p>
          <w:p w14:paraId="6C9E6485" w14:textId="77777777" w:rsidR="00052799" w:rsidRPr="002D7AE6" w:rsidRDefault="00052799" w:rsidP="00871631">
            <w:pPr>
              <w:pStyle w:val="Tabletext0"/>
              <w:rPr>
                <w:sz w:val="18"/>
                <w:szCs w:val="18"/>
              </w:rPr>
            </w:pPr>
            <w:r w:rsidRPr="002D7AE6">
              <w:rPr>
                <w:sz w:val="18"/>
                <w:szCs w:val="18"/>
              </w:rPr>
              <w:t xml:space="preserve">These issues are considered on a category-by-category basis where relevant and may justify under-recovery for certain licence categories. </w:t>
            </w:r>
          </w:p>
        </w:tc>
      </w:tr>
      <w:tr w:rsidR="00052799" w:rsidRPr="002D7AE6" w14:paraId="5FE9E3D2" w14:textId="77777777" w:rsidTr="00052799">
        <w:trPr>
          <w:trHeight w:val="20"/>
        </w:trPr>
        <w:tc>
          <w:tcPr>
            <w:tcW w:w="3119" w:type="dxa"/>
            <w:shd w:val="clear" w:color="auto" w:fill="FFFFFF"/>
            <w:noWrap/>
          </w:tcPr>
          <w:p w14:paraId="2E25B3DB" w14:textId="77777777" w:rsidR="00052799" w:rsidRPr="002D7AE6" w:rsidRDefault="00052799" w:rsidP="00871631">
            <w:pPr>
              <w:pStyle w:val="Tabletext0"/>
              <w:rPr>
                <w:b/>
                <w:sz w:val="18"/>
                <w:szCs w:val="18"/>
              </w:rPr>
            </w:pPr>
            <w:r w:rsidRPr="002D7AE6">
              <w:rPr>
                <w:b/>
                <w:sz w:val="18"/>
                <w:szCs w:val="18"/>
              </w:rPr>
              <w:t>Social policy or vertical equity considerations are considered to outweigh the efficiency objectives associated with full cost recovery</w:t>
            </w:r>
          </w:p>
        </w:tc>
        <w:tc>
          <w:tcPr>
            <w:tcW w:w="5528" w:type="dxa"/>
            <w:shd w:val="clear" w:color="auto" w:fill="FFFFFF"/>
            <w:noWrap/>
          </w:tcPr>
          <w:p w14:paraId="7771B2EB" w14:textId="77777777" w:rsidR="00052799" w:rsidRPr="002D7AE6" w:rsidRDefault="00052799" w:rsidP="00871631">
            <w:pPr>
              <w:pStyle w:val="Tabletext0"/>
              <w:rPr>
                <w:sz w:val="18"/>
                <w:szCs w:val="18"/>
              </w:rPr>
            </w:pPr>
            <w:r w:rsidRPr="002D7AE6">
              <w:rPr>
                <w:sz w:val="18"/>
                <w:szCs w:val="18"/>
              </w:rPr>
              <w:t>This may be a relevant consideration where it is thought that fees might inappropriately create a barrier to people or businesses with lesser means accessing firearms or the firearms industry; On this basis, the Department considers there are a number of instances in remaking the regulations where vertical equity concerns underpin a proposed departure from full cost recovery principles- for example, in relation to junior licences. The reasons for these proposed departures are explored in more detail in the options analysis section of this document.</w:t>
            </w:r>
          </w:p>
        </w:tc>
      </w:tr>
      <w:tr w:rsidR="00052799" w:rsidRPr="002D7AE6" w14:paraId="0F5A4B73" w14:textId="77777777" w:rsidTr="00052799">
        <w:trPr>
          <w:trHeight w:val="20"/>
        </w:trPr>
        <w:tc>
          <w:tcPr>
            <w:tcW w:w="3119" w:type="dxa"/>
            <w:shd w:val="clear" w:color="auto" w:fill="FFFFFF"/>
            <w:noWrap/>
            <w:hideMark/>
          </w:tcPr>
          <w:p w14:paraId="2AD5D245" w14:textId="77777777" w:rsidR="00052799" w:rsidRPr="002D7AE6" w:rsidRDefault="00052799" w:rsidP="00871631">
            <w:pPr>
              <w:pStyle w:val="Tabletext0"/>
              <w:rPr>
                <w:b/>
                <w:sz w:val="18"/>
                <w:szCs w:val="18"/>
              </w:rPr>
            </w:pPr>
            <w:r w:rsidRPr="002D7AE6">
              <w:rPr>
                <w:b/>
                <w:sz w:val="18"/>
                <w:szCs w:val="18"/>
              </w:rPr>
              <w:t>Full cost recovery might adversely affect the achievement of other government policy objectives</w:t>
            </w:r>
          </w:p>
        </w:tc>
        <w:tc>
          <w:tcPr>
            <w:tcW w:w="5528" w:type="dxa"/>
            <w:shd w:val="clear" w:color="auto" w:fill="FFFFFF"/>
            <w:noWrap/>
          </w:tcPr>
          <w:p w14:paraId="67F078E1" w14:textId="77777777" w:rsidR="00052799" w:rsidRPr="002D7AE6" w:rsidRDefault="00052799" w:rsidP="00871631">
            <w:pPr>
              <w:pStyle w:val="Tabletext0"/>
              <w:rPr>
                <w:sz w:val="18"/>
                <w:szCs w:val="18"/>
              </w:rPr>
            </w:pPr>
            <w:r w:rsidRPr="002D7AE6">
              <w:rPr>
                <w:sz w:val="18"/>
                <w:szCs w:val="18"/>
              </w:rPr>
              <w:t xml:space="preserve">While the creation of or increases to fees and charges might create a disincentive for individuals to comply with the regulatory regime, this is not considered significant enough to merit under-recovery. It is particularly important to consider fees for firearms as one of many costs associated with using, owning, or trading in firearms, including the purchase cost of firearms and ammunition. The risk of increased non-compliance is considered in the analysis for each individual strategic fee option below.  </w:t>
            </w:r>
          </w:p>
        </w:tc>
      </w:tr>
    </w:tbl>
    <w:p w14:paraId="160D29FC" w14:textId="77777777" w:rsidR="00052799" w:rsidRDefault="00052799" w:rsidP="00052799">
      <w:pPr>
        <w:pStyle w:val="BodyText"/>
      </w:pPr>
      <w:r w:rsidRPr="00610D49">
        <w:t xml:space="preserve">The analysis above suggests that, in principle, pursuing full cost recovery is warranted for firearms regulation. However, there may be cause to under-recover in the case of specific licence or permit types that are closely related with positive externalities (such as pest control) or government policy objectives. Details of these potential waivers or under-recovery options are provided in the options analysis below, along with estimates of the resulting impact on revenues.  </w:t>
      </w:r>
    </w:p>
    <w:p w14:paraId="12106CA9" w14:textId="77777777" w:rsidR="00052799" w:rsidRPr="00610D49" w:rsidRDefault="00052799" w:rsidP="00052799">
      <w:pPr>
        <w:pStyle w:val="BodyText"/>
      </w:pPr>
      <w:r>
        <w:rPr>
          <w:noProof/>
          <w:lang w:eastAsia="en-AU"/>
        </w:rPr>
        <mc:AlternateContent>
          <mc:Choice Requires="wps">
            <w:drawing>
              <wp:inline distT="0" distB="0" distL="0" distR="0" wp14:anchorId="1F9E6C8D" wp14:editId="1BB724DB">
                <wp:extent cx="5757545" cy="1432560"/>
                <wp:effectExtent l="0" t="0" r="14605" b="12065"/>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7545" cy="1432560"/>
                        </a:xfrm>
                        <a:prstGeom prst="roundRect">
                          <a:avLst>
                            <a:gd name="adj" fmla="val 16667"/>
                          </a:avLst>
                        </a:prstGeom>
                        <a:noFill/>
                        <a:ln w="9525"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E445C03" w14:textId="77777777" w:rsidR="007D4B3A" w:rsidRPr="007831D0" w:rsidRDefault="007D4B3A" w:rsidP="00052799">
                            <w:pPr>
                              <w:pStyle w:val="BodyText"/>
                              <w:ind w:left="0"/>
                              <w:rPr>
                                <w:b/>
                                <w:sz w:val="18"/>
                              </w:rPr>
                            </w:pPr>
                            <w:r>
                              <w:rPr>
                                <w:b/>
                                <w:sz w:val="18"/>
                              </w:rPr>
                              <w:t>Consultation questions:</w:t>
                            </w:r>
                          </w:p>
                          <w:p w14:paraId="4F8AD21B" w14:textId="77777777" w:rsidR="007D4B3A" w:rsidRDefault="007D4B3A" w:rsidP="00052799">
                            <w:pPr>
                              <w:pStyle w:val="BodyText"/>
                              <w:ind w:left="0"/>
                            </w:pPr>
                            <w:r>
                              <w:rPr>
                                <w:sz w:val="18"/>
                              </w:rPr>
                              <w:t xml:space="preserve">Are there other instances where vertical equity concerns may merit the under-recovery of costs from licence holders? </w:t>
                            </w:r>
                          </w:p>
                        </w:txbxContent>
                      </wps:txbx>
                      <wps:bodyPr rot="0" vert="horz" wrap="square" lIns="91440" tIns="45720" rIns="91440" bIns="45720" anchor="t" anchorCtr="0" upright="1">
                        <a:spAutoFit/>
                      </wps:bodyPr>
                    </wps:wsp>
                  </a:graphicData>
                </a:graphic>
              </wp:inline>
            </w:drawing>
          </mc:Choice>
          <mc:Fallback>
            <w:pict>
              <v:roundrect w14:anchorId="1F9E6C8D" id="_x0000_s1029" style="width:453.35pt;height:112.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" filled="f">
                <v:textbox style="mso-fit-shape-to-text:t">
                  <w:txbxContent>
                    <w:p w14:paraId="6E445C03" w14:textId="77777777" w:rsidR="007D4B3A" w:rsidRPr="007831D0" w:rsidRDefault="007D4B3A" w:rsidP="00052799">
                      <w:pPr>
                        <w:pStyle w:val="BodyText"/>
                        <w:ind w:left="0"/>
                        <w:rPr>
                          <w:b/>
                          <w:sz w:val="18"/>
                        </w:rPr>
                      </w:pPr>
                      <w:r>
                        <w:rPr>
                          <w:b/>
                          <w:sz w:val="18"/>
                        </w:rPr>
                        <w:t>Consultation questions:</w:t>
                      </w:r>
                    </w:p>
                    <w:p w14:paraId="4F8AD21B" w14:textId="77777777" w:rsidR="007D4B3A" w:rsidRDefault="007D4B3A" w:rsidP="00052799">
                      <w:pPr>
                        <w:pStyle w:val="BodyText"/>
                        <w:ind w:left="0"/>
                      </w:pPr>
                      <w:r>
                        <w:rPr>
                          <w:sz w:val="18"/>
                        </w:rPr>
                        <w:t xml:space="preserve">Are there other instances where vertical equity concerns may merit the under-recovery of costs from licence holders? </w:t>
                      </w:r>
                    </w:p>
                  </w:txbxContent>
                </v:textbox>
                <w10:anchorlock/>
              </v:roundrect>
            </w:pict>
          </mc:Fallback>
        </mc:AlternateContent>
      </w:r>
    </w:p>
    <w:p w14:paraId="1B254725" w14:textId="77777777" w:rsidR="00052799" w:rsidRPr="00610D49" w:rsidRDefault="00052799" w:rsidP="00052799">
      <w:pPr>
        <w:pStyle w:val="Heading2"/>
      </w:pPr>
      <w:bookmarkStart w:id="165" w:name="_Toc495338515"/>
      <w:bookmarkStart w:id="166" w:name="_Toc497492991"/>
      <w:bookmarkStart w:id="167" w:name="_Toc500505477"/>
      <w:bookmarkStart w:id="168" w:name="_Toc501539172"/>
      <w:r w:rsidRPr="00610D49">
        <w:t>Appropriateness of the current fee levels</w:t>
      </w:r>
      <w:bookmarkEnd w:id="165"/>
      <w:bookmarkEnd w:id="166"/>
      <w:bookmarkEnd w:id="167"/>
      <w:bookmarkEnd w:id="168"/>
    </w:p>
    <w:p w14:paraId="00270F51" w14:textId="77777777" w:rsidR="00052799" w:rsidRPr="00610D49" w:rsidRDefault="00052799" w:rsidP="00052799">
      <w:pPr>
        <w:pStyle w:val="BodyText"/>
      </w:pPr>
      <w:r w:rsidRPr="00610D49">
        <w:t xml:space="preserve">The current fee levels under the Regulations were prescribed in 2008. </w:t>
      </w:r>
    </w:p>
    <w:p w14:paraId="758344BB" w14:textId="77777777" w:rsidR="00052799" w:rsidRPr="00610D49" w:rsidRDefault="00052799" w:rsidP="00052799">
      <w:pPr>
        <w:pStyle w:val="BodyText"/>
      </w:pPr>
      <w:r w:rsidRPr="00610D49">
        <w:t xml:space="preserve">The Regulatory Impact Statement written to support the making of the Regulations in 2008 proposed fees which were set on a full cost-recovery basis, as recommended through a review of the costs of firearms licensing, registration, and regulation activities at that time. Fees were calculated based on a 2005/06 activity based costing and were indexed annually at the Treasurer’s Rate to determine fees for the 2008 Regulations. In addition, a number of fee categories, including dealer licences and certain collector licences and permits were subjected to a 20 per cent discount in anticipation of future efficiency gains within what was then the Licensing Services Division of Victoria Police. These efficiency gains were anticipated to occur through the rollout of the Online Dealer system, which automated a number of steps associated with regulating dealers and their firearm transactions. Ultimately, fees were increased by 2.5 per cent from their pre-2008 levels in order to determine the fees in the Regulations. </w:t>
      </w:r>
    </w:p>
    <w:p w14:paraId="47F09D84" w14:textId="77777777" w:rsidR="00052799" w:rsidRPr="00610D49" w:rsidRDefault="00052799" w:rsidP="00052799">
      <w:pPr>
        <w:pStyle w:val="BodyText"/>
      </w:pPr>
      <w:r w:rsidRPr="00610D49">
        <w:t>As discussed below, an Activity Based Costing (ABC) conducted in 2017 of the activities undertaken by the Licensing and Regulation Division of Victoria Police in the regulation of firearms, private security, and weapons in Victoria, estimated attributed annual costs of $13.4 million in 2016-17. Victoria Police’s revenue data show that the existing firearm fee scheme recovered $10.3 million in 2016-17. This under recovery is in large part due to the primary production fee waiver.</w:t>
      </w:r>
      <w:r w:rsidRPr="00610D49">
        <w:rPr>
          <w:rStyle w:val="FootnoteReference"/>
        </w:rPr>
        <w:footnoteReference w:id="40"/>
      </w:r>
      <w:r w:rsidRPr="00610D49">
        <w:t xml:space="preserve"> The analysis of the fees also identified a number of cross subsidies between different licence categories (discussed in the fee option assessment below).</w:t>
      </w:r>
    </w:p>
    <w:p w14:paraId="74D7A23F" w14:textId="29CC6845" w:rsidR="00052799" w:rsidRPr="00610D49" w:rsidRDefault="00052799" w:rsidP="00052799">
      <w:pPr>
        <w:pStyle w:val="Caption"/>
      </w:pPr>
      <w:r w:rsidRPr="00610D49">
        <w:t xml:space="preserve">Table </w:t>
      </w:r>
      <w:r w:rsidR="001C7D77">
        <w:rPr>
          <w:noProof/>
        </w:rPr>
        <w:t>20</w:t>
      </w:r>
      <w:r w:rsidRPr="00610D49">
        <w:t>: Estimated costs and recovery attributable to firearms regulation</w:t>
      </w:r>
      <w:r w:rsidRPr="00610D49">
        <w:rPr>
          <w:rStyle w:val="FootnoteReference"/>
        </w:rPr>
        <w:footnoteReference w:id="41"/>
      </w:r>
    </w:p>
    <w:tbl>
      <w:tblPr>
        <w:tblW w:w="8206" w:type="dxa"/>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20: Estimated costs and recovery attributable to firearms regulation"/>
      </w:tblPr>
      <w:tblGrid>
        <w:gridCol w:w="3119"/>
        <w:gridCol w:w="2870"/>
        <w:gridCol w:w="2217"/>
      </w:tblGrid>
      <w:tr w:rsidR="00052799" w:rsidRPr="00610D49" w14:paraId="1D5E835D" w14:textId="77777777" w:rsidTr="00871631">
        <w:trPr>
          <w:trHeight w:val="20"/>
          <w:tblHeader/>
        </w:trPr>
        <w:tc>
          <w:tcPr>
            <w:tcW w:w="3119" w:type="dxa"/>
            <w:shd w:val="clear" w:color="auto" w:fill="002060"/>
            <w:noWrap/>
            <w:hideMark/>
          </w:tcPr>
          <w:p w14:paraId="0F784E2A" w14:textId="77777777" w:rsidR="00052799" w:rsidRPr="002D7AE6" w:rsidRDefault="00052799" w:rsidP="00871631">
            <w:pPr>
              <w:pStyle w:val="Tableheading"/>
              <w:jc w:val="center"/>
              <w:rPr>
                <w:color w:val="FFFFFF"/>
                <w:sz w:val="18"/>
                <w:szCs w:val="18"/>
              </w:rPr>
            </w:pPr>
            <w:r w:rsidRPr="002D7AE6">
              <w:rPr>
                <w:color w:val="FFFFFF"/>
                <w:sz w:val="18"/>
                <w:szCs w:val="18"/>
              </w:rPr>
              <w:t>Year</w:t>
            </w:r>
          </w:p>
        </w:tc>
        <w:tc>
          <w:tcPr>
            <w:tcW w:w="2870" w:type="dxa"/>
            <w:shd w:val="clear" w:color="auto" w:fill="002060"/>
          </w:tcPr>
          <w:p w14:paraId="155B5DBA" w14:textId="77777777" w:rsidR="00052799" w:rsidRPr="002D7AE6" w:rsidRDefault="00052799" w:rsidP="00871631">
            <w:pPr>
              <w:pStyle w:val="Tableheading"/>
              <w:jc w:val="center"/>
              <w:rPr>
                <w:iCs/>
                <w:color w:val="FFFFFF"/>
                <w:sz w:val="18"/>
                <w:szCs w:val="18"/>
              </w:rPr>
            </w:pPr>
            <w:r w:rsidRPr="002D7AE6">
              <w:rPr>
                <w:iCs/>
                <w:color w:val="FFFFFF"/>
                <w:sz w:val="18"/>
                <w:szCs w:val="18"/>
              </w:rPr>
              <w:t>Attributed Costs ($)</w:t>
            </w:r>
          </w:p>
        </w:tc>
        <w:tc>
          <w:tcPr>
            <w:tcW w:w="2217" w:type="dxa"/>
            <w:shd w:val="clear" w:color="auto" w:fill="002060"/>
          </w:tcPr>
          <w:p w14:paraId="6D277272" w14:textId="77777777" w:rsidR="00052799" w:rsidRPr="002D7AE6" w:rsidRDefault="00052799" w:rsidP="00871631">
            <w:pPr>
              <w:pStyle w:val="Tableheading"/>
              <w:jc w:val="center"/>
              <w:rPr>
                <w:iCs/>
                <w:color w:val="FFFFFF"/>
                <w:sz w:val="18"/>
                <w:szCs w:val="18"/>
              </w:rPr>
            </w:pPr>
            <w:r w:rsidRPr="002D7AE6">
              <w:rPr>
                <w:iCs/>
                <w:color w:val="FFFFFF"/>
                <w:sz w:val="18"/>
                <w:szCs w:val="18"/>
              </w:rPr>
              <w:t>Total Recovered ($)</w:t>
            </w:r>
          </w:p>
        </w:tc>
      </w:tr>
      <w:tr w:rsidR="00052799" w:rsidRPr="00610D49" w14:paraId="0149716C" w14:textId="77777777" w:rsidTr="00052799">
        <w:trPr>
          <w:trHeight w:val="20"/>
        </w:trPr>
        <w:tc>
          <w:tcPr>
            <w:tcW w:w="3119" w:type="dxa"/>
            <w:shd w:val="clear" w:color="auto" w:fill="FFFFFF"/>
            <w:noWrap/>
            <w:hideMark/>
          </w:tcPr>
          <w:p w14:paraId="4DE25BAE" w14:textId="77777777" w:rsidR="00052799" w:rsidRPr="002D7AE6" w:rsidRDefault="00052799" w:rsidP="00871631">
            <w:pPr>
              <w:pStyle w:val="Tabletext0"/>
              <w:jc w:val="center"/>
              <w:rPr>
                <w:sz w:val="18"/>
                <w:szCs w:val="18"/>
              </w:rPr>
            </w:pPr>
            <w:r w:rsidRPr="002D7AE6">
              <w:rPr>
                <w:sz w:val="18"/>
                <w:szCs w:val="18"/>
              </w:rPr>
              <w:t>FY 2016/17</w:t>
            </w:r>
          </w:p>
        </w:tc>
        <w:tc>
          <w:tcPr>
            <w:tcW w:w="2870" w:type="dxa"/>
            <w:shd w:val="clear" w:color="auto" w:fill="FFFFFF"/>
            <w:noWrap/>
          </w:tcPr>
          <w:p w14:paraId="7FE3F454" w14:textId="77777777" w:rsidR="00052799" w:rsidRPr="002D7AE6" w:rsidRDefault="00052799" w:rsidP="00871631">
            <w:pPr>
              <w:pStyle w:val="Tabletext0"/>
              <w:jc w:val="center"/>
              <w:rPr>
                <w:sz w:val="18"/>
                <w:szCs w:val="18"/>
              </w:rPr>
            </w:pPr>
            <w:r w:rsidRPr="002D7AE6">
              <w:rPr>
                <w:sz w:val="18"/>
                <w:szCs w:val="18"/>
              </w:rPr>
              <w:t>$13.42 million</w:t>
            </w:r>
          </w:p>
        </w:tc>
        <w:tc>
          <w:tcPr>
            <w:tcW w:w="2217" w:type="dxa"/>
            <w:shd w:val="clear" w:color="auto" w:fill="FFFFFF"/>
          </w:tcPr>
          <w:p w14:paraId="67213DB7" w14:textId="77777777" w:rsidR="00052799" w:rsidRPr="002D7AE6" w:rsidRDefault="00052799" w:rsidP="00871631">
            <w:pPr>
              <w:pStyle w:val="Tabletext0"/>
              <w:jc w:val="center"/>
              <w:rPr>
                <w:sz w:val="18"/>
                <w:szCs w:val="18"/>
              </w:rPr>
            </w:pPr>
            <w:r w:rsidRPr="002D7AE6">
              <w:rPr>
                <w:sz w:val="18"/>
                <w:szCs w:val="18"/>
              </w:rPr>
              <w:t>$10.34 million</w:t>
            </w:r>
          </w:p>
        </w:tc>
      </w:tr>
    </w:tbl>
    <w:p w14:paraId="7990EAD6" w14:textId="77777777" w:rsidR="00052799" w:rsidRPr="00610D49" w:rsidRDefault="00052799" w:rsidP="00052799">
      <w:pPr>
        <w:pStyle w:val="BodyText"/>
      </w:pPr>
    </w:p>
    <w:p w14:paraId="478E1332" w14:textId="77777777" w:rsidR="00052799" w:rsidRPr="00610D49" w:rsidRDefault="00052799" w:rsidP="00052799">
      <w:pPr>
        <w:pStyle w:val="Heading2"/>
        <w:tabs>
          <w:tab w:val="clear" w:pos="794"/>
          <w:tab w:val="num" w:pos="720"/>
        </w:tabs>
        <w:ind w:left="720" w:hanging="720"/>
      </w:pPr>
      <w:bookmarkStart w:id="169" w:name="_Toc495338516"/>
      <w:bookmarkStart w:id="170" w:name="_Toc497492992"/>
      <w:bookmarkStart w:id="171" w:name="_Toc500505478"/>
      <w:bookmarkStart w:id="172" w:name="_Toc501539173"/>
      <w:r w:rsidRPr="00610D49">
        <w:t>Overview of activities undertaken by Victoria Police</w:t>
      </w:r>
      <w:bookmarkEnd w:id="169"/>
      <w:bookmarkEnd w:id="170"/>
      <w:bookmarkEnd w:id="171"/>
      <w:bookmarkEnd w:id="172"/>
    </w:p>
    <w:p w14:paraId="3083497F" w14:textId="77777777" w:rsidR="00052799" w:rsidRPr="00610D49" w:rsidRDefault="00052799" w:rsidP="00052799">
      <w:pPr>
        <w:pStyle w:val="BodyText"/>
      </w:pPr>
      <w:r w:rsidRPr="00610D49">
        <w:t xml:space="preserve">Decisions about licences, permits and approvals under the Act are the responsibility of the Chief Commissioner of Victoria Police. Alongside this, Victoria Police is responsible for enforcing offences committed under the Act. </w:t>
      </w:r>
    </w:p>
    <w:p w14:paraId="37A748EE" w14:textId="77777777" w:rsidR="00052799" w:rsidRPr="00610D49" w:rsidRDefault="00052799" w:rsidP="00052799">
      <w:pPr>
        <w:pStyle w:val="BodyText"/>
      </w:pPr>
      <w:r w:rsidRPr="00610D49">
        <w:t>In broad terms, the costs associated with these activities are incurred across the following Victoria Police areas:</w:t>
      </w:r>
    </w:p>
    <w:p w14:paraId="27A5AA5B" w14:textId="77777777" w:rsidR="00052799" w:rsidRPr="00610D49" w:rsidRDefault="00052799" w:rsidP="00052799">
      <w:pPr>
        <w:pStyle w:val="BodyText"/>
        <w:numPr>
          <w:ilvl w:val="0"/>
          <w:numId w:val="50"/>
        </w:numPr>
        <w:tabs>
          <w:tab w:val="clear" w:pos="340"/>
          <w:tab w:val="num" w:pos="1134"/>
        </w:tabs>
        <w:suppressAutoHyphens/>
        <w:ind w:left="1134"/>
      </w:pPr>
      <w:r w:rsidRPr="00610D49">
        <w:rPr>
          <w:b/>
        </w:rPr>
        <w:t xml:space="preserve">Licensing and Regulation Division (LRD) – </w:t>
      </w:r>
      <w:r w:rsidRPr="00610D49">
        <w:t>incurred within one specific division of Victoria Police</w:t>
      </w:r>
    </w:p>
    <w:p w14:paraId="19851B02" w14:textId="77777777" w:rsidR="00052799" w:rsidRPr="00610D49" w:rsidRDefault="00052799" w:rsidP="00052799">
      <w:pPr>
        <w:pStyle w:val="BodyText"/>
        <w:numPr>
          <w:ilvl w:val="0"/>
          <w:numId w:val="50"/>
        </w:numPr>
        <w:tabs>
          <w:tab w:val="clear" w:pos="340"/>
          <w:tab w:val="num" w:pos="1134"/>
        </w:tabs>
        <w:suppressAutoHyphens/>
        <w:ind w:left="1134"/>
      </w:pPr>
      <w:r w:rsidRPr="00610D49">
        <w:rPr>
          <w:b/>
        </w:rPr>
        <w:t xml:space="preserve">Non-LRD costs – </w:t>
      </w:r>
      <w:r w:rsidRPr="00610D49">
        <w:t>distributed costs incurred by a number of Victoria Police and other government areas associated with the enforcement activities of those with licence, permits and approvals under the Act.</w:t>
      </w:r>
    </w:p>
    <w:p w14:paraId="2269ED2D" w14:textId="77777777" w:rsidR="00052799" w:rsidRPr="00610D49" w:rsidRDefault="00052799" w:rsidP="00052799">
      <w:pPr>
        <w:pStyle w:val="BodyText"/>
      </w:pPr>
      <w:r w:rsidRPr="00610D49">
        <w:t>LRD performs a range of licensing, permit and registration assessment, monitoring and enforcement functions relating to firearms, weapons and the private security industry.</w:t>
      </w:r>
    </w:p>
    <w:p w14:paraId="54BC9BD5" w14:textId="77777777" w:rsidR="00052799" w:rsidRPr="00610D49" w:rsidRDefault="00052799" w:rsidP="00052799">
      <w:pPr>
        <w:pStyle w:val="BodyText"/>
      </w:pPr>
      <w:r w:rsidRPr="00610D49">
        <w:t xml:space="preserve">In relation to the regulatory framework for firearms in Victoria, LRD assesses and issues licences, permits and approvals, along with renewals of these. In doing so, LRD facilitates achievement of the purposes of the Act by, among other functions, ensuring that: </w:t>
      </w:r>
    </w:p>
    <w:p w14:paraId="62B314F7" w14:textId="77777777" w:rsidR="00052799" w:rsidRPr="00610D49" w:rsidRDefault="00052799" w:rsidP="00052799">
      <w:pPr>
        <w:pStyle w:val="BodyText"/>
        <w:numPr>
          <w:ilvl w:val="0"/>
          <w:numId w:val="52"/>
        </w:numPr>
      </w:pPr>
      <w:r w:rsidRPr="00610D49">
        <w:t>firearms licences are issued only to persons holding a genuine reason</w:t>
      </w:r>
    </w:p>
    <w:p w14:paraId="0B3838BA" w14:textId="77777777" w:rsidR="00052799" w:rsidRPr="00610D49" w:rsidRDefault="00052799" w:rsidP="00052799">
      <w:pPr>
        <w:pStyle w:val="BodyText"/>
        <w:numPr>
          <w:ilvl w:val="0"/>
          <w:numId w:val="52"/>
        </w:numPr>
      </w:pPr>
      <w:r w:rsidRPr="00610D49">
        <w:t xml:space="preserve">firearms are purchased by appropriately </w:t>
      </w:r>
      <w:r>
        <w:t>licensed</w:t>
      </w:r>
      <w:r w:rsidRPr="00610D49">
        <w:t>, non-prohibited persons</w:t>
      </w:r>
    </w:p>
    <w:p w14:paraId="06E4E7C1" w14:textId="77777777" w:rsidR="00052799" w:rsidRPr="00610D49" w:rsidRDefault="00052799" w:rsidP="00052799">
      <w:pPr>
        <w:pStyle w:val="BodyText"/>
        <w:numPr>
          <w:ilvl w:val="0"/>
          <w:numId w:val="52"/>
        </w:numPr>
      </w:pPr>
      <w:r w:rsidRPr="00610D49">
        <w:t xml:space="preserve">firearms are bought and sold only through </w:t>
      </w:r>
      <w:r>
        <w:t>licensed</w:t>
      </w:r>
      <w:r w:rsidRPr="00610D49">
        <w:t xml:space="preserve"> dealers</w:t>
      </w:r>
    </w:p>
    <w:p w14:paraId="169B82B9" w14:textId="77777777" w:rsidR="00052799" w:rsidRPr="00610D49" w:rsidRDefault="00052799" w:rsidP="00052799">
      <w:pPr>
        <w:pStyle w:val="BodyText"/>
        <w:numPr>
          <w:ilvl w:val="0"/>
          <w:numId w:val="52"/>
        </w:numPr>
      </w:pPr>
      <w:r w:rsidRPr="00610D49">
        <w:t>approved target shooting clubs and ranges have appropriate facilities.</w:t>
      </w:r>
    </w:p>
    <w:p w14:paraId="66F2C21B" w14:textId="77777777" w:rsidR="00052799" w:rsidRPr="00610D49" w:rsidRDefault="00052799" w:rsidP="00052799">
      <w:pPr>
        <w:pStyle w:val="BodyText"/>
      </w:pPr>
      <w:r w:rsidRPr="00610D49">
        <w:t xml:space="preserve">LRD also undertakes ongoing monitoring and enforcement through a range of activities. </w:t>
      </w:r>
    </w:p>
    <w:p w14:paraId="0A0D69EB" w14:textId="77777777" w:rsidR="00052799" w:rsidRPr="00610D49" w:rsidRDefault="00052799" w:rsidP="00052799">
      <w:pPr>
        <w:pStyle w:val="BodyText"/>
      </w:pPr>
      <w:r w:rsidRPr="00610D49">
        <w:t xml:space="preserve">Areas outside of LRD undertake a range of activities to administer the regulatory framework. Notably: </w:t>
      </w:r>
    </w:p>
    <w:p w14:paraId="3FA50342" w14:textId="77777777" w:rsidR="00052799" w:rsidRPr="00610D49" w:rsidRDefault="00052799" w:rsidP="00052799">
      <w:pPr>
        <w:pStyle w:val="BodyText"/>
        <w:numPr>
          <w:ilvl w:val="0"/>
          <w:numId w:val="77"/>
        </w:numPr>
      </w:pPr>
      <w:r w:rsidRPr="00610D49">
        <w:t>Divisional Firearms Officers (DFOs) undertake storage inspections and firearms training</w:t>
      </w:r>
    </w:p>
    <w:p w14:paraId="387ADF3B" w14:textId="77777777" w:rsidR="00052799" w:rsidRPr="00610D49" w:rsidRDefault="00052799" w:rsidP="00052799">
      <w:pPr>
        <w:pStyle w:val="BodyText"/>
        <w:numPr>
          <w:ilvl w:val="0"/>
          <w:numId w:val="77"/>
        </w:numPr>
      </w:pPr>
      <w:r w:rsidRPr="00610D49">
        <w:t xml:space="preserve">a range of areas across Victoria Police (including taskforces) provide input into licensing decisions, and </w:t>
      </w:r>
    </w:p>
    <w:p w14:paraId="5CD2B59F" w14:textId="77777777" w:rsidR="00052799" w:rsidRPr="00610D49" w:rsidRDefault="00052799" w:rsidP="00052799">
      <w:pPr>
        <w:pStyle w:val="BodyText"/>
        <w:numPr>
          <w:ilvl w:val="0"/>
          <w:numId w:val="77"/>
        </w:numPr>
      </w:pPr>
      <w:r w:rsidRPr="00610D49">
        <w:t>the Department of Justice and Regulation administers the firearms appeals process for reviewing licensing decisions.</w:t>
      </w:r>
    </w:p>
    <w:p w14:paraId="1A8E70C7" w14:textId="46A1D356" w:rsidR="00052799" w:rsidRPr="00610D49" w:rsidRDefault="00052799" w:rsidP="00052799">
      <w:pPr>
        <w:pStyle w:val="BodyText"/>
      </w:pPr>
      <w:r w:rsidRPr="00610D49">
        <w:t>In addition to monitoring and enforcement that is undertaken in an ongoing capacity by LRD and a strategic capacity by various Victoria Police taskforces, members across Victoria Police contribute to monitoring and enforcement. These ‘other policing activities’ are monitoring and enforcement activities that occur as part of general policing duties, and are not included in the recoverable cost</w:t>
      </w:r>
      <w:r w:rsidR="00C103B7">
        <w:t xml:space="preserve"> </w:t>
      </w:r>
      <w:r w:rsidRPr="00610D49">
        <w:t xml:space="preserve">base. For example, the costs of responding to firearm thefts, training to respond to ‘active shooter’ incidents, and responding to violent crime involving firearms are not included in the set of costs sought to be recovered from firearms licensees. </w:t>
      </w:r>
      <w:r>
        <w:t xml:space="preserve">The reason that these costs have not been included in the </w:t>
      </w:r>
      <w:r w:rsidRPr="008754A3">
        <w:t xml:space="preserve">recoverable cost base </w:t>
      </w:r>
      <w:r>
        <w:t>is that while they seem to relate to ‘firearms’ (and may therefore be appropriate to recover from firearms licence holders), in practice, these costs are driven</w:t>
      </w:r>
      <w:r w:rsidRPr="008754A3">
        <w:t xml:space="preserve"> by </w:t>
      </w:r>
      <w:r>
        <w:t xml:space="preserve">illegally possessed firearms or </w:t>
      </w:r>
      <w:r w:rsidRPr="008754A3">
        <w:t xml:space="preserve">criminals </w:t>
      </w:r>
      <w:r>
        <w:t xml:space="preserve">more generally </w:t>
      </w:r>
      <w:r w:rsidRPr="008754A3">
        <w:t>(e.g. violent crimes)</w:t>
      </w:r>
      <w:r>
        <w:t>. While it is possible that a very small amount of these costs could be attributed to firearms licence holders, it is very difficult to disentangle any cost drivers that relate specifically to firearms licensees</w:t>
      </w:r>
      <w:r w:rsidR="00C103B7">
        <w:t>—</w:t>
      </w:r>
      <w:r>
        <w:t>therefore</w:t>
      </w:r>
      <w:r w:rsidR="00C103B7">
        <w:t>,</w:t>
      </w:r>
      <w:r>
        <w:t xml:space="preserve"> these broader costs are not recovered from firearms licensees.</w:t>
      </w:r>
    </w:p>
    <w:p w14:paraId="658937DD" w14:textId="77777777" w:rsidR="00052799" w:rsidRPr="00610D49" w:rsidRDefault="00052799" w:rsidP="00052799">
      <w:pPr>
        <w:pStyle w:val="BodyText"/>
      </w:pPr>
      <w:r w:rsidRPr="00610D49">
        <w:t>The approach to calculating and attributing costs is described in the following section.</w:t>
      </w:r>
    </w:p>
    <w:p w14:paraId="5C31149E" w14:textId="77777777" w:rsidR="00052799" w:rsidRPr="00610D49" w:rsidRDefault="00052799" w:rsidP="00052799">
      <w:pPr>
        <w:pStyle w:val="Heading2"/>
        <w:tabs>
          <w:tab w:val="clear" w:pos="794"/>
          <w:tab w:val="num" w:pos="720"/>
        </w:tabs>
        <w:ind w:left="720" w:hanging="720"/>
      </w:pPr>
      <w:bookmarkStart w:id="173" w:name="_Toc495338517"/>
      <w:bookmarkStart w:id="174" w:name="_Toc497492993"/>
      <w:bookmarkStart w:id="175" w:name="_Toc500505479"/>
      <w:bookmarkStart w:id="176" w:name="_Toc501539174"/>
      <w:r w:rsidRPr="00610D49">
        <w:t>Approach to calculating and attributing costs of regulation</w:t>
      </w:r>
      <w:bookmarkEnd w:id="173"/>
      <w:bookmarkEnd w:id="174"/>
      <w:bookmarkEnd w:id="175"/>
      <w:bookmarkEnd w:id="176"/>
    </w:p>
    <w:p w14:paraId="61F0CA7D" w14:textId="77777777" w:rsidR="00052799" w:rsidRPr="00610D49" w:rsidRDefault="00052799" w:rsidP="00052799">
      <w:pPr>
        <w:pStyle w:val="BodyText"/>
      </w:pPr>
      <w:r w:rsidRPr="00610D49">
        <w:t xml:space="preserve">In order to determine which costs should be recovered through fees, the scope of the efficient cost base associated with administering the regulatory framework must be established. In the case of this RIS, the costs have been established through the ABC. </w:t>
      </w:r>
    </w:p>
    <w:p w14:paraId="6D94F61F" w14:textId="77777777" w:rsidR="00052799" w:rsidRPr="00610D49" w:rsidRDefault="00052799" w:rsidP="00052799">
      <w:pPr>
        <w:pStyle w:val="Heading3"/>
      </w:pPr>
      <w:bookmarkStart w:id="177" w:name="_Toc497492994"/>
      <w:bookmarkStart w:id="178" w:name="_Toc500505480"/>
      <w:bookmarkStart w:id="179" w:name="_Toc501539175"/>
      <w:r w:rsidRPr="00610D49">
        <w:t>LRD activities and costs</w:t>
      </w:r>
      <w:bookmarkEnd w:id="177"/>
      <w:bookmarkEnd w:id="178"/>
      <w:bookmarkEnd w:id="179"/>
    </w:p>
    <w:p w14:paraId="06B305DE" w14:textId="77777777" w:rsidR="00052799" w:rsidRPr="00610D49" w:rsidRDefault="00052799" w:rsidP="00052799">
      <w:pPr>
        <w:pStyle w:val="BodyText"/>
      </w:pPr>
      <w:r w:rsidRPr="00610D49">
        <w:t>The ABC model allocates 169 LRD activities (including a range of shared processes) across 81 fee categories. The total estimate for LRD activities in 2016/17 were broadly split into the areas outlined in the following table.</w:t>
      </w:r>
    </w:p>
    <w:p w14:paraId="1CF4B9D7" w14:textId="118D8C1B" w:rsidR="00052799" w:rsidRPr="00610D49" w:rsidRDefault="00052799" w:rsidP="00052799">
      <w:pPr>
        <w:pStyle w:val="Caption"/>
      </w:pPr>
      <w:r w:rsidRPr="00610D49">
        <w:t xml:space="preserve">Table </w:t>
      </w:r>
      <w:r w:rsidR="001C7D77">
        <w:rPr>
          <w:noProof/>
        </w:rPr>
        <w:t>21</w:t>
      </w:r>
      <w:r w:rsidRPr="00610D49">
        <w:t>: LRD cost attribution 2016/17</w:t>
      </w:r>
    </w:p>
    <w:tbl>
      <w:tblPr>
        <w:tblW w:w="8255" w:type="dxa"/>
        <w:tblInd w:w="817" w:type="dxa"/>
        <w:tblBorders>
          <w:insideH w:val="single" w:sz="4" w:space="0" w:color="auto"/>
        </w:tblBorders>
        <w:tblLayout w:type="fixed"/>
        <w:tblLook w:val="04A0" w:firstRow="1" w:lastRow="0" w:firstColumn="1" w:lastColumn="0" w:noHBand="0" w:noVBand="1"/>
        <w:tblCaption w:val="Table 21: LRD cost attribution 2016/17"/>
      </w:tblPr>
      <w:tblGrid>
        <w:gridCol w:w="4570"/>
        <w:gridCol w:w="3685"/>
      </w:tblGrid>
      <w:tr w:rsidR="00052799" w:rsidRPr="00610D49" w14:paraId="48A63FEF" w14:textId="77777777" w:rsidTr="00871631">
        <w:trPr>
          <w:trHeight w:val="348"/>
        </w:trPr>
        <w:tc>
          <w:tcPr>
            <w:tcW w:w="4570" w:type="dxa"/>
            <w:shd w:val="clear" w:color="000000" w:fill="002060"/>
            <w:noWrap/>
            <w:vAlign w:val="center"/>
            <w:hideMark/>
          </w:tcPr>
          <w:p w14:paraId="738A3CAD" w14:textId="77777777" w:rsidR="00052799" w:rsidRPr="002D7AE6" w:rsidRDefault="00052799" w:rsidP="00871631">
            <w:pPr>
              <w:pStyle w:val="Tableheading0"/>
              <w:rPr>
                <w:rFonts w:ascii="Arial" w:hAnsi="Arial" w:cs="Arial"/>
                <w:sz w:val="18"/>
                <w:szCs w:val="18"/>
              </w:rPr>
            </w:pPr>
            <w:r w:rsidRPr="002D7AE6">
              <w:rPr>
                <w:rFonts w:ascii="Arial" w:hAnsi="Arial" w:cs="Arial"/>
                <w:sz w:val="18"/>
                <w:szCs w:val="18"/>
              </w:rPr>
              <w:t>LRD Team</w:t>
            </w:r>
          </w:p>
        </w:tc>
        <w:tc>
          <w:tcPr>
            <w:tcW w:w="3685" w:type="dxa"/>
            <w:shd w:val="clear" w:color="000000" w:fill="002060"/>
            <w:noWrap/>
            <w:vAlign w:val="center"/>
            <w:hideMark/>
          </w:tcPr>
          <w:p w14:paraId="1946B54E" w14:textId="77777777" w:rsidR="00052799" w:rsidRPr="002D7AE6" w:rsidRDefault="00052799" w:rsidP="00871631">
            <w:pPr>
              <w:pStyle w:val="Tableheading0"/>
              <w:rPr>
                <w:rFonts w:ascii="Arial" w:hAnsi="Arial" w:cs="Arial"/>
                <w:sz w:val="18"/>
                <w:szCs w:val="18"/>
              </w:rPr>
            </w:pPr>
            <w:r w:rsidRPr="002D7AE6">
              <w:rPr>
                <w:rFonts w:ascii="Arial" w:hAnsi="Arial" w:cs="Arial"/>
                <w:sz w:val="18"/>
                <w:szCs w:val="18"/>
              </w:rPr>
              <w:t>Total Attributable Costs ($m)</w:t>
            </w:r>
          </w:p>
        </w:tc>
      </w:tr>
      <w:tr w:rsidR="00052799" w:rsidRPr="00610D49" w14:paraId="4F87DD10" w14:textId="77777777" w:rsidTr="00871631">
        <w:trPr>
          <w:trHeight w:val="348"/>
        </w:trPr>
        <w:tc>
          <w:tcPr>
            <w:tcW w:w="4570" w:type="dxa"/>
            <w:shd w:val="clear" w:color="000000" w:fill="FFFFFF"/>
            <w:hideMark/>
          </w:tcPr>
          <w:p w14:paraId="2CEFA26B" w14:textId="77777777" w:rsidR="00052799" w:rsidRPr="002D7AE6" w:rsidRDefault="00052799" w:rsidP="00871631">
            <w:pPr>
              <w:pStyle w:val="Tabletext0"/>
              <w:rPr>
                <w:rFonts w:cs="Arial"/>
                <w:sz w:val="18"/>
                <w:szCs w:val="18"/>
              </w:rPr>
            </w:pPr>
            <w:r w:rsidRPr="002D7AE6">
              <w:rPr>
                <w:rFonts w:cs="Arial"/>
                <w:sz w:val="18"/>
                <w:szCs w:val="18"/>
              </w:rPr>
              <w:t>Regulation Support Unit</w:t>
            </w:r>
          </w:p>
        </w:tc>
        <w:tc>
          <w:tcPr>
            <w:tcW w:w="3685" w:type="dxa"/>
            <w:shd w:val="clear" w:color="000000" w:fill="FFFFFF"/>
            <w:noWrap/>
            <w:hideMark/>
          </w:tcPr>
          <w:p w14:paraId="0036C09C" w14:textId="77777777" w:rsidR="00052799" w:rsidRPr="002D7AE6" w:rsidRDefault="00052799" w:rsidP="00871631">
            <w:pPr>
              <w:pStyle w:val="Tablenumber"/>
              <w:rPr>
                <w:rFonts w:ascii="Arial" w:hAnsi="Arial" w:cs="Arial"/>
                <w:sz w:val="18"/>
                <w:szCs w:val="18"/>
              </w:rPr>
            </w:pPr>
            <w:r w:rsidRPr="002D7AE6">
              <w:rPr>
                <w:rFonts w:ascii="Arial" w:hAnsi="Arial" w:cs="Arial"/>
                <w:sz w:val="18"/>
                <w:szCs w:val="18"/>
              </w:rPr>
              <w:t xml:space="preserve">2.5 </w:t>
            </w:r>
          </w:p>
        </w:tc>
      </w:tr>
      <w:tr w:rsidR="00052799" w:rsidRPr="00610D49" w14:paraId="2F853FA4" w14:textId="77777777" w:rsidTr="00871631">
        <w:trPr>
          <w:trHeight w:val="348"/>
        </w:trPr>
        <w:tc>
          <w:tcPr>
            <w:tcW w:w="4570" w:type="dxa"/>
            <w:shd w:val="clear" w:color="000000" w:fill="FFFFFF"/>
            <w:hideMark/>
          </w:tcPr>
          <w:p w14:paraId="2A389817" w14:textId="77777777" w:rsidR="00052799" w:rsidRPr="002D7AE6" w:rsidRDefault="00052799" w:rsidP="00871631">
            <w:pPr>
              <w:pStyle w:val="Tabletext0"/>
              <w:rPr>
                <w:rFonts w:cs="Arial"/>
                <w:sz w:val="18"/>
                <w:szCs w:val="18"/>
              </w:rPr>
            </w:pPr>
            <w:r w:rsidRPr="002D7AE6">
              <w:rPr>
                <w:rFonts w:cs="Arial"/>
                <w:sz w:val="18"/>
                <w:szCs w:val="18"/>
              </w:rPr>
              <w:t>Assessment and Determination Unit</w:t>
            </w:r>
          </w:p>
        </w:tc>
        <w:tc>
          <w:tcPr>
            <w:tcW w:w="3685" w:type="dxa"/>
            <w:shd w:val="clear" w:color="000000" w:fill="FFFFFF"/>
            <w:noWrap/>
            <w:hideMark/>
          </w:tcPr>
          <w:p w14:paraId="582F7415" w14:textId="77777777" w:rsidR="00052799" w:rsidRPr="002D7AE6" w:rsidRDefault="00052799" w:rsidP="00871631">
            <w:pPr>
              <w:pStyle w:val="Tablenumber"/>
              <w:rPr>
                <w:rFonts w:ascii="Arial" w:hAnsi="Arial" w:cs="Arial"/>
                <w:sz w:val="18"/>
                <w:szCs w:val="18"/>
              </w:rPr>
            </w:pPr>
            <w:r w:rsidRPr="002D7AE6">
              <w:rPr>
                <w:rFonts w:ascii="Arial" w:hAnsi="Arial" w:cs="Arial"/>
                <w:sz w:val="18"/>
                <w:szCs w:val="18"/>
              </w:rPr>
              <w:t xml:space="preserve"> 2.5 </w:t>
            </w:r>
          </w:p>
        </w:tc>
      </w:tr>
      <w:tr w:rsidR="00052799" w:rsidRPr="00610D49" w14:paraId="7B7A792E" w14:textId="77777777" w:rsidTr="00871631">
        <w:trPr>
          <w:trHeight w:val="348"/>
        </w:trPr>
        <w:tc>
          <w:tcPr>
            <w:tcW w:w="4570" w:type="dxa"/>
            <w:shd w:val="clear" w:color="000000" w:fill="FFFFFF"/>
          </w:tcPr>
          <w:p w14:paraId="25E753A4" w14:textId="77777777" w:rsidR="00052799" w:rsidRPr="002D7AE6" w:rsidRDefault="00052799" w:rsidP="00871631">
            <w:pPr>
              <w:pStyle w:val="Tabletext0"/>
              <w:rPr>
                <w:rFonts w:cs="Arial"/>
                <w:sz w:val="18"/>
                <w:szCs w:val="18"/>
              </w:rPr>
            </w:pPr>
            <w:r w:rsidRPr="002D7AE6">
              <w:rPr>
                <w:rFonts w:cs="Arial"/>
                <w:sz w:val="18"/>
                <w:szCs w:val="18"/>
              </w:rPr>
              <w:t>Policy and Publications Unit</w:t>
            </w:r>
            <w:r w:rsidRPr="002D7AE6">
              <w:rPr>
                <w:rStyle w:val="FootnoteReference"/>
                <w:sz w:val="18"/>
                <w:szCs w:val="18"/>
              </w:rPr>
              <w:footnoteReference w:id="42"/>
            </w:r>
          </w:p>
        </w:tc>
        <w:tc>
          <w:tcPr>
            <w:tcW w:w="3685" w:type="dxa"/>
            <w:shd w:val="clear" w:color="000000" w:fill="FFFFFF"/>
            <w:noWrap/>
          </w:tcPr>
          <w:p w14:paraId="368084FC" w14:textId="77777777" w:rsidR="00052799" w:rsidRPr="002D7AE6" w:rsidRDefault="00052799" w:rsidP="00871631">
            <w:pPr>
              <w:pStyle w:val="Tablenumber"/>
              <w:rPr>
                <w:rFonts w:ascii="Arial" w:hAnsi="Arial" w:cs="Arial"/>
                <w:sz w:val="18"/>
                <w:szCs w:val="18"/>
              </w:rPr>
            </w:pPr>
            <w:r w:rsidRPr="002D7AE6">
              <w:rPr>
                <w:rFonts w:ascii="Arial" w:hAnsi="Arial" w:cs="Arial"/>
                <w:sz w:val="18"/>
                <w:szCs w:val="18"/>
              </w:rPr>
              <w:t xml:space="preserve"> 0.8 </w:t>
            </w:r>
          </w:p>
        </w:tc>
      </w:tr>
      <w:tr w:rsidR="00052799" w:rsidRPr="00610D49" w14:paraId="507A18E9" w14:textId="77777777" w:rsidTr="00871631">
        <w:trPr>
          <w:trHeight w:val="348"/>
        </w:trPr>
        <w:tc>
          <w:tcPr>
            <w:tcW w:w="4570" w:type="dxa"/>
            <w:shd w:val="clear" w:color="000000" w:fill="FFFFFF"/>
          </w:tcPr>
          <w:p w14:paraId="2487DE69" w14:textId="77777777" w:rsidR="00052799" w:rsidRPr="002D7AE6" w:rsidRDefault="00052799" w:rsidP="00871631">
            <w:pPr>
              <w:pStyle w:val="Tabletext0"/>
              <w:rPr>
                <w:rFonts w:cs="Arial"/>
                <w:sz w:val="18"/>
                <w:szCs w:val="18"/>
              </w:rPr>
            </w:pPr>
            <w:r w:rsidRPr="002D7AE6">
              <w:rPr>
                <w:rFonts w:cs="Arial"/>
                <w:sz w:val="18"/>
                <w:szCs w:val="18"/>
              </w:rPr>
              <w:t>Business Support Unit</w:t>
            </w:r>
          </w:p>
        </w:tc>
        <w:tc>
          <w:tcPr>
            <w:tcW w:w="3685" w:type="dxa"/>
            <w:shd w:val="clear" w:color="000000" w:fill="FFFFFF"/>
            <w:noWrap/>
          </w:tcPr>
          <w:p w14:paraId="0B6C3000" w14:textId="77777777" w:rsidR="00052799" w:rsidRPr="002D7AE6" w:rsidRDefault="00052799" w:rsidP="00871631">
            <w:pPr>
              <w:pStyle w:val="Tablenumber"/>
              <w:rPr>
                <w:rFonts w:ascii="Arial" w:hAnsi="Arial" w:cs="Arial"/>
                <w:sz w:val="18"/>
                <w:szCs w:val="18"/>
              </w:rPr>
            </w:pPr>
            <w:r w:rsidRPr="002D7AE6">
              <w:rPr>
                <w:rFonts w:ascii="Arial" w:hAnsi="Arial" w:cs="Arial"/>
                <w:sz w:val="18"/>
                <w:szCs w:val="18"/>
              </w:rPr>
              <w:t xml:space="preserve"> 2.0 </w:t>
            </w:r>
          </w:p>
        </w:tc>
      </w:tr>
      <w:tr w:rsidR="00052799" w:rsidRPr="00610D49" w14:paraId="78CD1064" w14:textId="77777777" w:rsidTr="00871631">
        <w:trPr>
          <w:trHeight w:val="348"/>
        </w:trPr>
        <w:tc>
          <w:tcPr>
            <w:tcW w:w="4570" w:type="dxa"/>
            <w:shd w:val="clear" w:color="000000" w:fill="FFFFFF"/>
          </w:tcPr>
          <w:p w14:paraId="771A8339" w14:textId="77777777" w:rsidR="00052799" w:rsidRPr="002D7AE6" w:rsidRDefault="00052799" w:rsidP="00871631">
            <w:pPr>
              <w:pStyle w:val="Tabletext0"/>
              <w:rPr>
                <w:rFonts w:cs="Arial"/>
                <w:sz w:val="18"/>
                <w:szCs w:val="18"/>
              </w:rPr>
            </w:pPr>
            <w:r w:rsidRPr="002D7AE6">
              <w:rPr>
                <w:rFonts w:cs="Arial"/>
                <w:sz w:val="18"/>
                <w:szCs w:val="18"/>
              </w:rPr>
              <w:t>ICT and projects</w:t>
            </w:r>
            <w:r w:rsidRPr="002D7AE6">
              <w:rPr>
                <w:rStyle w:val="FootnoteReference"/>
                <w:sz w:val="18"/>
                <w:szCs w:val="18"/>
              </w:rPr>
              <w:footnoteReference w:id="43"/>
            </w:r>
          </w:p>
        </w:tc>
        <w:tc>
          <w:tcPr>
            <w:tcW w:w="3685" w:type="dxa"/>
            <w:shd w:val="clear" w:color="000000" w:fill="FFFFFF"/>
            <w:noWrap/>
          </w:tcPr>
          <w:p w14:paraId="4F292714" w14:textId="77777777" w:rsidR="00052799" w:rsidRPr="002D7AE6" w:rsidRDefault="00052799" w:rsidP="00871631">
            <w:pPr>
              <w:pStyle w:val="Tablenumber"/>
              <w:rPr>
                <w:rFonts w:ascii="Arial" w:hAnsi="Arial" w:cs="Arial"/>
                <w:sz w:val="18"/>
                <w:szCs w:val="18"/>
              </w:rPr>
            </w:pPr>
            <w:r w:rsidRPr="002D7AE6">
              <w:rPr>
                <w:rFonts w:ascii="Arial" w:hAnsi="Arial" w:cs="Arial"/>
                <w:sz w:val="18"/>
                <w:szCs w:val="18"/>
              </w:rPr>
              <w:t xml:space="preserve"> 1.1 </w:t>
            </w:r>
          </w:p>
        </w:tc>
      </w:tr>
      <w:tr w:rsidR="00052799" w:rsidRPr="00610D49" w14:paraId="208D8933" w14:textId="77777777" w:rsidTr="00871631">
        <w:trPr>
          <w:trHeight w:val="348"/>
        </w:trPr>
        <w:tc>
          <w:tcPr>
            <w:tcW w:w="4570" w:type="dxa"/>
            <w:shd w:val="clear" w:color="000000" w:fill="FFFFFF"/>
          </w:tcPr>
          <w:p w14:paraId="6DFABC45" w14:textId="77777777" w:rsidR="00052799" w:rsidRPr="002D7AE6" w:rsidRDefault="00052799" w:rsidP="00871631">
            <w:pPr>
              <w:pStyle w:val="Tabletext0"/>
              <w:rPr>
                <w:rFonts w:cs="Arial"/>
                <w:sz w:val="18"/>
                <w:szCs w:val="18"/>
              </w:rPr>
            </w:pPr>
            <w:r w:rsidRPr="002D7AE6">
              <w:rPr>
                <w:rFonts w:cs="Arial"/>
                <w:sz w:val="18"/>
                <w:szCs w:val="18"/>
              </w:rPr>
              <w:t>Public Support and Services Department Executive</w:t>
            </w:r>
          </w:p>
        </w:tc>
        <w:tc>
          <w:tcPr>
            <w:tcW w:w="3685" w:type="dxa"/>
            <w:shd w:val="clear" w:color="000000" w:fill="FFFFFF"/>
            <w:noWrap/>
          </w:tcPr>
          <w:p w14:paraId="47158B4B" w14:textId="77777777" w:rsidR="00052799" w:rsidRPr="002D7AE6" w:rsidRDefault="00052799" w:rsidP="00871631">
            <w:pPr>
              <w:pStyle w:val="Tablenumber"/>
              <w:rPr>
                <w:rFonts w:ascii="Arial" w:hAnsi="Arial" w:cs="Arial"/>
                <w:sz w:val="18"/>
                <w:szCs w:val="18"/>
              </w:rPr>
            </w:pPr>
            <w:r w:rsidRPr="002D7AE6">
              <w:rPr>
                <w:rFonts w:ascii="Arial" w:hAnsi="Arial" w:cs="Arial"/>
                <w:sz w:val="18"/>
                <w:szCs w:val="18"/>
              </w:rPr>
              <w:t xml:space="preserve"> 0.5 </w:t>
            </w:r>
          </w:p>
        </w:tc>
      </w:tr>
      <w:tr w:rsidR="00052799" w:rsidRPr="00610D49" w14:paraId="1B0E773B" w14:textId="77777777" w:rsidTr="00871631">
        <w:trPr>
          <w:trHeight w:val="348"/>
        </w:trPr>
        <w:tc>
          <w:tcPr>
            <w:tcW w:w="4570" w:type="dxa"/>
            <w:shd w:val="clear" w:color="000000" w:fill="FFFFFF"/>
          </w:tcPr>
          <w:p w14:paraId="70D531E8" w14:textId="77777777" w:rsidR="00052799" w:rsidRPr="002D7AE6" w:rsidRDefault="00052799" w:rsidP="00871631">
            <w:pPr>
              <w:pStyle w:val="Tabletext0"/>
              <w:rPr>
                <w:rFonts w:cs="Arial"/>
                <w:b/>
                <w:sz w:val="18"/>
                <w:szCs w:val="18"/>
              </w:rPr>
            </w:pPr>
            <w:r w:rsidRPr="002D7AE6">
              <w:rPr>
                <w:rFonts w:cs="Arial"/>
                <w:b/>
                <w:sz w:val="18"/>
                <w:szCs w:val="18"/>
              </w:rPr>
              <w:t>Total</w:t>
            </w:r>
          </w:p>
        </w:tc>
        <w:tc>
          <w:tcPr>
            <w:tcW w:w="3685" w:type="dxa"/>
            <w:shd w:val="clear" w:color="000000" w:fill="FFFFFF"/>
            <w:noWrap/>
          </w:tcPr>
          <w:p w14:paraId="3DE87CF4" w14:textId="77777777" w:rsidR="00052799" w:rsidRPr="002D7AE6" w:rsidRDefault="00052799" w:rsidP="00871631">
            <w:pPr>
              <w:pStyle w:val="Tablenumber"/>
              <w:rPr>
                <w:rFonts w:ascii="Arial" w:hAnsi="Arial" w:cs="Arial"/>
                <w:b/>
                <w:sz w:val="18"/>
                <w:szCs w:val="18"/>
              </w:rPr>
            </w:pPr>
            <w:r w:rsidRPr="002D7AE6">
              <w:rPr>
                <w:rFonts w:ascii="Arial" w:hAnsi="Arial" w:cs="Arial"/>
                <w:b/>
                <w:sz w:val="18"/>
                <w:szCs w:val="18"/>
              </w:rPr>
              <w:t xml:space="preserve">9.3 </w:t>
            </w:r>
          </w:p>
        </w:tc>
      </w:tr>
    </w:tbl>
    <w:p w14:paraId="1500DD11" w14:textId="77777777" w:rsidR="00052799" w:rsidRPr="00610D49" w:rsidRDefault="00052799" w:rsidP="00052799">
      <w:pPr>
        <w:pStyle w:val="Tablenote"/>
      </w:pPr>
      <w:r w:rsidRPr="00610D49">
        <w:t xml:space="preserve">Note: Where totals do not add up, this is due to the impact of rounding </w:t>
      </w:r>
    </w:p>
    <w:p w14:paraId="24229B59" w14:textId="77777777" w:rsidR="00554C23" w:rsidRDefault="00554C23" w:rsidP="00052799">
      <w:pPr>
        <w:pStyle w:val="BodyText"/>
      </w:pPr>
    </w:p>
    <w:p w14:paraId="5D2D855A" w14:textId="77777777" w:rsidR="00052799" w:rsidRPr="00610D49" w:rsidRDefault="00052799" w:rsidP="00052799">
      <w:pPr>
        <w:pStyle w:val="BodyText"/>
      </w:pPr>
      <w:r w:rsidRPr="00610D49">
        <w:t>A summary of the activities undertaken by LRD in administering the regulatory framework is set out in the table below.</w:t>
      </w:r>
    </w:p>
    <w:p w14:paraId="3661C608" w14:textId="7B8FF0EF" w:rsidR="00052799" w:rsidRPr="00610D49" w:rsidRDefault="00052799" w:rsidP="00052799">
      <w:pPr>
        <w:pStyle w:val="Caption"/>
      </w:pPr>
      <w:r w:rsidRPr="00610D49">
        <w:t xml:space="preserve">Table </w:t>
      </w:r>
      <w:r w:rsidR="001C7D77">
        <w:rPr>
          <w:noProof/>
        </w:rPr>
        <w:t>22</w:t>
      </w:r>
      <w:r w:rsidR="009F677B">
        <w:t>:</w:t>
      </w:r>
      <w:r w:rsidRPr="00610D49">
        <w:t xml:space="preserve"> Activities undertaken by LRD</w:t>
      </w:r>
    </w:p>
    <w:tbl>
      <w:tblPr>
        <w:tblStyle w:val="TableGrid"/>
        <w:tblW w:w="8363" w:type="dxa"/>
        <w:tblInd w:w="70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Caption w:val="Table 22: Activities undertaken by LRD"/>
      </w:tblPr>
      <w:tblGrid>
        <w:gridCol w:w="1834"/>
        <w:gridCol w:w="2962"/>
        <w:gridCol w:w="3567"/>
      </w:tblGrid>
      <w:tr w:rsidR="00052799" w:rsidRPr="002D7AE6" w14:paraId="67CC9BBA" w14:textId="77777777" w:rsidTr="00871631">
        <w:trPr>
          <w:tblHeader/>
        </w:trPr>
        <w:tc>
          <w:tcPr>
            <w:tcW w:w="1834" w:type="dxa"/>
            <w:shd w:val="clear" w:color="auto" w:fill="002060"/>
          </w:tcPr>
          <w:p w14:paraId="5FF6EFCE" w14:textId="77777777" w:rsidR="00052799" w:rsidRPr="002D7AE6" w:rsidRDefault="00052799" w:rsidP="00871631">
            <w:pPr>
              <w:pStyle w:val="Tableheading"/>
              <w:jc w:val="center"/>
              <w:rPr>
                <w:color w:val="FFFFFF"/>
                <w:sz w:val="18"/>
                <w:szCs w:val="18"/>
              </w:rPr>
            </w:pPr>
            <w:r w:rsidRPr="002D7AE6">
              <w:rPr>
                <w:color w:val="FFFFFF"/>
                <w:sz w:val="18"/>
                <w:szCs w:val="18"/>
              </w:rPr>
              <w:t>Branch</w:t>
            </w:r>
          </w:p>
        </w:tc>
        <w:tc>
          <w:tcPr>
            <w:tcW w:w="2962" w:type="dxa"/>
            <w:shd w:val="clear" w:color="auto" w:fill="002060"/>
          </w:tcPr>
          <w:p w14:paraId="1F5A95F1" w14:textId="77777777" w:rsidR="00052799" w:rsidRPr="002D7AE6" w:rsidRDefault="00052799" w:rsidP="00871631">
            <w:pPr>
              <w:pStyle w:val="Tableheading"/>
              <w:jc w:val="center"/>
              <w:rPr>
                <w:color w:val="FFFFFF"/>
                <w:sz w:val="18"/>
                <w:szCs w:val="18"/>
              </w:rPr>
            </w:pPr>
            <w:r w:rsidRPr="002D7AE6">
              <w:rPr>
                <w:color w:val="FFFFFF"/>
                <w:sz w:val="18"/>
                <w:szCs w:val="18"/>
              </w:rPr>
              <w:t>Team</w:t>
            </w:r>
          </w:p>
        </w:tc>
        <w:tc>
          <w:tcPr>
            <w:tcW w:w="3567" w:type="dxa"/>
            <w:shd w:val="clear" w:color="auto" w:fill="002060"/>
          </w:tcPr>
          <w:p w14:paraId="71370BCD" w14:textId="77777777" w:rsidR="00052799" w:rsidRPr="002D7AE6" w:rsidRDefault="00052799" w:rsidP="00871631">
            <w:pPr>
              <w:pStyle w:val="Tableheading"/>
              <w:jc w:val="center"/>
              <w:rPr>
                <w:color w:val="FFFFFF"/>
                <w:sz w:val="18"/>
                <w:szCs w:val="18"/>
              </w:rPr>
            </w:pPr>
            <w:r w:rsidRPr="002D7AE6">
              <w:rPr>
                <w:color w:val="FFFFFF"/>
                <w:sz w:val="18"/>
                <w:szCs w:val="18"/>
              </w:rPr>
              <w:t>Activities undertaken</w:t>
            </w:r>
          </w:p>
        </w:tc>
      </w:tr>
      <w:tr w:rsidR="00052799" w:rsidRPr="002D7AE6" w14:paraId="06CA9A6B" w14:textId="77777777" w:rsidTr="00871631">
        <w:tc>
          <w:tcPr>
            <w:tcW w:w="1834" w:type="dxa"/>
            <w:vAlign w:val="center"/>
          </w:tcPr>
          <w:p w14:paraId="2F7F09E9" w14:textId="77777777" w:rsidR="00052799" w:rsidRPr="002D7AE6" w:rsidRDefault="00052799" w:rsidP="00871631">
            <w:pPr>
              <w:pStyle w:val="Tabletext0"/>
              <w:rPr>
                <w:rFonts w:cs="Arial"/>
                <w:b/>
                <w:sz w:val="18"/>
                <w:szCs w:val="18"/>
              </w:rPr>
            </w:pPr>
            <w:r w:rsidRPr="002D7AE6">
              <w:rPr>
                <w:rFonts w:cs="Arial"/>
                <w:b/>
                <w:sz w:val="18"/>
                <w:szCs w:val="18"/>
              </w:rPr>
              <w:t>Regulation Support Unit (RSU)</w:t>
            </w:r>
          </w:p>
        </w:tc>
        <w:tc>
          <w:tcPr>
            <w:tcW w:w="6529" w:type="dxa"/>
            <w:gridSpan w:val="2"/>
          </w:tcPr>
          <w:p w14:paraId="37ABF33B" w14:textId="77777777" w:rsidR="00052799" w:rsidRPr="002D7AE6" w:rsidRDefault="00052799" w:rsidP="00871631">
            <w:pPr>
              <w:pStyle w:val="Tabletext0"/>
              <w:rPr>
                <w:rFonts w:cs="Arial"/>
                <w:sz w:val="18"/>
                <w:szCs w:val="18"/>
              </w:rPr>
            </w:pPr>
            <w:r w:rsidRPr="002D7AE6">
              <w:rPr>
                <w:rFonts w:cs="Arial"/>
                <w:sz w:val="18"/>
                <w:szCs w:val="18"/>
              </w:rPr>
              <w:t>Teams across RSU undertake activities to support areas of LRD across the three industries. These activities include:</w:t>
            </w:r>
          </w:p>
          <w:p w14:paraId="5A9EF221" w14:textId="77777777" w:rsidR="00052799" w:rsidRPr="002D7AE6" w:rsidRDefault="00052799" w:rsidP="00871631">
            <w:pPr>
              <w:pStyle w:val="Tablebullet1"/>
              <w:numPr>
                <w:ilvl w:val="0"/>
                <w:numId w:val="4"/>
              </w:numPr>
              <w:tabs>
                <w:tab w:val="clear" w:pos="360"/>
                <w:tab w:val="num" w:pos="340"/>
              </w:tabs>
              <w:ind w:left="340" w:hanging="340"/>
              <w:rPr>
                <w:rFonts w:ascii="Arial" w:hAnsi="Arial" w:cs="Arial"/>
                <w:sz w:val="18"/>
                <w:szCs w:val="18"/>
              </w:rPr>
            </w:pPr>
            <w:r w:rsidRPr="002D7AE6">
              <w:rPr>
                <w:rFonts w:ascii="Arial" w:hAnsi="Arial" w:cs="Arial"/>
                <w:sz w:val="18"/>
                <w:szCs w:val="18"/>
              </w:rPr>
              <w:t>Investigation of licence or permit applicants where there are probity concerns that cannot be resolved by the processing team</w:t>
            </w:r>
          </w:p>
          <w:p w14:paraId="1EBBB1B5" w14:textId="77777777" w:rsidR="00052799" w:rsidRPr="002D7AE6" w:rsidRDefault="00052799" w:rsidP="00871631">
            <w:pPr>
              <w:pStyle w:val="Tablebullet1"/>
              <w:numPr>
                <w:ilvl w:val="0"/>
                <w:numId w:val="4"/>
              </w:numPr>
              <w:tabs>
                <w:tab w:val="clear" w:pos="360"/>
                <w:tab w:val="num" w:pos="340"/>
              </w:tabs>
              <w:ind w:left="340" w:hanging="340"/>
              <w:rPr>
                <w:rFonts w:ascii="Arial" w:hAnsi="Arial" w:cs="Arial"/>
                <w:sz w:val="18"/>
                <w:szCs w:val="18"/>
              </w:rPr>
            </w:pPr>
            <w:r w:rsidRPr="002D7AE6">
              <w:rPr>
                <w:rFonts w:ascii="Arial" w:hAnsi="Arial" w:cs="Arial"/>
                <w:sz w:val="18"/>
                <w:szCs w:val="18"/>
              </w:rPr>
              <w:t>Liaison with other areas of Victoria Police (such as Crime Command) where needed in order to resolve applicant probity concerns</w:t>
            </w:r>
          </w:p>
          <w:p w14:paraId="219D3ECD" w14:textId="4C15361E" w:rsidR="00052799" w:rsidRPr="002D7AE6" w:rsidRDefault="00052799" w:rsidP="00871631">
            <w:pPr>
              <w:pStyle w:val="Tablebullet1"/>
              <w:numPr>
                <w:ilvl w:val="0"/>
                <w:numId w:val="4"/>
              </w:numPr>
              <w:tabs>
                <w:tab w:val="clear" w:pos="360"/>
                <w:tab w:val="num" w:pos="340"/>
              </w:tabs>
              <w:ind w:left="340" w:hanging="340"/>
              <w:rPr>
                <w:rFonts w:ascii="Arial" w:hAnsi="Arial" w:cs="Arial"/>
                <w:sz w:val="18"/>
                <w:szCs w:val="18"/>
              </w:rPr>
            </w:pPr>
            <w:r w:rsidRPr="002D7AE6">
              <w:rPr>
                <w:rFonts w:ascii="Arial" w:hAnsi="Arial" w:cs="Arial"/>
                <w:sz w:val="18"/>
                <w:szCs w:val="18"/>
              </w:rPr>
              <w:t xml:space="preserve">Audits of </w:t>
            </w:r>
            <w:r w:rsidR="00554C23">
              <w:rPr>
                <w:rFonts w:ascii="Arial" w:hAnsi="Arial" w:cs="Arial"/>
                <w:sz w:val="18"/>
                <w:szCs w:val="18"/>
              </w:rPr>
              <w:t>f</w:t>
            </w:r>
            <w:r w:rsidRPr="002D7AE6">
              <w:rPr>
                <w:rFonts w:ascii="Arial" w:hAnsi="Arial" w:cs="Arial"/>
                <w:sz w:val="18"/>
                <w:szCs w:val="18"/>
              </w:rPr>
              <w:t xml:space="preserve">irearms </w:t>
            </w:r>
            <w:r w:rsidR="00554C23">
              <w:rPr>
                <w:rFonts w:ascii="Arial" w:hAnsi="Arial" w:cs="Arial"/>
                <w:sz w:val="18"/>
                <w:szCs w:val="18"/>
              </w:rPr>
              <w:t>d</w:t>
            </w:r>
            <w:r w:rsidRPr="002D7AE6">
              <w:rPr>
                <w:rFonts w:ascii="Arial" w:hAnsi="Arial" w:cs="Arial"/>
                <w:sz w:val="18"/>
                <w:szCs w:val="18"/>
              </w:rPr>
              <w:t xml:space="preserve">ealers / </w:t>
            </w:r>
            <w:r w:rsidR="00554C23">
              <w:rPr>
                <w:rFonts w:ascii="Arial" w:hAnsi="Arial" w:cs="Arial"/>
                <w:sz w:val="18"/>
                <w:szCs w:val="18"/>
              </w:rPr>
              <w:t>p</w:t>
            </w:r>
            <w:r w:rsidRPr="002D7AE6">
              <w:rPr>
                <w:rFonts w:ascii="Arial" w:hAnsi="Arial" w:cs="Arial"/>
                <w:sz w:val="18"/>
                <w:szCs w:val="18"/>
              </w:rPr>
              <w:t xml:space="preserve">rivate </w:t>
            </w:r>
            <w:r w:rsidR="00554C23">
              <w:rPr>
                <w:rFonts w:ascii="Arial" w:hAnsi="Arial" w:cs="Arial"/>
                <w:sz w:val="18"/>
                <w:szCs w:val="18"/>
              </w:rPr>
              <w:t>s</w:t>
            </w:r>
            <w:r w:rsidRPr="002D7AE6">
              <w:rPr>
                <w:rFonts w:ascii="Arial" w:hAnsi="Arial" w:cs="Arial"/>
                <w:sz w:val="18"/>
                <w:szCs w:val="18"/>
              </w:rPr>
              <w:t xml:space="preserve">ecurity </w:t>
            </w:r>
            <w:r w:rsidR="00554C23">
              <w:rPr>
                <w:rFonts w:ascii="Arial" w:hAnsi="Arial" w:cs="Arial"/>
                <w:sz w:val="18"/>
                <w:szCs w:val="18"/>
              </w:rPr>
              <w:t>b</w:t>
            </w:r>
            <w:r w:rsidRPr="002D7AE6">
              <w:rPr>
                <w:rFonts w:ascii="Arial" w:hAnsi="Arial" w:cs="Arial"/>
                <w:sz w:val="18"/>
                <w:szCs w:val="18"/>
              </w:rPr>
              <w:t>usinesses</w:t>
            </w:r>
          </w:p>
          <w:p w14:paraId="287F1458" w14:textId="77777777" w:rsidR="00052799" w:rsidRPr="002D7AE6" w:rsidRDefault="00052799" w:rsidP="00871631">
            <w:pPr>
              <w:pStyle w:val="Tablebullet1"/>
              <w:numPr>
                <w:ilvl w:val="0"/>
                <w:numId w:val="4"/>
              </w:numPr>
              <w:tabs>
                <w:tab w:val="clear" w:pos="360"/>
                <w:tab w:val="num" w:pos="340"/>
              </w:tabs>
              <w:ind w:left="340" w:hanging="340"/>
              <w:rPr>
                <w:rFonts w:ascii="Arial" w:hAnsi="Arial" w:cs="Arial"/>
                <w:sz w:val="18"/>
                <w:szCs w:val="18"/>
              </w:rPr>
            </w:pPr>
            <w:r w:rsidRPr="002D7AE6">
              <w:rPr>
                <w:rFonts w:ascii="Arial" w:hAnsi="Arial" w:cs="Arial"/>
                <w:sz w:val="18"/>
                <w:szCs w:val="18"/>
              </w:rPr>
              <w:t>Disciplinary inquiries / licence suspensions</w:t>
            </w:r>
          </w:p>
          <w:p w14:paraId="2E3C2D97" w14:textId="323C8BA5" w:rsidR="00052799" w:rsidRPr="002D7AE6" w:rsidRDefault="00554C23" w:rsidP="00871631">
            <w:pPr>
              <w:pStyle w:val="Tablebullet1"/>
              <w:numPr>
                <w:ilvl w:val="0"/>
                <w:numId w:val="4"/>
              </w:numPr>
              <w:tabs>
                <w:tab w:val="clear" w:pos="360"/>
                <w:tab w:val="num" w:pos="340"/>
              </w:tabs>
              <w:ind w:left="340" w:hanging="340"/>
              <w:rPr>
                <w:rFonts w:ascii="Arial" w:hAnsi="Arial" w:cs="Arial"/>
                <w:sz w:val="18"/>
                <w:szCs w:val="18"/>
              </w:rPr>
            </w:pPr>
            <w:r>
              <w:rPr>
                <w:rFonts w:ascii="Arial" w:hAnsi="Arial" w:cs="Arial"/>
                <w:sz w:val="18"/>
                <w:szCs w:val="18"/>
              </w:rPr>
              <w:t>Support r</w:t>
            </w:r>
            <w:r w:rsidR="00052799" w:rsidRPr="002D7AE6">
              <w:rPr>
                <w:rFonts w:ascii="Arial" w:hAnsi="Arial" w:cs="Arial"/>
                <w:sz w:val="18"/>
                <w:szCs w:val="18"/>
              </w:rPr>
              <w:t>efusal processes</w:t>
            </w:r>
          </w:p>
          <w:p w14:paraId="55ADC77B" w14:textId="77777777" w:rsidR="00052799" w:rsidRPr="002D7AE6" w:rsidRDefault="00052799" w:rsidP="00871631">
            <w:pPr>
              <w:pStyle w:val="Tablebullet1"/>
              <w:numPr>
                <w:ilvl w:val="0"/>
                <w:numId w:val="4"/>
              </w:numPr>
              <w:tabs>
                <w:tab w:val="clear" w:pos="360"/>
                <w:tab w:val="num" w:pos="340"/>
              </w:tabs>
              <w:ind w:left="340" w:hanging="340"/>
              <w:rPr>
                <w:rFonts w:ascii="Arial" w:hAnsi="Arial" w:cs="Arial"/>
                <w:sz w:val="18"/>
                <w:szCs w:val="18"/>
              </w:rPr>
            </w:pPr>
            <w:r w:rsidRPr="002D7AE6">
              <w:rPr>
                <w:rFonts w:ascii="Arial" w:hAnsi="Arial" w:cs="Arial"/>
                <w:sz w:val="18"/>
                <w:szCs w:val="18"/>
              </w:rPr>
              <w:t>Provision of in-house legal advice across LRD from RSU solicitors</w:t>
            </w:r>
            <w:r w:rsidRPr="002D7AE6">
              <w:rPr>
                <w:rStyle w:val="FootnoteReference"/>
                <w:sz w:val="18"/>
                <w:szCs w:val="18"/>
              </w:rPr>
              <w:footnoteReference w:id="44"/>
            </w:r>
          </w:p>
        </w:tc>
      </w:tr>
      <w:tr w:rsidR="00052799" w:rsidRPr="002D7AE6" w14:paraId="529F0F0B" w14:textId="77777777" w:rsidTr="00554C23">
        <w:trPr>
          <w:cantSplit/>
        </w:trPr>
        <w:tc>
          <w:tcPr>
            <w:tcW w:w="1834" w:type="dxa"/>
            <w:vMerge w:val="restart"/>
            <w:vAlign w:val="center"/>
          </w:tcPr>
          <w:p w14:paraId="2592C175" w14:textId="77777777" w:rsidR="00052799" w:rsidRPr="002D7AE6" w:rsidRDefault="00052799" w:rsidP="00871631">
            <w:pPr>
              <w:pStyle w:val="Tabletext1"/>
              <w:rPr>
                <w:rFonts w:ascii="Arial" w:hAnsi="Arial" w:cs="Arial"/>
                <w:b/>
                <w:sz w:val="18"/>
                <w:szCs w:val="18"/>
              </w:rPr>
            </w:pPr>
            <w:r w:rsidRPr="002D7AE6">
              <w:rPr>
                <w:rFonts w:ascii="Arial" w:hAnsi="Arial" w:cs="Arial"/>
                <w:b/>
                <w:sz w:val="18"/>
                <w:szCs w:val="18"/>
              </w:rPr>
              <w:t>Assessment and Determination Unit (ADU)</w:t>
            </w:r>
          </w:p>
        </w:tc>
        <w:tc>
          <w:tcPr>
            <w:tcW w:w="2962" w:type="dxa"/>
          </w:tcPr>
          <w:p w14:paraId="0A145D08" w14:textId="1BEF3EDE" w:rsidR="00052799" w:rsidRPr="002D7AE6" w:rsidRDefault="00052799" w:rsidP="00554C23">
            <w:pPr>
              <w:pStyle w:val="Tabletext0"/>
              <w:keepNext/>
              <w:rPr>
                <w:rFonts w:cs="Arial"/>
                <w:sz w:val="18"/>
                <w:szCs w:val="18"/>
              </w:rPr>
            </w:pPr>
            <w:r w:rsidRPr="002D7AE6">
              <w:rPr>
                <w:rFonts w:cs="Arial"/>
                <w:sz w:val="18"/>
                <w:szCs w:val="18"/>
              </w:rPr>
              <w:t xml:space="preserve">Firearm Transactions and Permits – </w:t>
            </w:r>
            <w:r w:rsidR="00554C23">
              <w:rPr>
                <w:rFonts w:cs="Arial"/>
                <w:sz w:val="18"/>
                <w:szCs w:val="18"/>
              </w:rPr>
              <w:t>f</w:t>
            </w:r>
            <w:r w:rsidRPr="002D7AE6">
              <w:rPr>
                <w:rFonts w:cs="Arial"/>
                <w:sz w:val="18"/>
                <w:szCs w:val="18"/>
              </w:rPr>
              <w:t xml:space="preserve">irearm </w:t>
            </w:r>
            <w:r w:rsidR="00554C23">
              <w:rPr>
                <w:rFonts w:cs="Arial"/>
                <w:sz w:val="18"/>
                <w:szCs w:val="18"/>
              </w:rPr>
              <w:t>dealer t</w:t>
            </w:r>
            <w:r w:rsidRPr="002D7AE6">
              <w:rPr>
                <w:rFonts w:cs="Arial"/>
                <w:sz w:val="18"/>
                <w:szCs w:val="18"/>
              </w:rPr>
              <w:t>ransactions</w:t>
            </w:r>
          </w:p>
        </w:tc>
        <w:tc>
          <w:tcPr>
            <w:tcW w:w="3567" w:type="dxa"/>
          </w:tcPr>
          <w:p w14:paraId="4A419FDF" w14:textId="523B5CB6" w:rsidR="00052799" w:rsidRPr="002D7AE6" w:rsidRDefault="00052799" w:rsidP="00554C23">
            <w:pPr>
              <w:pStyle w:val="Tablebullet1"/>
              <w:keepNext/>
              <w:numPr>
                <w:ilvl w:val="0"/>
                <w:numId w:val="4"/>
              </w:numPr>
              <w:tabs>
                <w:tab w:val="clear" w:pos="360"/>
                <w:tab w:val="num" w:pos="340"/>
              </w:tabs>
              <w:ind w:left="340" w:hanging="340"/>
              <w:rPr>
                <w:rFonts w:ascii="Arial" w:hAnsi="Arial" w:cs="Arial"/>
                <w:sz w:val="18"/>
                <w:szCs w:val="18"/>
              </w:rPr>
            </w:pPr>
            <w:r w:rsidRPr="002D7AE6">
              <w:rPr>
                <w:rFonts w:ascii="Arial" w:hAnsi="Arial" w:cs="Arial"/>
                <w:sz w:val="18"/>
                <w:szCs w:val="18"/>
              </w:rPr>
              <w:t>Licensing and admini</w:t>
            </w:r>
            <w:r w:rsidR="00554C23">
              <w:rPr>
                <w:rFonts w:ascii="Arial" w:hAnsi="Arial" w:cs="Arial"/>
                <w:sz w:val="18"/>
                <w:szCs w:val="18"/>
              </w:rPr>
              <w:t>strative activities related to firearms d</w:t>
            </w:r>
            <w:r w:rsidRPr="002D7AE6">
              <w:rPr>
                <w:rFonts w:ascii="Arial" w:hAnsi="Arial" w:cs="Arial"/>
                <w:sz w:val="18"/>
                <w:szCs w:val="18"/>
              </w:rPr>
              <w:t>ealers</w:t>
            </w:r>
          </w:p>
        </w:tc>
      </w:tr>
      <w:tr w:rsidR="00052799" w:rsidRPr="002D7AE6" w14:paraId="64E33119" w14:textId="77777777" w:rsidTr="00871631">
        <w:tc>
          <w:tcPr>
            <w:tcW w:w="1834" w:type="dxa"/>
            <w:vMerge/>
            <w:vAlign w:val="center"/>
          </w:tcPr>
          <w:p w14:paraId="3B10FB74" w14:textId="77777777" w:rsidR="00052799" w:rsidRPr="002D7AE6" w:rsidRDefault="00052799" w:rsidP="00871631">
            <w:pPr>
              <w:pStyle w:val="ListBullet"/>
              <w:spacing w:before="120"/>
              <w:ind w:left="340" w:hanging="340"/>
              <w:contextualSpacing/>
              <w:rPr>
                <w:b/>
                <w:sz w:val="18"/>
                <w:szCs w:val="18"/>
              </w:rPr>
            </w:pPr>
          </w:p>
        </w:tc>
        <w:tc>
          <w:tcPr>
            <w:tcW w:w="2962" w:type="dxa"/>
          </w:tcPr>
          <w:p w14:paraId="158B5E8B" w14:textId="0B7E1351" w:rsidR="00052799" w:rsidRPr="002D7AE6" w:rsidRDefault="00052799" w:rsidP="00554C23">
            <w:pPr>
              <w:pStyle w:val="Tabletext0"/>
              <w:rPr>
                <w:rFonts w:cs="Arial"/>
                <w:sz w:val="18"/>
                <w:szCs w:val="18"/>
              </w:rPr>
            </w:pPr>
            <w:r w:rsidRPr="002D7AE6">
              <w:rPr>
                <w:rFonts w:cs="Arial"/>
                <w:sz w:val="18"/>
                <w:szCs w:val="18"/>
              </w:rPr>
              <w:t xml:space="preserve">Firearm Transactions and Permits – </w:t>
            </w:r>
            <w:r w:rsidR="00554C23">
              <w:rPr>
                <w:rFonts w:cs="Arial"/>
                <w:sz w:val="18"/>
                <w:szCs w:val="18"/>
              </w:rPr>
              <w:t>firearms p</w:t>
            </w:r>
            <w:r w:rsidRPr="002D7AE6">
              <w:rPr>
                <w:rFonts w:cs="Arial"/>
                <w:sz w:val="18"/>
                <w:szCs w:val="18"/>
              </w:rPr>
              <w:t>ermits</w:t>
            </w:r>
          </w:p>
        </w:tc>
        <w:tc>
          <w:tcPr>
            <w:tcW w:w="3567" w:type="dxa"/>
          </w:tcPr>
          <w:p w14:paraId="1EB6C653" w14:textId="6E622D21" w:rsidR="00052799" w:rsidRPr="002D7AE6" w:rsidRDefault="00052799" w:rsidP="00554C23">
            <w:pPr>
              <w:pStyle w:val="Tablebullet1"/>
              <w:numPr>
                <w:ilvl w:val="0"/>
                <w:numId w:val="4"/>
              </w:numPr>
              <w:ind w:left="340" w:hanging="340"/>
              <w:rPr>
                <w:rFonts w:ascii="Arial" w:hAnsi="Arial" w:cs="Arial"/>
                <w:sz w:val="18"/>
                <w:szCs w:val="18"/>
              </w:rPr>
            </w:pPr>
            <w:r w:rsidRPr="002D7AE6">
              <w:rPr>
                <w:rFonts w:ascii="Arial" w:hAnsi="Arial" w:cs="Arial"/>
                <w:sz w:val="18"/>
                <w:szCs w:val="18"/>
              </w:rPr>
              <w:t xml:space="preserve">Assessment of applications for </w:t>
            </w:r>
            <w:r w:rsidR="00554C23">
              <w:rPr>
                <w:rFonts w:ascii="Arial" w:hAnsi="Arial" w:cs="Arial"/>
                <w:sz w:val="18"/>
                <w:szCs w:val="18"/>
              </w:rPr>
              <w:t>f</w:t>
            </w:r>
            <w:r w:rsidRPr="002D7AE6">
              <w:rPr>
                <w:rFonts w:ascii="Arial" w:hAnsi="Arial" w:cs="Arial"/>
                <w:sz w:val="18"/>
                <w:szCs w:val="18"/>
              </w:rPr>
              <w:t>irearms permits, both for individuals and businesses</w:t>
            </w:r>
          </w:p>
        </w:tc>
      </w:tr>
      <w:tr w:rsidR="00052799" w:rsidRPr="002D7AE6" w14:paraId="5651B0FD" w14:textId="77777777" w:rsidTr="00871631">
        <w:tc>
          <w:tcPr>
            <w:tcW w:w="1834" w:type="dxa"/>
            <w:vMerge/>
            <w:vAlign w:val="center"/>
          </w:tcPr>
          <w:p w14:paraId="7ADF68D7" w14:textId="77777777" w:rsidR="00052799" w:rsidRPr="002D7AE6" w:rsidRDefault="00052799" w:rsidP="00871631">
            <w:pPr>
              <w:pStyle w:val="ListBullet"/>
              <w:spacing w:before="120"/>
              <w:ind w:left="340" w:hanging="340"/>
              <w:contextualSpacing/>
              <w:rPr>
                <w:b/>
                <w:sz w:val="18"/>
                <w:szCs w:val="18"/>
              </w:rPr>
            </w:pPr>
          </w:p>
        </w:tc>
        <w:tc>
          <w:tcPr>
            <w:tcW w:w="2962" w:type="dxa"/>
          </w:tcPr>
          <w:p w14:paraId="67C5FB5C" w14:textId="68706A6F" w:rsidR="00052799" w:rsidRPr="002D7AE6" w:rsidRDefault="00554C23" w:rsidP="00871631">
            <w:pPr>
              <w:pStyle w:val="Tablebullet1"/>
              <w:tabs>
                <w:tab w:val="clear" w:pos="1492"/>
              </w:tabs>
              <w:ind w:left="0" w:firstLine="0"/>
              <w:rPr>
                <w:rFonts w:ascii="Arial" w:hAnsi="Arial" w:cs="Arial"/>
                <w:sz w:val="18"/>
                <w:szCs w:val="18"/>
              </w:rPr>
            </w:pPr>
            <w:r>
              <w:rPr>
                <w:rFonts w:ascii="Arial" w:hAnsi="Arial" w:cs="Arial"/>
                <w:sz w:val="18"/>
                <w:szCs w:val="18"/>
              </w:rPr>
              <w:t>Licences and Authorities – l</w:t>
            </w:r>
            <w:r w:rsidR="00052799" w:rsidRPr="002D7AE6">
              <w:rPr>
                <w:rFonts w:ascii="Arial" w:hAnsi="Arial" w:cs="Arial"/>
                <w:sz w:val="18"/>
                <w:szCs w:val="18"/>
              </w:rPr>
              <w:t>ongarms</w:t>
            </w:r>
          </w:p>
        </w:tc>
        <w:tc>
          <w:tcPr>
            <w:tcW w:w="3567" w:type="dxa"/>
          </w:tcPr>
          <w:p w14:paraId="3148F0FC" w14:textId="77777777" w:rsidR="00052799" w:rsidRPr="002D7AE6" w:rsidRDefault="00052799" w:rsidP="00871631">
            <w:pPr>
              <w:pStyle w:val="Tablebullet1"/>
              <w:numPr>
                <w:ilvl w:val="0"/>
                <w:numId w:val="4"/>
              </w:numPr>
              <w:tabs>
                <w:tab w:val="clear" w:pos="360"/>
                <w:tab w:val="num" w:pos="340"/>
              </w:tabs>
              <w:ind w:left="340" w:hanging="340"/>
              <w:rPr>
                <w:rFonts w:ascii="Arial" w:hAnsi="Arial" w:cs="Arial"/>
                <w:sz w:val="18"/>
                <w:szCs w:val="18"/>
              </w:rPr>
            </w:pPr>
            <w:r w:rsidRPr="002D7AE6">
              <w:rPr>
                <w:rFonts w:ascii="Arial" w:hAnsi="Arial" w:cs="Arial"/>
                <w:sz w:val="18"/>
                <w:szCs w:val="18"/>
              </w:rPr>
              <w:t>Licensing and administrative activities related to longarms, both for individuals and businesses</w:t>
            </w:r>
          </w:p>
        </w:tc>
      </w:tr>
      <w:tr w:rsidR="00052799" w:rsidRPr="002D7AE6" w14:paraId="36D1D89E" w14:textId="77777777" w:rsidTr="00871631">
        <w:tc>
          <w:tcPr>
            <w:tcW w:w="1834" w:type="dxa"/>
            <w:vAlign w:val="center"/>
          </w:tcPr>
          <w:p w14:paraId="16FFB1A7" w14:textId="77777777" w:rsidR="00052799" w:rsidRPr="002D7AE6" w:rsidRDefault="00052799" w:rsidP="00871631">
            <w:pPr>
              <w:pStyle w:val="Tabletext1"/>
              <w:rPr>
                <w:rFonts w:ascii="Arial" w:hAnsi="Arial" w:cs="Arial"/>
                <w:b/>
                <w:sz w:val="18"/>
                <w:szCs w:val="18"/>
              </w:rPr>
            </w:pPr>
            <w:r w:rsidRPr="002D7AE6">
              <w:rPr>
                <w:rFonts w:ascii="Arial" w:hAnsi="Arial" w:cs="Arial"/>
                <w:b/>
                <w:sz w:val="18"/>
                <w:szCs w:val="18"/>
              </w:rPr>
              <w:t>Policy and Publications Unit (PPU)</w:t>
            </w:r>
          </w:p>
        </w:tc>
        <w:tc>
          <w:tcPr>
            <w:tcW w:w="6529" w:type="dxa"/>
            <w:gridSpan w:val="2"/>
          </w:tcPr>
          <w:p w14:paraId="6A4F220A" w14:textId="77777777" w:rsidR="00052799" w:rsidRPr="002D7AE6" w:rsidRDefault="00052799" w:rsidP="00871631">
            <w:pPr>
              <w:pStyle w:val="Tabletext1"/>
              <w:rPr>
                <w:rFonts w:ascii="Arial" w:hAnsi="Arial" w:cs="Arial"/>
                <w:sz w:val="18"/>
                <w:szCs w:val="18"/>
              </w:rPr>
            </w:pPr>
            <w:r w:rsidRPr="002D7AE6">
              <w:rPr>
                <w:rFonts w:ascii="Arial" w:hAnsi="Arial" w:cs="Arial"/>
                <w:sz w:val="18"/>
                <w:szCs w:val="18"/>
              </w:rPr>
              <w:t>PPU undertakes a range of activities to support broader LRD with respect to operational policy and procedures. Key activities include:</w:t>
            </w:r>
          </w:p>
          <w:p w14:paraId="78D9D9AF" w14:textId="77777777" w:rsidR="00052799" w:rsidRPr="002D7AE6" w:rsidRDefault="00052799" w:rsidP="00871631">
            <w:pPr>
              <w:pStyle w:val="Tablebullet1"/>
              <w:numPr>
                <w:ilvl w:val="0"/>
                <w:numId w:val="4"/>
              </w:numPr>
              <w:tabs>
                <w:tab w:val="clear" w:pos="360"/>
                <w:tab w:val="num" w:pos="340"/>
              </w:tabs>
              <w:ind w:left="340" w:hanging="340"/>
              <w:rPr>
                <w:rFonts w:ascii="Arial" w:hAnsi="Arial" w:cs="Arial"/>
                <w:sz w:val="18"/>
                <w:szCs w:val="18"/>
              </w:rPr>
            </w:pPr>
            <w:r w:rsidRPr="002D7AE6">
              <w:rPr>
                <w:rFonts w:ascii="Arial" w:hAnsi="Arial" w:cs="Arial"/>
                <w:sz w:val="18"/>
                <w:szCs w:val="18"/>
              </w:rPr>
              <w:t>Technical and legal policy / support functions</w:t>
            </w:r>
          </w:p>
          <w:p w14:paraId="5880F8AC" w14:textId="77777777" w:rsidR="00052799" w:rsidRPr="002D7AE6" w:rsidRDefault="00052799" w:rsidP="00871631">
            <w:pPr>
              <w:pStyle w:val="Tablebullet1"/>
              <w:numPr>
                <w:ilvl w:val="0"/>
                <w:numId w:val="4"/>
              </w:numPr>
              <w:tabs>
                <w:tab w:val="clear" w:pos="360"/>
                <w:tab w:val="num" w:pos="340"/>
              </w:tabs>
              <w:ind w:left="340" w:hanging="340"/>
              <w:rPr>
                <w:rFonts w:ascii="Arial" w:hAnsi="Arial" w:cs="Arial"/>
                <w:sz w:val="18"/>
                <w:szCs w:val="18"/>
              </w:rPr>
            </w:pPr>
            <w:r w:rsidRPr="002D7AE6">
              <w:rPr>
                <w:rFonts w:ascii="Arial" w:hAnsi="Arial" w:cs="Arial"/>
                <w:sz w:val="18"/>
                <w:szCs w:val="18"/>
              </w:rPr>
              <w:t>Training</w:t>
            </w:r>
          </w:p>
          <w:p w14:paraId="66D0C01D" w14:textId="77777777" w:rsidR="00052799" w:rsidRPr="002D7AE6" w:rsidRDefault="00052799" w:rsidP="00871631">
            <w:pPr>
              <w:pStyle w:val="Tablebullet1"/>
              <w:numPr>
                <w:ilvl w:val="0"/>
                <w:numId w:val="4"/>
              </w:numPr>
              <w:tabs>
                <w:tab w:val="clear" w:pos="360"/>
                <w:tab w:val="num" w:pos="340"/>
              </w:tabs>
              <w:ind w:left="340" w:hanging="340"/>
              <w:rPr>
                <w:rFonts w:ascii="Arial" w:hAnsi="Arial" w:cs="Arial"/>
                <w:sz w:val="18"/>
                <w:szCs w:val="18"/>
              </w:rPr>
            </w:pPr>
            <w:r w:rsidRPr="002D7AE6">
              <w:rPr>
                <w:rFonts w:ascii="Arial" w:hAnsi="Arial" w:cs="Arial"/>
                <w:sz w:val="18"/>
                <w:szCs w:val="18"/>
              </w:rPr>
              <w:t>Updates to policies and procedures</w:t>
            </w:r>
          </w:p>
          <w:p w14:paraId="71670C5F" w14:textId="77777777" w:rsidR="00052799" w:rsidRPr="002D7AE6" w:rsidRDefault="00052799" w:rsidP="00871631">
            <w:pPr>
              <w:pStyle w:val="Tablebullet1"/>
              <w:numPr>
                <w:ilvl w:val="0"/>
                <w:numId w:val="4"/>
              </w:numPr>
              <w:tabs>
                <w:tab w:val="clear" w:pos="360"/>
                <w:tab w:val="num" w:pos="340"/>
              </w:tabs>
              <w:ind w:left="340" w:hanging="340"/>
              <w:rPr>
                <w:rFonts w:ascii="Arial" w:hAnsi="Arial" w:cs="Arial"/>
                <w:sz w:val="18"/>
                <w:szCs w:val="18"/>
              </w:rPr>
            </w:pPr>
            <w:r w:rsidRPr="002D7AE6">
              <w:rPr>
                <w:rFonts w:ascii="Arial" w:hAnsi="Arial" w:cs="Arial"/>
                <w:sz w:val="18"/>
                <w:szCs w:val="18"/>
              </w:rPr>
              <w:t>Publications and stakeholder communications</w:t>
            </w:r>
          </w:p>
          <w:p w14:paraId="195291AC" w14:textId="77777777" w:rsidR="00052799" w:rsidRPr="002D7AE6" w:rsidRDefault="00052799" w:rsidP="00871631">
            <w:pPr>
              <w:pStyle w:val="Tablebullet1"/>
              <w:numPr>
                <w:ilvl w:val="0"/>
                <w:numId w:val="4"/>
              </w:numPr>
              <w:tabs>
                <w:tab w:val="clear" w:pos="360"/>
                <w:tab w:val="num" w:pos="340"/>
              </w:tabs>
              <w:ind w:left="340" w:hanging="340"/>
              <w:rPr>
                <w:rFonts w:ascii="Arial" w:hAnsi="Arial" w:cs="Arial"/>
                <w:sz w:val="18"/>
                <w:szCs w:val="18"/>
              </w:rPr>
            </w:pPr>
            <w:r w:rsidRPr="002D7AE6">
              <w:rPr>
                <w:rFonts w:ascii="Arial" w:hAnsi="Arial" w:cs="Arial"/>
                <w:sz w:val="18"/>
                <w:szCs w:val="18"/>
              </w:rPr>
              <w:t>Responses to internal and external enquiries</w:t>
            </w:r>
          </w:p>
          <w:p w14:paraId="0FAB4263" w14:textId="77777777" w:rsidR="00052799" w:rsidRPr="002D7AE6" w:rsidRDefault="00052799" w:rsidP="00871631">
            <w:pPr>
              <w:pStyle w:val="Tablebullet1"/>
              <w:numPr>
                <w:ilvl w:val="0"/>
                <w:numId w:val="4"/>
              </w:numPr>
              <w:ind w:left="340" w:hanging="340"/>
              <w:rPr>
                <w:rFonts w:ascii="Arial" w:hAnsi="Arial" w:cs="Arial"/>
                <w:sz w:val="18"/>
                <w:szCs w:val="18"/>
              </w:rPr>
            </w:pPr>
            <w:r w:rsidRPr="002D7AE6">
              <w:rPr>
                <w:rFonts w:ascii="Arial" w:hAnsi="Arial" w:cs="Arial"/>
                <w:sz w:val="18"/>
                <w:szCs w:val="18"/>
              </w:rPr>
              <w:t>Review and analysis of existing and new regulation</w:t>
            </w:r>
          </w:p>
          <w:p w14:paraId="381E8DB5" w14:textId="77777777" w:rsidR="00052799" w:rsidRPr="002D7AE6" w:rsidRDefault="00052799" w:rsidP="00871631">
            <w:pPr>
              <w:pStyle w:val="Tablebullet1"/>
              <w:numPr>
                <w:ilvl w:val="0"/>
                <w:numId w:val="4"/>
              </w:numPr>
              <w:ind w:left="340" w:hanging="340"/>
              <w:rPr>
                <w:rFonts w:ascii="Arial" w:hAnsi="Arial" w:cs="Arial"/>
                <w:sz w:val="18"/>
                <w:szCs w:val="18"/>
              </w:rPr>
            </w:pPr>
            <w:r w:rsidRPr="002D7AE6">
              <w:rPr>
                <w:rFonts w:ascii="Arial" w:hAnsi="Arial" w:cs="Arial"/>
                <w:sz w:val="18"/>
                <w:szCs w:val="18"/>
              </w:rPr>
              <w:t>Implementation of regulatory changes across the Division</w:t>
            </w:r>
          </w:p>
          <w:p w14:paraId="072F2602" w14:textId="77777777" w:rsidR="00052799" w:rsidRPr="002D7AE6" w:rsidRDefault="00052799" w:rsidP="00871631">
            <w:pPr>
              <w:pStyle w:val="Tablebullet1"/>
              <w:numPr>
                <w:ilvl w:val="0"/>
                <w:numId w:val="4"/>
              </w:numPr>
              <w:tabs>
                <w:tab w:val="clear" w:pos="360"/>
                <w:tab w:val="num" w:pos="340"/>
              </w:tabs>
              <w:ind w:left="340" w:hanging="340"/>
              <w:rPr>
                <w:rFonts w:ascii="Arial" w:hAnsi="Arial" w:cs="Arial"/>
                <w:sz w:val="18"/>
                <w:szCs w:val="18"/>
              </w:rPr>
            </w:pPr>
            <w:r w:rsidRPr="002D7AE6">
              <w:rPr>
                <w:rFonts w:ascii="Arial" w:hAnsi="Arial" w:cs="Arial"/>
                <w:sz w:val="18"/>
                <w:szCs w:val="18"/>
              </w:rPr>
              <w:t>Project work as directed.</w:t>
            </w:r>
          </w:p>
        </w:tc>
      </w:tr>
      <w:tr w:rsidR="00052799" w:rsidRPr="002D7AE6" w14:paraId="7D1DD7A2" w14:textId="77777777" w:rsidTr="00871631">
        <w:tc>
          <w:tcPr>
            <w:tcW w:w="1834" w:type="dxa"/>
            <w:vAlign w:val="center"/>
          </w:tcPr>
          <w:p w14:paraId="2B700096" w14:textId="77777777" w:rsidR="00052799" w:rsidRPr="002D7AE6" w:rsidRDefault="00052799" w:rsidP="00871631">
            <w:pPr>
              <w:pStyle w:val="Tabletext1"/>
              <w:rPr>
                <w:rFonts w:ascii="Arial" w:hAnsi="Arial" w:cs="Arial"/>
                <w:b/>
                <w:sz w:val="18"/>
                <w:szCs w:val="18"/>
              </w:rPr>
            </w:pPr>
            <w:r w:rsidRPr="002D7AE6">
              <w:rPr>
                <w:rFonts w:ascii="Arial" w:hAnsi="Arial" w:cs="Arial"/>
                <w:b/>
                <w:sz w:val="18"/>
                <w:szCs w:val="18"/>
              </w:rPr>
              <w:t>Business Support Unit (BSU)</w:t>
            </w:r>
          </w:p>
        </w:tc>
        <w:tc>
          <w:tcPr>
            <w:tcW w:w="6529" w:type="dxa"/>
            <w:gridSpan w:val="2"/>
          </w:tcPr>
          <w:p w14:paraId="02D35682" w14:textId="77777777" w:rsidR="00052799" w:rsidRPr="002D7AE6" w:rsidRDefault="00052799" w:rsidP="00871631">
            <w:pPr>
              <w:pStyle w:val="Tabletext1"/>
              <w:rPr>
                <w:rFonts w:ascii="Arial" w:hAnsi="Arial" w:cs="Arial"/>
                <w:sz w:val="18"/>
                <w:szCs w:val="18"/>
              </w:rPr>
            </w:pPr>
            <w:r w:rsidRPr="002D7AE6">
              <w:rPr>
                <w:rFonts w:ascii="Arial" w:hAnsi="Arial" w:cs="Arial"/>
                <w:sz w:val="18"/>
                <w:szCs w:val="18"/>
              </w:rPr>
              <w:t>BSU undertakes a range of support activities for LRD. These include:</w:t>
            </w:r>
          </w:p>
          <w:p w14:paraId="00AA6ECE" w14:textId="77777777" w:rsidR="00052799" w:rsidRPr="002D7AE6" w:rsidRDefault="00052799" w:rsidP="00871631">
            <w:pPr>
              <w:pStyle w:val="Tablebullet1"/>
              <w:numPr>
                <w:ilvl w:val="0"/>
                <w:numId w:val="4"/>
              </w:numPr>
              <w:tabs>
                <w:tab w:val="clear" w:pos="360"/>
                <w:tab w:val="num" w:pos="340"/>
              </w:tabs>
              <w:ind w:left="340" w:hanging="340"/>
              <w:rPr>
                <w:rFonts w:ascii="Arial" w:hAnsi="Arial" w:cs="Arial"/>
                <w:sz w:val="18"/>
                <w:szCs w:val="18"/>
              </w:rPr>
            </w:pPr>
            <w:r w:rsidRPr="002D7AE6">
              <w:rPr>
                <w:rFonts w:ascii="Arial" w:hAnsi="Arial" w:cs="Arial"/>
                <w:sz w:val="18"/>
                <w:szCs w:val="18"/>
              </w:rPr>
              <w:t>Finance functions</w:t>
            </w:r>
          </w:p>
          <w:p w14:paraId="25698372" w14:textId="77777777" w:rsidR="00052799" w:rsidRPr="002D7AE6" w:rsidRDefault="00052799" w:rsidP="00871631">
            <w:pPr>
              <w:pStyle w:val="Tablebullet1"/>
              <w:numPr>
                <w:ilvl w:val="0"/>
                <w:numId w:val="4"/>
              </w:numPr>
              <w:tabs>
                <w:tab w:val="clear" w:pos="360"/>
                <w:tab w:val="num" w:pos="340"/>
              </w:tabs>
              <w:ind w:left="340" w:hanging="340"/>
              <w:rPr>
                <w:rFonts w:ascii="Arial" w:hAnsi="Arial" w:cs="Arial"/>
                <w:sz w:val="18"/>
                <w:szCs w:val="18"/>
              </w:rPr>
            </w:pPr>
            <w:r w:rsidRPr="002D7AE6">
              <w:rPr>
                <w:rFonts w:ascii="Arial" w:hAnsi="Arial" w:cs="Arial"/>
                <w:sz w:val="18"/>
                <w:szCs w:val="18"/>
              </w:rPr>
              <w:t>Human resources functions</w:t>
            </w:r>
          </w:p>
          <w:p w14:paraId="5BE47623" w14:textId="77777777" w:rsidR="00052799" w:rsidRPr="002D7AE6" w:rsidRDefault="00052799" w:rsidP="00871631">
            <w:pPr>
              <w:pStyle w:val="Tablebullet1"/>
              <w:numPr>
                <w:ilvl w:val="0"/>
                <w:numId w:val="4"/>
              </w:numPr>
              <w:tabs>
                <w:tab w:val="clear" w:pos="360"/>
                <w:tab w:val="num" w:pos="340"/>
              </w:tabs>
              <w:ind w:left="340" w:hanging="340"/>
              <w:rPr>
                <w:rFonts w:ascii="Arial" w:hAnsi="Arial" w:cs="Arial"/>
                <w:sz w:val="18"/>
                <w:szCs w:val="18"/>
              </w:rPr>
            </w:pPr>
            <w:r w:rsidRPr="002D7AE6">
              <w:rPr>
                <w:rFonts w:ascii="Arial" w:hAnsi="Arial" w:cs="Arial"/>
                <w:sz w:val="18"/>
                <w:szCs w:val="18"/>
              </w:rPr>
              <w:t>Administrative functions, such as mail processing, imaging, email responses, handling phone enquiries</w:t>
            </w:r>
          </w:p>
          <w:p w14:paraId="6694FF95" w14:textId="77777777" w:rsidR="00052799" w:rsidRPr="002D7AE6" w:rsidRDefault="00052799" w:rsidP="00871631">
            <w:pPr>
              <w:pStyle w:val="Tablebullet1"/>
              <w:numPr>
                <w:ilvl w:val="0"/>
                <w:numId w:val="4"/>
              </w:numPr>
              <w:tabs>
                <w:tab w:val="clear" w:pos="360"/>
                <w:tab w:val="num" w:pos="340"/>
              </w:tabs>
              <w:ind w:left="340" w:hanging="340"/>
              <w:rPr>
                <w:rFonts w:ascii="Arial" w:hAnsi="Arial" w:cs="Arial"/>
                <w:sz w:val="18"/>
                <w:szCs w:val="18"/>
              </w:rPr>
            </w:pPr>
            <w:r w:rsidRPr="002D7AE6">
              <w:rPr>
                <w:rFonts w:ascii="Arial" w:hAnsi="Arial" w:cs="Arial"/>
                <w:sz w:val="18"/>
                <w:szCs w:val="18"/>
              </w:rPr>
              <w:t>Other business support functions as required.</w:t>
            </w:r>
          </w:p>
        </w:tc>
      </w:tr>
      <w:tr w:rsidR="00052799" w:rsidRPr="002D7AE6" w14:paraId="2281E5C9" w14:textId="77777777" w:rsidTr="00871631">
        <w:trPr>
          <w:trHeight w:val="794"/>
        </w:trPr>
        <w:tc>
          <w:tcPr>
            <w:tcW w:w="1834" w:type="dxa"/>
            <w:vAlign w:val="center"/>
          </w:tcPr>
          <w:p w14:paraId="7CE66041" w14:textId="77777777" w:rsidR="00052799" w:rsidRPr="002D7AE6" w:rsidRDefault="00052799" w:rsidP="00871631">
            <w:pPr>
              <w:pStyle w:val="Tabletext1"/>
              <w:rPr>
                <w:rFonts w:ascii="Arial" w:hAnsi="Arial" w:cs="Arial"/>
                <w:b/>
                <w:sz w:val="18"/>
                <w:szCs w:val="18"/>
              </w:rPr>
            </w:pPr>
            <w:r w:rsidRPr="002D7AE6">
              <w:rPr>
                <w:rFonts w:ascii="Arial" w:hAnsi="Arial" w:cs="Arial"/>
                <w:b/>
                <w:sz w:val="18"/>
                <w:szCs w:val="18"/>
              </w:rPr>
              <w:t>ICT and projects</w:t>
            </w:r>
          </w:p>
        </w:tc>
        <w:tc>
          <w:tcPr>
            <w:tcW w:w="6529" w:type="dxa"/>
            <w:gridSpan w:val="2"/>
          </w:tcPr>
          <w:p w14:paraId="2D0787F0" w14:textId="77777777" w:rsidR="00052799" w:rsidRPr="002D7AE6" w:rsidRDefault="00052799" w:rsidP="00871631">
            <w:pPr>
              <w:pStyle w:val="Tablebullet1"/>
              <w:numPr>
                <w:ilvl w:val="0"/>
                <w:numId w:val="4"/>
              </w:numPr>
              <w:tabs>
                <w:tab w:val="clear" w:pos="360"/>
                <w:tab w:val="num" w:pos="340"/>
              </w:tabs>
              <w:ind w:left="340" w:hanging="340"/>
              <w:rPr>
                <w:rFonts w:ascii="Arial" w:hAnsi="Arial" w:cs="Arial"/>
                <w:sz w:val="18"/>
                <w:szCs w:val="18"/>
              </w:rPr>
            </w:pPr>
            <w:r w:rsidRPr="002D7AE6">
              <w:rPr>
                <w:rFonts w:ascii="Arial" w:hAnsi="Arial" w:cs="Arial"/>
                <w:sz w:val="18"/>
                <w:szCs w:val="18"/>
              </w:rPr>
              <w:t>Maintaining and updating local ICT systems</w:t>
            </w:r>
          </w:p>
          <w:p w14:paraId="14F6D270" w14:textId="77777777" w:rsidR="00052799" w:rsidRPr="002D7AE6" w:rsidRDefault="00052799" w:rsidP="00871631">
            <w:pPr>
              <w:pStyle w:val="Tablebullet1"/>
              <w:numPr>
                <w:ilvl w:val="0"/>
                <w:numId w:val="4"/>
              </w:numPr>
              <w:tabs>
                <w:tab w:val="clear" w:pos="360"/>
                <w:tab w:val="num" w:pos="340"/>
              </w:tabs>
              <w:ind w:left="340" w:hanging="340"/>
              <w:rPr>
                <w:rFonts w:ascii="Arial" w:hAnsi="Arial" w:cs="Arial"/>
                <w:sz w:val="18"/>
                <w:szCs w:val="18"/>
              </w:rPr>
            </w:pPr>
            <w:r w:rsidRPr="002D7AE6">
              <w:rPr>
                <w:rFonts w:ascii="Arial" w:hAnsi="Arial" w:cs="Arial"/>
                <w:sz w:val="18"/>
                <w:szCs w:val="18"/>
              </w:rPr>
              <w:t>Development of LRD’s Electronic Lodgement Program (ELP)</w:t>
            </w:r>
          </w:p>
          <w:p w14:paraId="5BF3DAC4" w14:textId="77777777" w:rsidR="00052799" w:rsidRPr="002D7AE6" w:rsidRDefault="00052799" w:rsidP="00871631">
            <w:pPr>
              <w:pStyle w:val="Tablebullet1"/>
              <w:numPr>
                <w:ilvl w:val="0"/>
                <w:numId w:val="4"/>
              </w:numPr>
              <w:tabs>
                <w:tab w:val="clear" w:pos="360"/>
                <w:tab w:val="num" w:pos="340"/>
              </w:tabs>
              <w:ind w:left="340" w:hanging="340"/>
              <w:rPr>
                <w:rFonts w:ascii="Arial" w:hAnsi="Arial" w:cs="Arial"/>
                <w:sz w:val="18"/>
                <w:szCs w:val="18"/>
              </w:rPr>
            </w:pPr>
            <w:r w:rsidRPr="002D7AE6">
              <w:rPr>
                <w:rFonts w:ascii="Arial" w:hAnsi="Arial" w:cs="Arial"/>
                <w:sz w:val="18"/>
                <w:szCs w:val="18"/>
              </w:rPr>
              <w:t>Support functions for ELP program</w:t>
            </w:r>
          </w:p>
          <w:p w14:paraId="351C875E" w14:textId="77777777" w:rsidR="00052799" w:rsidRPr="002D7AE6" w:rsidRDefault="00052799" w:rsidP="00871631">
            <w:pPr>
              <w:pStyle w:val="Tablebullet1"/>
              <w:numPr>
                <w:ilvl w:val="0"/>
                <w:numId w:val="4"/>
              </w:numPr>
              <w:tabs>
                <w:tab w:val="clear" w:pos="360"/>
                <w:tab w:val="num" w:pos="340"/>
              </w:tabs>
              <w:ind w:left="340" w:hanging="340"/>
              <w:rPr>
                <w:rFonts w:ascii="Arial" w:hAnsi="Arial" w:cs="Arial"/>
                <w:sz w:val="18"/>
                <w:szCs w:val="18"/>
              </w:rPr>
            </w:pPr>
            <w:r w:rsidRPr="002D7AE6">
              <w:rPr>
                <w:rFonts w:ascii="Arial" w:hAnsi="Arial" w:cs="Arial"/>
                <w:sz w:val="18"/>
                <w:szCs w:val="18"/>
              </w:rPr>
              <w:t>Other project work as directed</w:t>
            </w:r>
          </w:p>
        </w:tc>
      </w:tr>
      <w:tr w:rsidR="00052799" w:rsidRPr="002D7AE6" w14:paraId="23F7214F" w14:textId="77777777" w:rsidTr="00871631">
        <w:tc>
          <w:tcPr>
            <w:tcW w:w="1834" w:type="dxa"/>
          </w:tcPr>
          <w:p w14:paraId="6C59122E" w14:textId="77777777" w:rsidR="00052799" w:rsidRPr="002D7AE6" w:rsidRDefault="00052799" w:rsidP="00871631">
            <w:pPr>
              <w:pStyle w:val="Tabletext1"/>
              <w:rPr>
                <w:rFonts w:ascii="Arial" w:hAnsi="Arial" w:cs="Arial"/>
                <w:sz w:val="18"/>
                <w:szCs w:val="18"/>
              </w:rPr>
            </w:pPr>
            <w:r w:rsidRPr="002D7AE6">
              <w:rPr>
                <w:rFonts w:ascii="Arial" w:hAnsi="Arial" w:cs="Arial"/>
                <w:b/>
                <w:sz w:val="18"/>
                <w:szCs w:val="18"/>
              </w:rPr>
              <w:t>Public Support and Services Department (PSSD) Executive</w:t>
            </w:r>
          </w:p>
        </w:tc>
        <w:tc>
          <w:tcPr>
            <w:tcW w:w="6529" w:type="dxa"/>
            <w:gridSpan w:val="2"/>
          </w:tcPr>
          <w:p w14:paraId="301B5776" w14:textId="77777777" w:rsidR="00052799" w:rsidRPr="002D7AE6" w:rsidRDefault="00052799" w:rsidP="00871631">
            <w:pPr>
              <w:pStyle w:val="Tablebullet1"/>
              <w:ind w:left="0" w:firstLine="0"/>
              <w:rPr>
                <w:rFonts w:ascii="Arial" w:hAnsi="Arial" w:cs="Arial"/>
                <w:sz w:val="18"/>
                <w:szCs w:val="18"/>
              </w:rPr>
            </w:pPr>
            <w:r w:rsidRPr="002D7AE6">
              <w:rPr>
                <w:rFonts w:ascii="Arial" w:hAnsi="Arial" w:cs="Arial"/>
                <w:sz w:val="18"/>
                <w:szCs w:val="18"/>
              </w:rPr>
              <w:t>The PSSD Executive oversee and are ultimately responsible for the operations of all teams within LRD.</w:t>
            </w:r>
          </w:p>
        </w:tc>
      </w:tr>
    </w:tbl>
    <w:p w14:paraId="5AC5AC90" w14:textId="77777777" w:rsidR="00052799" w:rsidRPr="00610D49" w:rsidRDefault="00052799" w:rsidP="00052799">
      <w:pPr>
        <w:pStyle w:val="BodyText"/>
        <w:ind w:left="0"/>
      </w:pPr>
    </w:p>
    <w:p w14:paraId="6C79FA7C" w14:textId="77777777" w:rsidR="00052799" w:rsidRPr="00610D49" w:rsidRDefault="00052799" w:rsidP="00052799">
      <w:pPr>
        <w:pStyle w:val="Heading3"/>
      </w:pPr>
      <w:bookmarkStart w:id="180" w:name="_Toc497492995"/>
      <w:bookmarkStart w:id="181" w:name="_Toc500505481"/>
      <w:bookmarkStart w:id="182" w:name="_Toc501539176"/>
      <w:r w:rsidRPr="00610D49">
        <w:t>Non-LRD activities and costs</w:t>
      </w:r>
      <w:bookmarkEnd w:id="180"/>
      <w:bookmarkEnd w:id="181"/>
      <w:bookmarkEnd w:id="182"/>
    </w:p>
    <w:p w14:paraId="1E8B4FA6" w14:textId="77777777" w:rsidR="00052799" w:rsidRPr="00610D49" w:rsidRDefault="00052799" w:rsidP="00052799">
      <w:pPr>
        <w:pStyle w:val="BodyText"/>
      </w:pPr>
      <w:r w:rsidRPr="00610D49">
        <w:t xml:space="preserve">Supporting, monitoring and enforcement activities completed within other Victoria Police teams and units were also considered. This included divisional operations, taskforces, referrals to and from Crime Command and Intelligence and Covert Support Command, and a range of other considerations, such as general firearms training. While these broader costs were considered, only the costs explicitly </w:t>
      </w:r>
      <w:r>
        <w:t xml:space="preserve">in the following table are </w:t>
      </w:r>
      <w:r w:rsidRPr="00610D49">
        <w:t>included in the cost base for recovery through firearms fees.</w:t>
      </w:r>
    </w:p>
    <w:p w14:paraId="617B5CA8" w14:textId="77777777" w:rsidR="00052799" w:rsidRPr="00610D49" w:rsidRDefault="00052799" w:rsidP="00052799">
      <w:pPr>
        <w:pStyle w:val="BodyText"/>
      </w:pPr>
      <w:r w:rsidRPr="00610D49">
        <w:t>Costs incurred across Victoria Police were estimated for a range of activities – referred to as ‘Non-LRD costs’. These activities undertaken by areas outside of LRD have been costed on a per-FTE basis, rather than using an approach based on cost-centre data. A summary of the estimates for each of the consi</w:t>
      </w:r>
      <w:r>
        <w:t>dered activities is included in the following table.</w:t>
      </w:r>
      <w:r w:rsidRPr="00610D49">
        <w:t xml:space="preserve"> Attributable costs are those where at least a portion of the activity can be directly linked to the regulatory scheme for firearms. Where that is the case, the costs associated with the portion of that activity which arises as a result of the regulatory scheme for firearms is recoverable through fees established through the Regulations. </w:t>
      </w:r>
    </w:p>
    <w:p w14:paraId="549E9290" w14:textId="1129DC1D" w:rsidR="00052799" w:rsidRPr="00610D49" w:rsidRDefault="00052799" w:rsidP="00052799">
      <w:pPr>
        <w:pStyle w:val="Caption"/>
      </w:pPr>
      <w:r w:rsidRPr="00610D49">
        <w:t xml:space="preserve">Table </w:t>
      </w:r>
      <w:r w:rsidR="001C7D77">
        <w:rPr>
          <w:noProof/>
        </w:rPr>
        <w:t>23</w:t>
      </w:r>
      <w:r w:rsidR="009F677B">
        <w:t>:</w:t>
      </w:r>
      <w:r w:rsidRPr="00610D49">
        <w:t xml:space="preserve"> Attribution of non-LRD costs to firearms </w:t>
      </w:r>
    </w:p>
    <w:tbl>
      <w:tblPr>
        <w:tblW w:w="8114" w:type="dxa"/>
        <w:tblInd w:w="817" w:type="dxa"/>
        <w:tblLayout w:type="fixed"/>
        <w:tblLook w:val="04A0" w:firstRow="1" w:lastRow="0" w:firstColumn="1" w:lastColumn="0" w:noHBand="0" w:noVBand="1"/>
        <w:tblCaption w:val="Table 23: Attribution of non-LRD costs to firearms"/>
      </w:tblPr>
      <w:tblGrid>
        <w:gridCol w:w="5987"/>
        <w:gridCol w:w="2127"/>
      </w:tblGrid>
      <w:tr w:rsidR="00052799" w:rsidRPr="002D7AE6" w14:paraId="5BE937B9" w14:textId="77777777" w:rsidTr="00871631">
        <w:trPr>
          <w:cantSplit/>
          <w:trHeight w:val="288"/>
        </w:trPr>
        <w:tc>
          <w:tcPr>
            <w:tcW w:w="5987" w:type="dxa"/>
            <w:tcBorders>
              <w:top w:val="nil"/>
              <w:left w:val="nil"/>
              <w:bottom w:val="nil"/>
              <w:right w:val="nil"/>
            </w:tcBorders>
            <w:shd w:val="clear" w:color="000000" w:fill="002060"/>
            <w:noWrap/>
            <w:vAlign w:val="center"/>
            <w:hideMark/>
          </w:tcPr>
          <w:p w14:paraId="62698FFA" w14:textId="77777777" w:rsidR="00052799" w:rsidRPr="002D7AE6" w:rsidRDefault="00052799" w:rsidP="00871631">
            <w:pPr>
              <w:pStyle w:val="Tableheading0"/>
              <w:jc w:val="left"/>
              <w:rPr>
                <w:rFonts w:ascii="Arial" w:hAnsi="Arial" w:cs="Arial"/>
                <w:sz w:val="18"/>
                <w:szCs w:val="18"/>
              </w:rPr>
            </w:pPr>
            <w:r w:rsidRPr="002D7AE6">
              <w:rPr>
                <w:rFonts w:ascii="Arial" w:hAnsi="Arial" w:cs="Arial"/>
                <w:sz w:val="18"/>
                <w:szCs w:val="18"/>
              </w:rPr>
              <w:t>Non-LRD activities</w:t>
            </w:r>
          </w:p>
        </w:tc>
        <w:tc>
          <w:tcPr>
            <w:tcW w:w="2127" w:type="dxa"/>
            <w:tcBorders>
              <w:top w:val="nil"/>
              <w:left w:val="nil"/>
              <w:bottom w:val="nil"/>
              <w:right w:val="nil"/>
            </w:tcBorders>
            <w:shd w:val="clear" w:color="000000" w:fill="002060"/>
            <w:noWrap/>
            <w:vAlign w:val="center"/>
            <w:hideMark/>
          </w:tcPr>
          <w:p w14:paraId="06C558B8" w14:textId="77777777" w:rsidR="00052799" w:rsidRPr="002D7AE6" w:rsidRDefault="00052799" w:rsidP="00871631">
            <w:pPr>
              <w:pStyle w:val="Tableheading0"/>
              <w:rPr>
                <w:rFonts w:ascii="Arial" w:hAnsi="Arial" w:cs="Arial"/>
                <w:sz w:val="18"/>
                <w:szCs w:val="18"/>
              </w:rPr>
            </w:pPr>
            <w:r w:rsidRPr="002D7AE6">
              <w:rPr>
                <w:rFonts w:ascii="Arial" w:hAnsi="Arial" w:cs="Arial"/>
                <w:sz w:val="18"/>
                <w:szCs w:val="18"/>
              </w:rPr>
              <w:t>Indicative cost ($m)</w:t>
            </w:r>
          </w:p>
        </w:tc>
      </w:tr>
      <w:tr w:rsidR="00052799" w:rsidRPr="002D7AE6" w14:paraId="6DC5F15B" w14:textId="77777777" w:rsidTr="00871631">
        <w:trPr>
          <w:cantSplit/>
          <w:trHeight w:val="57"/>
        </w:trPr>
        <w:tc>
          <w:tcPr>
            <w:tcW w:w="5987" w:type="dxa"/>
            <w:tcBorders>
              <w:top w:val="nil"/>
              <w:left w:val="nil"/>
              <w:bottom w:val="nil"/>
              <w:right w:val="nil"/>
            </w:tcBorders>
            <w:shd w:val="clear" w:color="000000" w:fill="FFFFFF"/>
            <w:vAlign w:val="center"/>
            <w:hideMark/>
          </w:tcPr>
          <w:p w14:paraId="1D0BACD8" w14:textId="77777777" w:rsidR="00052799" w:rsidRPr="002D7AE6" w:rsidRDefault="00052799" w:rsidP="00871631">
            <w:pPr>
              <w:pStyle w:val="Tabletext1"/>
              <w:rPr>
                <w:rFonts w:ascii="Arial" w:hAnsi="Arial"/>
                <w:sz w:val="18"/>
                <w:szCs w:val="18"/>
              </w:rPr>
            </w:pPr>
            <w:r w:rsidRPr="002D7AE6">
              <w:rPr>
                <w:rFonts w:ascii="Arial" w:hAnsi="Arial"/>
                <w:sz w:val="18"/>
                <w:szCs w:val="18"/>
              </w:rPr>
              <w:t>Divisional Firearms Officers (direct activity)</w:t>
            </w:r>
          </w:p>
        </w:tc>
        <w:tc>
          <w:tcPr>
            <w:tcW w:w="2127" w:type="dxa"/>
            <w:tcBorders>
              <w:top w:val="nil"/>
              <w:left w:val="nil"/>
              <w:bottom w:val="nil"/>
              <w:right w:val="nil"/>
            </w:tcBorders>
            <w:shd w:val="clear" w:color="000000" w:fill="FFFFFF"/>
            <w:noWrap/>
            <w:hideMark/>
          </w:tcPr>
          <w:p w14:paraId="63F29EE0" w14:textId="77777777" w:rsidR="00052799" w:rsidRPr="002D7AE6" w:rsidRDefault="00052799" w:rsidP="00871631">
            <w:pPr>
              <w:pStyle w:val="Tablenumber"/>
              <w:rPr>
                <w:rFonts w:ascii="Arial" w:hAnsi="Arial" w:cs="Arial"/>
                <w:sz w:val="18"/>
                <w:szCs w:val="18"/>
              </w:rPr>
            </w:pPr>
            <w:r w:rsidRPr="002D7AE6">
              <w:rPr>
                <w:rFonts w:ascii="Arial" w:hAnsi="Arial" w:cs="Arial"/>
                <w:sz w:val="18"/>
                <w:szCs w:val="18"/>
              </w:rPr>
              <w:t xml:space="preserve"> 3.4 </w:t>
            </w:r>
          </w:p>
        </w:tc>
      </w:tr>
      <w:tr w:rsidR="00052799" w:rsidRPr="002D7AE6" w14:paraId="11B79089" w14:textId="77777777" w:rsidTr="00871631">
        <w:trPr>
          <w:cantSplit/>
          <w:trHeight w:val="57"/>
        </w:trPr>
        <w:tc>
          <w:tcPr>
            <w:tcW w:w="5987" w:type="dxa"/>
            <w:tcBorders>
              <w:top w:val="nil"/>
              <w:left w:val="nil"/>
              <w:bottom w:val="nil"/>
              <w:right w:val="nil"/>
            </w:tcBorders>
            <w:shd w:val="clear" w:color="000000" w:fill="FFFFFF"/>
            <w:vAlign w:val="center"/>
            <w:hideMark/>
          </w:tcPr>
          <w:p w14:paraId="5DC9252C" w14:textId="77777777" w:rsidR="00052799" w:rsidRPr="002D7AE6" w:rsidRDefault="00052799" w:rsidP="00871631">
            <w:pPr>
              <w:pStyle w:val="Tabletext1"/>
              <w:rPr>
                <w:rFonts w:ascii="Arial" w:hAnsi="Arial"/>
                <w:sz w:val="18"/>
                <w:szCs w:val="18"/>
              </w:rPr>
            </w:pPr>
            <w:r w:rsidRPr="002D7AE6">
              <w:rPr>
                <w:rFonts w:ascii="Arial" w:hAnsi="Arial"/>
                <w:sz w:val="18"/>
                <w:szCs w:val="18"/>
              </w:rPr>
              <w:t>Divisional Property Officers (handling legal and illegal firearms)</w:t>
            </w:r>
          </w:p>
        </w:tc>
        <w:tc>
          <w:tcPr>
            <w:tcW w:w="2127" w:type="dxa"/>
            <w:tcBorders>
              <w:top w:val="nil"/>
              <w:left w:val="nil"/>
              <w:bottom w:val="nil"/>
              <w:right w:val="nil"/>
            </w:tcBorders>
            <w:shd w:val="clear" w:color="000000" w:fill="FFFFFF"/>
            <w:noWrap/>
            <w:hideMark/>
          </w:tcPr>
          <w:p w14:paraId="08A3DF3B" w14:textId="77777777" w:rsidR="00052799" w:rsidRPr="002D7AE6" w:rsidRDefault="00052799" w:rsidP="00871631">
            <w:pPr>
              <w:pStyle w:val="Tablenumber"/>
              <w:rPr>
                <w:rFonts w:ascii="Arial" w:hAnsi="Arial" w:cs="Arial"/>
                <w:sz w:val="18"/>
                <w:szCs w:val="18"/>
              </w:rPr>
            </w:pPr>
            <w:r w:rsidRPr="002D7AE6">
              <w:rPr>
                <w:rFonts w:ascii="Arial" w:hAnsi="Arial" w:cs="Arial"/>
                <w:sz w:val="18"/>
                <w:szCs w:val="18"/>
              </w:rPr>
              <w:t xml:space="preserve"> 0.3 </w:t>
            </w:r>
          </w:p>
        </w:tc>
      </w:tr>
      <w:tr w:rsidR="00052799" w:rsidRPr="002D7AE6" w14:paraId="6C1B003F" w14:textId="77777777" w:rsidTr="00871631">
        <w:trPr>
          <w:cantSplit/>
          <w:trHeight w:val="57"/>
        </w:trPr>
        <w:tc>
          <w:tcPr>
            <w:tcW w:w="5987" w:type="dxa"/>
            <w:tcBorders>
              <w:top w:val="nil"/>
              <w:left w:val="nil"/>
              <w:bottom w:val="nil"/>
              <w:right w:val="nil"/>
            </w:tcBorders>
            <w:shd w:val="clear" w:color="000000" w:fill="FFFFFF"/>
            <w:vAlign w:val="center"/>
            <w:hideMark/>
          </w:tcPr>
          <w:p w14:paraId="4A3090CA" w14:textId="77777777" w:rsidR="00052799" w:rsidRPr="002D7AE6" w:rsidRDefault="00052799" w:rsidP="00871631">
            <w:pPr>
              <w:pStyle w:val="Tabletext1"/>
              <w:rPr>
                <w:rFonts w:ascii="Arial" w:hAnsi="Arial"/>
                <w:sz w:val="18"/>
                <w:szCs w:val="18"/>
              </w:rPr>
            </w:pPr>
            <w:r w:rsidRPr="002D7AE6">
              <w:rPr>
                <w:rFonts w:ascii="Arial" w:hAnsi="Arial"/>
                <w:sz w:val="18"/>
                <w:szCs w:val="18"/>
              </w:rPr>
              <w:t>LRD referrals to counter-terrorism, Crime Command and other intelligence units</w:t>
            </w:r>
          </w:p>
        </w:tc>
        <w:tc>
          <w:tcPr>
            <w:tcW w:w="2127" w:type="dxa"/>
            <w:tcBorders>
              <w:top w:val="nil"/>
              <w:left w:val="nil"/>
              <w:bottom w:val="nil"/>
              <w:right w:val="nil"/>
            </w:tcBorders>
            <w:shd w:val="clear" w:color="000000" w:fill="FFFFFF"/>
            <w:noWrap/>
            <w:hideMark/>
          </w:tcPr>
          <w:p w14:paraId="442F77FD" w14:textId="77777777" w:rsidR="00052799" w:rsidRPr="002D7AE6" w:rsidRDefault="00052799" w:rsidP="00871631">
            <w:pPr>
              <w:pStyle w:val="Tablenumber"/>
              <w:rPr>
                <w:rFonts w:ascii="Arial" w:hAnsi="Arial" w:cs="Arial"/>
                <w:sz w:val="18"/>
                <w:szCs w:val="18"/>
              </w:rPr>
            </w:pPr>
            <w:r w:rsidRPr="002D7AE6">
              <w:rPr>
                <w:rFonts w:ascii="Arial" w:hAnsi="Arial" w:cs="Arial"/>
                <w:sz w:val="18"/>
                <w:szCs w:val="18"/>
              </w:rPr>
              <w:t xml:space="preserve"> 0.1 </w:t>
            </w:r>
          </w:p>
        </w:tc>
      </w:tr>
      <w:tr w:rsidR="00052799" w:rsidRPr="002D7AE6" w14:paraId="43F63926" w14:textId="77777777" w:rsidTr="00871631">
        <w:trPr>
          <w:cantSplit/>
          <w:trHeight w:val="57"/>
        </w:trPr>
        <w:tc>
          <w:tcPr>
            <w:tcW w:w="5987" w:type="dxa"/>
            <w:tcBorders>
              <w:top w:val="nil"/>
              <w:left w:val="nil"/>
              <w:bottom w:val="nil"/>
              <w:right w:val="nil"/>
            </w:tcBorders>
            <w:shd w:val="clear" w:color="000000" w:fill="FFFFFF"/>
            <w:vAlign w:val="center"/>
            <w:hideMark/>
          </w:tcPr>
          <w:p w14:paraId="62E55AD5" w14:textId="77777777" w:rsidR="00052799" w:rsidRPr="002D7AE6" w:rsidRDefault="00052799" w:rsidP="00871631">
            <w:pPr>
              <w:pStyle w:val="Tabletext1"/>
              <w:rPr>
                <w:rFonts w:ascii="Arial" w:hAnsi="Arial"/>
                <w:sz w:val="18"/>
                <w:szCs w:val="18"/>
              </w:rPr>
            </w:pPr>
            <w:r w:rsidRPr="002D7AE6">
              <w:rPr>
                <w:rFonts w:ascii="Arial" w:hAnsi="Arial"/>
                <w:sz w:val="18"/>
                <w:szCs w:val="18"/>
              </w:rPr>
              <w:t>RSD data quality costs</w:t>
            </w:r>
          </w:p>
        </w:tc>
        <w:tc>
          <w:tcPr>
            <w:tcW w:w="2127" w:type="dxa"/>
            <w:tcBorders>
              <w:top w:val="nil"/>
              <w:left w:val="nil"/>
              <w:bottom w:val="nil"/>
              <w:right w:val="nil"/>
            </w:tcBorders>
            <w:shd w:val="clear" w:color="000000" w:fill="FFFFFF"/>
            <w:noWrap/>
            <w:hideMark/>
          </w:tcPr>
          <w:p w14:paraId="13DA9797" w14:textId="77777777" w:rsidR="00052799" w:rsidRPr="002D7AE6" w:rsidRDefault="00052799" w:rsidP="00871631">
            <w:pPr>
              <w:pStyle w:val="Tablenumber"/>
              <w:rPr>
                <w:rFonts w:ascii="Arial" w:hAnsi="Arial" w:cs="Arial"/>
                <w:sz w:val="18"/>
                <w:szCs w:val="18"/>
              </w:rPr>
            </w:pPr>
            <w:r w:rsidRPr="002D7AE6">
              <w:rPr>
                <w:rFonts w:ascii="Arial" w:hAnsi="Arial" w:cs="Arial"/>
                <w:sz w:val="18"/>
                <w:szCs w:val="18"/>
              </w:rPr>
              <w:t xml:space="preserve"> 0.04 </w:t>
            </w:r>
          </w:p>
        </w:tc>
      </w:tr>
      <w:tr w:rsidR="00052799" w:rsidRPr="002D7AE6" w14:paraId="2E129AD3" w14:textId="77777777" w:rsidTr="00871631">
        <w:trPr>
          <w:cantSplit/>
          <w:trHeight w:val="57"/>
        </w:trPr>
        <w:tc>
          <w:tcPr>
            <w:tcW w:w="5987" w:type="dxa"/>
            <w:tcBorders>
              <w:top w:val="nil"/>
              <w:left w:val="nil"/>
              <w:bottom w:val="nil"/>
              <w:right w:val="nil"/>
            </w:tcBorders>
            <w:shd w:val="clear" w:color="000000" w:fill="FFFFFF"/>
            <w:vAlign w:val="center"/>
          </w:tcPr>
          <w:p w14:paraId="57FB309C" w14:textId="77777777" w:rsidR="00052799" w:rsidRPr="002D7AE6" w:rsidRDefault="00052799" w:rsidP="00871631">
            <w:pPr>
              <w:pStyle w:val="Tabletext1"/>
              <w:rPr>
                <w:rFonts w:ascii="Arial" w:hAnsi="Arial"/>
                <w:sz w:val="18"/>
                <w:szCs w:val="18"/>
              </w:rPr>
            </w:pPr>
            <w:r w:rsidRPr="002D7AE6">
              <w:rPr>
                <w:rFonts w:ascii="Arial" w:hAnsi="Arial"/>
                <w:sz w:val="18"/>
                <w:szCs w:val="18"/>
              </w:rPr>
              <w:t>Review of decisions costs</w:t>
            </w:r>
          </w:p>
        </w:tc>
        <w:tc>
          <w:tcPr>
            <w:tcW w:w="2127" w:type="dxa"/>
            <w:tcBorders>
              <w:top w:val="nil"/>
              <w:left w:val="nil"/>
              <w:bottom w:val="nil"/>
              <w:right w:val="nil"/>
            </w:tcBorders>
            <w:shd w:val="clear" w:color="000000" w:fill="FFFFFF"/>
            <w:noWrap/>
          </w:tcPr>
          <w:p w14:paraId="5A84A74A" w14:textId="77777777" w:rsidR="00052799" w:rsidRPr="002D7AE6" w:rsidRDefault="00052799" w:rsidP="00871631">
            <w:pPr>
              <w:pStyle w:val="Tablenumber"/>
              <w:rPr>
                <w:rFonts w:ascii="Arial" w:hAnsi="Arial" w:cs="Arial"/>
                <w:sz w:val="18"/>
                <w:szCs w:val="18"/>
              </w:rPr>
            </w:pPr>
            <w:r w:rsidRPr="002D7AE6">
              <w:rPr>
                <w:rFonts w:ascii="Arial" w:hAnsi="Arial" w:cs="Arial"/>
                <w:sz w:val="18"/>
                <w:szCs w:val="18"/>
              </w:rPr>
              <w:t xml:space="preserve"> 0.2</w:t>
            </w:r>
          </w:p>
        </w:tc>
      </w:tr>
      <w:tr w:rsidR="00052799" w:rsidRPr="002D7AE6" w14:paraId="241A0BC8" w14:textId="77777777" w:rsidTr="00871631">
        <w:trPr>
          <w:cantSplit/>
          <w:trHeight w:val="57"/>
        </w:trPr>
        <w:tc>
          <w:tcPr>
            <w:tcW w:w="5987" w:type="dxa"/>
            <w:tcBorders>
              <w:top w:val="nil"/>
              <w:left w:val="nil"/>
              <w:bottom w:val="nil"/>
              <w:right w:val="nil"/>
            </w:tcBorders>
            <w:shd w:val="clear" w:color="000000" w:fill="FFFFFF"/>
            <w:vAlign w:val="center"/>
          </w:tcPr>
          <w:p w14:paraId="1ACA5B6F" w14:textId="77777777" w:rsidR="00052799" w:rsidRPr="002D7AE6" w:rsidRDefault="00052799" w:rsidP="00871631">
            <w:pPr>
              <w:pStyle w:val="Tabletext1"/>
              <w:rPr>
                <w:rFonts w:ascii="Arial" w:hAnsi="Arial"/>
                <w:b/>
                <w:sz w:val="18"/>
                <w:szCs w:val="18"/>
              </w:rPr>
            </w:pPr>
            <w:r w:rsidRPr="002D7AE6">
              <w:rPr>
                <w:rFonts w:ascii="Arial" w:hAnsi="Arial"/>
                <w:b/>
                <w:sz w:val="18"/>
                <w:szCs w:val="18"/>
              </w:rPr>
              <w:t>Total</w:t>
            </w:r>
          </w:p>
        </w:tc>
        <w:tc>
          <w:tcPr>
            <w:tcW w:w="2127" w:type="dxa"/>
            <w:tcBorders>
              <w:top w:val="nil"/>
              <w:left w:val="nil"/>
              <w:bottom w:val="nil"/>
              <w:right w:val="nil"/>
            </w:tcBorders>
            <w:shd w:val="clear" w:color="000000" w:fill="FFFFFF"/>
            <w:noWrap/>
            <w:vAlign w:val="center"/>
          </w:tcPr>
          <w:p w14:paraId="60226F70" w14:textId="77777777" w:rsidR="00052799" w:rsidRPr="002D7AE6" w:rsidRDefault="00052799" w:rsidP="00871631">
            <w:pPr>
              <w:pStyle w:val="Tablenumber"/>
              <w:rPr>
                <w:rFonts w:ascii="Arial" w:hAnsi="Arial" w:cs="Arial"/>
                <w:b/>
                <w:sz w:val="18"/>
                <w:szCs w:val="18"/>
              </w:rPr>
            </w:pPr>
            <w:r w:rsidRPr="002D7AE6">
              <w:rPr>
                <w:rFonts w:ascii="Arial" w:hAnsi="Arial" w:cs="Arial"/>
                <w:b/>
                <w:sz w:val="18"/>
                <w:szCs w:val="18"/>
              </w:rPr>
              <w:t>4.10</w:t>
            </w:r>
          </w:p>
        </w:tc>
      </w:tr>
    </w:tbl>
    <w:p w14:paraId="1642C74F" w14:textId="77777777" w:rsidR="00052799" w:rsidRPr="00610D49" w:rsidRDefault="00052799" w:rsidP="00052799">
      <w:pPr>
        <w:pStyle w:val="Tablenote"/>
      </w:pPr>
      <w:r w:rsidRPr="00610D49">
        <w:t xml:space="preserve">Note: Where totals do not add up, this is due to the impact of rounding </w:t>
      </w:r>
    </w:p>
    <w:p w14:paraId="1AE4D866" w14:textId="493576E3" w:rsidR="00052799" w:rsidRPr="00610D49" w:rsidRDefault="00052799" w:rsidP="00052799">
      <w:pPr>
        <w:pStyle w:val="BodyText"/>
      </w:pPr>
      <w:r w:rsidRPr="00610D49">
        <w:t>The main cost item above is associated with Divisional Firearms Officers (DFOs). DFOs undertake a range of activities that relate to ensuring that firearms licensees comply with the Act and Regulations – a summary of these activities is presented in the table below.</w:t>
      </w:r>
      <w:r>
        <w:t xml:space="preserve"> As part of the development of the RIS, consultation was undertaken with two DFOs, one in a regional area and one in a metro area</w:t>
      </w:r>
      <w:r w:rsidR="00C103B7">
        <w:t>. A</w:t>
      </w:r>
      <w:r>
        <w:t>ssumptions were also tested with sworn officers within LRD. Stakeholders are invited to make submissions with respect to whether they think it is appropriate to recover these costs from regulated entities, or general taxpayers.</w:t>
      </w:r>
    </w:p>
    <w:p w14:paraId="584E8B75" w14:textId="481235E6" w:rsidR="00052799" w:rsidRPr="00610D49" w:rsidRDefault="00052799" w:rsidP="00052799">
      <w:pPr>
        <w:pStyle w:val="Caption"/>
      </w:pPr>
      <w:r w:rsidRPr="00610D49">
        <w:t xml:space="preserve">Table </w:t>
      </w:r>
      <w:r w:rsidR="001C7D77">
        <w:rPr>
          <w:noProof/>
        </w:rPr>
        <w:t>24</w:t>
      </w:r>
      <w:r w:rsidR="009F677B">
        <w:t>:</w:t>
      </w:r>
      <w:r w:rsidRPr="00610D49">
        <w:t xml:space="preserve"> Activities undertaken by DFOs in relation to the Firearms Regulations</w:t>
      </w:r>
    </w:p>
    <w:tbl>
      <w:tblPr>
        <w:tblW w:w="8114" w:type="dxa"/>
        <w:tblInd w:w="817" w:type="dxa"/>
        <w:tblLayout w:type="fixed"/>
        <w:tblLook w:val="04A0" w:firstRow="1" w:lastRow="0" w:firstColumn="1" w:lastColumn="0" w:noHBand="0" w:noVBand="1"/>
        <w:tblCaption w:val="Table 24: Activities undertaken by DFOs in relation to the Firearms Regulations"/>
      </w:tblPr>
      <w:tblGrid>
        <w:gridCol w:w="1451"/>
        <w:gridCol w:w="6663"/>
      </w:tblGrid>
      <w:tr w:rsidR="00052799" w:rsidRPr="00610D49" w14:paraId="380FA04E" w14:textId="77777777" w:rsidTr="00871631">
        <w:trPr>
          <w:cantSplit/>
          <w:trHeight w:val="288"/>
        </w:trPr>
        <w:tc>
          <w:tcPr>
            <w:tcW w:w="1451" w:type="dxa"/>
            <w:tcBorders>
              <w:top w:val="nil"/>
              <w:left w:val="nil"/>
              <w:right w:val="nil"/>
            </w:tcBorders>
            <w:shd w:val="clear" w:color="000000" w:fill="002060"/>
            <w:noWrap/>
            <w:vAlign w:val="center"/>
            <w:hideMark/>
          </w:tcPr>
          <w:p w14:paraId="5848EF81" w14:textId="77777777" w:rsidR="00052799" w:rsidRPr="00610D49" w:rsidRDefault="00052799" w:rsidP="00871631">
            <w:pPr>
              <w:pStyle w:val="Tableheading0"/>
              <w:jc w:val="left"/>
              <w:rPr>
                <w:rFonts w:ascii="Arial" w:hAnsi="Arial" w:cs="Arial"/>
                <w:sz w:val="18"/>
                <w:szCs w:val="18"/>
              </w:rPr>
            </w:pPr>
            <w:r w:rsidRPr="00610D49">
              <w:rPr>
                <w:rFonts w:ascii="Arial" w:hAnsi="Arial" w:cs="Arial"/>
                <w:sz w:val="18"/>
                <w:szCs w:val="18"/>
              </w:rPr>
              <w:t>DFO activities</w:t>
            </w:r>
          </w:p>
        </w:tc>
        <w:tc>
          <w:tcPr>
            <w:tcW w:w="6663" w:type="dxa"/>
            <w:tcBorders>
              <w:top w:val="nil"/>
              <w:left w:val="nil"/>
              <w:right w:val="nil"/>
            </w:tcBorders>
            <w:shd w:val="clear" w:color="000000" w:fill="002060"/>
            <w:noWrap/>
            <w:vAlign w:val="center"/>
            <w:hideMark/>
          </w:tcPr>
          <w:p w14:paraId="01190634" w14:textId="77777777" w:rsidR="00052799" w:rsidRPr="00610D49" w:rsidRDefault="00052799" w:rsidP="00871631">
            <w:pPr>
              <w:pStyle w:val="Tableheading0"/>
              <w:rPr>
                <w:rFonts w:ascii="Arial" w:hAnsi="Arial" w:cs="Arial"/>
                <w:sz w:val="18"/>
                <w:szCs w:val="18"/>
              </w:rPr>
            </w:pPr>
          </w:p>
        </w:tc>
      </w:tr>
      <w:tr w:rsidR="00052799" w:rsidRPr="00610D49" w14:paraId="67C39462" w14:textId="77777777" w:rsidTr="00871631">
        <w:trPr>
          <w:cantSplit/>
          <w:trHeight w:val="57"/>
        </w:trPr>
        <w:tc>
          <w:tcPr>
            <w:tcW w:w="1451" w:type="dxa"/>
            <w:tcBorders>
              <w:top w:val="nil"/>
              <w:left w:val="nil"/>
              <w:bottom w:val="single" w:sz="4" w:space="0" w:color="auto"/>
              <w:right w:val="nil"/>
            </w:tcBorders>
            <w:shd w:val="clear" w:color="000000" w:fill="FFFFFF"/>
            <w:vAlign w:val="center"/>
          </w:tcPr>
          <w:p w14:paraId="4A8598A5" w14:textId="77777777" w:rsidR="00052799" w:rsidRPr="00610D49" w:rsidRDefault="00052799" w:rsidP="00871631">
            <w:pPr>
              <w:pStyle w:val="Tabletext1"/>
              <w:rPr>
                <w:rFonts w:ascii="Arial" w:hAnsi="Arial"/>
                <w:b/>
                <w:sz w:val="18"/>
                <w:szCs w:val="18"/>
              </w:rPr>
            </w:pPr>
            <w:r w:rsidRPr="00610D49">
              <w:rPr>
                <w:rFonts w:ascii="Arial" w:hAnsi="Arial"/>
                <w:b/>
                <w:sz w:val="18"/>
                <w:szCs w:val="18"/>
              </w:rPr>
              <w:t>Major activities</w:t>
            </w:r>
          </w:p>
        </w:tc>
        <w:tc>
          <w:tcPr>
            <w:tcW w:w="6663" w:type="dxa"/>
            <w:tcBorders>
              <w:top w:val="nil"/>
              <w:left w:val="nil"/>
              <w:bottom w:val="single" w:sz="4" w:space="0" w:color="auto"/>
              <w:right w:val="nil"/>
            </w:tcBorders>
            <w:shd w:val="clear" w:color="000000" w:fill="FFFFFF"/>
            <w:noWrap/>
          </w:tcPr>
          <w:p w14:paraId="023DBBC0" w14:textId="77777777" w:rsidR="00052799" w:rsidRPr="00610D49" w:rsidRDefault="00052799" w:rsidP="00052799">
            <w:pPr>
              <w:pStyle w:val="Tablenumber"/>
              <w:numPr>
                <w:ilvl w:val="0"/>
                <w:numId w:val="53"/>
              </w:numPr>
              <w:jc w:val="left"/>
              <w:rPr>
                <w:rFonts w:ascii="Arial" w:hAnsi="Arial" w:cs="Arial"/>
                <w:sz w:val="18"/>
                <w:szCs w:val="18"/>
              </w:rPr>
            </w:pPr>
            <w:r w:rsidRPr="00610D49">
              <w:rPr>
                <w:rFonts w:ascii="Arial" w:hAnsi="Arial" w:cs="Arial"/>
                <w:sz w:val="18"/>
                <w:szCs w:val="18"/>
              </w:rPr>
              <w:t>Organising and delivering firearms safety courses</w:t>
            </w:r>
            <w:r>
              <w:rPr>
                <w:rFonts w:ascii="Arial" w:hAnsi="Arial" w:cs="Arial"/>
                <w:sz w:val="18"/>
                <w:szCs w:val="18"/>
              </w:rPr>
              <w:t xml:space="preserve"> for prospective firearms licensees (attendance at a firearms safety course is a requirement of the firearms application)</w:t>
            </w:r>
          </w:p>
          <w:p w14:paraId="15586502" w14:textId="77777777" w:rsidR="00052799" w:rsidRPr="00610D49" w:rsidRDefault="00052799" w:rsidP="00052799">
            <w:pPr>
              <w:pStyle w:val="Tablenumber"/>
              <w:numPr>
                <w:ilvl w:val="0"/>
                <w:numId w:val="53"/>
              </w:numPr>
              <w:jc w:val="left"/>
              <w:rPr>
                <w:rFonts w:ascii="Arial" w:hAnsi="Arial" w:cs="Arial"/>
                <w:sz w:val="18"/>
                <w:szCs w:val="18"/>
              </w:rPr>
            </w:pPr>
            <w:r w:rsidRPr="00610D49">
              <w:rPr>
                <w:rFonts w:ascii="Arial" w:hAnsi="Arial" w:cs="Arial"/>
                <w:sz w:val="18"/>
                <w:szCs w:val="18"/>
              </w:rPr>
              <w:t>Undertaking storage/premise inspections (and, where appropriate, referring these to other members for them to undertake)</w:t>
            </w:r>
          </w:p>
          <w:p w14:paraId="7B27B04D" w14:textId="77777777" w:rsidR="00052799" w:rsidRPr="00610D49" w:rsidRDefault="00052799" w:rsidP="00052799">
            <w:pPr>
              <w:pStyle w:val="Tablenumber"/>
              <w:numPr>
                <w:ilvl w:val="0"/>
                <w:numId w:val="53"/>
              </w:numPr>
              <w:jc w:val="left"/>
              <w:rPr>
                <w:rFonts w:ascii="Arial" w:hAnsi="Arial" w:cs="Arial"/>
                <w:sz w:val="18"/>
                <w:szCs w:val="18"/>
              </w:rPr>
            </w:pPr>
            <w:r w:rsidRPr="00610D49">
              <w:rPr>
                <w:rFonts w:ascii="Arial" w:hAnsi="Arial" w:cs="Arial"/>
                <w:sz w:val="18"/>
                <w:szCs w:val="18"/>
              </w:rPr>
              <w:t xml:space="preserve">Responding to general firearm-related inquiries from licensees or prospective licensees </w:t>
            </w:r>
          </w:p>
          <w:p w14:paraId="3CA3821E" w14:textId="77777777" w:rsidR="00052799" w:rsidRPr="00610D49" w:rsidRDefault="00052799" w:rsidP="00052799">
            <w:pPr>
              <w:pStyle w:val="Tablenumber"/>
              <w:numPr>
                <w:ilvl w:val="0"/>
                <w:numId w:val="53"/>
              </w:numPr>
              <w:jc w:val="left"/>
              <w:rPr>
                <w:rFonts w:ascii="Arial" w:hAnsi="Arial" w:cs="Arial"/>
                <w:sz w:val="18"/>
                <w:szCs w:val="18"/>
              </w:rPr>
            </w:pPr>
            <w:r w:rsidRPr="00610D49">
              <w:rPr>
                <w:rFonts w:ascii="Arial" w:hAnsi="Arial" w:cs="Arial"/>
                <w:sz w:val="18"/>
                <w:szCs w:val="18"/>
              </w:rPr>
              <w:t>Processing licence suspensions and cancellations</w:t>
            </w:r>
          </w:p>
        </w:tc>
      </w:tr>
      <w:tr w:rsidR="00052799" w:rsidRPr="00610D49" w14:paraId="4E1C664B" w14:textId="77777777" w:rsidTr="00871631">
        <w:trPr>
          <w:cantSplit/>
          <w:trHeight w:val="57"/>
        </w:trPr>
        <w:tc>
          <w:tcPr>
            <w:tcW w:w="1451" w:type="dxa"/>
            <w:tcBorders>
              <w:top w:val="single" w:sz="4" w:space="0" w:color="auto"/>
              <w:left w:val="nil"/>
              <w:bottom w:val="nil"/>
              <w:right w:val="nil"/>
            </w:tcBorders>
            <w:shd w:val="clear" w:color="000000" w:fill="FFFFFF"/>
            <w:vAlign w:val="center"/>
          </w:tcPr>
          <w:p w14:paraId="55206B7C" w14:textId="77777777" w:rsidR="00052799" w:rsidRPr="00610D49" w:rsidRDefault="00052799" w:rsidP="00871631">
            <w:pPr>
              <w:pStyle w:val="Tabletext1"/>
              <w:rPr>
                <w:rFonts w:ascii="Arial" w:hAnsi="Arial"/>
                <w:b/>
                <w:sz w:val="18"/>
                <w:szCs w:val="18"/>
              </w:rPr>
            </w:pPr>
            <w:r w:rsidRPr="00610D49">
              <w:rPr>
                <w:rFonts w:ascii="Arial" w:hAnsi="Arial"/>
                <w:b/>
                <w:sz w:val="18"/>
                <w:szCs w:val="18"/>
              </w:rPr>
              <w:t>Other activities</w:t>
            </w:r>
          </w:p>
        </w:tc>
        <w:tc>
          <w:tcPr>
            <w:tcW w:w="6663" w:type="dxa"/>
            <w:tcBorders>
              <w:top w:val="single" w:sz="4" w:space="0" w:color="auto"/>
              <w:left w:val="nil"/>
              <w:bottom w:val="nil"/>
              <w:right w:val="nil"/>
            </w:tcBorders>
            <w:shd w:val="clear" w:color="000000" w:fill="FFFFFF"/>
            <w:noWrap/>
          </w:tcPr>
          <w:p w14:paraId="57C865DD" w14:textId="77777777" w:rsidR="00052799" w:rsidRPr="00610D49" w:rsidRDefault="00052799" w:rsidP="00052799">
            <w:pPr>
              <w:pStyle w:val="Tablenumber"/>
              <w:numPr>
                <w:ilvl w:val="0"/>
                <w:numId w:val="53"/>
              </w:numPr>
              <w:jc w:val="left"/>
              <w:rPr>
                <w:rFonts w:ascii="Arial" w:hAnsi="Arial" w:cs="Arial"/>
                <w:sz w:val="18"/>
                <w:szCs w:val="18"/>
              </w:rPr>
            </w:pPr>
            <w:r w:rsidRPr="00610D49">
              <w:rPr>
                <w:rFonts w:ascii="Arial" w:hAnsi="Arial" w:cs="Arial"/>
                <w:sz w:val="18"/>
                <w:szCs w:val="18"/>
              </w:rPr>
              <w:t>Inspections related to populous place permits</w:t>
            </w:r>
          </w:p>
          <w:p w14:paraId="3DF8A5C1" w14:textId="77777777" w:rsidR="00052799" w:rsidRPr="00610D49" w:rsidRDefault="00052799" w:rsidP="00052799">
            <w:pPr>
              <w:pStyle w:val="Tablenumber"/>
              <w:numPr>
                <w:ilvl w:val="0"/>
                <w:numId w:val="53"/>
              </w:numPr>
              <w:jc w:val="left"/>
              <w:rPr>
                <w:rFonts w:ascii="Arial" w:hAnsi="Arial" w:cs="Arial"/>
                <w:sz w:val="18"/>
                <w:szCs w:val="18"/>
              </w:rPr>
            </w:pPr>
            <w:r w:rsidRPr="00610D49">
              <w:rPr>
                <w:rFonts w:ascii="Arial" w:hAnsi="Arial" w:cs="Arial"/>
                <w:sz w:val="18"/>
                <w:szCs w:val="18"/>
              </w:rPr>
              <w:t>Attendance at ad hoc firearms-licensee related events (such as gun shows or opening of the duck season)</w:t>
            </w:r>
          </w:p>
          <w:p w14:paraId="06FBA81F" w14:textId="77777777" w:rsidR="00052799" w:rsidRPr="00610D49" w:rsidRDefault="00052799" w:rsidP="00052799">
            <w:pPr>
              <w:pStyle w:val="Tablenumber"/>
              <w:numPr>
                <w:ilvl w:val="0"/>
                <w:numId w:val="53"/>
              </w:numPr>
              <w:jc w:val="left"/>
              <w:rPr>
                <w:rFonts w:ascii="Arial" w:hAnsi="Arial" w:cs="Arial"/>
                <w:sz w:val="18"/>
                <w:szCs w:val="18"/>
              </w:rPr>
            </w:pPr>
            <w:r w:rsidRPr="00610D49">
              <w:rPr>
                <w:rFonts w:ascii="Arial" w:hAnsi="Arial" w:cs="Arial"/>
                <w:sz w:val="18"/>
                <w:szCs w:val="18"/>
              </w:rPr>
              <w:t xml:space="preserve">Liaising with firearms dealers </w:t>
            </w:r>
          </w:p>
          <w:p w14:paraId="7F6D59EA" w14:textId="77777777" w:rsidR="00052799" w:rsidRPr="00610D49" w:rsidRDefault="00052799" w:rsidP="00052799">
            <w:pPr>
              <w:pStyle w:val="Tablenumber"/>
              <w:numPr>
                <w:ilvl w:val="0"/>
                <w:numId w:val="53"/>
              </w:numPr>
              <w:jc w:val="left"/>
              <w:rPr>
                <w:rFonts w:ascii="Arial" w:hAnsi="Arial" w:cs="Arial"/>
                <w:sz w:val="18"/>
                <w:szCs w:val="18"/>
              </w:rPr>
            </w:pPr>
            <w:r w:rsidRPr="00610D49">
              <w:rPr>
                <w:rFonts w:ascii="Arial" w:hAnsi="Arial" w:cs="Arial"/>
                <w:sz w:val="18"/>
                <w:szCs w:val="18"/>
              </w:rPr>
              <w:t>Processing firearms handed in (for example, in relation to deceased estates)</w:t>
            </w:r>
          </w:p>
          <w:p w14:paraId="211F701A" w14:textId="77777777" w:rsidR="00052799" w:rsidRPr="00610D49" w:rsidRDefault="00052799" w:rsidP="00052799">
            <w:pPr>
              <w:pStyle w:val="Tablenumber"/>
              <w:numPr>
                <w:ilvl w:val="0"/>
                <w:numId w:val="53"/>
              </w:numPr>
              <w:jc w:val="left"/>
              <w:rPr>
                <w:rFonts w:ascii="Arial" w:hAnsi="Arial" w:cs="Arial"/>
                <w:sz w:val="18"/>
                <w:szCs w:val="18"/>
              </w:rPr>
            </w:pPr>
            <w:r w:rsidRPr="00610D49">
              <w:rPr>
                <w:rFonts w:ascii="Arial" w:hAnsi="Arial" w:cs="Arial"/>
                <w:sz w:val="18"/>
                <w:szCs w:val="18"/>
              </w:rPr>
              <w:t>Providing advice to assist police with investigations in relation to firearms-related offences</w:t>
            </w:r>
          </w:p>
        </w:tc>
      </w:tr>
    </w:tbl>
    <w:p w14:paraId="328D24B6" w14:textId="77777777" w:rsidR="00052799" w:rsidRPr="00610D49" w:rsidRDefault="00052799" w:rsidP="00052799">
      <w:pPr>
        <w:pStyle w:val="BodyText"/>
      </w:pPr>
      <w:r w:rsidRPr="00610D49">
        <w:t>This costing has been developed based on the assumption that there are 24 FTE DFO positions across Victoria</w:t>
      </w:r>
      <w:r w:rsidRPr="00610D49">
        <w:rPr>
          <w:rStyle w:val="FootnoteReference"/>
        </w:rPr>
        <w:footnoteReference w:id="45"/>
      </w:r>
      <w:r w:rsidRPr="00610D49">
        <w:t>, and that approximately 95 per cent of a DFO’s time is related to activities associated with firearms licensees. This estimate is likely to be a conservative estimate of the FTE required to perform this function given that, in performing the role of a DFO, DFOs are required to frequently request support from other divisional members (such as Constables and Senior Constables). All DFOs are attached to Proactive Policing Units who support their tasked activities. For example, DFOs consulted noted that of the storage inspections that they are responsible for (a key part of their function), they only personally undertake between 5 and 30 per cent of these inspections.</w:t>
      </w:r>
    </w:p>
    <w:p w14:paraId="6BC62F4F" w14:textId="77777777" w:rsidR="00052799" w:rsidRPr="00610D49" w:rsidRDefault="00052799" w:rsidP="00052799">
      <w:pPr>
        <w:pStyle w:val="BodyText"/>
      </w:pPr>
      <w:r w:rsidRPr="00610D49">
        <w:t>Another component of the non-LRD costs is the costs of reviewing decisions about firearms licence applicants/holders. There is currently one FTE in the Department of Justice and Regulation who undertakes this position (and is overseen by a VPS 6.2 role). In addition, members of the Firearms Appeals Committee are paid to attend hearings and meetings (e.g. general members are paid $345 per day in 2017/18, and the presiding member is paid $381 per day).</w:t>
      </w:r>
      <w:r>
        <w:rPr>
          <w:rStyle w:val="FootnoteReference"/>
        </w:rPr>
        <w:footnoteReference w:id="46"/>
      </w:r>
    </w:p>
    <w:p w14:paraId="2D11D7B2" w14:textId="77777777" w:rsidR="00052799" w:rsidRPr="00610D49" w:rsidRDefault="00052799" w:rsidP="00052799">
      <w:pPr>
        <w:pStyle w:val="BodyText"/>
        <w:rPr>
          <w:b/>
        </w:rPr>
      </w:pPr>
      <w:r w:rsidRPr="00610D49">
        <w:rPr>
          <w:b/>
        </w:rPr>
        <w:t>Attribution of overhead costs</w:t>
      </w:r>
    </w:p>
    <w:p w14:paraId="208C9405" w14:textId="77777777" w:rsidR="00052799" w:rsidRPr="00610D49" w:rsidRDefault="00052799" w:rsidP="00052799">
      <w:pPr>
        <w:pStyle w:val="BodyText"/>
      </w:pPr>
      <w:r w:rsidRPr="00610D49">
        <w:t>All cost estimates included the relevant on-cost and overhead calculation components for LRD and non-LRD costs. The approaches taken for LRD and non-LRD costs are different, as LRD cost centre data included allowances for payroll tax and superannuation – as such, excluding these provisions in relation to LRD costs avoids double-counting costs.</w:t>
      </w:r>
    </w:p>
    <w:p w14:paraId="4C173AD0" w14:textId="77777777" w:rsidR="00052799" w:rsidRPr="00610D49" w:rsidRDefault="00052799" w:rsidP="00052799">
      <w:pPr>
        <w:pStyle w:val="BodyText"/>
        <w:rPr>
          <w:b/>
        </w:rPr>
      </w:pPr>
      <w:r w:rsidRPr="00610D49">
        <w:rPr>
          <w:b/>
        </w:rPr>
        <w:t>Total cost attributions</w:t>
      </w:r>
    </w:p>
    <w:p w14:paraId="323823D7" w14:textId="77777777" w:rsidR="00052799" w:rsidRPr="00610D49" w:rsidRDefault="00052799" w:rsidP="00052799">
      <w:pPr>
        <w:pStyle w:val="BodyText"/>
      </w:pPr>
      <w:r w:rsidRPr="00610D49">
        <w:t>A summary of the total attribution of costs (including both LRD and non LRD costs) to each of the sets of regulations covered by the ABC is provided in</w:t>
      </w:r>
      <w:r>
        <w:t xml:space="preserve"> the following table</w:t>
      </w:r>
      <w:r w:rsidRPr="00610D49">
        <w:t>.</w:t>
      </w:r>
    </w:p>
    <w:p w14:paraId="2EC3C6A0" w14:textId="0667FA33" w:rsidR="00052799" w:rsidRPr="00610D49" w:rsidRDefault="00052799" w:rsidP="00052799">
      <w:pPr>
        <w:pStyle w:val="Caption"/>
      </w:pPr>
      <w:r w:rsidRPr="00610D49">
        <w:t xml:space="preserve">Table </w:t>
      </w:r>
      <w:r w:rsidR="001C7D77">
        <w:rPr>
          <w:noProof/>
        </w:rPr>
        <w:t>25</w:t>
      </w:r>
      <w:r w:rsidR="009F677B">
        <w:t>:</w:t>
      </w:r>
      <w:r w:rsidRPr="00610D49">
        <w:t xml:space="preserve"> Victoria Police costs associated with the Firearms Regulations (2016-17)</w:t>
      </w:r>
    </w:p>
    <w:tbl>
      <w:tblPr>
        <w:tblW w:w="8114" w:type="dxa"/>
        <w:tblInd w:w="817" w:type="dxa"/>
        <w:tblLayout w:type="fixed"/>
        <w:tblLook w:val="04A0" w:firstRow="1" w:lastRow="0" w:firstColumn="1" w:lastColumn="0" w:noHBand="0" w:noVBand="1"/>
        <w:tblCaption w:val="Table 25: Victoria Police costs associated with the Firearms Regulations (2016-17)"/>
      </w:tblPr>
      <w:tblGrid>
        <w:gridCol w:w="4428"/>
        <w:gridCol w:w="3686"/>
      </w:tblGrid>
      <w:tr w:rsidR="00052799" w:rsidRPr="00610D49" w14:paraId="4635820A" w14:textId="77777777" w:rsidTr="00871631">
        <w:trPr>
          <w:trHeight w:val="342"/>
        </w:trPr>
        <w:tc>
          <w:tcPr>
            <w:tcW w:w="4428" w:type="dxa"/>
            <w:tcBorders>
              <w:top w:val="nil"/>
              <w:left w:val="nil"/>
              <w:bottom w:val="nil"/>
              <w:right w:val="nil"/>
            </w:tcBorders>
            <w:shd w:val="clear" w:color="000000" w:fill="002060"/>
            <w:noWrap/>
            <w:vAlign w:val="center"/>
            <w:hideMark/>
          </w:tcPr>
          <w:p w14:paraId="27A7A199" w14:textId="77777777" w:rsidR="00052799" w:rsidRPr="00610D49" w:rsidRDefault="00052799" w:rsidP="00871631">
            <w:pPr>
              <w:pStyle w:val="Tableheading0"/>
              <w:rPr>
                <w:rFonts w:ascii="Arial" w:hAnsi="Arial" w:cs="Arial"/>
                <w:sz w:val="18"/>
                <w:szCs w:val="18"/>
              </w:rPr>
            </w:pPr>
            <w:r w:rsidRPr="00610D49">
              <w:rPr>
                <w:rFonts w:ascii="Arial" w:hAnsi="Arial" w:cs="Arial"/>
                <w:sz w:val="18"/>
                <w:szCs w:val="18"/>
              </w:rPr>
              <w:t>Cost Type</w:t>
            </w:r>
          </w:p>
        </w:tc>
        <w:tc>
          <w:tcPr>
            <w:tcW w:w="3686" w:type="dxa"/>
            <w:tcBorders>
              <w:top w:val="nil"/>
              <w:left w:val="nil"/>
              <w:bottom w:val="nil"/>
              <w:right w:val="nil"/>
            </w:tcBorders>
            <w:shd w:val="clear" w:color="000000" w:fill="002060"/>
            <w:noWrap/>
            <w:vAlign w:val="center"/>
            <w:hideMark/>
          </w:tcPr>
          <w:p w14:paraId="64EF2A45" w14:textId="77777777" w:rsidR="00052799" w:rsidRPr="00610D49" w:rsidRDefault="00052799" w:rsidP="00871631">
            <w:pPr>
              <w:pStyle w:val="Tableheading0"/>
              <w:rPr>
                <w:rFonts w:ascii="Arial" w:hAnsi="Arial" w:cs="Arial"/>
                <w:sz w:val="18"/>
                <w:szCs w:val="18"/>
              </w:rPr>
            </w:pPr>
            <w:r w:rsidRPr="00610D49">
              <w:rPr>
                <w:rFonts w:ascii="Arial" w:hAnsi="Arial" w:cs="Arial"/>
                <w:sz w:val="18"/>
                <w:szCs w:val="18"/>
              </w:rPr>
              <w:t>Total Attributable Costs ($m)</w:t>
            </w:r>
          </w:p>
        </w:tc>
      </w:tr>
      <w:tr w:rsidR="00052799" w:rsidRPr="00610D49" w14:paraId="266D0318" w14:textId="77777777" w:rsidTr="00871631">
        <w:trPr>
          <w:trHeight w:val="342"/>
        </w:trPr>
        <w:tc>
          <w:tcPr>
            <w:tcW w:w="4428" w:type="dxa"/>
            <w:tcBorders>
              <w:top w:val="nil"/>
              <w:left w:val="nil"/>
              <w:bottom w:val="nil"/>
              <w:right w:val="nil"/>
            </w:tcBorders>
            <w:shd w:val="clear" w:color="000000" w:fill="FFFFFF"/>
            <w:vAlign w:val="center"/>
            <w:hideMark/>
          </w:tcPr>
          <w:p w14:paraId="0DCAA5D5" w14:textId="77777777" w:rsidR="00052799" w:rsidRPr="00610D49" w:rsidRDefault="00052799" w:rsidP="00871631">
            <w:pPr>
              <w:pStyle w:val="Tabletext0"/>
              <w:rPr>
                <w:rFonts w:cs="Arial"/>
                <w:sz w:val="18"/>
                <w:szCs w:val="18"/>
              </w:rPr>
            </w:pPr>
            <w:r w:rsidRPr="00610D49">
              <w:rPr>
                <w:rFonts w:cs="Arial"/>
                <w:sz w:val="18"/>
                <w:szCs w:val="18"/>
              </w:rPr>
              <w:t>LRD Costs</w:t>
            </w:r>
          </w:p>
        </w:tc>
        <w:tc>
          <w:tcPr>
            <w:tcW w:w="3686" w:type="dxa"/>
            <w:tcBorders>
              <w:top w:val="nil"/>
              <w:left w:val="nil"/>
              <w:bottom w:val="nil"/>
              <w:right w:val="nil"/>
            </w:tcBorders>
            <w:shd w:val="clear" w:color="000000" w:fill="FFFFFF"/>
            <w:noWrap/>
            <w:hideMark/>
          </w:tcPr>
          <w:p w14:paraId="32489AF2" w14:textId="77777777" w:rsidR="00052799" w:rsidRPr="00610D49" w:rsidRDefault="00052799" w:rsidP="00871631">
            <w:pPr>
              <w:pStyle w:val="Tabletext0"/>
              <w:jc w:val="right"/>
              <w:rPr>
                <w:rFonts w:cs="Arial"/>
                <w:sz w:val="18"/>
                <w:szCs w:val="18"/>
              </w:rPr>
            </w:pPr>
            <w:r w:rsidRPr="00610D49">
              <w:rPr>
                <w:sz w:val="18"/>
                <w:szCs w:val="18"/>
              </w:rPr>
              <w:t xml:space="preserve"> 9.3 </w:t>
            </w:r>
          </w:p>
        </w:tc>
      </w:tr>
      <w:tr w:rsidR="00052799" w:rsidRPr="00610D49" w14:paraId="254F601B" w14:textId="77777777" w:rsidTr="00871631">
        <w:trPr>
          <w:trHeight w:val="342"/>
        </w:trPr>
        <w:tc>
          <w:tcPr>
            <w:tcW w:w="4428" w:type="dxa"/>
            <w:tcBorders>
              <w:top w:val="nil"/>
              <w:left w:val="nil"/>
              <w:bottom w:val="nil"/>
              <w:right w:val="nil"/>
            </w:tcBorders>
            <w:shd w:val="clear" w:color="000000" w:fill="FFFFFF"/>
            <w:vAlign w:val="center"/>
            <w:hideMark/>
          </w:tcPr>
          <w:p w14:paraId="3F1C66A4" w14:textId="77777777" w:rsidR="00052799" w:rsidRPr="00610D49" w:rsidRDefault="00052799" w:rsidP="00871631">
            <w:pPr>
              <w:pStyle w:val="Tabletext0"/>
              <w:rPr>
                <w:rFonts w:cs="Arial"/>
                <w:sz w:val="18"/>
                <w:szCs w:val="18"/>
              </w:rPr>
            </w:pPr>
            <w:r w:rsidRPr="00610D49">
              <w:rPr>
                <w:rFonts w:cs="Arial"/>
                <w:sz w:val="18"/>
                <w:szCs w:val="18"/>
              </w:rPr>
              <w:t>Non LRD Costs</w:t>
            </w:r>
          </w:p>
        </w:tc>
        <w:tc>
          <w:tcPr>
            <w:tcW w:w="3686" w:type="dxa"/>
            <w:tcBorders>
              <w:top w:val="nil"/>
              <w:left w:val="nil"/>
              <w:bottom w:val="nil"/>
              <w:right w:val="nil"/>
            </w:tcBorders>
            <w:shd w:val="clear" w:color="000000" w:fill="FFFFFF"/>
            <w:noWrap/>
            <w:hideMark/>
          </w:tcPr>
          <w:p w14:paraId="3F9A80E3" w14:textId="77777777" w:rsidR="00052799" w:rsidRPr="00610D49" w:rsidRDefault="00052799" w:rsidP="00871631">
            <w:pPr>
              <w:pStyle w:val="Tabletext0"/>
              <w:jc w:val="right"/>
              <w:rPr>
                <w:rFonts w:cs="Arial"/>
                <w:sz w:val="18"/>
                <w:szCs w:val="18"/>
              </w:rPr>
            </w:pPr>
            <w:r w:rsidRPr="00610D49">
              <w:rPr>
                <w:sz w:val="18"/>
                <w:szCs w:val="18"/>
              </w:rPr>
              <w:t xml:space="preserve"> 4.1 </w:t>
            </w:r>
          </w:p>
        </w:tc>
      </w:tr>
      <w:tr w:rsidR="00052799" w:rsidRPr="00610D49" w14:paraId="43D88811" w14:textId="77777777" w:rsidTr="00871631">
        <w:trPr>
          <w:trHeight w:val="342"/>
        </w:trPr>
        <w:tc>
          <w:tcPr>
            <w:tcW w:w="4428" w:type="dxa"/>
            <w:tcBorders>
              <w:top w:val="nil"/>
              <w:left w:val="nil"/>
              <w:bottom w:val="nil"/>
              <w:right w:val="nil"/>
            </w:tcBorders>
            <w:shd w:val="clear" w:color="000000" w:fill="FFFFFF"/>
            <w:vAlign w:val="bottom"/>
            <w:hideMark/>
          </w:tcPr>
          <w:p w14:paraId="7126A4E7" w14:textId="77777777" w:rsidR="00052799" w:rsidRPr="00610D49" w:rsidRDefault="00052799" w:rsidP="00871631">
            <w:pPr>
              <w:pStyle w:val="Tabletext0"/>
              <w:rPr>
                <w:rFonts w:cs="Arial"/>
                <w:b/>
                <w:sz w:val="18"/>
                <w:szCs w:val="18"/>
              </w:rPr>
            </w:pPr>
            <w:r w:rsidRPr="00610D49">
              <w:rPr>
                <w:rFonts w:cs="Arial"/>
                <w:b/>
                <w:sz w:val="18"/>
                <w:szCs w:val="18"/>
              </w:rPr>
              <w:t>Total</w:t>
            </w:r>
          </w:p>
        </w:tc>
        <w:tc>
          <w:tcPr>
            <w:tcW w:w="3686" w:type="dxa"/>
            <w:tcBorders>
              <w:top w:val="nil"/>
              <w:left w:val="nil"/>
              <w:bottom w:val="nil"/>
              <w:right w:val="nil"/>
            </w:tcBorders>
            <w:shd w:val="clear" w:color="000000" w:fill="FFFFFF"/>
            <w:noWrap/>
            <w:hideMark/>
          </w:tcPr>
          <w:p w14:paraId="72911B7D" w14:textId="77777777" w:rsidR="00052799" w:rsidRPr="00610D49" w:rsidRDefault="00052799" w:rsidP="00871631">
            <w:pPr>
              <w:pStyle w:val="Tabletext0"/>
              <w:jc w:val="right"/>
              <w:rPr>
                <w:rFonts w:cs="Arial"/>
                <w:b/>
                <w:sz w:val="18"/>
                <w:szCs w:val="18"/>
              </w:rPr>
            </w:pPr>
            <w:r w:rsidRPr="00610D49">
              <w:rPr>
                <w:sz w:val="18"/>
                <w:szCs w:val="18"/>
              </w:rPr>
              <w:t xml:space="preserve"> </w:t>
            </w:r>
            <w:r w:rsidRPr="00610D49">
              <w:rPr>
                <w:b/>
                <w:sz w:val="18"/>
                <w:szCs w:val="18"/>
              </w:rPr>
              <w:t xml:space="preserve">13.4 </w:t>
            </w:r>
          </w:p>
        </w:tc>
      </w:tr>
    </w:tbl>
    <w:p w14:paraId="64E8BF2D" w14:textId="5338498F" w:rsidR="00052799" w:rsidRPr="00610D49" w:rsidRDefault="00052799" w:rsidP="00052799">
      <w:pPr>
        <w:pStyle w:val="BodyText"/>
      </w:pPr>
      <w:r w:rsidRPr="00610D49">
        <w:t>The model developed as part of this ABC analysis incorporates financial data from the most r</w:t>
      </w:r>
      <w:r w:rsidR="00554C23">
        <w:t>ecent full financial year (2016–</w:t>
      </w:r>
      <w:r w:rsidRPr="00610D49">
        <w:t>17), and allocates costs to the five-year averaged volume</w:t>
      </w:r>
      <w:r w:rsidRPr="00610D49">
        <w:rPr>
          <w:rStyle w:val="BodyTextChar"/>
        </w:rPr>
        <w:t>s</w:t>
      </w:r>
      <w:r w:rsidRPr="00610D49">
        <w:t xml:space="preserve"> of licences across the period 2011</w:t>
      </w:r>
      <w:r w:rsidR="00554C23">
        <w:t>–</w:t>
      </w:r>
      <w:r w:rsidRPr="00610D49">
        <w:t>12 to 2015</w:t>
      </w:r>
      <w:r w:rsidR="00554C23">
        <w:t>–</w:t>
      </w:r>
      <w:r w:rsidRPr="00610D49">
        <w:t>16</w:t>
      </w:r>
      <w:r w:rsidR="00554C23">
        <w:t>.</w:t>
      </w:r>
      <w:r w:rsidRPr="00610D49">
        <w:rPr>
          <w:rStyle w:val="FootnoteReference"/>
        </w:rPr>
        <w:footnoteReference w:id="47"/>
      </w:r>
      <w:r w:rsidRPr="00610D49">
        <w:t xml:space="preserve"> The model attributes costs to 81 ‘cost objects’ – which represent each of the fee authorities established in regulations. As an example of a cost object, Victoria Police is authorised to charge an applicant 3.59 fee un</w:t>
      </w:r>
      <w:r w:rsidR="00554C23">
        <w:t>its when they are issued for a p</w:t>
      </w:r>
      <w:r w:rsidRPr="00610D49">
        <w:t xml:space="preserve">ermit to </w:t>
      </w:r>
      <w:r w:rsidR="00554C23">
        <w:t>a</w:t>
      </w:r>
      <w:r w:rsidRPr="00610D49">
        <w:t xml:space="preserve">cquire a </w:t>
      </w:r>
      <w:r w:rsidR="00554C23">
        <w:t>h</w:t>
      </w:r>
      <w:r w:rsidRPr="00610D49">
        <w:t>andgun (in 2017</w:t>
      </w:r>
      <w:r w:rsidR="00554C23">
        <w:t>–</w:t>
      </w:r>
      <w:r w:rsidRPr="00610D49">
        <w:t>18 a fee unit is equivalent to $14.22, meaning that an appl</w:t>
      </w:r>
      <w:r w:rsidR="00554C23">
        <w:t>icant is charged $51.00 in 2017–</w:t>
      </w:r>
      <w:r w:rsidRPr="00610D49">
        <w:t>18).</w:t>
      </w:r>
    </w:p>
    <w:p w14:paraId="4FFB1ABB" w14:textId="77777777" w:rsidR="00052799" w:rsidRPr="00610D49" w:rsidRDefault="00052799" w:rsidP="00052799">
      <w:pPr>
        <w:pStyle w:val="Heading2"/>
      </w:pPr>
      <w:bookmarkStart w:id="183" w:name="_Toc495338518"/>
      <w:bookmarkStart w:id="184" w:name="_Toc497492996"/>
      <w:bookmarkStart w:id="185" w:name="_Toc500505482"/>
      <w:bookmarkStart w:id="186" w:name="_Toc501539177"/>
      <w:r w:rsidRPr="00610D49">
        <w:t>Efficiency of the cost base</w:t>
      </w:r>
      <w:bookmarkEnd w:id="183"/>
      <w:bookmarkEnd w:id="184"/>
      <w:bookmarkEnd w:id="185"/>
      <w:bookmarkEnd w:id="186"/>
    </w:p>
    <w:p w14:paraId="6F3D5BA9" w14:textId="77777777" w:rsidR="00052799" w:rsidRPr="00610D49" w:rsidRDefault="00052799" w:rsidP="00052799">
      <w:pPr>
        <w:pStyle w:val="BodyText"/>
      </w:pPr>
      <w:r w:rsidRPr="00610D49">
        <w:t xml:space="preserve">For the purposes of efficiency, it is important to consider whether resources used by Victoria Police in undertaking regulatory activity are appropriate to meet the needs of the community and achieve the Government’s objectives. </w:t>
      </w:r>
    </w:p>
    <w:p w14:paraId="1FF25988" w14:textId="77777777" w:rsidR="00052799" w:rsidRPr="00610D49" w:rsidRDefault="00052799" w:rsidP="00052799">
      <w:pPr>
        <w:pStyle w:val="BodyText"/>
      </w:pPr>
      <w:r w:rsidRPr="00610D49">
        <w:t>As an example of this, spending many hours assessing each licence application may provide a greater level of certainty about the appropriateness of granting a licence, however this should be weighed up against the cost of spending many hours assessing every application. It could be more efficient to spend a shorter period assessing most applications and devoting more time to higher risk applications.</w:t>
      </w:r>
    </w:p>
    <w:p w14:paraId="2F61890E" w14:textId="77777777" w:rsidR="00052799" w:rsidRPr="00610D49" w:rsidRDefault="00052799" w:rsidP="00052799">
      <w:pPr>
        <w:pStyle w:val="BodyText"/>
        <w:rPr>
          <w:b/>
        </w:rPr>
      </w:pPr>
      <w:r w:rsidRPr="00610D49">
        <w:rPr>
          <w:b/>
        </w:rPr>
        <w:t>Jurisdictional comparison</w:t>
      </w:r>
    </w:p>
    <w:p w14:paraId="4BD39EF9" w14:textId="2F8A3AE8" w:rsidR="00052799" w:rsidRPr="00610D49" w:rsidRDefault="00052799" w:rsidP="00052799">
      <w:pPr>
        <w:pStyle w:val="BodyText"/>
      </w:pPr>
      <w:r w:rsidRPr="00610D49">
        <w:t xml:space="preserve">One way of assessing the efficiency of the cost base for firearms regulations in Victoria is through a comparison with the fees charged in other Australian jurisdictions. </w:t>
      </w:r>
      <w:r w:rsidR="00C103B7">
        <w:t>Although t</w:t>
      </w:r>
      <w:r w:rsidRPr="00610D49">
        <w:t>he National Firearms Agreement provides for a degree of uniformity in firearms regulation across Australia’s states and territories</w:t>
      </w:r>
      <w:r w:rsidR="00C103B7">
        <w:t>, a number of legislative differences exist</w:t>
      </w:r>
      <w:r w:rsidRPr="00610D49">
        <w:t xml:space="preserve">. </w:t>
      </w:r>
      <w:r w:rsidR="00C103B7">
        <w:t>Nonetheless</w:t>
      </w:r>
      <w:r w:rsidRPr="00610D49">
        <w:t xml:space="preserve">, it is reasonable to assume that the general requirements of the legislation and regulation of firearms are </w:t>
      </w:r>
      <w:r w:rsidR="00C103B7">
        <w:t>broadly</w:t>
      </w:r>
      <w:r w:rsidR="00C103B7" w:rsidRPr="00610D49">
        <w:t xml:space="preserve"> </w:t>
      </w:r>
      <w:r w:rsidRPr="00610D49">
        <w:t xml:space="preserve">similar across Australia. However, approaches to cost recovery and cross subsidisation may differ between states and territories, as might the extent of regulatory activity. </w:t>
      </w:r>
    </w:p>
    <w:p w14:paraId="10869BD7" w14:textId="22546C99" w:rsidR="00052799" w:rsidRPr="00610D49" w:rsidRDefault="00052799" w:rsidP="00052799">
      <w:pPr>
        <w:pStyle w:val="BodyText"/>
      </w:pPr>
      <w:r w:rsidRPr="00610D49">
        <w:t xml:space="preserve">For example, NSW recently remade it firearms regulations as the </w:t>
      </w:r>
      <w:r w:rsidRPr="004B487D">
        <w:t xml:space="preserve">Firearms Regulation 2017 (NSW). </w:t>
      </w:r>
      <w:r w:rsidRPr="00610D49">
        <w:rPr>
          <w:i/>
        </w:rPr>
        <w:t>A</w:t>
      </w:r>
      <w:r w:rsidRPr="00610D49">
        <w:t>s part of that process, it did not increase its fee levels from those that were set in 2006.</w:t>
      </w:r>
      <w:r w:rsidRPr="00610D49">
        <w:rPr>
          <w:rStyle w:val="FootnoteReference"/>
        </w:rPr>
        <w:footnoteReference w:id="48"/>
      </w:r>
      <w:r w:rsidRPr="00610D49">
        <w:t xml:space="preserve"> As the fee levels were set in 2006 in nominal terms, they have been frozen at $200 for 5 years for Category A, B, C, D and H licences</w:t>
      </w:r>
      <w:r w:rsidR="00554C23">
        <w:t xml:space="preserve"> </w:t>
      </w:r>
      <w:r w:rsidRPr="00610D49">
        <w:t>(i.e. $40 per annum) and will likely substantially under-recover the costs associated with administering the regulations. As part of the Regulatory Impact Statement, there was no discussion of cost recovery.</w:t>
      </w:r>
    </w:p>
    <w:p w14:paraId="1715315E" w14:textId="316AE4B1" w:rsidR="00052799" w:rsidRPr="00610D49" w:rsidRDefault="00052799" w:rsidP="00052799">
      <w:pPr>
        <w:pStyle w:val="BodyText"/>
      </w:pPr>
      <w:r w:rsidRPr="00610D49">
        <w:t xml:space="preserve">In 2015-16 the Western Australian Law Reform Commission undertook a review of the </w:t>
      </w:r>
      <w:r w:rsidRPr="00610D49">
        <w:rPr>
          <w:i/>
        </w:rPr>
        <w:t xml:space="preserve">Firearms Act 1973 </w:t>
      </w:r>
      <w:r w:rsidRPr="004B487D">
        <w:t>(WA)</w:t>
      </w:r>
      <w:r w:rsidRPr="00610D49">
        <w:t xml:space="preserve">. This review followed on from a number of reforms to the regulatory regime for firearms in Western Australia, including the </w:t>
      </w:r>
      <w:r w:rsidRPr="004B487D">
        <w:t>Firearms Amendment Regulation</w:t>
      </w:r>
      <w:r w:rsidR="00C103B7">
        <w:t>s</w:t>
      </w:r>
      <w:r w:rsidRPr="00C103B7">
        <w:t xml:space="preserve"> </w:t>
      </w:r>
      <w:r w:rsidRPr="004B487D">
        <w:t>2013</w:t>
      </w:r>
      <w:r w:rsidRPr="00610D49">
        <w:t xml:space="preserve"> (WA) which increased licensing fees (with some fees more than doubling) in order to achieve full cost recovery. The </w:t>
      </w:r>
      <w:r>
        <w:t>C</w:t>
      </w:r>
      <w:r w:rsidRPr="00610D49">
        <w:t>ommission</w:t>
      </w:r>
      <w:r>
        <w:t>’s</w:t>
      </w:r>
      <w:r w:rsidRPr="00610D49">
        <w:t xml:space="preserve"> report recognised that ‘while it appears that other Australian jurisdictions have lower fees, this may be due to off-setting recovery of costs through alternative means’ and cautioned against comparing with other jurisdictions purely on a fee basis.</w:t>
      </w:r>
      <w:r w:rsidRPr="00610D49">
        <w:rPr>
          <w:rStyle w:val="FootnoteReference"/>
        </w:rPr>
        <w:footnoteReference w:id="49"/>
      </w:r>
      <w:r>
        <w:t xml:space="preserve"> Using estimates from the activity-based costing undertaken as part of this RIS, the costs of regulated activity appear to be higher in WA for all licences except for dealer licences. Given that licence fees are much lower for all high-volume licence categories (e.g. Category A, B and C</w:t>
      </w:r>
      <w:r w:rsidR="00554C23">
        <w:t xml:space="preserve"> longarms</w:t>
      </w:r>
      <w:r>
        <w:t>), this could suggest that Victoria Police is more efficient in administering the regulatory activity (conversely, it could also indicate that WA engages in different kinds of monitoring and enforcement). Given that the Category A, B and C licence fees are significantly higher in WA, and that these are the highest volume licence categories, it is possible that WA has decided to partially cross-subsidise dealer licences from the higher volumes licence categories. It is unclear whether this is the case.</w:t>
      </w:r>
    </w:p>
    <w:p w14:paraId="2313A7B6" w14:textId="77777777" w:rsidR="00052799" w:rsidRPr="00610D49" w:rsidRDefault="00052799" w:rsidP="00052799">
      <w:pPr>
        <w:pStyle w:val="BodyText"/>
      </w:pPr>
      <w:r w:rsidRPr="00610D49">
        <w:t>Other states have not made explicit statements about the level of cost recovery.</w:t>
      </w:r>
    </w:p>
    <w:p w14:paraId="4415AC50" w14:textId="30D581D6" w:rsidR="00052799" w:rsidRPr="00610D49" w:rsidRDefault="00052799" w:rsidP="00052799">
      <w:pPr>
        <w:pStyle w:val="BodyText"/>
      </w:pPr>
      <w:r w:rsidRPr="00610D49">
        <w:t xml:space="preserve">Notwithstanding these limitations, Victoria generally ranks in the middle of other States in fees charged for the issue of firearms licences. Permits to acquire a longarm are less costly in Victoria than any other fee-charging State, while </w:t>
      </w:r>
      <w:r w:rsidR="00C103B7">
        <w:t>d</w:t>
      </w:r>
      <w:r w:rsidRPr="00610D49">
        <w:t xml:space="preserve">ealer fees are, depending on how costs are calculated, the highest of any State. It is important to note that in Victoria, revenues from dealers are a relatively small proportion of total fee revenues (approximately 2 per cent), but that there are relatively few dealers who pay these fees. It is possible that other states are under-recovering dealer fees through small increases in fees for the large volume of other licence categories. </w:t>
      </w:r>
    </w:p>
    <w:p w14:paraId="0E803F93" w14:textId="09E2AEF6" w:rsidR="00052799" w:rsidRPr="00610D49" w:rsidRDefault="00052799" w:rsidP="00052799">
      <w:pPr>
        <w:pStyle w:val="BodyText"/>
      </w:pPr>
      <w:r w:rsidRPr="00610D49">
        <w:t>The below table compares the annualised fees for a number of common licence and permit types across Australian jurisdiction</w:t>
      </w:r>
      <w:r w:rsidR="00C103B7">
        <w:t>s.</w:t>
      </w:r>
      <w:r w:rsidRPr="00610D49">
        <w:rPr>
          <w:rStyle w:val="FootnoteReference"/>
        </w:rPr>
        <w:footnoteReference w:id="50"/>
      </w:r>
      <w:r>
        <w:t xml:space="preserve"> It is important to note that</w:t>
      </w:r>
      <w:r w:rsidR="00C103B7">
        <w:t>,</w:t>
      </w:r>
      <w:r>
        <w:t xml:space="preserve"> despite the National Firearms Agreement, t</w:t>
      </w:r>
      <w:r w:rsidRPr="00F420A2">
        <w:t>here are inconsistencies between jurisdictions at many levels, and that it may be misleading to compare costs</w:t>
      </w:r>
      <w:r>
        <w:t xml:space="preserve"> and </w:t>
      </w:r>
      <w:r w:rsidRPr="00F420A2">
        <w:t>fees as a result.</w:t>
      </w:r>
    </w:p>
    <w:p w14:paraId="69139AF4" w14:textId="56BB7E33" w:rsidR="00052799" w:rsidRPr="00610D49" w:rsidRDefault="00052799" w:rsidP="00052799">
      <w:pPr>
        <w:pStyle w:val="Caption"/>
      </w:pPr>
      <w:r w:rsidRPr="00610D49">
        <w:t xml:space="preserve">Table </w:t>
      </w:r>
      <w:r w:rsidR="001C7D77">
        <w:rPr>
          <w:noProof/>
        </w:rPr>
        <w:t>26</w:t>
      </w:r>
      <w:r w:rsidRPr="00610D49">
        <w:t>: Cross jurisdictional comparison of current annualised fees</w:t>
      </w:r>
    </w:p>
    <w:tbl>
      <w:tblPr>
        <w:tblW w:w="4676" w:type="pct"/>
        <w:tblInd w:w="851" w:type="dxa"/>
        <w:tblLayout w:type="fixed"/>
        <w:tblLook w:val="04A0" w:firstRow="1" w:lastRow="0" w:firstColumn="1" w:lastColumn="0" w:noHBand="0" w:noVBand="1"/>
        <w:tblCaption w:val="Table 26: Cross jurisdictional comparison of current annualised fees"/>
      </w:tblPr>
      <w:tblGrid>
        <w:gridCol w:w="2267"/>
        <w:gridCol w:w="992"/>
        <w:gridCol w:w="1136"/>
        <w:gridCol w:w="991"/>
        <w:gridCol w:w="993"/>
        <w:gridCol w:w="993"/>
        <w:gridCol w:w="993"/>
        <w:gridCol w:w="913"/>
      </w:tblGrid>
      <w:tr w:rsidR="002D7AE6" w:rsidRPr="00554C23" w14:paraId="52EE90A6" w14:textId="77777777" w:rsidTr="002D7AE6">
        <w:trPr>
          <w:trHeight w:val="300"/>
        </w:trPr>
        <w:tc>
          <w:tcPr>
            <w:tcW w:w="1222" w:type="pct"/>
            <w:tcBorders>
              <w:top w:val="nil"/>
              <w:left w:val="nil"/>
              <w:bottom w:val="nil"/>
              <w:right w:val="nil"/>
            </w:tcBorders>
            <w:shd w:val="clear" w:color="000000" w:fill="002060"/>
            <w:noWrap/>
            <w:vAlign w:val="center"/>
            <w:hideMark/>
          </w:tcPr>
          <w:p w14:paraId="302C7775" w14:textId="77777777" w:rsidR="00052799" w:rsidRPr="00554C23" w:rsidRDefault="00052799" w:rsidP="002D7AE6">
            <w:pPr>
              <w:pStyle w:val="Tableheading0"/>
              <w:rPr>
                <w:rFonts w:ascii="Arial" w:hAnsi="Arial" w:cs="Arial"/>
                <w:sz w:val="18"/>
                <w:szCs w:val="18"/>
              </w:rPr>
            </w:pPr>
            <w:r w:rsidRPr="00554C23">
              <w:rPr>
                <w:rFonts w:ascii="Arial" w:hAnsi="Arial" w:cs="Arial"/>
                <w:sz w:val="18"/>
                <w:szCs w:val="18"/>
              </w:rPr>
              <w:t>Licence or Permit</w:t>
            </w:r>
          </w:p>
        </w:tc>
        <w:tc>
          <w:tcPr>
            <w:tcW w:w="535" w:type="pct"/>
            <w:tcBorders>
              <w:top w:val="nil"/>
              <w:left w:val="nil"/>
              <w:bottom w:val="nil"/>
              <w:right w:val="nil"/>
            </w:tcBorders>
            <w:shd w:val="clear" w:color="000000" w:fill="002060"/>
            <w:noWrap/>
            <w:vAlign w:val="center"/>
            <w:hideMark/>
          </w:tcPr>
          <w:p w14:paraId="34EF7DCD" w14:textId="77777777" w:rsidR="00052799" w:rsidRPr="00554C23" w:rsidRDefault="00052799" w:rsidP="002D7AE6">
            <w:pPr>
              <w:pStyle w:val="Tableheading0"/>
              <w:rPr>
                <w:rFonts w:ascii="Arial" w:hAnsi="Arial" w:cs="Arial"/>
                <w:sz w:val="18"/>
                <w:szCs w:val="18"/>
              </w:rPr>
            </w:pPr>
            <w:r w:rsidRPr="00554C23">
              <w:rPr>
                <w:rFonts w:ascii="Arial" w:hAnsi="Arial" w:cs="Arial"/>
                <w:sz w:val="18"/>
                <w:szCs w:val="18"/>
              </w:rPr>
              <w:t>Victoria (fee)</w:t>
            </w:r>
          </w:p>
        </w:tc>
        <w:tc>
          <w:tcPr>
            <w:tcW w:w="612" w:type="pct"/>
            <w:tcBorders>
              <w:top w:val="nil"/>
              <w:left w:val="nil"/>
              <w:bottom w:val="nil"/>
              <w:right w:val="nil"/>
            </w:tcBorders>
            <w:shd w:val="clear" w:color="000000" w:fill="002060"/>
            <w:vAlign w:val="center"/>
          </w:tcPr>
          <w:p w14:paraId="62B9E116" w14:textId="77777777" w:rsidR="00052799" w:rsidRPr="00554C23" w:rsidRDefault="00052799" w:rsidP="002D7AE6">
            <w:pPr>
              <w:pStyle w:val="Tableheading0"/>
              <w:rPr>
                <w:rFonts w:ascii="Arial" w:hAnsi="Arial" w:cs="Arial"/>
                <w:sz w:val="18"/>
                <w:szCs w:val="18"/>
              </w:rPr>
            </w:pPr>
            <w:r w:rsidRPr="00554C23">
              <w:rPr>
                <w:rFonts w:ascii="Arial" w:hAnsi="Arial" w:cs="Arial"/>
                <w:sz w:val="18"/>
                <w:szCs w:val="18"/>
              </w:rPr>
              <w:t>Victoria (current cost)</w:t>
            </w:r>
            <w:r w:rsidRPr="00554C23">
              <w:rPr>
                <w:rStyle w:val="FootnoteReference"/>
                <w:sz w:val="18"/>
                <w:szCs w:val="18"/>
              </w:rPr>
              <w:footnoteReference w:id="51"/>
            </w:r>
          </w:p>
        </w:tc>
        <w:tc>
          <w:tcPr>
            <w:tcW w:w="534" w:type="pct"/>
            <w:tcBorders>
              <w:top w:val="nil"/>
              <w:left w:val="nil"/>
              <w:bottom w:val="nil"/>
              <w:right w:val="nil"/>
            </w:tcBorders>
            <w:shd w:val="clear" w:color="000000" w:fill="002060"/>
            <w:noWrap/>
            <w:vAlign w:val="center"/>
            <w:hideMark/>
          </w:tcPr>
          <w:p w14:paraId="0FFCEB00" w14:textId="77777777" w:rsidR="00052799" w:rsidRPr="00554C23" w:rsidRDefault="00052799" w:rsidP="002D7AE6">
            <w:pPr>
              <w:pStyle w:val="Tableheading0"/>
              <w:rPr>
                <w:rFonts w:ascii="Arial" w:hAnsi="Arial" w:cs="Arial"/>
                <w:sz w:val="18"/>
                <w:szCs w:val="18"/>
              </w:rPr>
            </w:pPr>
            <w:r w:rsidRPr="00554C23">
              <w:rPr>
                <w:rFonts w:ascii="Arial" w:hAnsi="Arial" w:cs="Arial"/>
                <w:sz w:val="18"/>
                <w:szCs w:val="18"/>
              </w:rPr>
              <w:t>NSW</w:t>
            </w:r>
          </w:p>
        </w:tc>
        <w:tc>
          <w:tcPr>
            <w:tcW w:w="535" w:type="pct"/>
            <w:tcBorders>
              <w:top w:val="nil"/>
              <w:left w:val="nil"/>
              <w:bottom w:val="nil"/>
              <w:right w:val="nil"/>
            </w:tcBorders>
            <w:shd w:val="clear" w:color="000000" w:fill="002060"/>
            <w:noWrap/>
            <w:vAlign w:val="center"/>
            <w:hideMark/>
          </w:tcPr>
          <w:p w14:paraId="74D028F4" w14:textId="77777777" w:rsidR="00052799" w:rsidRPr="00554C23" w:rsidRDefault="00052799" w:rsidP="002D7AE6">
            <w:pPr>
              <w:pStyle w:val="Tableheading0"/>
              <w:rPr>
                <w:rFonts w:ascii="Arial" w:hAnsi="Arial" w:cs="Arial"/>
                <w:sz w:val="18"/>
                <w:szCs w:val="18"/>
              </w:rPr>
            </w:pPr>
            <w:r w:rsidRPr="00554C23">
              <w:rPr>
                <w:rFonts w:ascii="Arial" w:hAnsi="Arial" w:cs="Arial"/>
                <w:sz w:val="18"/>
                <w:szCs w:val="18"/>
              </w:rPr>
              <w:t>QLD</w:t>
            </w:r>
            <w:r w:rsidRPr="00554C23">
              <w:rPr>
                <w:rStyle w:val="FootnoteReference"/>
                <w:sz w:val="18"/>
                <w:szCs w:val="18"/>
              </w:rPr>
              <w:footnoteReference w:id="52"/>
            </w:r>
          </w:p>
        </w:tc>
        <w:tc>
          <w:tcPr>
            <w:tcW w:w="535" w:type="pct"/>
            <w:tcBorders>
              <w:top w:val="nil"/>
              <w:left w:val="nil"/>
              <w:bottom w:val="nil"/>
              <w:right w:val="nil"/>
            </w:tcBorders>
            <w:shd w:val="clear" w:color="000000" w:fill="002060"/>
            <w:vAlign w:val="center"/>
          </w:tcPr>
          <w:p w14:paraId="70BFFD31" w14:textId="77777777" w:rsidR="00052799" w:rsidRPr="00554C23" w:rsidRDefault="00052799" w:rsidP="002D7AE6">
            <w:pPr>
              <w:pStyle w:val="Tableheading0"/>
              <w:rPr>
                <w:rFonts w:ascii="Arial" w:hAnsi="Arial" w:cs="Arial"/>
                <w:sz w:val="18"/>
                <w:szCs w:val="18"/>
              </w:rPr>
            </w:pPr>
            <w:r w:rsidRPr="00554C23">
              <w:rPr>
                <w:rFonts w:ascii="Arial" w:hAnsi="Arial" w:cs="Arial"/>
                <w:sz w:val="18"/>
                <w:szCs w:val="18"/>
              </w:rPr>
              <w:t>WA</w:t>
            </w:r>
            <w:r w:rsidRPr="00554C23">
              <w:rPr>
                <w:rStyle w:val="FootnoteReference"/>
                <w:sz w:val="18"/>
                <w:szCs w:val="18"/>
              </w:rPr>
              <w:footnoteReference w:id="53"/>
            </w:r>
            <w:r w:rsidRPr="00554C23">
              <w:rPr>
                <w:rStyle w:val="FootnoteReference"/>
                <w:sz w:val="18"/>
                <w:szCs w:val="18"/>
              </w:rPr>
              <w:footnoteReference w:id="54"/>
            </w:r>
          </w:p>
        </w:tc>
        <w:tc>
          <w:tcPr>
            <w:tcW w:w="535" w:type="pct"/>
            <w:tcBorders>
              <w:top w:val="nil"/>
              <w:left w:val="nil"/>
              <w:bottom w:val="nil"/>
              <w:right w:val="nil"/>
            </w:tcBorders>
            <w:shd w:val="clear" w:color="000000" w:fill="002060"/>
            <w:vAlign w:val="center"/>
          </w:tcPr>
          <w:p w14:paraId="10613804" w14:textId="77777777" w:rsidR="00052799" w:rsidRPr="00554C23" w:rsidRDefault="00052799" w:rsidP="002D7AE6">
            <w:pPr>
              <w:pStyle w:val="Tableheading0"/>
              <w:rPr>
                <w:rFonts w:ascii="Arial" w:hAnsi="Arial" w:cs="Arial"/>
                <w:sz w:val="18"/>
                <w:szCs w:val="18"/>
              </w:rPr>
            </w:pPr>
            <w:r w:rsidRPr="00554C23">
              <w:rPr>
                <w:rFonts w:ascii="Arial" w:hAnsi="Arial" w:cs="Arial"/>
                <w:sz w:val="18"/>
                <w:szCs w:val="18"/>
              </w:rPr>
              <w:t>SA</w:t>
            </w:r>
          </w:p>
        </w:tc>
        <w:tc>
          <w:tcPr>
            <w:tcW w:w="493" w:type="pct"/>
            <w:tcBorders>
              <w:top w:val="nil"/>
              <w:left w:val="nil"/>
              <w:bottom w:val="nil"/>
              <w:right w:val="nil"/>
            </w:tcBorders>
            <w:shd w:val="clear" w:color="000000" w:fill="002060"/>
            <w:vAlign w:val="center"/>
          </w:tcPr>
          <w:p w14:paraId="7CAEA4A0" w14:textId="3E7B8A07" w:rsidR="00052799" w:rsidRPr="00554C23" w:rsidRDefault="002D7AE6" w:rsidP="002D7AE6">
            <w:pPr>
              <w:pStyle w:val="Tableheading0"/>
              <w:rPr>
                <w:rFonts w:ascii="Arial" w:hAnsi="Arial" w:cs="Arial"/>
                <w:sz w:val="18"/>
                <w:szCs w:val="18"/>
              </w:rPr>
            </w:pPr>
            <w:r w:rsidRPr="00554C23">
              <w:rPr>
                <w:rFonts w:ascii="Arial" w:hAnsi="Arial" w:cs="Arial"/>
                <w:sz w:val="18"/>
                <w:szCs w:val="18"/>
              </w:rPr>
              <w:t>Tas</w:t>
            </w:r>
          </w:p>
        </w:tc>
      </w:tr>
      <w:tr w:rsidR="002D7AE6" w:rsidRPr="00554C23" w14:paraId="6D61520B" w14:textId="77777777" w:rsidTr="002D7AE6">
        <w:trPr>
          <w:trHeight w:val="300"/>
        </w:trPr>
        <w:tc>
          <w:tcPr>
            <w:tcW w:w="1222" w:type="pct"/>
            <w:tcBorders>
              <w:top w:val="nil"/>
              <w:left w:val="nil"/>
              <w:bottom w:val="nil"/>
              <w:right w:val="nil"/>
            </w:tcBorders>
            <w:shd w:val="clear" w:color="000000" w:fill="FFFFFF"/>
            <w:vAlign w:val="center"/>
            <w:hideMark/>
          </w:tcPr>
          <w:p w14:paraId="25301A55" w14:textId="77777777" w:rsidR="00052799" w:rsidRPr="00554C23" w:rsidRDefault="00052799" w:rsidP="00871631">
            <w:pPr>
              <w:rPr>
                <w:sz w:val="18"/>
                <w:szCs w:val="18"/>
              </w:rPr>
            </w:pPr>
            <w:r w:rsidRPr="00554C23">
              <w:rPr>
                <w:color w:val="000000"/>
                <w:sz w:val="18"/>
                <w:szCs w:val="18"/>
              </w:rPr>
              <w:t>Longarm category A</w:t>
            </w:r>
          </w:p>
        </w:tc>
        <w:tc>
          <w:tcPr>
            <w:tcW w:w="535" w:type="pct"/>
            <w:tcBorders>
              <w:top w:val="nil"/>
              <w:left w:val="nil"/>
              <w:bottom w:val="nil"/>
              <w:right w:val="nil"/>
            </w:tcBorders>
            <w:shd w:val="clear" w:color="000000" w:fill="FFFFFF"/>
            <w:noWrap/>
            <w:hideMark/>
          </w:tcPr>
          <w:p w14:paraId="416EE32E"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$46.64</w:t>
            </w:r>
          </w:p>
        </w:tc>
        <w:tc>
          <w:tcPr>
            <w:tcW w:w="612" w:type="pct"/>
            <w:tcBorders>
              <w:top w:val="nil"/>
              <w:left w:val="nil"/>
              <w:bottom w:val="nil"/>
              <w:right w:val="nil"/>
            </w:tcBorders>
            <w:shd w:val="clear" w:color="000000" w:fill="FFFFFF"/>
          </w:tcPr>
          <w:p w14:paraId="560E2D4F"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$46.16</w:t>
            </w:r>
          </w:p>
        </w:tc>
        <w:tc>
          <w:tcPr>
            <w:tcW w:w="534" w:type="pct"/>
            <w:tcBorders>
              <w:top w:val="nil"/>
              <w:left w:val="nil"/>
              <w:bottom w:val="nil"/>
              <w:right w:val="nil"/>
            </w:tcBorders>
            <w:shd w:val="clear" w:color="000000" w:fill="FFFFFF"/>
            <w:noWrap/>
            <w:hideMark/>
          </w:tcPr>
          <w:p w14:paraId="78ED021E"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$40</w:t>
            </w:r>
          </w:p>
        </w:tc>
        <w:tc>
          <w:tcPr>
            <w:tcW w:w="535" w:type="pct"/>
            <w:tcBorders>
              <w:top w:val="nil"/>
              <w:left w:val="nil"/>
              <w:bottom w:val="nil"/>
              <w:right w:val="nil"/>
            </w:tcBorders>
            <w:shd w:val="clear" w:color="000000" w:fill="FFFFFF"/>
            <w:noWrap/>
            <w:hideMark/>
          </w:tcPr>
          <w:p w14:paraId="3777319C"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$53.70</w:t>
            </w:r>
          </w:p>
        </w:tc>
        <w:tc>
          <w:tcPr>
            <w:tcW w:w="535" w:type="pct"/>
            <w:tcBorders>
              <w:top w:val="nil"/>
              <w:left w:val="nil"/>
              <w:bottom w:val="nil"/>
              <w:right w:val="nil"/>
            </w:tcBorders>
            <w:shd w:val="clear" w:color="000000" w:fill="FFFFFF"/>
          </w:tcPr>
          <w:p w14:paraId="72B6F91F"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$105.80</w:t>
            </w:r>
          </w:p>
        </w:tc>
        <w:tc>
          <w:tcPr>
            <w:tcW w:w="535" w:type="pct"/>
            <w:tcBorders>
              <w:top w:val="nil"/>
              <w:left w:val="nil"/>
              <w:bottom w:val="nil"/>
              <w:right w:val="nil"/>
            </w:tcBorders>
            <w:shd w:val="clear" w:color="000000" w:fill="FFFFFF"/>
          </w:tcPr>
          <w:p w14:paraId="70801717"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$69.20</w:t>
            </w:r>
          </w:p>
        </w:tc>
        <w:tc>
          <w:tcPr>
            <w:tcW w:w="493" w:type="pct"/>
            <w:tcBorders>
              <w:top w:val="nil"/>
              <w:left w:val="nil"/>
              <w:bottom w:val="nil"/>
              <w:right w:val="nil"/>
            </w:tcBorders>
            <w:shd w:val="clear" w:color="000000" w:fill="FFFFFF"/>
          </w:tcPr>
          <w:p w14:paraId="7D02BEDE"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$27.90</w:t>
            </w:r>
          </w:p>
        </w:tc>
      </w:tr>
      <w:tr w:rsidR="002D7AE6" w:rsidRPr="00554C23" w14:paraId="2A23402D" w14:textId="77777777" w:rsidTr="002D7AE6">
        <w:trPr>
          <w:trHeight w:val="300"/>
        </w:trPr>
        <w:tc>
          <w:tcPr>
            <w:tcW w:w="1222" w:type="pct"/>
            <w:tcBorders>
              <w:top w:val="nil"/>
              <w:left w:val="nil"/>
              <w:bottom w:val="nil"/>
              <w:right w:val="nil"/>
            </w:tcBorders>
            <w:shd w:val="clear" w:color="000000" w:fill="FFFFFF"/>
            <w:vAlign w:val="center"/>
            <w:hideMark/>
          </w:tcPr>
          <w:p w14:paraId="49955287" w14:textId="77777777" w:rsidR="00052799" w:rsidRPr="00554C23" w:rsidRDefault="00052799" w:rsidP="00871631">
            <w:pPr>
              <w:rPr>
                <w:sz w:val="18"/>
                <w:szCs w:val="18"/>
              </w:rPr>
            </w:pPr>
            <w:r w:rsidRPr="00554C23">
              <w:rPr>
                <w:color w:val="000000"/>
                <w:sz w:val="18"/>
                <w:szCs w:val="18"/>
              </w:rPr>
              <w:t>Longarm category B</w:t>
            </w:r>
          </w:p>
        </w:tc>
        <w:tc>
          <w:tcPr>
            <w:tcW w:w="535" w:type="pct"/>
            <w:tcBorders>
              <w:top w:val="nil"/>
              <w:left w:val="nil"/>
              <w:bottom w:val="nil"/>
              <w:right w:val="nil"/>
            </w:tcBorders>
            <w:shd w:val="clear" w:color="000000" w:fill="FFFFFF"/>
            <w:noWrap/>
            <w:hideMark/>
          </w:tcPr>
          <w:p w14:paraId="008BD97E"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$53.90</w:t>
            </w:r>
          </w:p>
        </w:tc>
        <w:tc>
          <w:tcPr>
            <w:tcW w:w="612" w:type="pct"/>
            <w:tcBorders>
              <w:top w:val="nil"/>
              <w:left w:val="nil"/>
              <w:bottom w:val="nil"/>
              <w:right w:val="nil"/>
            </w:tcBorders>
            <w:shd w:val="clear" w:color="000000" w:fill="FFFFFF"/>
          </w:tcPr>
          <w:p w14:paraId="10235F17"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$46.65</w:t>
            </w:r>
          </w:p>
        </w:tc>
        <w:tc>
          <w:tcPr>
            <w:tcW w:w="534" w:type="pct"/>
            <w:tcBorders>
              <w:top w:val="nil"/>
              <w:left w:val="nil"/>
              <w:bottom w:val="nil"/>
              <w:right w:val="nil"/>
            </w:tcBorders>
            <w:shd w:val="clear" w:color="000000" w:fill="FFFFFF"/>
            <w:noWrap/>
            <w:hideMark/>
          </w:tcPr>
          <w:p w14:paraId="38039E32"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$40</w:t>
            </w:r>
          </w:p>
        </w:tc>
        <w:tc>
          <w:tcPr>
            <w:tcW w:w="535" w:type="pct"/>
            <w:tcBorders>
              <w:top w:val="nil"/>
              <w:left w:val="nil"/>
              <w:bottom w:val="nil"/>
              <w:right w:val="nil"/>
            </w:tcBorders>
            <w:shd w:val="clear" w:color="000000" w:fill="FFFFFF"/>
            <w:noWrap/>
            <w:hideMark/>
          </w:tcPr>
          <w:p w14:paraId="7DD8A2EA"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$53.70</w:t>
            </w:r>
          </w:p>
        </w:tc>
        <w:tc>
          <w:tcPr>
            <w:tcW w:w="535" w:type="pct"/>
            <w:tcBorders>
              <w:top w:val="nil"/>
              <w:left w:val="nil"/>
              <w:bottom w:val="nil"/>
              <w:right w:val="nil"/>
            </w:tcBorders>
            <w:shd w:val="clear" w:color="000000" w:fill="FFFFFF"/>
          </w:tcPr>
          <w:p w14:paraId="7AEEDCBF"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$105.80</w:t>
            </w:r>
          </w:p>
        </w:tc>
        <w:tc>
          <w:tcPr>
            <w:tcW w:w="535" w:type="pct"/>
            <w:tcBorders>
              <w:top w:val="nil"/>
              <w:left w:val="nil"/>
              <w:bottom w:val="nil"/>
              <w:right w:val="nil"/>
            </w:tcBorders>
            <w:shd w:val="clear" w:color="000000" w:fill="FFFFFF"/>
          </w:tcPr>
          <w:p w14:paraId="38978166"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$69.20</w:t>
            </w:r>
          </w:p>
        </w:tc>
        <w:tc>
          <w:tcPr>
            <w:tcW w:w="493" w:type="pct"/>
            <w:tcBorders>
              <w:top w:val="nil"/>
              <w:left w:val="nil"/>
              <w:bottom w:val="nil"/>
              <w:right w:val="nil"/>
            </w:tcBorders>
            <w:shd w:val="clear" w:color="000000" w:fill="FFFFFF"/>
          </w:tcPr>
          <w:p w14:paraId="274C0331"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$27.90</w:t>
            </w:r>
          </w:p>
        </w:tc>
      </w:tr>
      <w:tr w:rsidR="002D7AE6" w:rsidRPr="00554C23" w14:paraId="7E80EB07" w14:textId="77777777" w:rsidTr="002D7AE6">
        <w:trPr>
          <w:trHeight w:val="300"/>
        </w:trPr>
        <w:tc>
          <w:tcPr>
            <w:tcW w:w="1222" w:type="pct"/>
            <w:tcBorders>
              <w:top w:val="nil"/>
              <w:left w:val="nil"/>
              <w:bottom w:val="nil"/>
              <w:right w:val="nil"/>
            </w:tcBorders>
            <w:shd w:val="clear" w:color="000000" w:fill="FFFFFF"/>
            <w:vAlign w:val="center"/>
            <w:hideMark/>
          </w:tcPr>
          <w:p w14:paraId="2561BBDE" w14:textId="77777777" w:rsidR="00052799" w:rsidRPr="00554C23" w:rsidRDefault="00052799" w:rsidP="00871631">
            <w:pPr>
              <w:rPr>
                <w:sz w:val="18"/>
                <w:szCs w:val="18"/>
              </w:rPr>
            </w:pPr>
            <w:r w:rsidRPr="00554C23">
              <w:rPr>
                <w:color w:val="000000"/>
                <w:sz w:val="18"/>
                <w:szCs w:val="18"/>
              </w:rPr>
              <w:t>Longarm category C</w:t>
            </w:r>
          </w:p>
        </w:tc>
        <w:tc>
          <w:tcPr>
            <w:tcW w:w="535" w:type="pct"/>
            <w:tcBorders>
              <w:top w:val="nil"/>
              <w:left w:val="nil"/>
              <w:bottom w:val="nil"/>
              <w:right w:val="nil"/>
            </w:tcBorders>
            <w:shd w:val="clear" w:color="000000" w:fill="FFFFFF"/>
            <w:noWrap/>
            <w:hideMark/>
          </w:tcPr>
          <w:p w14:paraId="3170EBFF"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$53.90</w:t>
            </w:r>
          </w:p>
        </w:tc>
        <w:tc>
          <w:tcPr>
            <w:tcW w:w="612" w:type="pct"/>
            <w:tcBorders>
              <w:top w:val="nil"/>
              <w:left w:val="nil"/>
              <w:bottom w:val="nil"/>
              <w:right w:val="nil"/>
            </w:tcBorders>
            <w:shd w:val="clear" w:color="000000" w:fill="FFFFFF"/>
          </w:tcPr>
          <w:p w14:paraId="541A5FE4"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$117.62</w:t>
            </w:r>
          </w:p>
        </w:tc>
        <w:tc>
          <w:tcPr>
            <w:tcW w:w="534" w:type="pct"/>
            <w:tcBorders>
              <w:top w:val="nil"/>
              <w:left w:val="nil"/>
              <w:bottom w:val="nil"/>
              <w:right w:val="nil"/>
            </w:tcBorders>
            <w:shd w:val="clear" w:color="000000" w:fill="FFFFFF"/>
            <w:noWrap/>
            <w:hideMark/>
          </w:tcPr>
          <w:p w14:paraId="12DD87E5"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$40.00</w:t>
            </w:r>
          </w:p>
        </w:tc>
        <w:tc>
          <w:tcPr>
            <w:tcW w:w="535" w:type="pct"/>
            <w:tcBorders>
              <w:top w:val="nil"/>
              <w:left w:val="nil"/>
              <w:bottom w:val="nil"/>
              <w:right w:val="nil"/>
            </w:tcBorders>
            <w:shd w:val="clear" w:color="000000" w:fill="FFFFFF"/>
            <w:noWrap/>
            <w:hideMark/>
          </w:tcPr>
          <w:p w14:paraId="57B31C67"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$67.20</w:t>
            </w:r>
          </w:p>
        </w:tc>
        <w:tc>
          <w:tcPr>
            <w:tcW w:w="535" w:type="pct"/>
            <w:tcBorders>
              <w:top w:val="nil"/>
              <w:left w:val="nil"/>
              <w:bottom w:val="nil"/>
              <w:right w:val="nil"/>
            </w:tcBorders>
            <w:shd w:val="clear" w:color="000000" w:fill="FFFFFF"/>
          </w:tcPr>
          <w:p w14:paraId="0D558ED0"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$140.33</w:t>
            </w:r>
          </w:p>
        </w:tc>
        <w:tc>
          <w:tcPr>
            <w:tcW w:w="535" w:type="pct"/>
            <w:tcBorders>
              <w:top w:val="nil"/>
              <w:left w:val="nil"/>
              <w:bottom w:val="nil"/>
              <w:right w:val="nil"/>
            </w:tcBorders>
            <w:shd w:val="clear" w:color="000000" w:fill="FFFFFF"/>
          </w:tcPr>
          <w:p w14:paraId="26546A8D"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$59.20</w:t>
            </w:r>
          </w:p>
        </w:tc>
        <w:tc>
          <w:tcPr>
            <w:tcW w:w="493" w:type="pct"/>
            <w:tcBorders>
              <w:top w:val="nil"/>
              <w:left w:val="nil"/>
              <w:bottom w:val="nil"/>
              <w:right w:val="nil"/>
            </w:tcBorders>
            <w:shd w:val="clear" w:color="000000" w:fill="FFFFFF"/>
          </w:tcPr>
          <w:p w14:paraId="0F88646A"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$27.90</w:t>
            </w:r>
          </w:p>
        </w:tc>
      </w:tr>
      <w:tr w:rsidR="002D7AE6" w:rsidRPr="00554C23" w14:paraId="14982425" w14:textId="77777777" w:rsidTr="002D7AE6">
        <w:trPr>
          <w:trHeight w:val="300"/>
        </w:trPr>
        <w:tc>
          <w:tcPr>
            <w:tcW w:w="1222" w:type="pct"/>
            <w:tcBorders>
              <w:top w:val="nil"/>
              <w:left w:val="nil"/>
              <w:bottom w:val="nil"/>
              <w:right w:val="nil"/>
            </w:tcBorders>
            <w:shd w:val="clear" w:color="000000" w:fill="FFFFFF"/>
            <w:vAlign w:val="center"/>
          </w:tcPr>
          <w:p w14:paraId="32C57869" w14:textId="77777777" w:rsidR="00052799" w:rsidRPr="00554C23" w:rsidRDefault="00052799" w:rsidP="00871631">
            <w:pPr>
              <w:rPr>
                <w:sz w:val="18"/>
                <w:szCs w:val="18"/>
              </w:rPr>
            </w:pPr>
            <w:r w:rsidRPr="00554C23">
              <w:rPr>
                <w:color w:val="000000"/>
                <w:sz w:val="18"/>
                <w:szCs w:val="18"/>
              </w:rPr>
              <w:t>Longarm category D</w:t>
            </w:r>
          </w:p>
        </w:tc>
        <w:tc>
          <w:tcPr>
            <w:tcW w:w="535" w:type="pct"/>
            <w:tcBorders>
              <w:top w:val="nil"/>
              <w:left w:val="nil"/>
              <w:bottom w:val="nil"/>
              <w:right w:val="nil"/>
            </w:tcBorders>
            <w:shd w:val="clear" w:color="000000" w:fill="FFFFFF"/>
            <w:noWrap/>
          </w:tcPr>
          <w:p w14:paraId="5CA91A33"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$84.47</w:t>
            </w:r>
          </w:p>
        </w:tc>
        <w:tc>
          <w:tcPr>
            <w:tcW w:w="612" w:type="pct"/>
            <w:tcBorders>
              <w:top w:val="nil"/>
              <w:left w:val="nil"/>
              <w:bottom w:val="nil"/>
              <w:right w:val="nil"/>
            </w:tcBorders>
            <w:shd w:val="clear" w:color="000000" w:fill="FFFFFF"/>
          </w:tcPr>
          <w:p w14:paraId="5E5F105C"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$122.31</w:t>
            </w:r>
          </w:p>
        </w:tc>
        <w:tc>
          <w:tcPr>
            <w:tcW w:w="534" w:type="pct"/>
            <w:tcBorders>
              <w:top w:val="nil"/>
              <w:left w:val="nil"/>
              <w:bottom w:val="nil"/>
              <w:right w:val="nil"/>
            </w:tcBorders>
            <w:shd w:val="clear" w:color="000000" w:fill="FFFFFF"/>
            <w:noWrap/>
          </w:tcPr>
          <w:p w14:paraId="0003809A"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$40.00</w:t>
            </w:r>
          </w:p>
        </w:tc>
        <w:tc>
          <w:tcPr>
            <w:tcW w:w="535" w:type="pct"/>
            <w:tcBorders>
              <w:top w:val="nil"/>
              <w:left w:val="nil"/>
              <w:bottom w:val="nil"/>
              <w:right w:val="nil"/>
            </w:tcBorders>
            <w:shd w:val="clear" w:color="000000" w:fill="FFFFFF"/>
            <w:noWrap/>
          </w:tcPr>
          <w:p w14:paraId="21694BFE"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$67.20</w:t>
            </w:r>
          </w:p>
        </w:tc>
        <w:tc>
          <w:tcPr>
            <w:tcW w:w="535" w:type="pct"/>
            <w:tcBorders>
              <w:top w:val="nil"/>
              <w:left w:val="nil"/>
              <w:bottom w:val="nil"/>
              <w:right w:val="nil"/>
            </w:tcBorders>
            <w:shd w:val="clear" w:color="000000" w:fill="FFFFFF"/>
          </w:tcPr>
          <w:p w14:paraId="5F952404"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$140.33</w:t>
            </w:r>
          </w:p>
        </w:tc>
        <w:tc>
          <w:tcPr>
            <w:tcW w:w="535" w:type="pct"/>
            <w:tcBorders>
              <w:top w:val="nil"/>
              <w:left w:val="nil"/>
              <w:bottom w:val="nil"/>
              <w:right w:val="nil"/>
            </w:tcBorders>
            <w:shd w:val="clear" w:color="000000" w:fill="FFFFFF"/>
          </w:tcPr>
          <w:p w14:paraId="7793A5D3"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$59.20</w:t>
            </w:r>
          </w:p>
        </w:tc>
        <w:tc>
          <w:tcPr>
            <w:tcW w:w="493" w:type="pct"/>
            <w:tcBorders>
              <w:top w:val="nil"/>
              <w:left w:val="nil"/>
              <w:bottom w:val="nil"/>
              <w:right w:val="nil"/>
            </w:tcBorders>
            <w:shd w:val="clear" w:color="000000" w:fill="FFFFFF"/>
          </w:tcPr>
          <w:p w14:paraId="764D7541"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$40.33</w:t>
            </w:r>
          </w:p>
        </w:tc>
      </w:tr>
      <w:tr w:rsidR="002D7AE6" w:rsidRPr="00554C23" w14:paraId="7047F085" w14:textId="77777777" w:rsidTr="002D7AE6">
        <w:trPr>
          <w:trHeight w:val="300"/>
        </w:trPr>
        <w:tc>
          <w:tcPr>
            <w:tcW w:w="1222" w:type="pct"/>
            <w:tcBorders>
              <w:top w:val="nil"/>
              <w:left w:val="nil"/>
              <w:bottom w:val="nil"/>
              <w:right w:val="nil"/>
            </w:tcBorders>
            <w:shd w:val="clear" w:color="000000" w:fill="FFFFFF"/>
            <w:vAlign w:val="center"/>
          </w:tcPr>
          <w:p w14:paraId="2BAF57B7" w14:textId="77777777" w:rsidR="00052799" w:rsidRPr="00554C23" w:rsidRDefault="00052799" w:rsidP="00871631">
            <w:pPr>
              <w:rPr>
                <w:sz w:val="18"/>
                <w:szCs w:val="18"/>
              </w:rPr>
            </w:pPr>
            <w:r w:rsidRPr="00554C23">
              <w:rPr>
                <w:color w:val="000000"/>
                <w:sz w:val="18"/>
                <w:szCs w:val="18"/>
              </w:rPr>
              <w:t>Handgun – Sporting</w:t>
            </w:r>
          </w:p>
        </w:tc>
        <w:tc>
          <w:tcPr>
            <w:tcW w:w="535" w:type="pct"/>
            <w:tcBorders>
              <w:top w:val="nil"/>
              <w:left w:val="nil"/>
              <w:bottom w:val="nil"/>
              <w:right w:val="nil"/>
            </w:tcBorders>
            <w:shd w:val="clear" w:color="000000" w:fill="FFFFFF"/>
            <w:noWrap/>
          </w:tcPr>
          <w:p w14:paraId="00C4CAC5"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$65.57</w:t>
            </w:r>
          </w:p>
        </w:tc>
        <w:tc>
          <w:tcPr>
            <w:tcW w:w="612" w:type="pct"/>
            <w:tcBorders>
              <w:top w:val="nil"/>
              <w:left w:val="nil"/>
              <w:bottom w:val="nil"/>
              <w:right w:val="nil"/>
            </w:tcBorders>
            <w:shd w:val="clear" w:color="000000" w:fill="FFFFFF"/>
          </w:tcPr>
          <w:p w14:paraId="18A39F64"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$91.86</w:t>
            </w:r>
          </w:p>
        </w:tc>
        <w:tc>
          <w:tcPr>
            <w:tcW w:w="534" w:type="pct"/>
            <w:tcBorders>
              <w:top w:val="nil"/>
              <w:left w:val="nil"/>
              <w:bottom w:val="nil"/>
              <w:right w:val="nil"/>
            </w:tcBorders>
            <w:shd w:val="clear" w:color="000000" w:fill="FFFFFF"/>
            <w:noWrap/>
          </w:tcPr>
          <w:p w14:paraId="58267F2B"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$40.00</w:t>
            </w:r>
          </w:p>
        </w:tc>
        <w:tc>
          <w:tcPr>
            <w:tcW w:w="535" w:type="pct"/>
            <w:tcBorders>
              <w:top w:val="nil"/>
              <w:left w:val="nil"/>
              <w:bottom w:val="nil"/>
              <w:right w:val="nil"/>
            </w:tcBorders>
            <w:shd w:val="clear" w:color="000000" w:fill="FFFFFF"/>
            <w:noWrap/>
          </w:tcPr>
          <w:p w14:paraId="57E970AB"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$67.20</w:t>
            </w:r>
          </w:p>
        </w:tc>
        <w:tc>
          <w:tcPr>
            <w:tcW w:w="535" w:type="pct"/>
            <w:tcBorders>
              <w:top w:val="nil"/>
              <w:left w:val="nil"/>
              <w:bottom w:val="nil"/>
              <w:right w:val="nil"/>
            </w:tcBorders>
            <w:shd w:val="clear" w:color="000000" w:fill="FFFFFF"/>
          </w:tcPr>
          <w:p w14:paraId="319442C3"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$140.33</w:t>
            </w:r>
          </w:p>
        </w:tc>
        <w:tc>
          <w:tcPr>
            <w:tcW w:w="535" w:type="pct"/>
            <w:tcBorders>
              <w:top w:val="nil"/>
              <w:left w:val="nil"/>
              <w:bottom w:val="nil"/>
              <w:right w:val="nil"/>
            </w:tcBorders>
            <w:shd w:val="clear" w:color="000000" w:fill="FFFFFF"/>
          </w:tcPr>
          <w:p w14:paraId="1FD2093C"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$69.20</w:t>
            </w:r>
          </w:p>
        </w:tc>
        <w:tc>
          <w:tcPr>
            <w:tcW w:w="493" w:type="pct"/>
            <w:tcBorders>
              <w:top w:val="nil"/>
              <w:left w:val="nil"/>
              <w:bottom w:val="nil"/>
              <w:right w:val="nil"/>
            </w:tcBorders>
            <w:shd w:val="clear" w:color="000000" w:fill="FFFFFF"/>
          </w:tcPr>
          <w:p w14:paraId="57B906D5"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$27.90</w:t>
            </w:r>
          </w:p>
        </w:tc>
      </w:tr>
      <w:tr w:rsidR="002D7AE6" w:rsidRPr="00554C23" w14:paraId="1A47EFC1" w14:textId="77777777" w:rsidTr="002D7AE6">
        <w:trPr>
          <w:trHeight w:val="300"/>
        </w:trPr>
        <w:tc>
          <w:tcPr>
            <w:tcW w:w="1222" w:type="pct"/>
            <w:tcBorders>
              <w:top w:val="nil"/>
              <w:left w:val="nil"/>
              <w:bottom w:val="nil"/>
              <w:right w:val="nil"/>
            </w:tcBorders>
            <w:shd w:val="clear" w:color="000000" w:fill="FFFFFF"/>
            <w:vAlign w:val="center"/>
          </w:tcPr>
          <w:p w14:paraId="12E301AD" w14:textId="77777777" w:rsidR="00052799" w:rsidRPr="00554C23" w:rsidRDefault="00052799" w:rsidP="00871631">
            <w:pPr>
              <w:rPr>
                <w:sz w:val="18"/>
                <w:szCs w:val="18"/>
              </w:rPr>
            </w:pPr>
            <w:r w:rsidRPr="00554C23">
              <w:rPr>
                <w:color w:val="000000"/>
                <w:sz w:val="18"/>
                <w:szCs w:val="18"/>
              </w:rPr>
              <w:t>Firearms Collector</w:t>
            </w:r>
          </w:p>
        </w:tc>
        <w:tc>
          <w:tcPr>
            <w:tcW w:w="535" w:type="pct"/>
            <w:tcBorders>
              <w:top w:val="nil"/>
              <w:left w:val="nil"/>
              <w:bottom w:val="nil"/>
              <w:right w:val="nil"/>
            </w:tcBorders>
            <w:shd w:val="clear" w:color="000000" w:fill="FFFFFF"/>
            <w:noWrap/>
          </w:tcPr>
          <w:p w14:paraId="29C3F7EE"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$81.62</w:t>
            </w:r>
          </w:p>
        </w:tc>
        <w:tc>
          <w:tcPr>
            <w:tcW w:w="612" w:type="pct"/>
            <w:tcBorders>
              <w:top w:val="nil"/>
              <w:left w:val="nil"/>
              <w:bottom w:val="nil"/>
              <w:right w:val="nil"/>
            </w:tcBorders>
            <w:shd w:val="clear" w:color="000000" w:fill="FFFFFF"/>
          </w:tcPr>
          <w:p w14:paraId="5E0B3422"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$51.35</w:t>
            </w:r>
          </w:p>
        </w:tc>
        <w:tc>
          <w:tcPr>
            <w:tcW w:w="534" w:type="pct"/>
            <w:tcBorders>
              <w:top w:val="nil"/>
              <w:left w:val="nil"/>
              <w:bottom w:val="nil"/>
              <w:right w:val="nil"/>
            </w:tcBorders>
            <w:shd w:val="clear" w:color="000000" w:fill="FFFFFF"/>
            <w:noWrap/>
          </w:tcPr>
          <w:p w14:paraId="6EDBF1E9"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$15.00</w:t>
            </w:r>
          </w:p>
        </w:tc>
        <w:tc>
          <w:tcPr>
            <w:tcW w:w="535" w:type="pct"/>
            <w:tcBorders>
              <w:top w:val="nil"/>
              <w:left w:val="nil"/>
              <w:bottom w:val="nil"/>
              <w:right w:val="nil"/>
            </w:tcBorders>
            <w:shd w:val="clear" w:color="000000" w:fill="FFFFFF"/>
            <w:noWrap/>
          </w:tcPr>
          <w:p w14:paraId="06DC77A0"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$35.60</w:t>
            </w:r>
          </w:p>
        </w:tc>
        <w:tc>
          <w:tcPr>
            <w:tcW w:w="535" w:type="pct"/>
            <w:tcBorders>
              <w:top w:val="nil"/>
              <w:left w:val="nil"/>
              <w:bottom w:val="nil"/>
              <w:right w:val="nil"/>
            </w:tcBorders>
            <w:shd w:val="clear" w:color="000000" w:fill="FFFFFF"/>
          </w:tcPr>
          <w:p w14:paraId="52E5F1E4"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$65.66</w:t>
            </w:r>
          </w:p>
        </w:tc>
        <w:tc>
          <w:tcPr>
            <w:tcW w:w="535" w:type="pct"/>
            <w:tcBorders>
              <w:top w:val="nil"/>
              <w:left w:val="nil"/>
              <w:bottom w:val="nil"/>
              <w:right w:val="nil"/>
            </w:tcBorders>
            <w:shd w:val="clear" w:color="000000" w:fill="FFFFFF"/>
          </w:tcPr>
          <w:p w14:paraId="5A7D9D94"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n/a</w:t>
            </w:r>
          </w:p>
        </w:tc>
        <w:tc>
          <w:tcPr>
            <w:tcW w:w="493" w:type="pct"/>
            <w:tcBorders>
              <w:top w:val="nil"/>
              <w:left w:val="nil"/>
              <w:bottom w:val="nil"/>
              <w:right w:val="nil"/>
            </w:tcBorders>
            <w:shd w:val="clear" w:color="000000" w:fill="FFFFFF"/>
          </w:tcPr>
          <w:p w14:paraId="20132A3B"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n/a</w:t>
            </w:r>
          </w:p>
        </w:tc>
      </w:tr>
      <w:tr w:rsidR="002D7AE6" w:rsidRPr="00554C23" w14:paraId="282573B7" w14:textId="77777777" w:rsidTr="002D7AE6">
        <w:trPr>
          <w:trHeight w:val="300"/>
        </w:trPr>
        <w:tc>
          <w:tcPr>
            <w:tcW w:w="1222" w:type="pct"/>
            <w:tcBorders>
              <w:top w:val="nil"/>
              <w:left w:val="nil"/>
              <w:bottom w:val="nil"/>
              <w:right w:val="nil"/>
            </w:tcBorders>
            <w:shd w:val="clear" w:color="000000" w:fill="FFFFFF"/>
            <w:vAlign w:val="center"/>
          </w:tcPr>
          <w:p w14:paraId="54C57C2E" w14:textId="77777777" w:rsidR="00052799" w:rsidRPr="00554C23" w:rsidRDefault="00052799" w:rsidP="00871631">
            <w:pPr>
              <w:rPr>
                <w:sz w:val="18"/>
                <w:szCs w:val="18"/>
              </w:rPr>
            </w:pPr>
            <w:r w:rsidRPr="00554C23">
              <w:rPr>
                <w:color w:val="000000"/>
                <w:sz w:val="18"/>
                <w:szCs w:val="18"/>
              </w:rPr>
              <w:t>Firearm Dealer Class 1</w:t>
            </w:r>
          </w:p>
        </w:tc>
        <w:tc>
          <w:tcPr>
            <w:tcW w:w="535" w:type="pct"/>
            <w:tcBorders>
              <w:top w:val="nil"/>
              <w:left w:val="nil"/>
              <w:bottom w:val="nil"/>
              <w:right w:val="nil"/>
            </w:tcBorders>
            <w:shd w:val="clear" w:color="000000" w:fill="FFFFFF"/>
            <w:noWrap/>
          </w:tcPr>
          <w:p w14:paraId="3739CBF9"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$594.53</w:t>
            </w:r>
          </w:p>
        </w:tc>
        <w:tc>
          <w:tcPr>
            <w:tcW w:w="612" w:type="pct"/>
            <w:tcBorders>
              <w:top w:val="nil"/>
              <w:left w:val="nil"/>
              <w:bottom w:val="nil"/>
              <w:right w:val="nil"/>
            </w:tcBorders>
            <w:shd w:val="clear" w:color="000000" w:fill="FFFFFF"/>
          </w:tcPr>
          <w:p w14:paraId="3F52F270"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$658.66</w:t>
            </w:r>
          </w:p>
        </w:tc>
        <w:tc>
          <w:tcPr>
            <w:tcW w:w="534" w:type="pct"/>
            <w:tcBorders>
              <w:top w:val="nil"/>
              <w:left w:val="nil"/>
              <w:bottom w:val="nil"/>
              <w:right w:val="nil"/>
            </w:tcBorders>
            <w:shd w:val="clear" w:color="000000" w:fill="FFFFFF"/>
            <w:noWrap/>
          </w:tcPr>
          <w:p w14:paraId="6C2B8A80"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$100.00</w:t>
            </w:r>
          </w:p>
        </w:tc>
        <w:tc>
          <w:tcPr>
            <w:tcW w:w="535" w:type="pct"/>
            <w:tcBorders>
              <w:top w:val="nil"/>
              <w:left w:val="nil"/>
              <w:bottom w:val="nil"/>
              <w:right w:val="nil"/>
            </w:tcBorders>
            <w:shd w:val="clear" w:color="000000" w:fill="FFFFFF"/>
            <w:noWrap/>
          </w:tcPr>
          <w:p w14:paraId="5D6D4C35"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$409.15</w:t>
            </w:r>
          </w:p>
        </w:tc>
        <w:tc>
          <w:tcPr>
            <w:tcW w:w="535" w:type="pct"/>
            <w:tcBorders>
              <w:top w:val="nil"/>
              <w:left w:val="nil"/>
              <w:bottom w:val="nil"/>
              <w:right w:val="nil"/>
            </w:tcBorders>
            <w:shd w:val="clear" w:color="000000" w:fill="FFFFFF"/>
          </w:tcPr>
          <w:p w14:paraId="451162E6"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$179.20</w:t>
            </w:r>
          </w:p>
        </w:tc>
        <w:tc>
          <w:tcPr>
            <w:tcW w:w="535" w:type="pct"/>
            <w:tcBorders>
              <w:top w:val="nil"/>
              <w:left w:val="nil"/>
              <w:bottom w:val="nil"/>
              <w:right w:val="nil"/>
            </w:tcBorders>
            <w:shd w:val="clear" w:color="000000" w:fill="FFFFFF"/>
          </w:tcPr>
          <w:p w14:paraId="470BDCA2"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$416.20</w:t>
            </w:r>
          </w:p>
        </w:tc>
        <w:tc>
          <w:tcPr>
            <w:tcW w:w="493" w:type="pct"/>
            <w:tcBorders>
              <w:top w:val="nil"/>
              <w:left w:val="nil"/>
              <w:bottom w:val="nil"/>
              <w:right w:val="nil"/>
            </w:tcBorders>
            <w:shd w:val="clear" w:color="000000" w:fill="FFFFFF"/>
          </w:tcPr>
          <w:p w14:paraId="2D1C0CD8"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$198.40</w:t>
            </w:r>
          </w:p>
        </w:tc>
      </w:tr>
      <w:tr w:rsidR="002D7AE6" w:rsidRPr="00554C23" w14:paraId="383EE81A" w14:textId="77777777" w:rsidTr="002D7AE6">
        <w:trPr>
          <w:trHeight w:val="300"/>
        </w:trPr>
        <w:tc>
          <w:tcPr>
            <w:tcW w:w="1222" w:type="pct"/>
            <w:tcBorders>
              <w:top w:val="nil"/>
              <w:left w:val="nil"/>
              <w:bottom w:val="nil"/>
              <w:right w:val="nil"/>
            </w:tcBorders>
            <w:shd w:val="clear" w:color="000000" w:fill="FFFFFF"/>
            <w:vAlign w:val="center"/>
          </w:tcPr>
          <w:p w14:paraId="3FD504A1" w14:textId="77777777" w:rsidR="00052799" w:rsidRPr="00554C23" w:rsidRDefault="00052799" w:rsidP="00871631">
            <w:pPr>
              <w:rPr>
                <w:sz w:val="18"/>
                <w:szCs w:val="18"/>
              </w:rPr>
            </w:pPr>
            <w:r w:rsidRPr="00554C23">
              <w:rPr>
                <w:color w:val="000000"/>
                <w:sz w:val="18"/>
                <w:szCs w:val="18"/>
              </w:rPr>
              <w:t>Firearm Dealer Class 2</w:t>
            </w:r>
          </w:p>
        </w:tc>
        <w:tc>
          <w:tcPr>
            <w:tcW w:w="535" w:type="pct"/>
            <w:tcBorders>
              <w:top w:val="nil"/>
              <w:left w:val="nil"/>
              <w:bottom w:val="nil"/>
              <w:right w:val="nil"/>
            </w:tcBorders>
            <w:shd w:val="clear" w:color="000000" w:fill="FFFFFF"/>
            <w:noWrap/>
          </w:tcPr>
          <w:p w14:paraId="6A1F6376"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 xml:space="preserve"> $425.60</w:t>
            </w:r>
          </w:p>
        </w:tc>
        <w:tc>
          <w:tcPr>
            <w:tcW w:w="612" w:type="pct"/>
            <w:tcBorders>
              <w:top w:val="nil"/>
              <w:left w:val="nil"/>
              <w:bottom w:val="nil"/>
              <w:right w:val="nil"/>
            </w:tcBorders>
            <w:shd w:val="clear" w:color="000000" w:fill="FFFFFF"/>
          </w:tcPr>
          <w:p w14:paraId="513790F0"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$631.37</w:t>
            </w:r>
          </w:p>
        </w:tc>
        <w:tc>
          <w:tcPr>
            <w:tcW w:w="534" w:type="pct"/>
            <w:tcBorders>
              <w:top w:val="nil"/>
              <w:left w:val="nil"/>
              <w:bottom w:val="nil"/>
              <w:right w:val="nil"/>
            </w:tcBorders>
            <w:shd w:val="clear" w:color="000000" w:fill="FFFFFF"/>
            <w:noWrap/>
          </w:tcPr>
          <w:p w14:paraId="5BC036AE"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$100.00</w:t>
            </w:r>
          </w:p>
        </w:tc>
        <w:tc>
          <w:tcPr>
            <w:tcW w:w="535" w:type="pct"/>
            <w:tcBorders>
              <w:top w:val="nil"/>
              <w:left w:val="nil"/>
              <w:bottom w:val="nil"/>
              <w:right w:val="nil"/>
            </w:tcBorders>
            <w:shd w:val="clear" w:color="000000" w:fill="FFFFFF"/>
            <w:noWrap/>
          </w:tcPr>
          <w:p w14:paraId="77FE95D6"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$214.80</w:t>
            </w:r>
          </w:p>
        </w:tc>
        <w:tc>
          <w:tcPr>
            <w:tcW w:w="535" w:type="pct"/>
            <w:tcBorders>
              <w:top w:val="nil"/>
              <w:left w:val="nil"/>
              <w:bottom w:val="nil"/>
              <w:right w:val="nil"/>
            </w:tcBorders>
            <w:shd w:val="clear" w:color="000000" w:fill="FFFFFF"/>
          </w:tcPr>
          <w:p w14:paraId="7CC730C5"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$179.20</w:t>
            </w:r>
          </w:p>
        </w:tc>
        <w:tc>
          <w:tcPr>
            <w:tcW w:w="535" w:type="pct"/>
            <w:tcBorders>
              <w:top w:val="nil"/>
              <w:left w:val="nil"/>
              <w:bottom w:val="nil"/>
              <w:right w:val="nil"/>
            </w:tcBorders>
            <w:shd w:val="clear" w:color="000000" w:fill="FFFFFF"/>
          </w:tcPr>
          <w:p w14:paraId="00A6E37E"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$416.20</w:t>
            </w:r>
          </w:p>
        </w:tc>
        <w:tc>
          <w:tcPr>
            <w:tcW w:w="493" w:type="pct"/>
            <w:tcBorders>
              <w:top w:val="nil"/>
              <w:left w:val="nil"/>
              <w:bottom w:val="nil"/>
              <w:right w:val="nil"/>
            </w:tcBorders>
            <w:shd w:val="clear" w:color="000000" w:fill="FFFFFF"/>
          </w:tcPr>
          <w:p w14:paraId="1D71F7DF"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$198.40</w:t>
            </w:r>
          </w:p>
        </w:tc>
      </w:tr>
      <w:tr w:rsidR="002D7AE6" w:rsidRPr="00554C23" w14:paraId="1604870E" w14:textId="77777777" w:rsidTr="002D7AE6">
        <w:trPr>
          <w:trHeight w:val="300"/>
        </w:trPr>
        <w:tc>
          <w:tcPr>
            <w:tcW w:w="1222" w:type="pct"/>
            <w:tcBorders>
              <w:top w:val="nil"/>
              <w:left w:val="nil"/>
              <w:bottom w:val="nil"/>
              <w:right w:val="nil"/>
            </w:tcBorders>
            <w:shd w:val="clear" w:color="000000" w:fill="FFFFFF"/>
            <w:vAlign w:val="center"/>
          </w:tcPr>
          <w:p w14:paraId="605AF45D" w14:textId="77777777" w:rsidR="00052799" w:rsidRPr="00554C23" w:rsidRDefault="00052799" w:rsidP="00871631">
            <w:pPr>
              <w:rPr>
                <w:sz w:val="18"/>
                <w:szCs w:val="18"/>
              </w:rPr>
            </w:pPr>
            <w:r w:rsidRPr="00554C23">
              <w:rPr>
                <w:color w:val="000000"/>
                <w:sz w:val="18"/>
                <w:szCs w:val="18"/>
              </w:rPr>
              <w:t>Firearm Dealer Class 3</w:t>
            </w:r>
          </w:p>
        </w:tc>
        <w:tc>
          <w:tcPr>
            <w:tcW w:w="535" w:type="pct"/>
            <w:tcBorders>
              <w:top w:val="nil"/>
              <w:left w:val="nil"/>
              <w:bottom w:val="nil"/>
              <w:right w:val="nil"/>
            </w:tcBorders>
            <w:shd w:val="clear" w:color="000000" w:fill="FFFFFF"/>
            <w:noWrap/>
          </w:tcPr>
          <w:p w14:paraId="1C5D7DE3"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$255.10</w:t>
            </w:r>
          </w:p>
        </w:tc>
        <w:tc>
          <w:tcPr>
            <w:tcW w:w="612" w:type="pct"/>
            <w:tcBorders>
              <w:top w:val="nil"/>
              <w:left w:val="nil"/>
              <w:bottom w:val="nil"/>
              <w:right w:val="nil"/>
            </w:tcBorders>
            <w:shd w:val="clear" w:color="000000" w:fill="FFFFFF"/>
          </w:tcPr>
          <w:p w14:paraId="49B328BC"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$375.60</w:t>
            </w:r>
          </w:p>
        </w:tc>
        <w:tc>
          <w:tcPr>
            <w:tcW w:w="534" w:type="pct"/>
            <w:tcBorders>
              <w:top w:val="nil"/>
              <w:left w:val="nil"/>
              <w:bottom w:val="nil"/>
              <w:right w:val="nil"/>
            </w:tcBorders>
            <w:shd w:val="clear" w:color="000000" w:fill="FFFFFF"/>
            <w:noWrap/>
          </w:tcPr>
          <w:p w14:paraId="792E81C5"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$100.00</w:t>
            </w:r>
          </w:p>
        </w:tc>
        <w:tc>
          <w:tcPr>
            <w:tcW w:w="535" w:type="pct"/>
            <w:tcBorders>
              <w:top w:val="nil"/>
              <w:left w:val="nil"/>
              <w:bottom w:val="nil"/>
              <w:right w:val="nil"/>
            </w:tcBorders>
            <w:shd w:val="clear" w:color="000000" w:fill="FFFFFF"/>
            <w:noWrap/>
          </w:tcPr>
          <w:p w14:paraId="08355BBB"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$214.80</w:t>
            </w:r>
          </w:p>
        </w:tc>
        <w:tc>
          <w:tcPr>
            <w:tcW w:w="535" w:type="pct"/>
            <w:tcBorders>
              <w:top w:val="nil"/>
              <w:left w:val="nil"/>
              <w:bottom w:val="nil"/>
              <w:right w:val="nil"/>
            </w:tcBorders>
            <w:shd w:val="clear" w:color="000000" w:fill="FFFFFF"/>
          </w:tcPr>
          <w:p w14:paraId="020CBD79"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$158.40</w:t>
            </w:r>
          </w:p>
        </w:tc>
        <w:tc>
          <w:tcPr>
            <w:tcW w:w="535" w:type="pct"/>
            <w:tcBorders>
              <w:top w:val="nil"/>
              <w:left w:val="nil"/>
              <w:bottom w:val="nil"/>
              <w:right w:val="nil"/>
            </w:tcBorders>
            <w:shd w:val="clear" w:color="000000" w:fill="FFFFFF"/>
          </w:tcPr>
          <w:p w14:paraId="3DCD88B3"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$113.20</w:t>
            </w:r>
          </w:p>
        </w:tc>
        <w:tc>
          <w:tcPr>
            <w:tcW w:w="493" w:type="pct"/>
            <w:tcBorders>
              <w:top w:val="nil"/>
              <w:left w:val="nil"/>
              <w:bottom w:val="nil"/>
              <w:right w:val="nil"/>
            </w:tcBorders>
            <w:shd w:val="clear" w:color="000000" w:fill="FFFFFF"/>
          </w:tcPr>
          <w:p w14:paraId="11020849"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$198.40</w:t>
            </w:r>
          </w:p>
        </w:tc>
      </w:tr>
      <w:tr w:rsidR="002D7AE6" w:rsidRPr="00554C23" w14:paraId="3DCCE6A0" w14:textId="77777777" w:rsidTr="002D7AE6">
        <w:trPr>
          <w:trHeight w:val="300"/>
        </w:trPr>
        <w:tc>
          <w:tcPr>
            <w:tcW w:w="1222" w:type="pct"/>
            <w:tcBorders>
              <w:top w:val="nil"/>
              <w:left w:val="nil"/>
              <w:bottom w:val="nil"/>
              <w:right w:val="nil"/>
            </w:tcBorders>
            <w:shd w:val="clear" w:color="000000" w:fill="FFFFFF"/>
            <w:vAlign w:val="center"/>
          </w:tcPr>
          <w:p w14:paraId="46BDCFD8" w14:textId="77777777" w:rsidR="00052799" w:rsidRPr="00554C23" w:rsidRDefault="00052799" w:rsidP="00871631">
            <w:pPr>
              <w:rPr>
                <w:sz w:val="18"/>
                <w:szCs w:val="18"/>
              </w:rPr>
            </w:pPr>
            <w:r w:rsidRPr="00554C23">
              <w:rPr>
                <w:color w:val="000000"/>
                <w:sz w:val="18"/>
                <w:szCs w:val="18"/>
              </w:rPr>
              <w:t>Issue of replacement licence</w:t>
            </w:r>
          </w:p>
        </w:tc>
        <w:tc>
          <w:tcPr>
            <w:tcW w:w="535" w:type="pct"/>
            <w:tcBorders>
              <w:top w:val="nil"/>
              <w:left w:val="nil"/>
              <w:bottom w:val="nil"/>
              <w:right w:val="nil"/>
            </w:tcBorders>
            <w:shd w:val="clear" w:color="000000" w:fill="FFFFFF"/>
            <w:noWrap/>
          </w:tcPr>
          <w:p w14:paraId="7ADB6E4D"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$25.60</w:t>
            </w:r>
          </w:p>
        </w:tc>
        <w:tc>
          <w:tcPr>
            <w:tcW w:w="612" w:type="pct"/>
            <w:tcBorders>
              <w:top w:val="nil"/>
              <w:left w:val="nil"/>
              <w:bottom w:val="nil"/>
              <w:right w:val="nil"/>
            </w:tcBorders>
            <w:shd w:val="clear" w:color="000000" w:fill="FFFFFF"/>
          </w:tcPr>
          <w:p w14:paraId="4F238233"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$41.8</w:t>
            </w:r>
          </w:p>
        </w:tc>
        <w:tc>
          <w:tcPr>
            <w:tcW w:w="534" w:type="pct"/>
            <w:tcBorders>
              <w:top w:val="nil"/>
              <w:left w:val="nil"/>
              <w:bottom w:val="nil"/>
              <w:right w:val="nil"/>
            </w:tcBorders>
            <w:shd w:val="clear" w:color="000000" w:fill="FFFFFF"/>
            <w:noWrap/>
          </w:tcPr>
          <w:p w14:paraId="2046ACAE"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$75.00</w:t>
            </w:r>
          </w:p>
        </w:tc>
        <w:tc>
          <w:tcPr>
            <w:tcW w:w="535" w:type="pct"/>
            <w:tcBorders>
              <w:top w:val="nil"/>
              <w:left w:val="nil"/>
              <w:bottom w:val="nil"/>
              <w:right w:val="nil"/>
            </w:tcBorders>
            <w:shd w:val="clear" w:color="000000" w:fill="FFFFFF"/>
            <w:noWrap/>
          </w:tcPr>
          <w:p w14:paraId="525B53FF"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$38.60</w:t>
            </w:r>
          </w:p>
        </w:tc>
        <w:tc>
          <w:tcPr>
            <w:tcW w:w="535" w:type="pct"/>
            <w:tcBorders>
              <w:top w:val="nil"/>
              <w:left w:val="nil"/>
              <w:bottom w:val="nil"/>
              <w:right w:val="nil"/>
            </w:tcBorders>
            <w:shd w:val="clear" w:color="000000" w:fill="FFFFFF"/>
          </w:tcPr>
          <w:p w14:paraId="14B22DBD"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$33.00</w:t>
            </w:r>
          </w:p>
        </w:tc>
        <w:tc>
          <w:tcPr>
            <w:tcW w:w="535" w:type="pct"/>
            <w:tcBorders>
              <w:top w:val="nil"/>
              <w:left w:val="nil"/>
              <w:bottom w:val="nil"/>
              <w:right w:val="nil"/>
            </w:tcBorders>
            <w:shd w:val="clear" w:color="000000" w:fill="FFFFFF"/>
          </w:tcPr>
          <w:p w14:paraId="129165CF"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$50.00</w:t>
            </w:r>
          </w:p>
        </w:tc>
        <w:tc>
          <w:tcPr>
            <w:tcW w:w="493" w:type="pct"/>
            <w:tcBorders>
              <w:top w:val="nil"/>
              <w:left w:val="nil"/>
              <w:bottom w:val="nil"/>
              <w:right w:val="nil"/>
            </w:tcBorders>
            <w:shd w:val="clear" w:color="000000" w:fill="FFFFFF"/>
          </w:tcPr>
          <w:p w14:paraId="6EFB67E0"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$12.40</w:t>
            </w:r>
          </w:p>
        </w:tc>
      </w:tr>
      <w:tr w:rsidR="002D7AE6" w:rsidRPr="00554C23" w14:paraId="6ADBCD8C" w14:textId="77777777" w:rsidTr="002D7AE6">
        <w:trPr>
          <w:trHeight w:val="300"/>
        </w:trPr>
        <w:tc>
          <w:tcPr>
            <w:tcW w:w="1222" w:type="pct"/>
            <w:tcBorders>
              <w:top w:val="nil"/>
              <w:left w:val="nil"/>
              <w:bottom w:val="nil"/>
              <w:right w:val="nil"/>
            </w:tcBorders>
            <w:shd w:val="clear" w:color="000000" w:fill="FFFFFF"/>
            <w:vAlign w:val="center"/>
          </w:tcPr>
          <w:p w14:paraId="78B8517A" w14:textId="77777777" w:rsidR="00052799" w:rsidRPr="00554C23" w:rsidRDefault="00052799" w:rsidP="00871631">
            <w:pPr>
              <w:rPr>
                <w:sz w:val="18"/>
                <w:szCs w:val="18"/>
              </w:rPr>
            </w:pPr>
            <w:r w:rsidRPr="00554C23">
              <w:rPr>
                <w:color w:val="000000"/>
                <w:sz w:val="18"/>
                <w:szCs w:val="18"/>
              </w:rPr>
              <w:t>Permit to acquire – longarm</w:t>
            </w:r>
          </w:p>
        </w:tc>
        <w:tc>
          <w:tcPr>
            <w:tcW w:w="535" w:type="pct"/>
            <w:tcBorders>
              <w:top w:val="nil"/>
              <w:left w:val="nil"/>
              <w:bottom w:val="nil"/>
              <w:right w:val="nil"/>
            </w:tcBorders>
            <w:shd w:val="clear" w:color="000000" w:fill="FFFFFF"/>
            <w:noWrap/>
          </w:tcPr>
          <w:p w14:paraId="521AAEDA"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$9.20</w:t>
            </w:r>
          </w:p>
        </w:tc>
        <w:tc>
          <w:tcPr>
            <w:tcW w:w="612" w:type="pct"/>
            <w:tcBorders>
              <w:top w:val="nil"/>
              <w:left w:val="nil"/>
              <w:bottom w:val="nil"/>
              <w:right w:val="nil"/>
            </w:tcBorders>
            <w:shd w:val="clear" w:color="000000" w:fill="FFFFFF"/>
          </w:tcPr>
          <w:p w14:paraId="64B2D302"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$25.9</w:t>
            </w:r>
          </w:p>
        </w:tc>
        <w:tc>
          <w:tcPr>
            <w:tcW w:w="534" w:type="pct"/>
            <w:tcBorders>
              <w:top w:val="nil"/>
              <w:left w:val="nil"/>
              <w:bottom w:val="nil"/>
              <w:right w:val="nil"/>
            </w:tcBorders>
            <w:shd w:val="clear" w:color="000000" w:fill="FFFFFF"/>
            <w:noWrap/>
          </w:tcPr>
          <w:p w14:paraId="3B55F08F"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$30.00</w:t>
            </w:r>
          </w:p>
        </w:tc>
        <w:tc>
          <w:tcPr>
            <w:tcW w:w="535" w:type="pct"/>
            <w:tcBorders>
              <w:top w:val="nil"/>
              <w:left w:val="nil"/>
              <w:bottom w:val="nil"/>
              <w:right w:val="nil"/>
            </w:tcBorders>
            <w:shd w:val="clear" w:color="000000" w:fill="FFFFFF"/>
            <w:noWrap/>
          </w:tcPr>
          <w:p w14:paraId="6AFA68F3"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$38.25</w:t>
            </w:r>
          </w:p>
        </w:tc>
        <w:tc>
          <w:tcPr>
            <w:tcW w:w="535" w:type="pct"/>
            <w:tcBorders>
              <w:top w:val="nil"/>
              <w:left w:val="nil"/>
              <w:bottom w:val="nil"/>
              <w:right w:val="nil"/>
            </w:tcBorders>
            <w:shd w:val="clear" w:color="000000" w:fill="FFFFFF"/>
          </w:tcPr>
          <w:p w14:paraId="23992BAA"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n/a</w:t>
            </w:r>
          </w:p>
        </w:tc>
        <w:tc>
          <w:tcPr>
            <w:tcW w:w="535" w:type="pct"/>
            <w:tcBorders>
              <w:top w:val="nil"/>
              <w:left w:val="nil"/>
              <w:bottom w:val="nil"/>
              <w:right w:val="nil"/>
            </w:tcBorders>
            <w:shd w:val="clear" w:color="000000" w:fill="FFFFFF"/>
          </w:tcPr>
          <w:p w14:paraId="462CD620"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$33.00</w:t>
            </w:r>
          </w:p>
        </w:tc>
        <w:tc>
          <w:tcPr>
            <w:tcW w:w="493" w:type="pct"/>
            <w:tcBorders>
              <w:top w:val="nil"/>
              <w:left w:val="nil"/>
              <w:bottom w:val="nil"/>
              <w:right w:val="nil"/>
            </w:tcBorders>
            <w:shd w:val="clear" w:color="000000" w:fill="FFFFFF"/>
          </w:tcPr>
          <w:p w14:paraId="411F5A66"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$20.15</w:t>
            </w:r>
          </w:p>
        </w:tc>
      </w:tr>
      <w:tr w:rsidR="002D7AE6" w:rsidRPr="00554C23" w14:paraId="764FF9E6" w14:textId="77777777" w:rsidTr="002D7AE6">
        <w:trPr>
          <w:trHeight w:val="300"/>
        </w:trPr>
        <w:tc>
          <w:tcPr>
            <w:tcW w:w="1222" w:type="pct"/>
            <w:tcBorders>
              <w:top w:val="nil"/>
              <w:left w:val="nil"/>
              <w:bottom w:val="nil"/>
              <w:right w:val="nil"/>
            </w:tcBorders>
            <w:shd w:val="clear" w:color="000000" w:fill="FFFFFF"/>
            <w:vAlign w:val="center"/>
          </w:tcPr>
          <w:p w14:paraId="0D69738A" w14:textId="77777777" w:rsidR="00052799" w:rsidRPr="00554C23" w:rsidRDefault="00052799" w:rsidP="00871631">
            <w:pPr>
              <w:rPr>
                <w:sz w:val="18"/>
                <w:szCs w:val="18"/>
              </w:rPr>
            </w:pPr>
            <w:r w:rsidRPr="00554C23">
              <w:rPr>
                <w:color w:val="000000"/>
                <w:sz w:val="18"/>
                <w:szCs w:val="18"/>
              </w:rPr>
              <w:t>Permit to acquire – handgun</w:t>
            </w:r>
          </w:p>
        </w:tc>
        <w:tc>
          <w:tcPr>
            <w:tcW w:w="535" w:type="pct"/>
            <w:tcBorders>
              <w:top w:val="nil"/>
              <w:left w:val="nil"/>
              <w:bottom w:val="nil"/>
              <w:right w:val="nil"/>
            </w:tcBorders>
            <w:shd w:val="clear" w:color="000000" w:fill="FFFFFF"/>
            <w:noWrap/>
          </w:tcPr>
          <w:p w14:paraId="21823C64"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$51.00</w:t>
            </w:r>
          </w:p>
        </w:tc>
        <w:tc>
          <w:tcPr>
            <w:tcW w:w="612" w:type="pct"/>
            <w:tcBorders>
              <w:top w:val="nil"/>
              <w:left w:val="nil"/>
              <w:bottom w:val="nil"/>
              <w:right w:val="nil"/>
            </w:tcBorders>
            <w:shd w:val="clear" w:color="000000" w:fill="FFFFFF"/>
          </w:tcPr>
          <w:p w14:paraId="1C539834"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$68.9</w:t>
            </w:r>
          </w:p>
        </w:tc>
        <w:tc>
          <w:tcPr>
            <w:tcW w:w="534" w:type="pct"/>
            <w:tcBorders>
              <w:top w:val="nil"/>
              <w:left w:val="nil"/>
              <w:bottom w:val="nil"/>
              <w:right w:val="nil"/>
            </w:tcBorders>
            <w:shd w:val="clear" w:color="000000" w:fill="FFFFFF"/>
            <w:noWrap/>
          </w:tcPr>
          <w:p w14:paraId="4E02CE7E"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$30.00</w:t>
            </w:r>
          </w:p>
        </w:tc>
        <w:tc>
          <w:tcPr>
            <w:tcW w:w="535" w:type="pct"/>
            <w:tcBorders>
              <w:top w:val="nil"/>
              <w:left w:val="nil"/>
              <w:bottom w:val="nil"/>
              <w:right w:val="nil"/>
            </w:tcBorders>
            <w:shd w:val="clear" w:color="000000" w:fill="FFFFFF"/>
            <w:noWrap/>
          </w:tcPr>
          <w:p w14:paraId="5CB89C2D"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$38.25</w:t>
            </w:r>
          </w:p>
        </w:tc>
        <w:tc>
          <w:tcPr>
            <w:tcW w:w="535" w:type="pct"/>
            <w:tcBorders>
              <w:top w:val="nil"/>
              <w:left w:val="nil"/>
              <w:bottom w:val="nil"/>
              <w:right w:val="nil"/>
            </w:tcBorders>
            <w:shd w:val="clear" w:color="000000" w:fill="FFFFFF"/>
          </w:tcPr>
          <w:p w14:paraId="314C5379"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n/a</w:t>
            </w:r>
          </w:p>
        </w:tc>
        <w:tc>
          <w:tcPr>
            <w:tcW w:w="535" w:type="pct"/>
            <w:tcBorders>
              <w:top w:val="nil"/>
              <w:left w:val="nil"/>
              <w:bottom w:val="nil"/>
              <w:right w:val="nil"/>
            </w:tcBorders>
            <w:shd w:val="clear" w:color="000000" w:fill="FFFFFF"/>
          </w:tcPr>
          <w:p w14:paraId="582B1CBA"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$33.00</w:t>
            </w:r>
          </w:p>
        </w:tc>
        <w:tc>
          <w:tcPr>
            <w:tcW w:w="493" w:type="pct"/>
            <w:tcBorders>
              <w:top w:val="nil"/>
              <w:left w:val="nil"/>
              <w:bottom w:val="nil"/>
              <w:right w:val="nil"/>
            </w:tcBorders>
            <w:shd w:val="clear" w:color="000000" w:fill="FFFFFF"/>
          </w:tcPr>
          <w:p w14:paraId="08F9E843" w14:textId="77777777" w:rsidR="00052799" w:rsidRPr="00554C23" w:rsidRDefault="00052799" w:rsidP="00871631">
            <w:pPr>
              <w:pStyle w:val="Tablenumber"/>
              <w:rPr>
                <w:rFonts w:ascii="Arial" w:hAnsi="Arial" w:cs="Arial"/>
                <w:sz w:val="18"/>
                <w:szCs w:val="18"/>
              </w:rPr>
            </w:pPr>
            <w:r w:rsidRPr="00554C23">
              <w:rPr>
                <w:rFonts w:ascii="Arial" w:hAnsi="Arial" w:cs="Arial"/>
                <w:sz w:val="18"/>
                <w:szCs w:val="18"/>
              </w:rPr>
              <w:t>$20.15</w:t>
            </w:r>
          </w:p>
        </w:tc>
      </w:tr>
    </w:tbl>
    <w:p w14:paraId="7532E928" w14:textId="77777777" w:rsidR="00052799" w:rsidRPr="00610D49" w:rsidRDefault="00052799" w:rsidP="00052799">
      <w:pPr>
        <w:pStyle w:val="Heading3"/>
      </w:pPr>
      <w:bookmarkStart w:id="187" w:name="_Toc497492997"/>
      <w:bookmarkStart w:id="188" w:name="_Toc500505483"/>
      <w:bookmarkStart w:id="189" w:name="_Toc501539178"/>
      <w:r w:rsidRPr="00610D49">
        <w:t>Efficiency improvements over the life of the 2008 Regulations</w:t>
      </w:r>
      <w:bookmarkEnd w:id="187"/>
      <w:bookmarkEnd w:id="188"/>
      <w:bookmarkEnd w:id="189"/>
    </w:p>
    <w:p w14:paraId="3D27A66E" w14:textId="77777777" w:rsidR="00052799" w:rsidRPr="00610D49" w:rsidRDefault="00052799" w:rsidP="00052799">
      <w:pPr>
        <w:pStyle w:val="Body"/>
      </w:pPr>
      <w:r w:rsidRPr="00610D49">
        <w:t xml:space="preserve">This section outlines a number of efficiency improvements that Victoria Police has made to its operations since the introduction of the Regulations in 2008, focussing particularly on recent efficiency improvements. It is important to note that, while these improvements largely focus on reducing the regulatory burden for firearms licensees, many also decrease Victoria Police’s costs of administering the regulatory framework. </w:t>
      </w:r>
    </w:p>
    <w:p w14:paraId="3528B064" w14:textId="585EBA07" w:rsidR="00052799" w:rsidRDefault="00052799" w:rsidP="00052799">
      <w:pPr>
        <w:pStyle w:val="Body"/>
      </w:pPr>
      <w:r w:rsidRPr="00610D49">
        <w:t xml:space="preserve">Victoria Police considers that it is important to note that improvements to administrative efficiency for end users of services provided by LRD must be balanced with the overriding responsibility to ensure community safety </w:t>
      </w:r>
      <w:r w:rsidR="00C103B7">
        <w:t>through</w:t>
      </w:r>
      <w:r w:rsidR="00C103B7" w:rsidRPr="00610D49">
        <w:t xml:space="preserve"> </w:t>
      </w:r>
      <w:r w:rsidRPr="00610D49">
        <w:t>effective and meaningful regulation of the firearm industry. That is, it is not appropriate for LRD to reduce costs where this could result in unjustifiable decreases in the level of public safety as a result of increased firearms risks.</w:t>
      </w:r>
    </w:p>
    <w:p w14:paraId="7503AB6A" w14:textId="1B2B692B" w:rsidR="00052799" w:rsidRDefault="00052799" w:rsidP="00052799">
      <w:pPr>
        <w:pStyle w:val="Body"/>
      </w:pPr>
      <w:r>
        <w:t>The list of efficiency improvements below are categoris</w:t>
      </w:r>
      <w:r w:rsidR="000513D4">
        <w:t>ed</w:t>
      </w:r>
      <w:r>
        <w:t xml:space="preserve"> broadly into</w:t>
      </w:r>
      <w:r w:rsidR="000513D4">
        <w:t>:</w:t>
      </w:r>
      <w:r>
        <w:t xml:space="preserve"> efficiencies that reduce the compliance costs of regulated parties (e.g. time taken for an applicant to complete an application), and efficiencies that reduce the regulatory cost base (and therefore reduce fees paid).</w:t>
      </w:r>
    </w:p>
    <w:p w14:paraId="28D3FF77" w14:textId="0736D9D5" w:rsidR="00052799" w:rsidRPr="00610D49" w:rsidRDefault="00052799" w:rsidP="00052799">
      <w:pPr>
        <w:pStyle w:val="Body"/>
      </w:pPr>
      <w:r w:rsidRPr="00610D49">
        <w:t>Efficiency improvements noted by Victoria Police</w:t>
      </w:r>
      <w:r>
        <w:t xml:space="preserve"> which reduce the costs of regulated parties</w:t>
      </w:r>
      <w:r w:rsidR="000513D4">
        <w:t xml:space="preserve"> and, in some cases, the regulatory cost base</w:t>
      </w:r>
      <w:r w:rsidRPr="00610D49">
        <w:t xml:space="preserve"> include:</w:t>
      </w:r>
    </w:p>
    <w:p w14:paraId="67FC38BE" w14:textId="77777777" w:rsidR="00052799" w:rsidRPr="00610D49" w:rsidRDefault="00052799" w:rsidP="00052799">
      <w:pPr>
        <w:pStyle w:val="Bulletnormal"/>
        <w:tabs>
          <w:tab w:val="clear" w:pos="283"/>
        </w:tabs>
      </w:pPr>
      <w:r w:rsidRPr="00610D49">
        <w:t>Introducing BPAY as a payment method option for new and renewal firearm licences in November 2015 to facilitate licence payment. Prior to the introduction of BPAY, licence holders were required to attend a Westpac Bank branch in person and make payment for their licence in cash or cheque. This requirement was particularly burdensome for regional and rural licence holders, some of who were required to travel significant distances to make payments. The introduction of BPAY has afforded greater convenience and reduced travel costs for licence holders who no longer have to attend a bank branch in person during business hours.</w:t>
      </w:r>
      <w:r>
        <w:t xml:space="preserve"> The result of this change is reduced compliance costs for regulated parties.</w:t>
      </w:r>
    </w:p>
    <w:p w14:paraId="5219B9EC" w14:textId="77777777" w:rsidR="00052799" w:rsidRPr="00610D49" w:rsidRDefault="00052799" w:rsidP="00052799">
      <w:pPr>
        <w:pStyle w:val="Bulletnormal"/>
        <w:tabs>
          <w:tab w:val="clear" w:pos="283"/>
        </w:tabs>
      </w:pPr>
      <w:r w:rsidRPr="00610D49">
        <w:t xml:space="preserve">Introducing and reviewing productivity indicators for core tasks related to the processing of new and renewal applications and permits. By setting handling targets for employees, the registry is better able to track and manage service level demands to ensure efficient and acceptable timeframes for the processing of applications. </w:t>
      </w:r>
      <w:r>
        <w:t>This change is likely to have resulted in a reduced regulatory cost base.</w:t>
      </w:r>
    </w:p>
    <w:p w14:paraId="3FFE77F6" w14:textId="77777777" w:rsidR="00052799" w:rsidRPr="00610D49" w:rsidRDefault="00052799" w:rsidP="00052799">
      <w:pPr>
        <w:pStyle w:val="Bulletnormal"/>
        <w:tabs>
          <w:tab w:val="clear" w:pos="283"/>
        </w:tabs>
      </w:pPr>
      <w:r w:rsidRPr="00610D49">
        <w:t>Removing the requirement for payment notices to carry a bank stamp before being allowed to have a photo taken at nominated VicRoads photo points.  LRD removed requirements for VicRoads employees to sight evidence of payment before taking photos for plastic licence cards when introducing BPAY as a payment method. As nominated VicRoads photo points are not always in close proximity to Westpac branches, this change together with the benefits of electronic payment for licensing fees, has afforded greater convenience and reduced travel costs for licence holders.</w:t>
      </w:r>
      <w:r>
        <w:t xml:space="preserve"> As the requirement for photos are unchanged, the risks in the process are unchanged. The result of this change is reduced compliance costs for regulated parties.</w:t>
      </w:r>
    </w:p>
    <w:p w14:paraId="204D016B" w14:textId="6B6E4B25" w:rsidR="00052799" w:rsidRPr="00610D49" w:rsidRDefault="00052799" w:rsidP="00052799">
      <w:pPr>
        <w:pStyle w:val="Bulletnormal"/>
        <w:tabs>
          <w:tab w:val="clear" w:pos="283"/>
        </w:tabs>
      </w:pPr>
      <w:r w:rsidRPr="00610D49">
        <w:t xml:space="preserve">Expanding the Online Dealers System (OLDS) to include more than 100 firearms dealers to allow the recording of firearm transaction and lodging of permit to acquire. Although dealers are still required to check particulars and validate information with LRD, OLDS does facilitate the submission, reviewing and processing of firearm transactions and </w:t>
      </w:r>
      <w:r w:rsidR="000513D4">
        <w:t>permits to acquire</w:t>
      </w:r>
      <w:r w:rsidRPr="00610D49">
        <w:t xml:space="preserve"> in real time. OLDS users also benefit from reductions in paper costs and processing times and licence holders are generally able to benefit from the efficiency improvements offered by OLDS through more expedient processing by the regulator.</w:t>
      </w:r>
      <w:r>
        <w:t xml:space="preserve"> This change is likely to have resulted in both a reduced regulatory cost base and reduced compliance costs for regulated parties.</w:t>
      </w:r>
    </w:p>
    <w:p w14:paraId="453C32AC" w14:textId="77777777" w:rsidR="00052799" w:rsidRPr="00610D49" w:rsidRDefault="00052799" w:rsidP="00052799">
      <w:pPr>
        <w:pStyle w:val="Bulletnormal"/>
        <w:tabs>
          <w:tab w:val="clear" w:pos="283"/>
        </w:tabs>
      </w:pPr>
      <w:r w:rsidRPr="00610D49">
        <w:t xml:space="preserve">Piloting a revised reporting model for handgun participation to assist handgun clubs meet their requirements under Section 123C of the Act. If the pilot is successful, the reporting model, which utilises a basic spreadsheet template, will be implemented more broadly. The effect of this will be to improve record-keeping capacity and reduce regulatory burden for handgun clubs and improve efficiencies for the regulator in identifying and acting on licence holders who have failed to meet their requalification obligations (a requirement under the Act). The revised reporting model will also provide Victoria Police with efficiency improvements, by allowing faster identification and action on licence holders failing to meet participation requirements. </w:t>
      </w:r>
      <w:r>
        <w:t>This change is likely to have resulted in both a reduced regulatory cost base and reduced compliance costs for regulated parties.</w:t>
      </w:r>
    </w:p>
    <w:p w14:paraId="3170D14B" w14:textId="77777777" w:rsidR="00052799" w:rsidRPr="00610D49" w:rsidRDefault="00052799" w:rsidP="00052799">
      <w:pPr>
        <w:pStyle w:val="Bulletnormal"/>
        <w:tabs>
          <w:tab w:val="clear" w:pos="283"/>
        </w:tabs>
      </w:pPr>
      <w:r w:rsidRPr="00610D49">
        <w:t>Setting a common expiry date for firearm requalification training for holders of firearm licences issued for the genuine reason of security guard or prison guard. By setting a common expiry date, employers are able to manage requalification training for employees</w:t>
      </w:r>
      <w:r>
        <w:t xml:space="preserve"> (this provides greater flexibility for employers to manage their requalification requirements in line with their business needs)</w:t>
      </w:r>
      <w:r w:rsidRPr="00610D49">
        <w:t xml:space="preserve">, the requalification process has been streamlined for individual licence holders and the regulator is able to more easily identify and act on licence holders who have failed to meet their requalification obligations. </w:t>
      </w:r>
      <w:r>
        <w:t>This change is likely to have resulted in both a reduced regulatory cost base and reduced compliance costs for regulated parties.</w:t>
      </w:r>
    </w:p>
    <w:p w14:paraId="5019F7CC" w14:textId="77777777" w:rsidR="00052799" w:rsidRPr="00610D49" w:rsidRDefault="00052799" w:rsidP="00052799">
      <w:pPr>
        <w:pStyle w:val="Bulletnormal"/>
        <w:tabs>
          <w:tab w:val="clear" w:pos="283"/>
        </w:tabs>
      </w:pPr>
      <w:r w:rsidRPr="00610D49">
        <w:t>Reviewing and amending licence conditions for approved hunting clubs and organisations to remove burdensome recording keeping requirements. Approved hunting clubs and organisations are no longer required to provide written advice to the Chief Commissioner regarding members who cease financial membership or provide written advice regarding decisions to accept or refuse new memberships.</w:t>
      </w:r>
      <w:r>
        <w:t xml:space="preserve"> The result of this change is reduced compliance costs for regulated parties.</w:t>
      </w:r>
    </w:p>
    <w:p w14:paraId="0F4426E0" w14:textId="0145B0F3" w:rsidR="00052799" w:rsidRPr="00610D49" w:rsidRDefault="00052799" w:rsidP="00052799">
      <w:pPr>
        <w:pStyle w:val="Body"/>
      </w:pPr>
      <w:r w:rsidRPr="00610D49">
        <w:t>LRD has also recently commenced work on phase two of the Electronic Lodgement Process (ELP) project, first introduced in June 201</w:t>
      </w:r>
      <w:r w:rsidR="000513D4">
        <w:t>7</w:t>
      </w:r>
      <w:r w:rsidRPr="00610D49">
        <w:t xml:space="preserve"> for new private security licence applications. ELP allows licence applica</w:t>
      </w:r>
      <w:r>
        <w:t>tions to be completed and lodged</w:t>
      </w:r>
      <w:r w:rsidRPr="00610D49">
        <w:t xml:space="preserve"> through an online portal. The major objective of the ELP project’s second phase is to transition applications for new firearms licences from manual paper forms to online to electronic smart application forms via the Victoria Police eServices platform.</w:t>
      </w:r>
      <w:r w:rsidRPr="00610D49">
        <w:rPr>
          <w:rStyle w:val="FootnoteReference"/>
        </w:rPr>
        <w:footnoteReference w:id="55"/>
      </w:r>
      <w:r w:rsidRPr="00610D49">
        <w:t xml:space="preserve"> Scoping the risks, benefits and costs of aligning expiry dates for individuals who hold multiple category firearms licences is also under consideration. </w:t>
      </w:r>
      <w:r>
        <w:t>Stakeholders are invited to provide comments on the feasibility of this approach, and the pros and cons of this approach. The impact of the ELP on Licensing and Regulation Division’s processes was factored into the activity-based costing undertaken to support this RIS.</w:t>
      </w:r>
    </w:p>
    <w:p w14:paraId="44942A14" w14:textId="77777777" w:rsidR="00052799" w:rsidRPr="00610D49" w:rsidRDefault="00052799" w:rsidP="00052799">
      <w:pPr>
        <w:pStyle w:val="Body"/>
      </w:pPr>
      <w:r w:rsidRPr="00610D49">
        <w:t xml:space="preserve">Future improvements to the eServices platform may include identification validation, which will reduce the burden on applicants to provide certified identification, a payment portal for the upfront payment of licencing fees, reducing delays resulting from the printing and posting of payment notices, and the ability to update personal details like postal addresses, storage address and contact phone numbers. </w:t>
      </w:r>
    </w:p>
    <w:p w14:paraId="031F1EC8" w14:textId="77777777" w:rsidR="00052799" w:rsidRPr="00610D49" w:rsidRDefault="00052799" w:rsidP="00052799">
      <w:pPr>
        <w:pStyle w:val="Heading2"/>
      </w:pPr>
      <w:bookmarkStart w:id="190" w:name="_Toc495338519"/>
      <w:bookmarkStart w:id="191" w:name="_Toc497492998"/>
      <w:bookmarkStart w:id="192" w:name="_Toc500505484"/>
      <w:bookmarkStart w:id="193" w:name="_Ref501043514"/>
      <w:bookmarkStart w:id="194" w:name="_Toc501539179"/>
      <w:r w:rsidRPr="00610D49">
        <w:t>Fee-related strategic options and assessment</w:t>
      </w:r>
      <w:bookmarkEnd w:id="190"/>
      <w:bookmarkEnd w:id="191"/>
      <w:bookmarkEnd w:id="192"/>
      <w:bookmarkEnd w:id="193"/>
      <w:bookmarkEnd w:id="194"/>
    </w:p>
    <w:p w14:paraId="5BEC8624" w14:textId="77777777" w:rsidR="00052799" w:rsidRPr="00610D49" w:rsidRDefault="00052799" w:rsidP="00052799">
      <w:pPr>
        <w:pStyle w:val="BodyText"/>
      </w:pPr>
      <w:r w:rsidRPr="00610D49">
        <w:t>This RIS includes an assessment of two fee-related options:</w:t>
      </w:r>
    </w:p>
    <w:p w14:paraId="1BE308B8" w14:textId="09EDF2E2" w:rsidR="00052799" w:rsidRPr="00610D49" w:rsidRDefault="00052799" w:rsidP="00052799">
      <w:pPr>
        <w:pStyle w:val="BodyText"/>
        <w:numPr>
          <w:ilvl w:val="0"/>
          <w:numId w:val="54"/>
        </w:numPr>
        <w:tabs>
          <w:tab w:val="clear" w:pos="340"/>
          <w:tab w:val="num" w:pos="1134"/>
        </w:tabs>
        <w:ind w:left="1134"/>
      </w:pPr>
      <w:r w:rsidRPr="00A60C4C">
        <w:rPr>
          <w:b/>
        </w:rPr>
        <w:t>Option 1 – Full cost recovery</w:t>
      </w:r>
      <w:r>
        <w:t xml:space="preserve">: </w:t>
      </w:r>
      <w:r w:rsidRPr="00610D49">
        <w:t>Modify the fee structure and levels to achieve full cost recovery and address cross subsidies in line with the Activity Based Costing</w:t>
      </w:r>
      <w:r w:rsidR="000513D4">
        <w:t>, remove waivers and introduce an application fee</w:t>
      </w:r>
      <w:r w:rsidRPr="00610D49">
        <w:t xml:space="preserve">. </w:t>
      </w:r>
    </w:p>
    <w:p w14:paraId="6FD24C10" w14:textId="35845B36" w:rsidR="00052799" w:rsidRDefault="00052799" w:rsidP="00052799">
      <w:pPr>
        <w:pStyle w:val="BodyText"/>
        <w:numPr>
          <w:ilvl w:val="0"/>
          <w:numId w:val="54"/>
        </w:numPr>
        <w:tabs>
          <w:tab w:val="clear" w:pos="340"/>
          <w:tab w:val="num" w:pos="1134"/>
        </w:tabs>
        <w:ind w:left="1134"/>
      </w:pPr>
      <w:r w:rsidRPr="00A60C4C">
        <w:rPr>
          <w:b/>
        </w:rPr>
        <w:t>Option 2 – Partial cost recovery</w:t>
      </w:r>
      <w:r>
        <w:t xml:space="preserve">: </w:t>
      </w:r>
      <w:r w:rsidRPr="00610D49">
        <w:t xml:space="preserve">Modify the fee structure and levels </w:t>
      </w:r>
      <w:r w:rsidR="000513D4">
        <w:t>to move towards full cost recovery</w:t>
      </w:r>
      <w:r w:rsidRPr="00610D49">
        <w:t xml:space="preserve">, but maintain the primary production exemption, </w:t>
      </w:r>
      <w:r>
        <w:t xml:space="preserve">maintain fees at the current </w:t>
      </w:r>
      <w:r w:rsidRPr="00610D49">
        <w:t>rates for junior licences, provisional licences and reviewing decisions</w:t>
      </w:r>
      <w:r>
        <w:t>, and introduce a concession for older firearms licence applicants</w:t>
      </w:r>
      <w:r w:rsidR="000513D4">
        <w:t xml:space="preserve"> and certain </w:t>
      </w:r>
      <w:r w:rsidR="0099108A">
        <w:t>pensioners</w:t>
      </w:r>
      <w:r w:rsidRPr="00610D49">
        <w:t>.</w:t>
      </w:r>
    </w:p>
    <w:p w14:paraId="71BCFE1E" w14:textId="399AAEBD" w:rsidR="00052799" w:rsidRPr="00610D49" w:rsidRDefault="00052799" w:rsidP="00052799">
      <w:pPr>
        <w:pStyle w:val="BodyText"/>
        <w:ind w:left="720"/>
      </w:pPr>
      <w:r w:rsidRPr="00610D49">
        <w:t>Option 1 is the full cost recovery option in that it is projected to generate revenue equal to the projected costs of administering those elements of the regulatory regime for which costs are recoverable. Option</w:t>
      </w:r>
      <w:r w:rsidR="000513D4">
        <w:t> </w:t>
      </w:r>
      <w:r w:rsidRPr="00610D49">
        <w:t xml:space="preserve">2 include a number of deviations from full cost recovery, including exemptions on public policy grounds for certain classes of applicants or licences, as discussed below. </w:t>
      </w:r>
    </w:p>
    <w:p w14:paraId="7A6DABEC" w14:textId="6470E6E6" w:rsidR="00052799" w:rsidRPr="00610D49" w:rsidRDefault="001C7D77" w:rsidP="00052799">
      <w:pPr>
        <w:pStyle w:val="BodyText"/>
        <w:ind w:left="720"/>
      </w:pPr>
      <w:r w:rsidRPr="00610D49">
        <w:t xml:space="preserve">Table </w:t>
      </w:r>
      <w:r>
        <w:rPr>
          <w:noProof/>
        </w:rPr>
        <w:t>27</w:t>
      </w:r>
      <w:r w:rsidR="00052799" w:rsidRPr="00610D49">
        <w:t xml:space="preserve"> below provides a summary of results from the three strategic options. The table includes revenue generated, the percentage of costs recovered, the multi-criteri</w:t>
      </w:r>
      <w:r w:rsidR="007C0701">
        <w:t>a assessment score (with Option </w:t>
      </w:r>
      <w:r w:rsidR="00052799" w:rsidRPr="00610D49">
        <w:t xml:space="preserve">2 scoring the highest) and the key features of each option that drive these differences. </w:t>
      </w:r>
    </w:p>
    <w:p w14:paraId="5C6973A5" w14:textId="39A8F991" w:rsidR="00052799" w:rsidRPr="00610D49" w:rsidRDefault="00052799" w:rsidP="00052799">
      <w:pPr>
        <w:pStyle w:val="Caption"/>
      </w:pPr>
      <w:bookmarkStart w:id="195" w:name="_Ref496783686"/>
      <w:r w:rsidRPr="00610D49">
        <w:t xml:space="preserve">Table </w:t>
      </w:r>
      <w:r w:rsidR="001C7D77">
        <w:rPr>
          <w:noProof/>
        </w:rPr>
        <w:t>27</w:t>
      </w:r>
      <w:bookmarkEnd w:id="195"/>
      <w:r w:rsidRPr="00610D49">
        <w:t xml:space="preserve">: Summary of total projected revenue and rate of cost recovery for each option </w:t>
      </w:r>
    </w:p>
    <w:tbl>
      <w:tblPr>
        <w:tblW w:w="9221" w:type="dxa"/>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Table 27: Summary of total projected revenue and rate of cost recovery for each option"/>
      </w:tblPr>
      <w:tblGrid>
        <w:gridCol w:w="1737"/>
        <w:gridCol w:w="1417"/>
        <w:gridCol w:w="2098"/>
        <w:gridCol w:w="2268"/>
        <w:gridCol w:w="1701"/>
      </w:tblGrid>
      <w:tr w:rsidR="00052799" w:rsidRPr="00975D38" w14:paraId="2C04B0B6" w14:textId="77777777" w:rsidTr="00052799">
        <w:trPr>
          <w:trHeight w:val="256"/>
          <w:tblHeader/>
        </w:trPr>
        <w:tc>
          <w:tcPr>
            <w:tcW w:w="1737" w:type="dxa"/>
            <w:shd w:val="clear" w:color="auto" w:fill="002060"/>
          </w:tcPr>
          <w:p w14:paraId="548664F8" w14:textId="77777777" w:rsidR="00052799" w:rsidRPr="00975D38" w:rsidRDefault="00052799" w:rsidP="00871631">
            <w:pPr>
              <w:pStyle w:val="Tabletext0"/>
              <w:jc w:val="center"/>
              <w:rPr>
                <w:color w:val="FFFFFF"/>
                <w:sz w:val="18"/>
                <w:szCs w:val="18"/>
              </w:rPr>
            </w:pPr>
          </w:p>
        </w:tc>
        <w:tc>
          <w:tcPr>
            <w:tcW w:w="1417" w:type="dxa"/>
            <w:shd w:val="clear" w:color="auto" w:fill="002060"/>
          </w:tcPr>
          <w:p w14:paraId="42DC6ABD" w14:textId="77777777" w:rsidR="00052799" w:rsidRPr="00975D38" w:rsidRDefault="00052799" w:rsidP="00871631">
            <w:pPr>
              <w:pStyle w:val="Tabletext0"/>
              <w:jc w:val="center"/>
              <w:rPr>
                <w:b/>
                <w:color w:val="FFFFFF"/>
                <w:sz w:val="18"/>
                <w:szCs w:val="18"/>
              </w:rPr>
            </w:pPr>
            <w:r>
              <w:rPr>
                <w:b/>
                <w:color w:val="FFFFFF"/>
                <w:sz w:val="18"/>
                <w:szCs w:val="18"/>
              </w:rPr>
              <w:t>Base case</w:t>
            </w:r>
          </w:p>
        </w:tc>
        <w:tc>
          <w:tcPr>
            <w:tcW w:w="2098" w:type="dxa"/>
            <w:shd w:val="clear" w:color="auto" w:fill="002060"/>
          </w:tcPr>
          <w:p w14:paraId="1CF7BD0A" w14:textId="77777777" w:rsidR="00052799" w:rsidRPr="00975D38" w:rsidRDefault="00052799" w:rsidP="00871631">
            <w:pPr>
              <w:pStyle w:val="Tabletext0"/>
              <w:jc w:val="center"/>
              <w:rPr>
                <w:b/>
                <w:color w:val="FFFFFF"/>
                <w:sz w:val="18"/>
                <w:szCs w:val="18"/>
              </w:rPr>
            </w:pPr>
            <w:r w:rsidRPr="00975D38">
              <w:rPr>
                <w:b/>
                <w:color w:val="FFFFFF"/>
                <w:sz w:val="18"/>
                <w:szCs w:val="18"/>
              </w:rPr>
              <w:t xml:space="preserve">Option 1: </w:t>
            </w:r>
          </w:p>
          <w:p w14:paraId="671BDD15" w14:textId="77777777" w:rsidR="00052799" w:rsidRPr="00975D38" w:rsidRDefault="00052799" w:rsidP="00871631">
            <w:pPr>
              <w:pStyle w:val="Tabletext0"/>
              <w:jc w:val="center"/>
              <w:rPr>
                <w:b/>
                <w:color w:val="FFFFFF"/>
                <w:sz w:val="18"/>
                <w:szCs w:val="18"/>
              </w:rPr>
            </w:pPr>
            <w:r w:rsidRPr="00975D38">
              <w:rPr>
                <w:b/>
                <w:color w:val="FFFFFF"/>
                <w:sz w:val="18"/>
                <w:szCs w:val="18"/>
              </w:rPr>
              <w:t>Full cost recovery</w:t>
            </w:r>
          </w:p>
        </w:tc>
        <w:tc>
          <w:tcPr>
            <w:tcW w:w="2268" w:type="dxa"/>
            <w:shd w:val="clear" w:color="auto" w:fill="002060"/>
          </w:tcPr>
          <w:p w14:paraId="32FD4E2A" w14:textId="77777777" w:rsidR="00052799" w:rsidRPr="00975D38" w:rsidRDefault="00052799" w:rsidP="00871631">
            <w:pPr>
              <w:pStyle w:val="Tabletext0"/>
              <w:jc w:val="center"/>
              <w:rPr>
                <w:b/>
                <w:color w:val="FFFFFF"/>
                <w:sz w:val="18"/>
                <w:szCs w:val="18"/>
              </w:rPr>
            </w:pPr>
            <w:r w:rsidRPr="00975D38">
              <w:rPr>
                <w:b/>
                <w:color w:val="FFFFFF"/>
                <w:sz w:val="18"/>
                <w:szCs w:val="18"/>
              </w:rPr>
              <w:t>Option 2:</w:t>
            </w:r>
          </w:p>
          <w:p w14:paraId="3AAC6B70" w14:textId="77777777" w:rsidR="00052799" w:rsidRPr="00975D38" w:rsidRDefault="00052799" w:rsidP="00871631">
            <w:pPr>
              <w:pStyle w:val="Tabletext0"/>
              <w:jc w:val="center"/>
              <w:rPr>
                <w:b/>
                <w:color w:val="FFFFFF"/>
                <w:sz w:val="18"/>
                <w:szCs w:val="18"/>
              </w:rPr>
            </w:pPr>
            <w:r w:rsidRPr="00975D38">
              <w:rPr>
                <w:b/>
                <w:color w:val="FFFFFF"/>
                <w:sz w:val="18"/>
                <w:szCs w:val="18"/>
              </w:rPr>
              <w:t>Partial cost recovery</w:t>
            </w:r>
          </w:p>
        </w:tc>
        <w:tc>
          <w:tcPr>
            <w:tcW w:w="1701" w:type="dxa"/>
            <w:shd w:val="clear" w:color="auto" w:fill="595959"/>
          </w:tcPr>
          <w:p w14:paraId="03A27AC9" w14:textId="77777777" w:rsidR="00052799" w:rsidRPr="00975D38" w:rsidRDefault="00052799" w:rsidP="00871631">
            <w:pPr>
              <w:pStyle w:val="Tabletext0"/>
              <w:jc w:val="center"/>
              <w:rPr>
                <w:b/>
                <w:color w:val="FFFFFF"/>
                <w:sz w:val="18"/>
                <w:szCs w:val="18"/>
              </w:rPr>
            </w:pPr>
            <w:r w:rsidRPr="00975D38">
              <w:rPr>
                <w:b/>
                <w:color w:val="FFFFFF"/>
                <w:sz w:val="18"/>
                <w:szCs w:val="18"/>
              </w:rPr>
              <w:t>Current regulations:</w:t>
            </w:r>
          </w:p>
          <w:p w14:paraId="0B4D355C" w14:textId="77777777" w:rsidR="00052799" w:rsidRPr="00975D38" w:rsidRDefault="00052799" w:rsidP="00871631">
            <w:pPr>
              <w:pStyle w:val="Tabletext0"/>
              <w:jc w:val="center"/>
              <w:rPr>
                <w:b/>
                <w:color w:val="FFFFFF"/>
                <w:sz w:val="18"/>
                <w:szCs w:val="18"/>
              </w:rPr>
            </w:pPr>
            <w:r w:rsidRPr="00975D38">
              <w:rPr>
                <w:b/>
                <w:color w:val="FFFFFF"/>
                <w:sz w:val="18"/>
                <w:szCs w:val="18"/>
              </w:rPr>
              <w:t>Partial cost recovery</w:t>
            </w:r>
          </w:p>
        </w:tc>
      </w:tr>
      <w:tr w:rsidR="00052799" w:rsidRPr="00975D38" w14:paraId="096D42B3" w14:textId="77777777" w:rsidTr="00871631">
        <w:trPr>
          <w:trHeight w:val="20"/>
        </w:trPr>
        <w:tc>
          <w:tcPr>
            <w:tcW w:w="1737" w:type="dxa"/>
            <w:shd w:val="clear" w:color="auto" w:fill="2F5496"/>
          </w:tcPr>
          <w:p w14:paraId="4AFC08FD" w14:textId="77777777" w:rsidR="00052799" w:rsidRPr="00975D38" w:rsidRDefault="00052799" w:rsidP="00871631">
            <w:pPr>
              <w:pStyle w:val="Tabletext0"/>
              <w:jc w:val="center"/>
              <w:rPr>
                <w:b/>
                <w:color w:val="FFFFFF"/>
                <w:sz w:val="18"/>
                <w:szCs w:val="18"/>
              </w:rPr>
            </w:pPr>
            <w:r w:rsidRPr="00975D38">
              <w:rPr>
                <w:b/>
                <w:color w:val="FFFFFF"/>
                <w:sz w:val="18"/>
                <w:szCs w:val="18"/>
              </w:rPr>
              <w:t>Total revenue</w:t>
            </w:r>
          </w:p>
          <w:p w14:paraId="41F1A7B4" w14:textId="77777777" w:rsidR="00052799" w:rsidRPr="00975D38" w:rsidRDefault="00052799" w:rsidP="00871631">
            <w:pPr>
              <w:pStyle w:val="Tabletext0"/>
              <w:jc w:val="center"/>
              <w:rPr>
                <w:b/>
                <w:color w:val="FFFFFF"/>
                <w:sz w:val="18"/>
                <w:szCs w:val="18"/>
              </w:rPr>
            </w:pPr>
            <w:r w:rsidRPr="00975D38">
              <w:rPr>
                <w:b/>
                <w:color w:val="FFFFFF"/>
                <w:sz w:val="18"/>
                <w:szCs w:val="18"/>
              </w:rPr>
              <w:t>(17/18 $)</w:t>
            </w:r>
          </w:p>
        </w:tc>
        <w:tc>
          <w:tcPr>
            <w:tcW w:w="1417" w:type="dxa"/>
          </w:tcPr>
          <w:p w14:paraId="6EBB7D67" w14:textId="77777777" w:rsidR="00052799" w:rsidRPr="00975D38" w:rsidRDefault="00052799" w:rsidP="00871631">
            <w:pPr>
              <w:pStyle w:val="Tabletext0"/>
              <w:jc w:val="center"/>
              <w:rPr>
                <w:sz w:val="18"/>
                <w:szCs w:val="18"/>
              </w:rPr>
            </w:pPr>
            <w:r>
              <w:rPr>
                <w:sz w:val="18"/>
                <w:szCs w:val="18"/>
              </w:rPr>
              <w:t>$0.0 million</w:t>
            </w:r>
          </w:p>
        </w:tc>
        <w:tc>
          <w:tcPr>
            <w:tcW w:w="2098" w:type="dxa"/>
            <w:shd w:val="clear" w:color="auto" w:fill="auto"/>
            <w:noWrap/>
          </w:tcPr>
          <w:p w14:paraId="29C6D088" w14:textId="77777777" w:rsidR="00052799" w:rsidRPr="00975D38" w:rsidRDefault="00052799" w:rsidP="00871631">
            <w:pPr>
              <w:pStyle w:val="Tabletext0"/>
              <w:jc w:val="center"/>
              <w:rPr>
                <w:sz w:val="18"/>
                <w:szCs w:val="18"/>
              </w:rPr>
            </w:pPr>
            <w:r w:rsidRPr="00975D38">
              <w:rPr>
                <w:sz w:val="18"/>
                <w:szCs w:val="18"/>
              </w:rPr>
              <w:t>$13.7 million</w:t>
            </w:r>
          </w:p>
        </w:tc>
        <w:tc>
          <w:tcPr>
            <w:tcW w:w="2268" w:type="dxa"/>
            <w:shd w:val="clear" w:color="auto" w:fill="auto"/>
          </w:tcPr>
          <w:p w14:paraId="4B3AAB7A" w14:textId="77777777" w:rsidR="00052799" w:rsidRPr="00975D38" w:rsidRDefault="00052799" w:rsidP="00871631">
            <w:pPr>
              <w:pStyle w:val="Tabletext0"/>
              <w:jc w:val="center"/>
              <w:rPr>
                <w:sz w:val="18"/>
                <w:szCs w:val="18"/>
              </w:rPr>
            </w:pPr>
            <w:r w:rsidRPr="00975D38">
              <w:rPr>
                <w:sz w:val="18"/>
                <w:szCs w:val="18"/>
              </w:rPr>
              <w:t>$11.</w:t>
            </w:r>
            <w:r>
              <w:rPr>
                <w:sz w:val="18"/>
                <w:szCs w:val="18"/>
              </w:rPr>
              <w:t>1</w:t>
            </w:r>
            <w:r w:rsidRPr="00975D38">
              <w:rPr>
                <w:sz w:val="18"/>
                <w:szCs w:val="18"/>
              </w:rPr>
              <w:t xml:space="preserve"> million</w:t>
            </w:r>
          </w:p>
        </w:tc>
        <w:tc>
          <w:tcPr>
            <w:tcW w:w="1701" w:type="dxa"/>
          </w:tcPr>
          <w:p w14:paraId="24D13865" w14:textId="77777777" w:rsidR="00052799" w:rsidRPr="00975D38" w:rsidRDefault="00052799" w:rsidP="00871631">
            <w:pPr>
              <w:pStyle w:val="Tabletext0"/>
              <w:jc w:val="center"/>
              <w:rPr>
                <w:sz w:val="18"/>
                <w:szCs w:val="18"/>
              </w:rPr>
            </w:pPr>
            <w:r w:rsidRPr="00975D38">
              <w:rPr>
                <w:sz w:val="18"/>
                <w:szCs w:val="18"/>
              </w:rPr>
              <w:t>$10.7 million</w:t>
            </w:r>
          </w:p>
        </w:tc>
      </w:tr>
      <w:tr w:rsidR="00052799" w:rsidRPr="00975D38" w14:paraId="498C24C4" w14:textId="77777777" w:rsidTr="00871631">
        <w:trPr>
          <w:trHeight w:val="20"/>
        </w:trPr>
        <w:tc>
          <w:tcPr>
            <w:tcW w:w="1737" w:type="dxa"/>
            <w:shd w:val="clear" w:color="auto" w:fill="2F5496"/>
          </w:tcPr>
          <w:p w14:paraId="3FA495DC" w14:textId="77777777" w:rsidR="00052799" w:rsidRPr="00975D38" w:rsidRDefault="00052799" w:rsidP="00871631">
            <w:pPr>
              <w:pStyle w:val="Tabletext0"/>
              <w:jc w:val="center"/>
              <w:rPr>
                <w:sz w:val="18"/>
                <w:szCs w:val="18"/>
              </w:rPr>
            </w:pPr>
            <w:r w:rsidRPr="00975D38">
              <w:rPr>
                <w:b/>
                <w:color w:val="FFFFFF"/>
                <w:sz w:val="18"/>
                <w:szCs w:val="18"/>
              </w:rPr>
              <w:t>Percentage of costs recovered</w:t>
            </w:r>
          </w:p>
        </w:tc>
        <w:tc>
          <w:tcPr>
            <w:tcW w:w="1417" w:type="dxa"/>
          </w:tcPr>
          <w:p w14:paraId="2815E1AE" w14:textId="77777777" w:rsidR="00052799" w:rsidRPr="00975D38" w:rsidRDefault="00052799" w:rsidP="00871631">
            <w:pPr>
              <w:pStyle w:val="Tabletext0"/>
              <w:jc w:val="center"/>
              <w:rPr>
                <w:sz w:val="18"/>
                <w:szCs w:val="18"/>
              </w:rPr>
            </w:pPr>
            <w:r>
              <w:rPr>
                <w:sz w:val="18"/>
                <w:szCs w:val="18"/>
              </w:rPr>
              <w:t>0%</w:t>
            </w:r>
          </w:p>
        </w:tc>
        <w:tc>
          <w:tcPr>
            <w:tcW w:w="2098" w:type="dxa"/>
            <w:shd w:val="clear" w:color="auto" w:fill="auto"/>
            <w:noWrap/>
          </w:tcPr>
          <w:p w14:paraId="6A7F91FF" w14:textId="77777777" w:rsidR="00052799" w:rsidRPr="00975D38" w:rsidRDefault="00052799" w:rsidP="00871631">
            <w:pPr>
              <w:pStyle w:val="Tabletext0"/>
              <w:jc w:val="center"/>
              <w:rPr>
                <w:sz w:val="18"/>
                <w:szCs w:val="18"/>
              </w:rPr>
            </w:pPr>
            <w:r w:rsidRPr="00975D38">
              <w:rPr>
                <w:sz w:val="18"/>
                <w:szCs w:val="18"/>
              </w:rPr>
              <w:t>100%</w:t>
            </w:r>
          </w:p>
        </w:tc>
        <w:tc>
          <w:tcPr>
            <w:tcW w:w="2268" w:type="dxa"/>
            <w:shd w:val="clear" w:color="auto" w:fill="auto"/>
          </w:tcPr>
          <w:p w14:paraId="3B10CFE9" w14:textId="77777777" w:rsidR="00052799" w:rsidRPr="00975D38" w:rsidRDefault="00052799" w:rsidP="00871631">
            <w:pPr>
              <w:pStyle w:val="Tabletext0"/>
              <w:jc w:val="center"/>
              <w:rPr>
                <w:sz w:val="18"/>
                <w:szCs w:val="18"/>
              </w:rPr>
            </w:pPr>
            <w:r w:rsidRPr="00975D38">
              <w:rPr>
                <w:sz w:val="18"/>
                <w:szCs w:val="18"/>
              </w:rPr>
              <w:t>8</w:t>
            </w:r>
            <w:r>
              <w:rPr>
                <w:sz w:val="18"/>
                <w:szCs w:val="18"/>
              </w:rPr>
              <w:t>1</w:t>
            </w:r>
            <w:r w:rsidRPr="00975D38">
              <w:rPr>
                <w:sz w:val="18"/>
                <w:szCs w:val="18"/>
              </w:rPr>
              <w:t>%</w:t>
            </w:r>
          </w:p>
        </w:tc>
        <w:tc>
          <w:tcPr>
            <w:tcW w:w="1701" w:type="dxa"/>
          </w:tcPr>
          <w:p w14:paraId="0F04E32E" w14:textId="77777777" w:rsidR="00052799" w:rsidRPr="00975D38" w:rsidRDefault="00052799" w:rsidP="00871631">
            <w:pPr>
              <w:pStyle w:val="Tabletext0"/>
              <w:jc w:val="center"/>
              <w:rPr>
                <w:sz w:val="18"/>
                <w:szCs w:val="18"/>
              </w:rPr>
            </w:pPr>
            <w:r w:rsidRPr="00975D38">
              <w:rPr>
                <w:sz w:val="18"/>
                <w:szCs w:val="18"/>
              </w:rPr>
              <w:t>78%</w:t>
            </w:r>
          </w:p>
        </w:tc>
      </w:tr>
      <w:tr w:rsidR="00052799" w:rsidRPr="00975D38" w14:paraId="421FB091" w14:textId="77777777" w:rsidTr="00871631">
        <w:trPr>
          <w:trHeight w:val="20"/>
        </w:trPr>
        <w:tc>
          <w:tcPr>
            <w:tcW w:w="1737" w:type="dxa"/>
            <w:shd w:val="clear" w:color="auto" w:fill="2F5496"/>
          </w:tcPr>
          <w:p w14:paraId="206B50DE" w14:textId="77777777" w:rsidR="00052799" w:rsidRPr="00975D38" w:rsidRDefault="00052799" w:rsidP="00871631">
            <w:pPr>
              <w:pStyle w:val="Tabletext0"/>
              <w:jc w:val="center"/>
              <w:rPr>
                <w:b/>
                <w:color w:val="FFFFFF"/>
                <w:sz w:val="18"/>
                <w:szCs w:val="18"/>
              </w:rPr>
            </w:pPr>
            <w:r w:rsidRPr="00975D38">
              <w:rPr>
                <w:b/>
                <w:color w:val="FFFFFF"/>
                <w:sz w:val="18"/>
                <w:szCs w:val="18"/>
              </w:rPr>
              <w:t>Multi-criteria assessment</w:t>
            </w:r>
          </w:p>
        </w:tc>
        <w:tc>
          <w:tcPr>
            <w:tcW w:w="1417" w:type="dxa"/>
          </w:tcPr>
          <w:p w14:paraId="500A0A12" w14:textId="77777777" w:rsidR="00052799" w:rsidRPr="00975D38" w:rsidRDefault="00052799" w:rsidP="00871631">
            <w:pPr>
              <w:pStyle w:val="Tabletext0"/>
              <w:jc w:val="center"/>
              <w:rPr>
                <w:sz w:val="18"/>
                <w:szCs w:val="18"/>
              </w:rPr>
            </w:pPr>
            <w:r>
              <w:rPr>
                <w:sz w:val="18"/>
                <w:szCs w:val="18"/>
              </w:rPr>
              <w:t>0</w:t>
            </w:r>
          </w:p>
        </w:tc>
        <w:tc>
          <w:tcPr>
            <w:tcW w:w="2098" w:type="dxa"/>
            <w:shd w:val="clear" w:color="auto" w:fill="auto"/>
            <w:noWrap/>
          </w:tcPr>
          <w:p w14:paraId="2C3141F0" w14:textId="77777777" w:rsidR="00052799" w:rsidRPr="00975D38" w:rsidRDefault="00284A42" w:rsidP="00871631">
            <w:pPr>
              <w:pStyle w:val="Tabletext0"/>
              <w:jc w:val="center"/>
              <w:rPr>
                <w:sz w:val="18"/>
                <w:szCs w:val="18"/>
              </w:rPr>
            </w:pPr>
            <w:r>
              <w:rPr>
                <w:sz w:val="18"/>
                <w:szCs w:val="18"/>
              </w:rPr>
              <w:t>3.2</w:t>
            </w:r>
          </w:p>
        </w:tc>
        <w:tc>
          <w:tcPr>
            <w:tcW w:w="2268" w:type="dxa"/>
            <w:shd w:val="clear" w:color="auto" w:fill="auto"/>
          </w:tcPr>
          <w:p w14:paraId="78BB4F27" w14:textId="77777777" w:rsidR="00052799" w:rsidRPr="00975D38" w:rsidRDefault="00052799" w:rsidP="00871631">
            <w:pPr>
              <w:pStyle w:val="Tabletext0"/>
              <w:jc w:val="center"/>
              <w:rPr>
                <w:sz w:val="18"/>
                <w:szCs w:val="18"/>
              </w:rPr>
            </w:pPr>
            <w:r>
              <w:rPr>
                <w:sz w:val="18"/>
                <w:szCs w:val="18"/>
              </w:rPr>
              <w:t>3.5</w:t>
            </w:r>
          </w:p>
        </w:tc>
        <w:tc>
          <w:tcPr>
            <w:tcW w:w="1701" w:type="dxa"/>
          </w:tcPr>
          <w:p w14:paraId="44D8897F" w14:textId="77777777" w:rsidR="00052799" w:rsidRPr="00975D38" w:rsidRDefault="00052799" w:rsidP="00871631">
            <w:pPr>
              <w:pStyle w:val="Tabletext0"/>
              <w:jc w:val="center"/>
              <w:rPr>
                <w:sz w:val="18"/>
                <w:szCs w:val="18"/>
              </w:rPr>
            </w:pPr>
            <w:r>
              <w:rPr>
                <w:sz w:val="18"/>
                <w:szCs w:val="18"/>
              </w:rPr>
              <w:t>N/A</w:t>
            </w:r>
          </w:p>
        </w:tc>
      </w:tr>
      <w:tr w:rsidR="00052799" w:rsidRPr="00975D38" w14:paraId="06FF2E13" w14:textId="77777777" w:rsidTr="00871631">
        <w:trPr>
          <w:trHeight w:val="20"/>
        </w:trPr>
        <w:tc>
          <w:tcPr>
            <w:tcW w:w="1737" w:type="dxa"/>
            <w:shd w:val="clear" w:color="auto" w:fill="2F5496"/>
          </w:tcPr>
          <w:p w14:paraId="54C585F0" w14:textId="77777777" w:rsidR="00052799" w:rsidRPr="00975D38" w:rsidRDefault="00052799" w:rsidP="00871631">
            <w:pPr>
              <w:pStyle w:val="Tabletext0"/>
              <w:jc w:val="center"/>
              <w:rPr>
                <w:b/>
                <w:color w:val="FFFFFF"/>
                <w:sz w:val="18"/>
                <w:szCs w:val="18"/>
              </w:rPr>
            </w:pPr>
            <w:r w:rsidRPr="00975D38">
              <w:rPr>
                <w:b/>
                <w:color w:val="FFFFFF"/>
                <w:sz w:val="18"/>
                <w:szCs w:val="18"/>
              </w:rPr>
              <w:t xml:space="preserve">Key features of this option </w:t>
            </w:r>
          </w:p>
        </w:tc>
        <w:tc>
          <w:tcPr>
            <w:tcW w:w="1417" w:type="dxa"/>
          </w:tcPr>
          <w:p w14:paraId="38B02B2B" w14:textId="77777777" w:rsidR="00052799" w:rsidRDefault="00052799" w:rsidP="00052799">
            <w:pPr>
              <w:pStyle w:val="Tabletext0"/>
              <w:numPr>
                <w:ilvl w:val="0"/>
                <w:numId w:val="59"/>
              </w:numPr>
              <w:rPr>
                <w:sz w:val="18"/>
                <w:szCs w:val="18"/>
              </w:rPr>
            </w:pPr>
            <w:r>
              <w:rPr>
                <w:sz w:val="18"/>
                <w:szCs w:val="18"/>
              </w:rPr>
              <w:t xml:space="preserve">No fees charged </w:t>
            </w:r>
          </w:p>
          <w:p w14:paraId="5974E870" w14:textId="77777777" w:rsidR="00052799" w:rsidRPr="00975D38" w:rsidRDefault="00052799" w:rsidP="00052799">
            <w:pPr>
              <w:pStyle w:val="Tabletext0"/>
              <w:numPr>
                <w:ilvl w:val="0"/>
                <w:numId w:val="59"/>
              </w:numPr>
              <w:rPr>
                <w:sz w:val="18"/>
                <w:szCs w:val="18"/>
              </w:rPr>
            </w:pPr>
            <w:r>
              <w:rPr>
                <w:sz w:val="18"/>
                <w:szCs w:val="18"/>
              </w:rPr>
              <w:t xml:space="preserve">All costs recovered from </w:t>
            </w:r>
            <w:r w:rsidRPr="00975D38">
              <w:rPr>
                <w:sz w:val="18"/>
                <w:szCs w:val="18"/>
              </w:rPr>
              <w:t>general taxpayers</w:t>
            </w:r>
          </w:p>
        </w:tc>
        <w:tc>
          <w:tcPr>
            <w:tcW w:w="2098" w:type="dxa"/>
            <w:shd w:val="clear" w:color="auto" w:fill="auto"/>
            <w:noWrap/>
          </w:tcPr>
          <w:p w14:paraId="7505E607" w14:textId="77777777" w:rsidR="00052799" w:rsidRPr="00975D38" w:rsidRDefault="00052799" w:rsidP="00052799">
            <w:pPr>
              <w:pStyle w:val="Tabletext0"/>
              <w:numPr>
                <w:ilvl w:val="0"/>
                <w:numId w:val="59"/>
              </w:numPr>
              <w:rPr>
                <w:sz w:val="18"/>
                <w:szCs w:val="18"/>
              </w:rPr>
            </w:pPr>
            <w:r w:rsidRPr="00975D38">
              <w:rPr>
                <w:sz w:val="18"/>
                <w:szCs w:val="18"/>
              </w:rPr>
              <w:t>Addresses cross subsidies between licence and permit categories, and between general taxpayers and firearm users</w:t>
            </w:r>
          </w:p>
          <w:p w14:paraId="7E569679" w14:textId="77777777" w:rsidR="00052799" w:rsidRDefault="00052799" w:rsidP="00052799">
            <w:pPr>
              <w:pStyle w:val="Tabletext0"/>
              <w:numPr>
                <w:ilvl w:val="0"/>
                <w:numId w:val="59"/>
              </w:numPr>
              <w:rPr>
                <w:sz w:val="18"/>
                <w:szCs w:val="18"/>
              </w:rPr>
            </w:pPr>
            <w:r w:rsidRPr="00975D38">
              <w:rPr>
                <w:sz w:val="18"/>
                <w:szCs w:val="18"/>
              </w:rPr>
              <w:t>Addresses under-recovery identified through ABC modelling</w:t>
            </w:r>
          </w:p>
          <w:p w14:paraId="663C1A64" w14:textId="2ACD671D" w:rsidR="000513D4" w:rsidRPr="00975D38" w:rsidRDefault="000513D4" w:rsidP="00052799">
            <w:pPr>
              <w:pStyle w:val="Tabletext0"/>
              <w:numPr>
                <w:ilvl w:val="0"/>
                <w:numId w:val="59"/>
              </w:numPr>
              <w:rPr>
                <w:sz w:val="18"/>
                <w:szCs w:val="18"/>
              </w:rPr>
            </w:pPr>
            <w:r>
              <w:rPr>
                <w:sz w:val="18"/>
                <w:szCs w:val="18"/>
              </w:rPr>
              <w:t>Introduces application fee</w:t>
            </w:r>
          </w:p>
          <w:p w14:paraId="24F995E2" w14:textId="77777777" w:rsidR="00052799" w:rsidRDefault="00052799" w:rsidP="00052799">
            <w:pPr>
              <w:pStyle w:val="Tabletext0"/>
              <w:numPr>
                <w:ilvl w:val="0"/>
                <w:numId w:val="59"/>
              </w:numPr>
              <w:rPr>
                <w:sz w:val="18"/>
                <w:szCs w:val="18"/>
              </w:rPr>
            </w:pPr>
            <w:r w:rsidRPr="00975D38">
              <w:rPr>
                <w:sz w:val="18"/>
                <w:szCs w:val="18"/>
              </w:rPr>
              <w:t>Eliminates primary production waiver</w:t>
            </w:r>
          </w:p>
          <w:p w14:paraId="5AD78A94" w14:textId="15F7CA7B" w:rsidR="000513D4" w:rsidRPr="00975D38" w:rsidRDefault="000513D4" w:rsidP="00052799">
            <w:pPr>
              <w:pStyle w:val="Tabletext0"/>
              <w:numPr>
                <w:ilvl w:val="0"/>
                <w:numId w:val="59"/>
              </w:numPr>
              <w:rPr>
                <w:sz w:val="18"/>
                <w:szCs w:val="18"/>
              </w:rPr>
            </w:pPr>
            <w:r>
              <w:rPr>
                <w:sz w:val="18"/>
                <w:szCs w:val="18"/>
              </w:rPr>
              <w:t>No contribution from general revenue</w:t>
            </w:r>
          </w:p>
        </w:tc>
        <w:tc>
          <w:tcPr>
            <w:tcW w:w="2268" w:type="dxa"/>
            <w:shd w:val="clear" w:color="auto" w:fill="auto"/>
          </w:tcPr>
          <w:p w14:paraId="19EC3BE4" w14:textId="53D15C67" w:rsidR="00052799" w:rsidRPr="00975D38" w:rsidRDefault="000513D4" w:rsidP="00052799">
            <w:pPr>
              <w:pStyle w:val="Tabletext0"/>
              <w:numPr>
                <w:ilvl w:val="0"/>
                <w:numId w:val="59"/>
              </w:numPr>
              <w:rPr>
                <w:sz w:val="18"/>
                <w:szCs w:val="18"/>
              </w:rPr>
            </w:pPr>
            <w:r>
              <w:rPr>
                <w:sz w:val="18"/>
                <w:szCs w:val="18"/>
              </w:rPr>
              <w:t>Partially a</w:t>
            </w:r>
            <w:r w:rsidR="00052799" w:rsidRPr="00975D38">
              <w:rPr>
                <w:sz w:val="18"/>
                <w:szCs w:val="18"/>
              </w:rPr>
              <w:t>ddresses cross subsidies between licence and permit categories</w:t>
            </w:r>
          </w:p>
          <w:p w14:paraId="16C2516E" w14:textId="77777777" w:rsidR="00052799" w:rsidRPr="00975D38" w:rsidRDefault="00052799" w:rsidP="00052799">
            <w:pPr>
              <w:pStyle w:val="Tabletext0"/>
              <w:numPr>
                <w:ilvl w:val="0"/>
                <w:numId w:val="59"/>
              </w:numPr>
              <w:rPr>
                <w:sz w:val="18"/>
                <w:szCs w:val="18"/>
              </w:rPr>
            </w:pPr>
            <w:r w:rsidRPr="00975D38">
              <w:rPr>
                <w:sz w:val="18"/>
                <w:szCs w:val="18"/>
              </w:rPr>
              <w:t>Addresses some under-recovery, but relative to Option 1, this option smooths the impact of large fee increases for certain fee categories by holding fees constant for other fee categories which would have decreased under Option 1</w:t>
            </w:r>
          </w:p>
          <w:p w14:paraId="37BA93E5" w14:textId="77777777" w:rsidR="00052799" w:rsidRPr="00975D38" w:rsidRDefault="00052799" w:rsidP="00052799">
            <w:pPr>
              <w:pStyle w:val="Tabletext0"/>
              <w:numPr>
                <w:ilvl w:val="0"/>
                <w:numId w:val="59"/>
              </w:numPr>
              <w:rPr>
                <w:sz w:val="18"/>
                <w:szCs w:val="18"/>
              </w:rPr>
            </w:pPr>
            <w:r w:rsidRPr="00975D38">
              <w:rPr>
                <w:sz w:val="18"/>
                <w:szCs w:val="18"/>
              </w:rPr>
              <w:t>Maintains primary production waiver</w:t>
            </w:r>
          </w:p>
          <w:p w14:paraId="0BC8951B" w14:textId="2CED863A" w:rsidR="00052799" w:rsidRDefault="00052799" w:rsidP="00052799">
            <w:pPr>
              <w:pStyle w:val="Tabletext0"/>
              <w:numPr>
                <w:ilvl w:val="0"/>
                <w:numId w:val="59"/>
              </w:numPr>
              <w:rPr>
                <w:sz w:val="18"/>
                <w:szCs w:val="18"/>
              </w:rPr>
            </w:pPr>
            <w:r w:rsidRPr="00975D38">
              <w:rPr>
                <w:sz w:val="18"/>
                <w:szCs w:val="18"/>
              </w:rPr>
              <w:t xml:space="preserve">No change in current fee for </w:t>
            </w:r>
            <w:r w:rsidR="000513D4">
              <w:rPr>
                <w:sz w:val="18"/>
                <w:szCs w:val="18"/>
              </w:rPr>
              <w:t>j</w:t>
            </w:r>
            <w:r w:rsidRPr="00975D38">
              <w:rPr>
                <w:sz w:val="18"/>
                <w:szCs w:val="18"/>
              </w:rPr>
              <w:t xml:space="preserve">unior licences, provisional licences and decision reviews (each would have increased by over 100 per cent under Option </w:t>
            </w:r>
            <w:r w:rsidR="0038179F">
              <w:rPr>
                <w:sz w:val="18"/>
                <w:szCs w:val="18"/>
              </w:rPr>
              <w:t>1</w:t>
            </w:r>
            <w:r w:rsidRPr="00975D38">
              <w:rPr>
                <w:sz w:val="18"/>
                <w:szCs w:val="18"/>
              </w:rPr>
              <w:t>)</w:t>
            </w:r>
          </w:p>
          <w:p w14:paraId="7753044F" w14:textId="46D9370C" w:rsidR="000513D4" w:rsidRPr="00975D38" w:rsidRDefault="000513D4" w:rsidP="00052799">
            <w:pPr>
              <w:pStyle w:val="Tabletext0"/>
              <w:numPr>
                <w:ilvl w:val="0"/>
                <w:numId w:val="59"/>
              </w:numPr>
              <w:rPr>
                <w:sz w:val="18"/>
                <w:szCs w:val="18"/>
              </w:rPr>
            </w:pPr>
            <w:r>
              <w:rPr>
                <w:sz w:val="18"/>
                <w:szCs w:val="18"/>
              </w:rPr>
              <w:t>Introduces a new 25% discount in fees for pensioners and the aged</w:t>
            </w:r>
          </w:p>
          <w:p w14:paraId="290CE947" w14:textId="2F431FCF" w:rsidR="00052799" w:rsidRPr="00975D38" w:rsidRDefault="00052799" w:rsidP="00052799">
            <w:pPr>
              <w:pStyle w:val="Tabletext0"/>
              <w:numPr>
                <w:ilvl w:val="0"/>
                <w:numId w:val="59"/>
              </w:numPr>
              <w:rPr>
                <w:sz w:val="18"/>
                <w:szCs w:val="18"/>
              </w:rPr>
            </w:pPr>
            <w:r w:rsidRPr="00975D38">
              <w:rPr>
                <w:sz w:val="18"/>
                <w:szCs w:val="18"/>
              </w:rPr>
              <w:t>Remaining 1</w:t>
            </w:r>
            <w:r w:rsidR="000513D4">
              <w:rPr>
                <w:sz w:val="18"/>
                <w:szCs w:val="18"/>
              </w:rPr>
              <w:t>9</w:t>
            </w:r>
            <w:r w:rsidRPr="00975D38">
              <w:rPr>
                <w:sz w:val="18"/>
                <w:szCs w:val="18"/>
              </w:rPr>
              <w:t xml:space="preserve"> per cent of associated costs funded through consolidated revenue</w:t>
            </w:r>
          </w:p>
        </w:tc>
        <w:tc>
          <w:tcPr>
            <w:tcW w:w="1701" w:type="dxa"/>
          </w:tcPr>
          <w:p w14:paraId="6F5E12AB" w14:textId="77777777" w:rsidR="00052799" w:rsidRPr="00975D38" w:rsidRDefault="00052799" w:rsidP="00052799">
            <w:pPr>
              <w:pStyle w:val="Tabletext0"/>
              <w:numPr>
                <w:ilvl w:val="0"/>
                <w:numId w:val="59"/>
              </w:numPr>
              <w:rPr>
                <w:sz w:val="18"/>
                <w:szCs w:val="18"/>
              </w:rPr>
            </w:pPr>
            <w:r w:rsidRPr="00975D38">
              <w:rPr>
                <w:sz w:val="18"/>
                <w:szCs w:val="18"/>
              </w:rPr>
              <w:t>Re-make the Regulations without any changes</w:t>
            </w:r>
          </w:p>
        </w:tc>
      </w:tr>
    </w:tbl>
    <w:p w14:paraId="06973D70" w14:textId="77777777" w:rsidR="00052799" w:rsidRPr="00610D49" w:rsidRDefault="00052799" w:rsidP="00052799">
      <w:pPr>
        <w:pStyle w:val="BodyText"/>
        <w:ind w:left="720"/>
      </w:pPr>
      <w:r w:rsidRPr="00610D49">
        <w:t xml:space="preserve">Detailed fee tables have been produced for each of these options and are shown in Appendix </w:t>
      </w:r>
      <w:r>
        <w:t>2.</w:t>
      </w:r>
      <w:r w:rsidRPr="00610D49">
        <w:t xml:space="preserve"> These include the:</w:t>
      </w:r>
    </w:p>
    <w:p w14:paraId="731C9D71" w14:textId="77777777" w:rsidR="00052799" w:rsidRPr="00610D49" w:rsidRDefault="00052799" w:rsidP="00052799">
      <w:pPr>
        <w:pStyle w:val="BodyText"/>
        <w:numPr>
          <w:ilvl w:val="0"/>
          <w:numId w:val="58"/>
        </w:numPr>
        <w:tabs>
          <w:tab w:val="clear" w:pos="340"/>
          <w:tab w:val="num" w:pos="1060"/>
        </w:tabs>
        <w:ind w:left="1060"/>
      </w:pPr>
      <w:r w:rsidRPr="00610D49">
        <w:t>fee for all 52 licence/permit categories;</w:t>
      </w:r>
    </w:p>
    <w:p w14:paraId="2BD0FB40" w14:textId="77777777" w:rsidR="00052799" w:rsidRPr="00610D49" w:rsidRDefault="00052799" w:rsidP="00052799">
      <w:pPr>
        <w:pStyle w:val="BodyText"/>
        <w:numPr>
          <w:ilvl w:val="0"/>
          <w:numId w:val="58"/>
        </w:numPr>
        <w:tabs>
          <w:tab w:val="clear" w:pos="340"/>
          <w:tab w:val="num" w:pos="1060"/>
        </w:tabs>
        <w:ind w:left="1060"/>
      </w:pPr>
      <w:r w:rsidRPr="00610D49">
        <w:t>total amount recovered for each licence/permit category;</w:t>
      </w:r>
    </w:p>
    <w:p w14:paraId="0B43A231" w14:textId="77777777" w:rsidR="00052799" w:rsidRPr="00610D49" w:rsidRDefault="00052799" w:rsidP="00052799">
      <w:pPr>
        <w:pStyle w:val="BodyText"/>
        <w:numPr>
          <w:ilvl w:val="0"/>
          <w:numId w:val="58"/>
        </w:numPr>
        <w:tabs>
          <w:tab w:val="clear" w:pos="340"/>
          <w:tab w:val="num" w:pos="1060"/>
        </w:tabs>
        <w:ind w:left="1060"/>
      </w:pPr>
      <w:r w:rsidRPr="00610D49">
        <w:t>percentage change in fees as compared to the current fees, based on the 2017–18 value of a fee unit; and</w:t>
      </w:r>
    </w:p>
    <w:p w14:paraId="3CB1E068" w14:textId="77777777" w:rsidR="00052799" w:rsidRPr="00610D49" w:rsidRDefault="00052799" w:rsidP="00052799">
      <w:pPr>
        <w:pStyle w:val="BodyText"/>
        <w:numPr>
          <w:ilvl w:val="0"/>
          <w:numId w:val="58"/>
        </w:numPr>
        <w:tabs>
          <w:tab w:val="clear" w:pos="340"/>
          <w:tab w:val="num" w:pos="1060"/>
        </w:tabs>
        <w:ind w:left="1060"/>
      </w:pPr>
      <w:r w:rsidRPr="00610D49">
        <w:t>dollar amount recovered as compared to the current fees.</w:t>
      </w:r>
    </w:p>
    <w:p w14:paraId="0EFACEE0" w14:textId="3D281FA4" w:rsidR="00052799" w:rsidRPr="00610D49" w:rsidRDefault="00052799" w:rsidP="00052799">
      <w:pPr>
        <w:pStyle w:val="BodyText"/>
        <w:ind w:left="720"/>
      </w:pPr>
      <w:r w:rsidRPr="00610D49">
        <w:t xml:space="preserve">While this section includes the two overarching fee-options that are assessed through this RIS, a number of more specific, ‘sub-options’ are considered within the assessment of </w:t>
      </w:r>
      <w:r w:rsidR="000513D4">
        <w:t>each option</w:t>
      </w:r>
      <w:r w:rsidRPr="00610D49">
        <w:t xml:space="preserve">. </w:t>
      </w:r>
    </w:p>
    <w:p w14:paraId="46DF19BA" w14:textId="77777777" w:rsidR="00052799" w:rsidRPr="00610D49" w:rsidRDefault="00052799" w:rsidP="00052799">
      <w:pPr>
        <w:pStyle w:val="Heading3"/>
      </w:pPr>
      <w:bookmarkStart w:id="196" w:name="_Toc495338520"/>
      <w:bookmarkStart w:id="197" w:name="_Toc497492999"/>
      <w:bookmarkStart w:id="198" w:name="_Toc500505485"/>
      <w:bookmarkStart w:id="199" w:name="_Toc501539180"/>
      <w:r w:rsidRPr="00610D49">
        <w:t>Assessment approach</w:t>
      </w:r>
      <w:bookmarkEnd w:id="196"/>
      <w:bookmarkEnd w:id="197"/>
      <w:bookmarkEnd w:id="198"/>
      <w:bookmarkEnd w:id="199"/>
    </w:p>
    <w:p w14:paraId="77EAD0CE" w14:textId="77777777" w:rsidR="00052799" w:rsidRPr="00610D49" w:rsidRDefault="00052799" w:rsidP="00052799">
      <w:pPr>
        <w:pStyle w:val="BodyText"/>
        <w:ind w:left="720"/>
      </w:pPr>
      <w:r w:rsidRPr="00610D49">
        <w:t>This section assesses the range of fee options</w:t>
      </w:r>
      <w:r>
        <w:t>.</w:t>
      </w:r>
      <w:r w:rsidRPr="00610D49">
        <w:t xml:space="preserve"> The options are assessed using a multi-criteria analysis (MCA) which rates each option against a series of assessment criteria which are weighted according to their importance.</w:t>
      </w:r>
    </w:p>
    <w:p w14:paraId="06595FAF" w14:textId="4752AF71" w:rsidR="00052799" w:rsidRPr="00610D49" w:rsidRDefault="00052799" w:rsidP="00052799">
      <w:pPr>
        <w:pStyle w:val="BodyText"/>
      </w:pPr>
      <w:r w:rsidRPr="00610D49">
        <w:t xml:space="preserve">The MCA framework is particularly useful where it is not possible to quantitatively estimate the benefits and costs of each option, and largely only qualitative evidence is available. The </w:t>
      </w:r>
      <w:r w:rsidRPr="004B487D">
        <w:rPr>
          <w:i/>
        </w:rPr>
        <w:t>Victorian Guide to Regulation</w:t>
      </w:r>
      <w:r w:rsidRPr="00610D49">
        <w:t xml:space="preserve"> indicates that MCAs should be used to compare proposed options against a chosen series of criteria reflecting their key benefits and costs. </w:t>
      </w:r>
    </w:p>
    <w:p w14:paraId="2DB85EF8" w14:textId="77777777" w:rsidR="00052799" w:rsidRPr="00610D49" w:rsidRDefault="00052799" w:rsidP="00052799">
      <w:pPr>
        <w:pStyle w:val="BodyText"/>
      </w:pPr>
      <w:r w:rsidRPr="00610D49">
        <w:t>The process for assigning a score under the MCA is as follows:</w:t>
      </w:r>
    </w:p>
    <w:p w14:paraId="152011E2" w14:textId="4A216C39" w:rsidR="00052799" w:rsidRPr="00610D49" w:rsidRDefault="000F1105" w:rsidP="00052799">
      <w:pPr>
        <w:pStyle w:val="BodyText"/>
        <w:numPr>
          <w:ilvl w:val="0"/>
          <w:numId w:val="66"/>
        </w:numPr>
        <w:tabs>
          <w:tab w:val="clear" w:pos="340"/>
          <w:tab w:val="num" w:pos="1134"/>
        </w:tabs>
        <w:ind w:left="1134"/>
      </w:pPr>
      <w:r>
        <w:t>a</w:t>
      </w:r>
      <w:r w:rsidR="00052799" w:rsidRPr="00610D49">
        <w:t xml:space="preserve">ssign an option a score between -10 and +10 based on a qualitative assessment against each of the criteria (with the base case scoring 0 as the baseline); </w:t>
      </w:r>
    </w:p>
    <w:p w14:paraId="0A5AD103" w14:textId="15EF330F" w:rsidR="00052799" w:rsidRPr="00610D49" w:rsidRDefault="000F1105" w:rsidP="00052799">
      <w:pPr>
        <w:pStyle w:val="BodyText"/>
        <w:numPr>
          <w:ilvl w:val="0"/>
          <w:numId w:val="66"/>
        </w:numPr>
        <w:tabs>
          <w:tab w:val="clear" w:pos="340"/>
          <w:tab w:val="num" w:pos="1134"/>
        </w:tabs>
        <w:ind w:left="1134"/>
      </w:pPr>
      <w:r>
        <w:t>m</w:t>
      </w:r>
      <w:r w:rsidR="00052799" w:rsidRPr="00610D49">
        <w:t>ultiply by a weighting which reflects the relative importance of the criteri</w:t>
      </w:r>
      <w:r>
        <w:t>on</w:t>
      </w:r>
      <w:r w:rsidR="00052799" w:rsidRPr="00610D49">
        <w:t>; and</w:t>
      </w:r>
    </w:p>
    <w:p w14:paraId="5911259F" w14:textId="14867356" w:rsidR="00052799" w:rsidRPr="00610D49" w:rsidRDefault="000F1105" w:rsidP="00052799">
      <w:pPr>
        <w:pStyle w:val="BodyText"/>
        <w:numPr>
          <w:ilvl w:val="0"/>
          <w:numId w:val="66"/>
        </w:numPr>
        <w:tabs>
          <w:tab w:val="clear" w:pos="340"/>
          <w:tab w:val="num" w:pos="1134"/>
        </w:tabs>
        <w:ind w:left="1134"/>
      </w:pPr>
      <w:r>
        <w:t>g</w:t>
      </w:r>
      <w:r w:rsidR="00052799" w:rsidRPr="00610D49">
        <w:t>enerate a weighted score for comparison with other options.</w:t>
      </w:r>
    </w:p>
    <w:p w14:paraId="01DD342F" w14:textId="77777777" w:rsidR="00052799" w:rsidRPr="00610D49" w:rsidRDefault="00052799" w:rsidP="00052799">
      <w:pPr>
        <w:pStyle w:val="BodyText"/>
        <w:ind w:left="720"/>
      </w:pPr>
    </w:p>
    <w:p w14:paraId="1E27A660" w14:textId="4FF7D4B0" w:rsidR="00052799" w:rsidRPr="00610D49" w:rsidRDefault="00052799" w:rsidP="00052799">
      <w:pPr>
        <w:pStyle w:val="Caption"/>
      </w:pPr>
      <w:r w:rsidRPr="00610D49">
        <w:t xml:space="preserve">Table </w:t>
      </w:r>
      <w:r w:rsidR="001C7D77">
        <w:rPr>
          <w:noProof/>
        </w:rPr>
        <w:t>28</w:t>
      </w:r>
      <w:r w:rsidRPr="00610D49">
        <w:t>: Multi-criteria assessment criteria and weightings</w:t>
      </w:r>
    </w:p>
    <w:tbl>
      <w:tblPr>
        <w:tblW w:w="4563"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28: Multi-criteria assessment criteria and weightings"/>
      </w:tblPr>
      <w:tblGrid>
        <w:gridCol w:w="1493"/>
        <w:gridCol w:w="6304"/>
        <w:gridCol w:w="1248"/>
      </w:tblGrid>
      <w:tr w:rsidR="00052799" w:rsidRPr="002D7AE6" w14:paraId="11B582F0" w14:textId="77777777" w:rsidTr="00871631">
        <w:trPr>
          <w:tblHeader/>
        </w:trPr>
        <w:tc>
          <w:tcPr>
            <w:tcW w:w="825" w:type="pct"/>
            <w:shd w:val="clear" w:color="auto" w:fill="002060"/>
          </w:tcPr>
          <w:p w14:paraId="7226664C"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Criterion</w:t>
            </w:r>
          </w:p>
        </w:tc>
        <w:tc>
          <w:tcPr>
            <w:tcW w:w="3485" w:type="pct"/>
            <w:shd w:val="clear" w:color="auto" w:fill="002060"/>
          </w:tcPr>
          <w:p w14:paraId="462F7602"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Rationale</w:t>
            </w:r>
          </w:p>
        </w:tc>
        <w:tc>
          <w:tcPr>
            <w:tcW w:w="690" w:type="pct"/>
            <w:shd w:val="clear" w:color="auto" w:fill="002060"/>
          </w:tcPr>
          <w:p w14:paraId="25CF0312"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Weighting</w:t>
            </w:r>
          </w:p>
        </w:tc>
      </w:tr>
      <w:tr w:rsidR="00052799" w:rsidRPr="002D7AE6" w14:paraId="28EE711E" w14:textId="77777777" w:rsidTr="00871631">
        <w:tc>
          <w:tcPr>
            <w:tcW w:w="825" w:type="pct"/>
            <w:shd w:val="clear" w:color="auto" w:fill="auto"/>
          </w:tcPr>
          <w:p w14:paraId="7B6CE9E8"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Efficiency</w:t>
            </w:r>
          </w:p>
        </w:tc>
        <w:tc>
          <w:tcPr>
            <w:tcW w:w="3485" w:type="pct"/>
            <w:shd w:val="clear" w:color="auto" w:fill="auto"/>
          </w:tcPr>
          <w:p w14:paraId="1C565661"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An assessment of whether the full costs of regulatory activity are incorporated into costs for firearms fees, and thus provide a price signal as to the efficient level of firearms activity</w:t>
            </w:r>
          </w:p>
        </w:tc>
        <w:tc>
          <w:tcPr>
            <w:tcW w:w="690" w:type="pct"/>
            <w:vAlign w:val="center"/>
          </w:tcPr>
          <w:p w14:paraId="373C8CB3"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25%</w:t>
            </w:r>
          </w:p>
        </w:tc>
      </w:tr>
      <w:tr w:rsidR="00052799" w:rsidRPr="002D7AE6" w14:paraId="29B8AE0C" w14:textId="77777777" w:rsidTr="00871631">
        <w:tc>
          <w:tcPr>
            <w:tcW w:w="825" w:type="pct"/>
            <w:shd w:val="clear" w:color="auto" w:fill="auto"/>
          </w:tcPr>
          <w:p w14:paraId="5E764751"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Equity</w:t>
            </w:r>
          </w:p>
        </w:tc>
        <w:tc>
          <w:tcPr>
            <w:tcW w:w="3485" w:type="pct"/>
            <w:shd w:val="clear" w:color="auto" w:fill="auto"/>
          </w:tcPr>
          <w:p w14:paraId="7A9AC9D6"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An assessment of whether the full cost of government activities associated with firearms licensees are fully recovered from the beneficiaries of those activities and the industry participants who give rise to the need for those activities, in both the short and long-term</w:t>
            </w:r>
          </w:p>
        </w:tc>
        <w:tc>
          <w:tcPr>
            <w:tcW w:w="690" w:type="pct"/>
            <w:vAlign w:val="center"/>
          </w:tcPr>
          <w:p w14:paraId="1F3E07A9"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25%</w:t>
            </w:r>
          </w:p>
        </w:tc>
      </w:tr>
      <w:tr w:rsidR="00052799" w:rsidRPr="002D7AE6" w14:paraId="42507180" w14:textId="77777777" w:rsidTr="00871631">
        <w:tc>
          <w:tcPr>
            <w:tcW w:w="825" w:type="pct"/>
            <w:shd w:val="clear" w:color="auto" w:fill="auto"/>
          </w:tcPr>
          <w:p w14:paraId="2CF9B90F"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Alignment with objectives of the Act</w:t>
            </w:r>
          </w:p>
        </w:tc>
        <w:tc>
          <w:tcPr>
            <w:tcW w:w="3485" w:type="pct"/>
            <w:shd w:val="clear" w:color="auto" w:fill="auto"/>
          </w:tcPr>
          <w:p w14:paraId="033D3EDB"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An assessment of whether the fees are consistent with the primary objectives prescribed in the Act for the firearms industry related to safety and public peace</w:t>
            </w:r>
          </w:p>
        </w:tc>
        <w:tc>
          <w:tcPr>
            <w:tcW w:w="690" w:type="pct"/>
            <w:vAlign w:val="center"/>
          </w:tcPr>
          <w:p w14:paraId="5FA11932"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30%</w:t>
            </w:r>
          </w:p>
        </w:tc>
      </w:tr>
      <w:tr w:rsidR="00052799" w:rsidRPr="002D7AE6" w14:paraId="5AAF5BFA" w14:textId="77777777" w:rsidTr="00871631">
        <w:tc>
          <w:tcPr>
            <w:tcW w:w="825" w:type="pct"/>
            <w:shd w:val="clear" w:color="auto" w:fill="auto"/>
          </w:tcPr>
          <w:p w14:paraId="231F2048"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Administrative complexity</w:t>
            </w:r>
          </w:p>
        </w:tc>
        <w:tc>
          <w:tcPr>
            <w:tcW w:w="3485" w:type="pct"/>
            <w:shd w:val="clear" w:color="auto" w:fill="auto"/>
          </w:tcPr>
          <w:p w14:paraId="7C262964"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An assessment of whether the fees result in administrative complexity for Government or the regulated community. For example, administrative complexity could occur on a one-off basis where Victoria Police incurs costs associated with changing systems to incorporate new fee categories, or could be associated with ongoing costs where changed fee categories result in additional ongoing work for Victoria Police to process payments or calculate fees.</w:t>
            </w:r>
          </w:p>
        </w:tc>
        <w:tc>
          <w:tcPr>
            <w:tcW w:w="690" w:type="pct"/>
            <w:vAlign w:val="center"/>
          </w:tcPr>
          <w:p w14:paraId="5F0EED38"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20%</w:t>
            </w:r>
          </w:p>
        </w:tc>
      </w:tr>
    </w:tbl>
    <w:p w14:paraId="14686F79" w14:textId="77777777" w:rsidR="00052799" w:rsidRPr="00610D49" w:rsidRDefault="00052799" w:rsidP="00052799">
      <w:pPr>
        <w:pStyle w:val="BodyText"/>
        <w:ind w:left="720"/>
      </w:pPr>
      <w:r w:rsidRPr="00610D49">
        <w:t xml:space="preserve">The MCA uses relative weightings for each of the criteria of </w:t>
      </w:r>
      <w:r>
        <w:t>2</w:t>
      </w:r>
      <w:r w:rsidRPr="00610D49">
        <w:t xml:space="preserve">5 per cent for efficiency, </w:t>
      </w:r>
      <w:r>
        <w:t>2</w:t>
      </w:r>
      <w:r w:rsidRPr="00610D49">
        <w:t>5 per cent for equity, 30 per cent for alignment with objectives</w:t>
      </w:r>
      <w:r>
        <w:t xml:space="preserve"> of the Act</w:t>
      </w:r>
      <w:r w:rsidRPr="00610D49">
        <w:t xml:space="preserve"> and 20 per cent for administrative complexity. The first </w:t>
      </w:r>
      <w:r>
        <w:t xml:space="preserve">and second criteria are important in that they pursue </w:t>
      </w:r>
      <w:r w:rsidRPr="00610D49">
        <w:t xml:space="preserve">efficient and equitable cost recovery in remaking the fees. The secondary objectives of alignment with government objectives and administrative complexity are weighted as 30 and 20 per cent, respectively, which reflects the Government’s aim to minimise the likelihood that the fees will incentivise behaviour which increases risks to community safety and peace, and to decrease the costs to industry and government associated with fee changes that result in fees which are burdensome to administer and comply with. </w:t>
      </w:r>
    </w:p>
    <w:p w14:paraId="05892CC8" w14:textId="77777777" w:rsidR="00052799" w:rsidRPr="00610D49" w:rsidRDefault="00052799" w:rsidP="00052799">
      <w:pPr>
        <w:pStyle w:val="BodyText"/>
        <w:ind w:left="720"/>
      </w:pPr>
      <w:r w:rsidRPr="00610D49">
        <w:t xml:space="preserve">Each fee option is scored against each of the criteria on a scale of </w:t>
      </w:r>
      <w:r w:rsidRPr="00610D49">
        <w:rPr>
          <w:rFonts w:ascii="Cambria Math" w:hAnsi="Cambria Math" w:cs="Cambria Math"/>
        </w:rPr>
        <w:t>‐</w:t>
      </w:r>
      <w:r w:rsidRPr="00610D49">
        <w:t>10 to +10 with the base case reflecting a score of ‘0’ as it reflects the situation that will occur in the absence of the Regulations.</w:t>
      </w:r>
    </w:p>
    <w:p w14:paraId="7A87B47E" w14:textId="77777777" w:rsidR="00052799" w:rsidRPr="00610D49" w:rsidRDefault="00052799" w:rsidP="00052799">
      <w:pPr>
        <w:pStyle w:val="Heading3"/>
      </w:pPr>
      <w:bookmarkStart w:id="200" w:name="_Toc495338522"/>
      <w:bookmarkStart w:id="201" w:name="_Toc497493000"/>
      <w:bookmarkStart w:id="202" w:name="_Toc500505486"/>
      <w:bookmarkStart w:id="203" w:name="_Toc501539181"/>
      <w:r w:rsidRPr="00610D49">
        <w:t xml:space="preserve">Fee-Option 1 </w:t>
      </w:r>
      <w:r>
        <w:t>–</w:t>
      </w:r>
      <w:r w:rsidRPr="00610D49">
        <w:t xml:space="preserve"> </w:t>
      </w:r>
      <w:bookmarkEnd w:id="200"/>
      <w:bookmarkEnd w:id="201"/>
      <w:r>
        <w:t>Full cost recovery</w:t>
      </w:r>
      <w:bookmarkEnd w:id="202"/>
      <w:bookmarkEnd w:id="203"/>
    </w:p>
    <w:p w14:paraId="43243CAF" w14:textId="77777777" w:rsidR="00052799" w:rsidRPr="00610D49" w:rsidRDefault="00052799" w:rsidP="00052799">
      <w:pPr>
        <w:pStyle w:val="Heading4"/>
      </w:pPr>
      <w:r w:rsidRPr="00610D49">
        <w:t>Description of Option</w:t>
      </w:r>
    </w:p>
    <w:p w14:paraId="6038E99A" w14:textId="77777777" w:rsidR="00052799" w:rsidRPr="00610D49" w:rsidRDefault="00052799" w:rsidP="00052799">
      <w:pPr>
        <w:pStyle w:val="Body"/>
      </w:pPr>
      <w:r w:rsidRPr="00610D49">
        <w:t>This option would adjust all fee levels in line with the findings of the ABC m</w:t>
      </w:r>
      <w:r>
        <w:t>odelling</w:t>
      </w:r>
      <w:r w:rsidRPr="00610D49">
        <w:t>.</w:t>
      </w:r>
      <w:r>
        <w:rPr>
          <w:rStyle w:val="FootnoteReference"/>
        </w:rPr>
        <w:footnoteReference w:id="56"/>
      </w:r>
      <w:r w:rsidRPr="00610D49">
        <w:t xml:space="preserve"> If implemented, it is projected that this option would achieve full cost recovery by making the following changes to the Regulations:</w:t>
      </w:r>
    </w:p>
    <w:p w14:paraId="0266A598" w14:textId="05035627" w:rsidR="00052799" w:rsidRPr="00610D49" w:rsidRDefault="00052799" w:rsidP="00052799">
      <w:pPr>
        <w:pStyle w:val="Bulletnormal"/>
        <w:tabs>
          <w:tab w:val="clear" w:pos="283"/>
        </w:tabs>
      </w:pPr>
      <w:r w:rsidRPr="00610D49">
        <w:t>Achieving full cost</w:t>
      </w:r>
      <w:r w:rsidR="000F1105">
        <w:t xml:space="preserve"> </w:t>
      </w:r>
      <w:r w:rsidRPr="00610D49">
        <w:t>recovery in line with the outcomes of the ABC modelling through; eliminating cross subsidies between licence and permit categories; addressing the under-recovery identified of approximately $1.0 million per annum; and eliminating the primary production waiver of approximately $2.0 million per annum</w:t>
      </w:r>
      <w:r w:rsidR="000F1105">
        <w:t>.</w:t>
      </w:r>
    </w:p>
    <w:p w14:paraId="36EB7A3B" w14:textId="26B4DF9E" w:rsidR="00052799" w:rsidRPr="00610D49" w:rsidRDefault="00052799" w:rsidP="00052799">
      <w:pPr>
        <w:pStyle w:val="Bulletnormal"/>
        <w:tabs>
          <w:tab w:val="clear" w:pos="283"/>
        </w:tabs>
      </w:pPr>
      <w:r>
        <w:t xml:space="preserve">Incorporating the preferred non-fee options 5 (see above)—that is, updating licence categories so that </w:t>
      </w:r>
      <w:r w:rsidRPr="00610D49">
        <w:t xml:space="preserve">Class 2 dealers </w:t>
      </w:r>
      <w:r>
        <w:t>can</w:t>
      </w:r>
      <w:r w:rsidRPr="00610D49">
        <w:t xml:space="preserve"> sell category C longarms</w:t>
      </w:r>
      <w:r>
        <w:t xml:space="preserve">, introducing a new paintball marker dealer licence, prescribing a fee for permits to acquire for </w:t>
      </w:r>
      <w:r w:rsidR="000F1105">
        <w:t>c</w:t>
      </w:r>
      <w:r>
        <w:t>ategory D</w:t>
      </w:r>
      <w:r w:rsidR="000F1105">
        <w:t xml:space="preserve"> and </w:t>
      </w:r>
      <w:r>
        <w:t>E</w:t>
      </w:r>
      <w:r w:rsidR="000F1105">
        <w:t xml:space="preserve"> longarms</w:t>
      </w:r>
      <w:r>
        <w:t>, and prescribing a fee for permits</w:t>
      </w:r>
      <w:r w:rsidR="000F1105">
        <w:t xml:space="preserve"> under section 130 of the Act.</w:t>
      </w:r>
    </w:p>
    <w:p w14:paraId="02BD0441" w14:textId="52F845AF" w:rsidR="00052799" w:rsidRPr="00610D49" w:rsidRDefault="00052799" w:rsidP="00052799">
      <w:pPr>
        <w:pStyle w:val="Bulletnormal"/>
        <w:tabs>
          <w:tab w:val="clear" w:pos="283"/>
        </w:tabs>
      </w:pPr>
      <w:r w:rsidRPr="00610D49">
        <w:t>Creation of an application fee for all licence categories</w:t>
      </w:r>
      <w:r>
        <w:t xml:space="preserve">. That is, </w:t>
      </w:r>
      <w:r w:rsidRPr="00E176A5">
        <w:t xml:space="preserve">fees would be </w:t>
      </w:r>
      <w:r>
        <w:t xml:space="preserve">partially </w:t>
      </w:r>
      <w:r w:rsidRPr="00E176A5">
        <w:t xml:space="preserve">payable for the lodgement of an applications, </w:t>
      </w:r>
      <w:r>
        <w:t xml:space="preserve">and partially payable </w:t>
      </w:r>
      <w:r w:rsidR="000F1105">
        <w:t>for</w:t>
      </w:r>
      <w:r w:rsidR="000F1105" w:rsidRPr="00E176A5">
        <w:t xml:space="preserve"> </w:t>
      </w:r>
      <w:r w:rsidRPr="00E176A5">
        <w:t xml:space="preserve">the </w:t>
      </w:r>
      <w:r w:rsidR="000F1105">
        <w:t xml:space="preserve">issue or renewal of the </w:t>
      </w:r>
      <w:r w:rsidRPr="00E176A5">
        <w:t xml:space="preserve">licence, permit or approval is </w:t>
      </w:r>
      <w:r w:rsidRPr="00610D49">
        <w:t xml:space="preserve">(noting that this </w:t>
      </w:r>
      <w:r w:rsidR="000F1105">
        <w:t>may</w:t>
      </w:r>
      <w:r w:rsidR="000F1105" w:rsidRPr="00610D49">
        <w:t xml:space="preserve"> </w:t>
      </w:r>
      <w:r w:rsidRPr="00610D49">
        <w:t>affect the timing of payment</w:t>
      </w:r>
      <w:r w:rsidR="000F1105">
        <w:t>s</w:t>
      </w:r>
      <w:r w:rsidRPr="00610D49">
        <w:t>, but the overall fee to be charged would remain the same).</w:t>
      </w:r>
      <w:r>
        <w:t xml:space="preserve"> </w:t>
      </w:r>
    </w:p>
    <w:p w14:paraId="2858DB6D" w14:textId="77777777" w:rsidR="00052799" w:rsidRPr="00610D49" w:rsidRDefault="00052799" w:rsidP="00052799">
      <w:pPr>
        <w:pStyle w:val="BodyText"/>
      </w:pPr>
      <w:r w:rsidRPr="00610D49">
        <w:rPr>
          <w:b/>
        </w:rPr>
        <w:t>Alterations as a result of the ABC modelling</w:t>
      </w:r>
    </w:p>
    <w:p w14:paraId="73E6A5B6" w14:textId="320530E7" w:rsidR="00052799" w:rsidRPr="00610D49" w:rsidRDefault="00052799" w:rsidP="00052799">
      <w:pPr>
        <w:pStyle w:val="BodyText"/>
        <w:rPr>
          <w:szCs w:val="20"/>
        </w:rPr>
      </w:pPr>
      <w:r w:rsidRPr="00610D49">
        <w:rPr>
          <w:szCs w:val="20"/>
        </w:rPr>
        <w:t xml:space="preserve">As previously discussed earlier in </w:t>
      </w:r>
      <w:r w:rsidR="000F1105">
        <w:rPr>
          <w:szCs w:val="20"/>
        </w:rPr>
        <w:t>this section</w:t>
      </w:r>
      <w:r w:rsidRPr="00610D49">
        <w:rPr>
          <w:szCs w:val="20"/>
        </w:rPr>
        <w:t xml:space="preserve">, detailed ABC modelling was undertaken to support consideration of appropriate levels of each fee, with the aim of identifying areas where some licence holders were cross-subsidising other licence holders (by way of under-recovery in some categories and over-recovery in other categories), or where licence holders in general were cross-subsidised by taxpayers (i.e. under-recovery overall). </w:t>
      </w:r>
    </w:p>
    <w:p w14:paraId="7270220A" w14:textId="77777777" w:rsidR="00052799" w:rsidRDefault="00052799" w:rsidP="00052799">
      <w:pPr>
        <w:pStyle w:val="BodyText"/>
        <w:rPr>
          <w:szCs w:val="20"/>
        </w:rPr>
      </w:pPr>
      <w:r w:rsidRPr="00610D49">
        <w:rPr>
          <w:szCs w:val="20"/>
        </w:rPr>
        <w:t>This option eliminates all current cross-subsidies between licence holder sub-groups and taxpayers more generally, and is therefore the most efficient outcome as each sub-class of regulated entities bears the current cost of regulating their specific firearms activities. That is, each sub-class is given an accurate signal, by way of the licence or permit, of how much effort goes into regulating their activities.</w:t>
      </w:r>
      <w:r>
        <w:rPr>
          <w:szCs w:val="20"/>
        </w:rPr>
        <w:t xml:space="preserve"> </w:t>
      </w:r>
    </w:p>
    <w:p w14:paraId="52D6BB43" w14:textId="77777777" w:rsidR="00052799" w:rsidRPr="00610D49" w:rsidRDefault="00052799" w:rsidP="00052799">
      <w:pPr>
        <w:pStyle w:val="BodyText"/>
        <w:rPr>
          <w:szCs w:val="20"/>
        </w:rPr>
      </w:pPr>
      <w:r w:rsidRPr="00610D49">
        <w:rPr>
          <w:szCs w:val="20"/>
        </w:rPr>
        <w:t>This option was chosen for inclusion in the RIS on the basis that:</w:t>
      </w:r>
    </w:p>
    <w:p w14:paraId="12DAED42" w14:textId="0C31DA6C" w:rsidR="00052799" w:rsidRPr="00610D49" w:rsidRDefault="000F1105" w:rsidP="00052799">
      <w:pPr>
        <w:pStyle w:val="Bulletnormal"/>
        <w:tabs>
          <w:tab w:val="clear" w:pos="283"/>
        </w:tabs>
      </w:pPr>
      <w:r>
        <w:t>i</w:t>
      </w:r>
      <w:r w:rsidR="00052799" w:rsidRPr="00610D49">
        <w:t>t is projected to recover all costs associated with administering the firearms regulatory framework</w:t>
      </w:r>
      <w:r>
        <w:t>, and</w:t>
      </w:r>
    </w:p>
    <w:p w14:paraId="73CCB060" w14:textId="6F95262A" w:rsidR="00052799" w:rsidRDefault="000F1105" w:rsidP="00052799">
      <w:pPr>
        <w:pStyle w:val="Bulletnormal"/>
        <w:tabs>
          <w:tab w:val="clear" w:pos="283"/>
        </w:tabs>
      </w:pPr>
      <w:r>
        <w:t>i</w:t>
      </w:r>
      <w:r w:rsidR="00052799" w:rsidRPr="00610D49">
        <w:t>t would create a more equitable and efficient fee structure by addressing existing cross subsidies between licence and permit categories</w:t>
      </w:r>
      <w:r>
        <w:t>.</w:t>
      </w:r>
    </w:p>
    <w:p w14:paraId="0E9743F2" w14:textId="4A9C3B2E" w:rsidR="00052799" w:rsidRDefault="00052799" w:rsidP="00052799">
      <w:pPr>
        <w:pStyle w:val="Body"/>
      </w:pPr>
      <w:r>
        <w:t>One result of the ABC modelling which was of particular interest to stakeholders was the relatively high fees charged to handgun licensees (and for handgun permits to acquire). The underlying reason for this difference is that Licensing and Regulation Division spend relatively more resources in assessing app</w:t>
      </w:r>
      <w:r w:rsidR="007C0701">
        <w:t>lications for these applicants—</w:t>
      </w:r>
      <w:r>
        <w:t xml:space="preserve">particularly in relation to the assessments regarding </w:t>
      </w:r>
      <w:r w:rsidRPr="00261878">
        <w:t>prohibited person</w:t>
      </w:r>
      <w:r>
        <w:t xml:space="preserve">s, competency assessment, </w:t>
      </w:r>
      <w:r w:rsidRPr="00261878">
        <w:t>physical/mental health</w:t>
      </w:r>
      <w:r>
        <w:t xml:space="preserve"> assessment</w:t>
      </w:r>
      <w:r w:rsidRPr="00261878">
        <w:t xml:space="preserve">, and </w:t>
      </w:r>
      <w:r>
        <w:t xml:space="preserve">assessment of </w:t>
      </w:r>
      <w:r w:rsidRPr="00261878">
        <w:t>genuine reason</w:t>
      </w:r>
      <w:r>
        <w:t xml:space="preserve">. Further, in relation to handgun licences, the duration for the licence is three years (as compared to a licence for a Category A or B Longarm which is five years), meaning that applications are received more frequently. The ABC modelling is discussed further in </w:t>
      </w:r>
      <w:r w:rsidR="001C7D77">
        <w:t>Appendix 3</w:t>
      </w:r>
      <w:r>
        <w:t>.</w:t>
      </w:r>
    </w:p>
    <w:p w14:paraId="5C165223" w14:textId="77777777" w:rsidR="00052799" w:rsidRPr="00610D49" w:rsidRDefault="00052799" w:rsidP="00052799">
      <w:pPr>
        <w:pStyle w:val="Body"/>
      </w:pPr>
      <w:r>
        <w:t>As based on the ABC modelling, t</w:t>
      </w:r>
      <w:r w:rsidRPr="00D633FA">
        <w:t>he proposed (and existing) Regulations offer different fee rates for individuals</w:t>
      </w:r>
      <w:r>
        <w:t xml:space="preserve"> and businesses for licences</w:t>
      </w:r>
      <w:r w:rsidRPr="00D633FA">
        <w:t xml:space="preserve">. While not a perfect proxy for the </w:t>
      </w:r>
      <w:r>
        <w:t>complexity in regulating each different type of firearms applicant</w:t>
      </w:r>
      <w:r w:rsidRPr="00D633FA">
        <w:t xml:space="preserve">, </w:t>
      </w:r>
      <w:r>
        <w:t>this allows for some degree of differentiation based on the type of applicant for each firearms licence – where business licences are more expensive because they generally have a number of people associated with the licence.</w:t>
      </w:r>
    </w:p>
    <w:p w14:paraId="5F59DD88" w14:textId="77777777" w:rsidR="00052799" w:rsidRPr="00610D49" w:rsidRDefault="00052799" w:rsidP="00052799">
      <w:pPr>
        <w:pStyle w:val="BodyText"/>
      </w:pPr>
      <w:r w:rsidRPr="00610D49">
        <w:rPr>
          <w:b/>
        </w:rPr>
        <w:t>Introduction of an application fee</w:t>
      </w:r>
    </w:p>
    <w:p w14:paraId="15949BED" w14:textId="77777777" w:rsidR="00052799" w:rsidRPr="00610D49" w:rsidRDefault="00052799" w:rsidP="00052799">
      <w:pPr>
        <w:pStyle w:val="BodyText"/>
      </w:pPr>
      <w:r w:rsidRPr="00610D49">
        <w:t xml:space="preserve">Under the current Regulations, fees are payable only if a licence, permit or approval is granted. If an application is rejected, even though there has been substantial regulatory effort, the applicant does not pay any fee. </w:t>
      </w:r>
    </w:p>
    <w:p w14:paraId="012E8DB2" w14:textId="2CC9E027" w:rsidR="00052799" w:rsidRPr="00610D49" w:rsidRDefault="00052799" w:rsidP="00052799">
      <w:pPr>
        <w:pStyle w:val="BodyText"/>
      </w:pPr>
      <w:r w:rsidRPr="00610D49">
        <w:t xml:space="preserve">Under this proposal, fees would be payable for the lodgement of an applications, as well as </w:t>
      </w:r>
      <w:r w:rsidR="000F1105">
        <w:t>for</w:t>
      </w:r>
      <w:r w:rsidR="000F1105" w:rsidRPr="00610D49">
        <w:t xml:space="preserve"> </w:t>
      </w:r>
      <w:r w:rsidRPr="00610D49">
        <w:t xml:space="preserve">the </w:t>
      </w:r>
      <w:r w:rsidR="000F1105">
        <w:t xml:space="preserve">issue or renewal of a </w:t>
      </w:r>
      <w:r w:rsidRPr="00610D49">
        <w:t>licence</w:t>
      </w:r>
      <w:r w:rsidR="000F1105">
        <w:t xml:space="preserve">. It would not apply to </w:t>
      </w:r>
      <w:r w:rsidRPr="00610D49">
        <w:t>permit</w:t>
      </w:r>
      <w:r w:rsidR="000F1105">
        <w:t>s</w:t>
      </w:r>
      <w:r w:rsidRPr="00610D49">
        <w:t xml:space="preserve"> </w:t>
      </w:r>
      <w:r w:rsidR="000F1105">
        <w:t>and</w:t>
      </w:r>
      <w:r w:rsidRPr="00610D49">
        <w:t xml:space="preserve"> approval</w:t>
      </w:r>
      <w:r w:rsidR="000F1105">
        <w:t>s</w:t>
      </w:r>
      <w:r w:rsidRPr="00610D49">
        <w:t xml:space="preserve">, for all fee categories. </w:t>
      </w:r>
    </w:p>
    <w:p w14:paraId="71FE9AC9" w14:textId="77777777" w:rsidR="00052799" w:rsidRPr="00610D49" w:rsidRDefault="00052799" w:rsidP="00052799">
      <w:pPr>
        <w:pStyle w:val="BodyText"/>
      </w:pPr>
      <w:r w:rsidRPr="00610D49">
        <w:t>This option was advanced for consideration for two reasons:</w:t>
      </w:r>
    </w:p>
    <w:p w14:paraId="4F8508E8" w14:textId="77777777" w:rsidR="00052799" w:rsidRPr="00610D49" w:rsidRDefault="00052799" w:rsidP="00052799">
      <w:pPr>
        <w:pStyle w:val="BodyText"/>
        <w:numPr>
          <w:ilvl w:val="0"/>
          <w:numId w:val="63"/>
        </w:numPr>
        <w:tabs>
          <w:tab w:val="clear" w:pos="340"/>
          <w:tab w:val="num" w:pos="1134"/>
        </w:tabs>
        <w:ind w:left="1134"/>
      </w:pPr>
      <w:r w:rsidRPr="00610D49">
        <w:t>Under the current arrangements, applicants who lodge unsuccessful applications pay no fee and, as such, have no financial disincentive for incomplete applications, or for applications with a high probability of rejection. The introduction of an application fee, rather than just a fee payable when a licence is issued, may help to dissuade individuals from making incomplete or poorly considered applications.</w:t>
      </w:r>
    </w:p>
    <w:p w14:paraId="3DB38346" w14:textId="77777777" w:rsidR="00052799" w:rsidRPr="00610D49" w:rsidRDefault="00052799" w:rsidP="00052799">
      <w:pPr>
        <w:pStyle w:val="BodyText"/>
        <w:numPr>
          <w:ilvl w:val="0"/>
          <w:numId w:val="64"/>
        </w:numPr>
        <w:tabs>
          <w:tab w:val="clear" w:pos="340"/>
          <w:tab w:val="num" w:pos="1134"/>
        </w:tabs>
        <w:ind w:left="1134"/>
      </w:pPr>
      <w:r w:rsidRPr="00610D49">
        <w:t>Currently, the fee structure for firearms regulations is configured such that the cost of processing the nine percent of applications which are rejected, abandoned or discarded</w:t>
      </w:r>
      <w:r w:rsidRPr="00610D49">
        <w:rPr>
          <w:rStyle w:val="FootnoteReference"/>
        </w:rPr>
        <w:footnoteReference w:id="57"/>
      </w:r>
      <w:r w:rsidRPr="00610D49">
        <w:t xml:space="preserve"> are cross-subsidised by successful applicants through their licence fees. This is a deviation from the principles of equity and efficiency that apply to cost recovery. </w:t>
      </w:r>
    </w:p>
    <w:p w14:paraId="2ABFE9D9" w14:textId="77777777" w:rsidR="00052799" w:rsidRPr="00610D49" w:rsidRDefault="00052799" w:rsidP="00052799">
      <w:pPr>
        <w:pStyle w:val="BodyText"/>
      </w:pPr>
      <w:r w:rsidRPr="00610D49">
        <w:t xml:space="preserve">From an administrative point of view, it would be necessary to adjust existing processes so that payment could be collected at a point in the application processes they are not currently configured for (namely at the point the licence application is received). </w:t>
      </w:r>
    </w:p>
    <w:p w14:paraId="1F7B065F" w14:textId="77777777" w:rsidR="00052799" w:rsidRPr="00610D49" w:rsidRDefault="00052799" w:rsidP="00052799">
      <w:pPr>
        <w:pStyle w:val="BodyText"/>
      </w:pPr>
      <w:r w:rsidRPr="00610D49">
        <w:t>The increase in complexity, both for applicants and LRD, may be offset through a fall in the number of rejected applications. If the proposal results in fewer applications being submitted which are incomplete or poorly completed, this would reduce the administrative costs of LRD associated with processing these applications (with a commensurate reduction in the costs that must be recovered through fees).</w:t>
      </w:r>
    </w:p>
    <w:p w14:paraId="4DB02A80" w14:textId="0947A961" w:rsidR="00052799" w:rsidRPr="00610D49" w:rsidRDefault="00052799" w:rsidP="00052799">
      <w:pPr>
        <w:pStyle w:val="BodyText"/>
      </w:pPr>
      <w:r w:rsidRPr="00610D49">
        <w:t>There is limited available information on the precise costs incurred by LRD in processing each rejected application, and the extent to which this sub-option would result in fewer rejected applications. Examination of LRD’s activities suggests that, on average, the application process accounts for roughly 30</w:t>
      </w:r>
      <w:r w:rsidR="000F1105">
        <w:t>–</w:t>
      </w:r>
      <w:r w:rsidRPr="00610D49">
        <w:t>50 per cent of the total costs associated with each licence applied for (including successful applications)</w:t>
      </w:r>
      <w:r>
        <w:t>, while the balance of the costs are associated with compliance and enforcement activities</w:t>
      </w:r>
      <w:r w:rsidRPr="00610D49">
        <w:t>.</w:t>
      </w:r>
      <w:r w:rsidRPr="00610D49">
        <w:rPr>
          <w:rStyle w:val="FootnoteReference"/>
        </w:rPr>
        <w:footnoteReference w:id="58"/>
      </w:r>
      <w:r w:rsidRPr="00610D49">
        <w:t xml:space="preserve"> Given that rejected applications likely require more processing time (due to relatively time-consuming processes related to gathering evidence to justify a decision to refuse licence applications) using the higher end of this estimate is considered reasonable when dealing with rejected applications. This suggests that, in the absence of this sub-option, unsuccessful applicants would enjoy a cross-subsidy equal to approximately half of a full licence fee, with the cost being borne by successful applicants through their licence fees</w:t>
      </w:r>
      <w:r>
        <w:t xml:space="preserve"> (note that given the low volume of unsuccessful applicants – the net effect of this on the fees of successful applicants is likely to be higher fees of approximately 3</w:t>
      </w:r>
      <w:r w:rsidR="000F1105">
        <w:t>–</w:t>
      </w:r>
      <w:r>
        <w:t>5 per cent)</w:t>
      </w:r>
      <w:r w:rsidRPr="00610D49">
        <w:t xml:space="preserve">. The introduction of an application fee based system would address this equity issue. </w:t>
      </w:r>
    </w:p>
    <w:p w14:paraId="7A5B4EFB" w14:textId="77777777" w:rsidR="00052799" w:rsidRPr="00610D49" w:rsidRDefault="00052799" w:rsidP="00052799">
      <w:pPr>
        <w:pStyle w:val="Heading4"/>
      </w:pPr>
      <w:r w:rsidRPr="00610D49">
        <w:t>Evaluation of Option</w:t>
      </w:r>
    </w:p>
    <w:p w14:paraId="1BF1F543" w14:textId="77777777" w:rsidR="00052799" w:rsidRPr="00610D49" w:rsidRDefault="00052799" w:rsidP="00052799">
      <w:pPr>
        <w:pStyle w:val="BodyText"/>
      </w:pPr>
      <w:r w:rsidRPr="00610D49">
        <w:t>Under this option, fees for all licence and permit categories would experience some change as compared to the status quo, with some categories undergoing shifts of several hundred percent. The table below includes the multi-criteria assessment for this Option.</w:t>
      </w:r>
    </w:p>
    <w:p w14:paraId="2C5ACB68" w14:textId="66D25E0C" w:rsidR="00052799" w:rsidRPr="00610D49" w:rsidRDefault="00052799" w:rsidP="009F677B">
      <w:pPr>
        <w:pStyle w:val="Caption"/>
        <w:keepNext/>
      </w:pPr>
      <w:r w:rsidRPr="00610D49">
        <w:t xml:space="preserve">Table </w:t>
      </w:r>
      <w:r w:rsidR="001C7D77">
        <w:rPr>
          <w:noProof/>
        </w:rPr>
        <w:t>29</w:t>
      </w:r>
      <w:r w:rsidRPr="00610D49">
        <w:t>: Multi-criteria assessment of fee-option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29: Multi-criteria assessment of fee-option 1"/>
      </w:tblPr>
      <w:tblGrid>
        <w:gridCol w:w="1545"/>
        <w:gridCol w:w="4837"/>
        <w:gridCol w:w="1177"/>
        <w:gridCol w:w="1183"/>
        <w:gridCol w:w="1169"/>
      </w:tblGrid>
      <w:tr w:rsidR="00052799" w:rsidRPr="002D7AE6" w14:paraId="2FEC949B" w14:textId="77777777" w:rsidTr="00871631">
        <w:trPr>
          <w:tblHeader/>
        </w:trPr>
        <w:tc>
          <w:tcPr>
            <w:tcW w:w="779" w:type="pct"/>
            <w:shd w:val="clear" w:color="auto" w:fill="002060"/>
          </w:tcPr>
          <w:p w14:paraId="323A13DF"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Criterion</w:t>
            </w:r>
          </w:p>
        </w:tc>
        <w:tc>
          <w:tcPr>
            <w:tcW w:w="2440" w:type="pct"/>
            <w:shd w:val="clear" w:color="auto" w:fill="002060"/>
          </w:tcPr>
          <w:p w14:paraId="7919299A"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Assessment</w:t>
            </w:r>
          </w:p>
        </w:tc>
        <w:tc>
          <w:tcPr>
            <w:tcW w:w="594" w:type="pct"/>
            <w:shd w:val="clear" w:color="auto" w:fill="002060"/>
          </w:tcPr>
          <w:p w14:paraId="555DDFBF"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Score</w:t>
            </w:r>
          </w:p>
        </w:tc>
        <w:tc>
          <w:tcPr>
            <w:tcW w:w="597" w:type="pct"/>
            <w:shd w:val="clear" w:color="auto" w:fill="002060"/>
          </w:tcPr>
          <w:p w14:paraId="0D5D8452"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Weighting</w:t>
            </w:r>
          </w:p>
        </w:tc>
        <w:tc>
          <w:tcPr>
            <w:tcW w:w="591" w:type="pct"/>
            <w:shd w:val="clear" w:color="auto" w:fill="002060"/>
          </w:tcPr>
          <w:p w14:paraId="57AA00C6"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Weighted score</w:t>
            </w:r>
          </w:p>
        </w:tc>
      </w:tr>
      <w:tr w:rsidR="00052799" w:rsidRPr="002D7AE6" w14:paraId="56FFD94A" w14:textId="77777777" w:rsidTr="00871631">
        <w:tc>
          <w:tcPr>
            <w:tcW w:w="779" w:type="pct"/>
            <w:shd w:val="clear" w:color="auto" w:fill="auto"/>
          </w:tcPr>
          <w:p w14:paraId="220DCEA2"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Efficiency</w:t>
            </w:r>
          </w:p>
        </w:tc>
        <w:tc>
          <w:tcPr>
            <w:tcW w:w="2440" w:type="pct"/>
            <w:shd w:val="clear" w:color="auto" w:fill="auto"/>
          </w:tcPr>
          <w:p w14:paraId="06BCEBE8"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This option is projected to recover 100 per cent of costs attributable to the regulatory scheme for firearms.</w:t>
            </w:r>
          </w:p>
          <w:p w14:paraId="18B2C899"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This option provides a direct price signal to members of the regulated community as to the cost of their activities by tying all fees directly to the attributable costs incurred in maintaining the regulatory regime and apportioning them in line with the Activity Based Costing. This option is therefore completely ‘efficient’ from an economic perspective and has been given an efficiency score of 10.</w:t>
            </w:r>
          </w:p>
          <w:p w14:paraId="1DC65A98"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 xml:space="preserve">This proposal would send a price signal as to the true cost of administering applications that go on to be rejected.  </w:t>
            </w:r>
          </w:p>
        </w:tc>
        <w:tc>
          <w:tcPr>
            <w:tcW w:w="594" w:type="pct"/>
            <w:shd w:val="clear" w:color="auto" w:fill="auto"/>
            <w:vAlign w:val="center"/>
          </w:tcPr>
          <w:p w14:paraId="5D8E37DB"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10</w:t>
            </w:r>
          </w:p>
        </w:tc>
        <w:tc>
          <w:tcPr>
            <w:tcW w:w="597" w:type="pct"/>
            <w:vAlign w:val="center"/>
          </w:tcPr>
          <w:p w14:paraId="3401C711"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25%</w:t>
            </w:r>
          </w:p>
        </w:tc>
        <w:tc>
          <w:tcPr>
            <w:tcW w:w="591" w:type="pct"/>
            <w:shd w:val="clear" w:color="auto" w:fill="auto"/>
            <w:vAlign w:val="center"/>
          </w:tcPr>
          <w:p w14:paraId="433EB057"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2.5</w:t>
            </w:r>
          </w:p>
        </w:tc>
      </w:tr>
      <w:tr w:rsidR="00052799" w:rsidRPr="002D7AE6" w14:paraId="3C4701BD" w14:textId="77777777" w:rsidTr="00871631">
        <w:tc>
          <w:tcPr>
            <w:tcW w:w="779" w:type="pct"/>
            <w:shd w:val="clear" w:color="auto" w:fill="auto"/>
          </w:tcPr>
          <w:p w14:paraId="303FC400"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Equity</w:t>
            </w:r>
          </w:p>
        </w:tc>
        <w:tc>
          <w:tcPr>
            <w:tcW w:w="2440" w:type="pct"/>
            <w:shd w:val="clear" w:color="auto" w:fill="auto"/>
          </w:tcPr>
          <w:p w14:paraId="194EFEDB"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The introduction of fees under this option would achieve complete horizontal equity. The cost of the regulatory regime for firearms in Victoria would be borne by the regulated community who, through their use, ownership, and/or trade in firearms give rise to the recoverable costs incurred in administering the regulatory regime. There would be no need for a contribution from taxpayers generally.</w:t>
            </w:r>
          </w:p>
          <w:p w14:paraId="0693DCA5"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The fee structure under this option would not involve any cross-subsidies between licence/permit categories.</w:t>
            </w:r>
          </w:p>
          <w:p w14:paraId="71846B8C"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Compared to the status quo, this option will improve equity between successful and unsuccessful applicants, as applicants whose applications are rejected will no longer be subsidised by those who successfully obtain their licences.</w:t>
            </w:r>
          </w:p>
        </w:tc>
        <w:tc>
          <w:tcPr>
            <w:tcW w:w="594" w:type="pct"/>
            <w:shd w:val="clear" w:color="auto" w:fill="auto"/>
            <w:vAlign w:val="center"/>
          </w:tcPr>
          <w:p w14:paraId="001ED040"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10</w:t>
            </w:r>
          </w:p>
        </w:tc>
        <w:tc>
          <w:tcPr>
            <w:tcW w:w="597" w:type="pct"/>
            <w:vAlign w:val="center"/>
          </w:tcPr>
          <w:p w14:paraId="3927DA6D"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25%</w:t>
            </w:r>
          </w:p>
        </w:tc>
        <w:tc>
          <w:tcPr>
            <w:tcW w:w="591" w:type="pct"/>
            <w:shd w:val="clear" w:color="auto" w:fill="auto"/>
            <w:vAlign w:val="center"/>
          </w:tcPr>
          <w:p w14:paraId="48F363C3"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2.5</w:t>
            </w:r>
          </w:p>
        </w:tc>
      </w:tr>
      <w:tr w:rsidR="00052799" w:rsidRPr="002D7AE6" w14:paraId="7F6EC9DD" w14:textId="77777777" w:rsidTr="00871631">
        <w:tc>
          <w:tcPr>
            <w:tcW w:w="779" w:type="pct"/>
            <w:shd w:val="clear" w:color="auto" w:fill="auto"/>
          </w:tcPr>
          <w:p w14:paraId="0B1A7798"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Alignment with objectives of the Act</w:t>
            </w:r>
          </w:p>
        </w:tc>
        <w:tc>
          <w:tcPr>
            <w:tcW w:w="2440" w:type="pct"/>
            <w:shd w:val="clear" w:color="auto" w:fill="auto"/>
          </w:tcPr>
          <w:p w14:paraId="116AC415" w14:textId="1D39B054" w:rsidR="00052799" w:rsidRPr="002D7AE6" w:rsidRDefault="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Compared to the base case, this option introduces fees. These fees may act as a small deterrent to persons wishing to use or deal in firearms from seeking and maintaining the requisite licences, permits</w:t>
            </w:r>
            <w:r w:rsidR="000F1105">
              <w:rPr>
                <w:rFonts w:eastAsia="Times" w:cs="Times New Roman"/>
                <w:sz w:val="18"/>
                <w:szCs w:val="18"/>
              </w:rPr>
              <w:t xml:space="preserve"> or approvals</w:t>
            </w:r>
            <w:r w:rsidRPr="002D7AE6">
              <w:rPr>
                <w:rFonts w:eastAsia="Times" w:cs="Times New Roman"/>
                <w:sz w:val="18"/>
                <w:szCs w:val="18"/>
              </w:rPr>
              <w:t xml:space="preserve">, thereby reducing the efficacy of the regulatory regime. However, it should be noted that these fees are generally small relative to the other costs of participating in this industry, such as the costs of purchasing, maintaining, and storing firearms. In particular, requiring licence fees to be paid by primary producers may deter primary producers from owning a firearm for the purpose of pest control (noting that fees associated with a firearm licence are only one cost associated with a firearm), or from being appropriately licensed (noting, however, that this expense may be partially offset by income tax deductions). </w:t>
            </w:r>
          </w:p>
        </w:tc>
        <w:tc>
          <w:tcPr>
            <w:tcW w:w="594" w:type="pct"/>
            <w:shd w:val="clear" w:color="auto" w:fill="auto"/>
            <w:vAlign w:val="center"/>
          </w:tcPr>
          <w:p w14:paraId="47F12681"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-4</w:t>
            </w:r>
          </w:p>
        </w:tc>
        <w:tc>
          <w:tcPr>
            <w:tcW w:w="597" w:type="pct"/>
            <w:vAlign w:val="center"/>
          </w:tcPr>
          <w:p w14:paraId="095F0AA5" w14:textId="77777777" w:rsidR="00052799" w:rsidRPr="002D7AE6" w:rsidRDefault="00D15526" w:rsidP="00871631">
            <w:pPr>
              <w:suppressAutoHyphens/>
              <w:spacing w:before="120" w:after="120"/>
              <w:jc w:val="center"/>
              <w:rPr>
                <w:rFonts w:eastAsia="Times" w:cs="Times New Roman"/>
                <w:sz w:val="18"/>
                <w:szCs w:val="18"/>
              </w:rPr>
            </w:pPr>
            <w:r w:rsidRPr="002D7AE6">
              <w:rPr>
                <w:rFonts w:eastAsia="Times" w:cs="Times New Roman"/>
                <w:sz w:val="18"/>
                <w:szCs w:val="18"/>
              </w:rPr>
              <w:t>3</w:t>
            </w:r>
            <w:r w:rsidR="00052799" w:rsidRPr="002D7AE6">
              <w:rPr>
                <w:rFonts w:eastAsia="Times" w:cs="Times New Roman"/>
                <w:sz w:val="18"/>
                <w:szCs w:val="18"/>
              </w:rPr>
              <w:t>0%</w:t>
            </w:r>
          </w:p>
        </w:tc>
        <w:tc>
          <w:tcPr>
            <w:tcW w:w="591" w:type="pct"/>
            <w:shd w:val="clear" w:color="auto" w:fill="auto"/>
            <w:vAlign w:val="center"/>
          </w:tcPr>
          <w:p w14:paraId="1E27FF03" w14:textId="77777777" w:rsidR="00052799" w:rsidRPr="002D7AE6" w:rsidRDefault="00D15526" w:rsidP="00871631">
            <w:pPr>
              <w:suppressAutoHyphens/>
              <w:spacing w:before="120" w:after="120"/>
              <w:jc w:val="center"/>
              <w:rPr>
                <w:rFonts w:eastAsia="Times" w:cs="Times New Roman"/>
                <w:sz w:val="18"/>
                <w:szCs w:val="18"/>
              </w:rPr>
            </w:pPr>
            <w:r w:rsidRPr="002D7AE6">
              <w:rPr>
                <w:rFonts w:eastAsia="Times" w:cs="Times New Roman"/>
                <w:sz w:val="18"/>
                <w:szCs w:val="18"/>
              </w:rPr>
              <w:t>-1.2</w:t>
            </w:r>
          </w:p>
        </w:tc>
      </w:tr>
      <w:tr w:rsidR="00052799" w:rsidRPr="002D7AE6" w14:paraId="736E6439" w14:textId="77777777" w:rsidTr="00871631">
        <w:tc>
          <w:tcPr>
            <w:tcW w:w="779" w:type="pct"/>
            <w:shd w:val="clear" w:color="auto" w:fill="auto"/>
          </w:tcPr>
          <w:p w14:paraId="584310D4"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Administrative complexity</w:t>
            </w:r>
          </w:p>
        </w:tc>
        <w:tc>
          <w:tcPr>
            <w:tcW w:w="2440" w:type="pct"/>
            <w:shd w:val="clear" w:color="auto" w:fill="auto"/>
          </w:tcPr>
          <w:p w14:paraId="1FE98470"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 xml:space="preserve">Relative to the base case, this option would be somewhat more complex, simply because it introduces fees. </w:t>
            </w:r>
          </w:p>
          <w:p w14:paraId="5C8A73FC"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 xml:space="preserve">The introduction of an application fee would create additional complexity within the fee schedules relative to the current situation, by requiring additional fees to be prescribed for all categories, and the elimination of waivers would require fee collection activities in a greater proportion of licence collections. It does not, however, require a radical overhaul of the administrative scheme. </w:t>
            </w:r>
          </w:p>
          <w:p w14:paraId="46906655"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 xml:space="preserve">Given that processing a rejected application often takes greater time and effort than granting one, a reduction in rejected applications due to the financial disincentive provided by the application fee would help reduce the overall administrative effort required to operate the licensing system.  </w:t>
            </w:r>
          </w:p>
          <w:p w14:paraId="2CB2B847" w14:textId="51A1AF0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This proposal would require adjusting existing procedures and processes to accept payment</w:t>
            </w:r>
            <w:r w:rsidR="000F1105">
              <w:rPr>
                <w:rFonts w:eastAsia="Times" w:cs="Times New Roman"/>
                <w:sz w:val="18"/>
                <w:szCs w:val="18"/>
              </w:rPr>
              <w:t>s</w:t>
            </w:r>
            <w:r w:rsidRPr="002D7AE6">
              <w:rPr>
                <w:rFonts w:eastAsia="Times" w:cs="Times New Roman"/>
                <w:sz w:val="18"/>
                <w:szCs w:val="18"/>
              </w:rPr>
              <w:t xml:space="preserve"> at the application stage.</w:t>
            </w:r>
          </w:p>
        </w:tc>
        <w:tc>
          <w:tcPr>
            <w:tcW w:w="594" w:type="pct"/>
            <w:shd w:val="clear" w:color="auto" w:fill="auto"/>
            <w:vAlign w:val="center"/>
          </w:tcPr>
          <w:p w14:paraId="5F5436C3"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-3</w:t>
            </w:r>
          </w:p>
        </w:tc>
        <w:tc>
          <w:tcPr>
            <w:tcW w:w="597" w:type="pct"/>
            <w:vAlign w:val="center"/>
          </w:tcPr>
          <w:p w14:paraId="3CC5AECE" w14:textId="77777777" w:rsidR="00052799" w:rsidRPr="002D7AE6" w:rsidRDefault="00D15526" w:rsidP="00871631">
            <w:pPr>
              <w:suppressAutoHyphens/>
              <w:spacing w:before="120" w:after="120"/>
              <w:jc w:val="center"/>
              <w:rPr>
                <w:rFonts w:eastAsia="Times" w:cs="Times New Roman"/>
                <w:sz w:val="18"/>
                <w:szCs w:val="18"/>
              </w:rPr>
            </w:pPr>
            <w:r w:rsidRPr="002D7AE6">
              <w:rPr>
                <w:rFonts w:eastAsia="Times" w:cs="Times New Roman"/>
                <w:sz w:val="18"/>
                <w:szCs w:val="18"/>
              </w:rPr>
              <w:t>2</w:t>
            </w:r>
            <w:r w:rsidR="00052799" w:rsidRPr="002D7AE6">
              <w:rPr>
                <w:rFonts w:eastAsia="Times" w:cs="Times New Roman"/>
                <w:sz w:val="18"/>
                <w:szCs w:val="18"/>
              </w:rPr>
              <w:t>0%</w:t>
            </w:r>
          </w:p>
        </w:tc>
        <w:tc>
          <w:tcPr>
            <w:tcW w:w="591" w:type="pct"/>
            <w:shd w:val="clear" w:color="auto" w:fill="auto"/>
            <w:vAlign w:val="center"/>
          </w:tcPr>
          <w:p w14:paraId="06CFF81F"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-0.</w:t>
            </w:r>
            <w:r w:rsidR="00D15526" w:rsidRPr="002D7AE6">
              <w:rPr>
                <w:rFonts w:eastAsia="Times" w:cs="Times New Roman"/>
                <w:sz w:val="18"/>
                <w:szCs w:val="18"/>
              </w:rPr>
              <w:t>6</w:t>
            </w:r>
          </w:p>
        </w:tc>
      </w:tr>
      <w:tr w:rsidR="00052799" w:rsidRPr="002D7AE6" w14:paraId="006AA561" w14:textId="77777777" w:rsidTr="00871631">
        <w:tc>
          <w:tcPr>
            <w:tcW w:w="4409" w:type="pct"/>
            <w:gridSpan w:val="4"/>
            <w:shd w:val="clear" w:color="auto" w:fill="auto"/>
          </w:tcPr>
          <w:p w14:paraId="6D07C9ED" w14:textId="77777777" w:rsidR="00052799" w:rsidRPr="002D7AE6" w:rsidRDefault="00052799" w:rsidP="00871631">
            <w:pPr>
              <w:suppressAutoHyphens/>
              <w:spacing w:before="120" w:after="120"/>
              <w:jc w:val="right"/>
              <w:rPr>
                <w:rFonts w:eastAsia="Times" w:cs="Times New Roman"/>
                <w:b/>
                <w:sz w:val="18"/>
                <w:szCs w:val="18"/>
              </w:rPr>
            </w:pPr>
            <w:r w:rsidRPr="002D7AE6">
              <w:rPr>
                <w:rFonts w:eastAsia="Times" w:cs="Times New Roman"/>
                <w:b/>
                <w:sz w:val="18"/>
                <w:szCs w:val="18"/>
              </w:rPr>
              <w:t>Total score</w:t>
            </w:r>
          </w:p>
        </w:tc>
        <w:tc>
          <w:tcPr>
            <w:tcW w:w="591" w:type="pct"/>
            <w:shd w:val="clear" w:color="auto" w:fill="auto"/>
            <w:vAlign w:val="center"/>
          </w:tcPr>
          <w:p w14:paraId="5EDA869A" w14:textId="77777777" w:rsidR="00052799" w:rsidRPr="002D7AE6" w:rsidRDefault="00D15526" w:rsidP="00871631">
            <w:pPr>
              <w:suppressAutoHyphens/>
              <w:spacing w:before="120" w:after="120"/>
              <w:jc w:val="center"/>
              <w:rPr>
                <w:rFonts w:eastAsia="Times" w:cs="Times New Roman"/>
                <w:b/>
                <w:sz w:val="18"/>
                <w:szCs w:val="18"/>
              </w:rPr>
            </w:pPr>
            <w:r w:rsidRPr="002D7AE6">
              <w:rPr>
                <w:rFonts w:eastAsia="Times" w:cs="Times New Roman"/>
                <w:b/>
                <w:sz w:val="18"/>
                <w:szCs w:val="18"/>
              </w:rPr>
              <w:t>3.2</w:t>
            </w:r>
          </w:p>
        </w:tc>
      </w:tr>
    </w:tbl>
    <w:p w14:paraId="16572F24" w14:textId="77777777" w:rsidR="00052799" w:rsidRDefault="00052799" w:rsidP="00052799">
      <w:pPr>
        <w:pStyle w:val="BodyText"/>
      </w:pPr>
    </w:p>
    <w:p w14:paraId="29B834B3" w14:textId="77777777" w:rsidR="00052799" w:rsidRDefault="00052799" w:rsidP="00052799">
      <w:pPr>
        <w:pStyle w:val="BodyText"/>
        <w:ind w:left="0"/>
      </w:pPr>
      <w:r>
        <w:rPr>
          <w:noProof/>
          <w:lang w:eastAsia="en-AU"/>
        </w:rPr>
        <mc:AlternateContent>
          <mc:Choice Requires="wps">
            <w:drawing>
              <wp:inline distT="0" distB="0" distL="0" distR="0" wp14:anchorId="5C0DB1E9" wp14:editId="146F1502">
                <wp:extent cx="5757545" cy="1432560"/>
                <wp:effectExtent l="0" t="0" r="14605" b="10160"/>
                <wp:docPr id="2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7545" cy="1432560"/>
                        </a:xfrm>
                        <a:prstGeom prst="roundRect">
                          <a:avLst>
                            <a:gd name="adj" fmla="val 16667"/>
                          </a:avLst>
                        </a:prstGeom>
                        <a:noFill/>
                        <a:ln w="9525"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4750E1" w14:textId="77777777" w:rsidR="007D4B3A" w:rsidRPr="007831D0" w:rsidRDefault="007D4B3A" w:rsidP="00052799">
                            <w:pPr>
                              <w:pStyle w:val="BodyText"/>
                              <w:ind w:left="0"/>
                              <w:rPr>
                                <w:b/>
                                <w:sz w:val="18"/>
                              </w:rPr>
                            </w:pPr>
                            <w:r>
                              <w:rPr>
                                <w:b/>
                                <w:sz w:val="18"/>
                              </w:rPr>
                              <w:t>Consultation questions:</w:t>
                            </w:r>
                          </w:p>
                          <w:p w14:paraId="1AF67645" w14:textId="77777777" w:rsidR="007D4B3A" w:rsidRPr="00A60C4C" w:rsidRDefault="007D4B3A" w:rsidP="00052799">
                            <w:pPr>
                              <w:pStyle w:val="BodyText"/>
                              <w:ind w:left="0"/>
                              <w:rPr>
                                <w:sz w:val="18"/>
                              </w:rPr>
                            </w:pPr>
                            <w:r>
                              <w:rPr>
                                <w:sz w:val="18"/>
                              </w:rPr>
                              <w:t xml:space="preserve">Would full cost recovery impact licensee behaviour? If so, in what ways? </w:t>
                            </w:r>
                          </w:p>
                        </w:txbxContent>
                      </wps:txbx>
                      <wps:bodyPr rot="0" vert="horz" wrap="square" lIns="91440" tIns="45720" rIns="91440" bIns="45720" anchor="t" anchorCtr="0" upright="1">
                        <a:spAutoFit/>
                      </wps:bodyPr>
                    </wps:wsp>
                  </a:graphicData>
                </a:graphic>
              </wp:inline>
            </w:drawing>
          </mc:Choice>
          <mc:Fallback>
            <w:pict>
              <v:roundrect w14:anchorId="5C0DB1E9" id="_x0000_s1030" style="width:453.35pt;height:112.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" filled="f">
                <v:textbox style="mso-fit-shape-to-text:t">
                  <w:txbxContent>
                    <w:p w14:paraId="104750E1" w14:textId="77777777" w:rsidR="007D4B3A" w:rsidRPr="007831D0" w:rsidRDefault="007D4B3A" w:rsidP="00052799">
                      <w:pPr>
                        <w:pStyle w:val="BodyText"/>
                        <w:ind w:left="0"/>
                        <w:rPr>
                          <w:b/>
                          <w:sz w:val="18"/>
                        </w:rPr>
                      </w:pPr>
                      <w:r>
                        <w:rPr>
                          <w:b/>
                          <w:sz w:val="18"/>
                        </w:rPr>
                        <w:t>Consultation questions:</w:t>
                      </w:r>
                    </w:p>
                    <w:p w14:paraId="1AF67645" w14:textId="77777777" w:rsidR="007D4B3A" w:rsidRPr="00A60C4C" w:rsidRDefault="007D4B3A" w:rsidP="00052799">
                      <w:pPr>
                        <w:pStyle w:val="BodyText"/>
                        <w:ind w:left="0"/>
                        <w:rPr>
                          <w:sz w:val="18"/>
                        </w:rPr>
                      </w:pPr>
                      <w:r>
                        <w:rPr>
                          <w:sz w:val="18"/>
                        </w:rPr>
                        <w:t xml:space="preserve">Would full cost recovery impact licensee behaviour? If so, in what ways? </w:t>
                      </w:r>
                    </w:p>
                  </w:txbxContent>
                </v:textbox>
                <w10:anchorlock/>
              </v:roundrect>
            </w:pict>
          </mc:Fallback>
        </mc:AlternateContent>
      </w:r>
    </w:p>
    <w:p w14:paraId="1ACA73FC" w14:textId="77777777" w:rsidR="00052799" w:rsidRPr="00610D49" w:rsidRDefault="00052799" w:rsidP="00052799">
      <w:pPr>
        <w:pStyle w:val="BodyText"/>
      </w:pPr>
    </w:p>
    <w:p w14:paraId="63D0482C" w14:textId="77777777" w:rsidR="00052799" w:rsidRPr="00610D49" w:rsidRDefault="00052799" w:rsidP="00052799">
      <w:pPr>
        <w:pStyle w:val="Heading3"/>
      </w:pPr>
      <w:bookmarkStart w:id="204" w:name="_Toc500505487"/>
      <w:bookmarkStart w:id="205" w:name="_Toc501539182"/>
      <w:r>
        <w:t>Fee Option 2 – Partial cost recovery</w:t>
      </w:r>
      <w:bookmarkEnd w:id="204"/>
      <w:bookmarkEnd w:id="205"/>
      <w:r>
        <w:t xml:space="preserve"> </w:t>
      </w:r>
    </w:p>
    <w:p w14:paraId="486DBC54" w14:textId="77777777" w:rsidR="00052799" w:rsidRPr="00610D49" w:rsidRDefault="00052799" w:rsidP="00052799">
      <w:pPr>
        <w:pStyle w:val="Heading4"/>
        <w:numPr>
          <w:ilvl w:val="0"/>
          <w:numId w:val="0"/>
        </w:numPr>
        <w:ind w:left="794"/>
      </w:pPr>
      <w:r>
        <w:t>Overview</w:t>
      </w:r>
      <w:r w:rsidRPr="00610D49">
        <w:t xml:space="preserve"> of Option</w:t>
      </w:r>
    </w:p>
    <w:p w14:paraId="34DEB9BC" w14:textId="77777777" w:rsidR="00052799" w:rsidRPr="00610D49" w:rsidRDefault="00052799" w:rsidP="00052799">
      <w:pPr>
        <w:pStyle w:val="BodyText"/>
      </w:pPr>
      <w:r w:rsidRPr="00610D49">
        <w:t xml:space="preserve">Option 2 is discussed throughout this section. </w:t>
      </w:r>
    </w:p>
    <w:p w14:paraId="5F882541" w14:textId="77777777" w:rsidR="00052799" w:rsidRDefault="00052799" w:rsidP="00052799">
      <w:pPr>
        <w:pStyle w:val="BodyText"/>
        <w:rPr>
          <w:szCs w:val="20"/>
        </w:rPr>
      </w:pPr>
      <w:r w:rsidRPr="00610D49">
        <w:t xml:space="preserve">Option 2 should be thought of as commencing from the same starting point as Option 1 (i.e. moving to full cost recovery, including the application fee and new Class 2 dealer structure). However, Option 2 makes a series of deviations from the approach under Option 1. Each of these deviations are </w:t>
      </w:r>
      <w:r w:rsidRPr="00610D49">
        <w:rPr>
          <w:szCs w:val="20"/>
        </w:rPr>
        <w:t>described and analysed individually throughout this section</w:t>
      </w:r>
      <w:r>
        <w:rPr>
          <w:szCs w:val="20"/>
        </w:rPr>
        <w:t xml:space="preserve"> in a separate table which outlines the assessment against each of the criteria</w:t>
      </w:r>
      <w:r w:rsidRPr="00610D49">
        <w:rPr>
          <w:szCs w:val="20"/>
        </w:rPr>
        <w:t xml:space="preserve">. </w:t>
      </w:r>
    </w:p>
    <w:p w14:paraId="050A2527" w14:textId="77777777" w:rsidR="00D15526" w:rsidRDefault="00D15526" w:rsidP="00D15526">
      <w:pPr>
        <w:pStyle w:val="BodyText"/>
        <w:rPr>
          <w:szCs w:val="20"/>
        </w:rPr>
      </w:pPr>
      <w:r>
        <w:t>Note that the Regulations prescribe fees in fee units, which increase each year by the Treasurer’s annual rate</w:t>
      </w:r>
      <w:r w:rsidR="00A65F08">
        <w:t>.</w:t>
      </w:r>
      <w:r>
        <w:t xml:space="preserve"> For simplicity, this RIS compares current fees to the 2017–18 dollar value of the fee units that would be set under Options 1 or 2.</w:t>
      </w:r>
    </w:p>
    <w:p w14:paraId="71400A47" w14:textId="77777777" w:rsidR="00052799" w:rsidRPr="00610D49" w:rsidRDefault="00052799" w:rsidP="00052799">
      <w:pPr>
        <w:pStyle w:val="BodyText"/>
        <w:rPr>
          <w:szCs w:val="20"/>
        </w:rPr>
      </w:pPr>
      <w:r w:rsidRPr="00610D49">
        <w:rPr>
          <w:szCs w:val="20"/>
        </w:rPr>
        <w:t>This option would largely adjust fee levels in line with the findings of the ABC. However, in order to better align with government objectives, Option 2 includes the following deviations:</w:t>
      </w:r>
    </w:p>
    <w:p w14:paraId="40D74014" w14:textId="77777777" w:rsidR="00052799" w:rsidRPr="00610D49" w:rsidRDefault="00052799" w:rsidP="00052799">
      <w:pPr>
        <w:pStyle w:val="Bulletnormal"/>
        <w:tabs>
          <w:tab w:val="clear" w:pos="283"/>
        </w:tabs>
      </w:pPr>
      <w:r w:rsidRPr="00610D49">
        <w:t xml:space="preserve">re-making the primary production waiver that provides an exemption from longarm licence fees if the genuine reason is primary production. </w:t>
      </w:r>
    </w:p>
    <w:p w14:paraId="1CC20387" w14:textId="492E41EF" w:rsidR="00052799" w:rsidRDefault="00052799" w:rsidP="00052799">
      <w:pPr>
        <w:pStyle w:val="Bulletnormal"/>
        <w:tabs>
          <w:tab w:val="clear" w:pos="283"/>
        </w:tabs>
      </w:pPr>
      <w:r w:rsidRPr="00610D49">
        <w:t>retaining the current fee level for junior licences</w:t>
      </w:r>
    </w:p>
    <w:p w14:paraId="5A0E17BA" w14:textId="77777777" w:rsidR="00052799" w:rsidRDefault="00052799" w:rsidP="00052799">
      <w:pPr>
        <w:pStyle w:val="Bulletnormal"/>
        <w:tabs>
          <w:tab w:val="clear" w:pos="283"/>
        </w:tabs>
      </w:pPr>
      <w:r w:rsidRPr="00610D49">
        <w:t xml:space="preserve">retaining the current fee level for provisional licences </w:t>
      </w:r>
    </w:p>
    <w:p w14:paraId="69B1118F" w14:textId="77777777" w:rsidR="00052799" w:rsidRDefault="00052799" w:rsidP="00052799">
      <w:pPr>
        <w:pStyle w:val="Bulletnormal"/>
        <w:tabs>
          <w:tab w:val="clear" w:pos="283"/>
        </w:tabs>
      </w:pPr>
      <w:r w:rsidRPr="00610D49">
        <w:t>retaining the current fee level for decision reviews</w:t>
      </w:r>
    </w:p>
    <w:p w14:paraId="42C489B7" w14:textId="08E41A16" w:rsidR="000F1105" w:rsidRPr="00610D49" w:rsidRDefault="000F1105" w:rsidP="00052799">
      <w:pPr>
        <w:pStyle w:val="Bulletnormal"/>
        <w:tabs>
          <w:tab w:val="clear" w:pos="283"/>
        </w:tabs>
      </w:pPr>
      <w:r>
        <w:t>creating a concession scheme for firearms licences</w:t>
      </w:r>
    </w:p>
    <w:p w14:paraId="48FB96BB" w14:textId="0EA4493D" w:rsidR="00052799" w:rsidRPr="00610D49" w:rsidRDefault="00052799" w:rsidP="00052799">
      <w:pPr>
        <w:pStyle w:val="Bulletnormal"/>
        <w:tabs>
          <w:tab w:val="clear" w:pos="283"/>
        </w:tabs>
      </w:pPr>
      <w:r w:rsidRPr="00610D49">
        <w:t xml:space="preserve">smoothing the impact of fee changes, by halving the size of any increases, and </w:t>
      </w:r>
      <w:r w:rsidR="000F1105">
        <w:t>retaining</w:t>
      </w:r>
      <w:r w:rsidR="000F1105" w:rsidRPr="00610D49">
        <w:t xml:space="preserve"> </w:t>
      </w:r>
      <w:r w:rsidRPr="00610D49">
        <w:t>current fee levels for licence fees which would decrease</w:t>
      </w:r>
      <w:r w:rsidR="000F1105">
        <w:t xml:space="preserve"> under Option 1</w:t>
      </w:r>
      <w:r w:rsidRPr="00610D49">
        <w:t xml:space="preserve">. </w:t>
      </w:r>
    </w:p>
    <w:p w14:paraId="76D26078" w14:textId="77777777" w:rsidR="00052799" w:rsidRPr="00610D49" w:rsidRDefault="00052799" w:rsidP="00052799">
      <w:pPr>
        <w:pStyle w:val="Body"/>
      </w:pPr>
      <w:r w:rsidRPr="00610D49">
        <w:t>As a result, this option is projected to recover 8</w:t>
      </w:r>
      <w:r>
        <w:t>1</w:t>
      </w:r>
      <w:r w:rsidRPr="00610D49">
        <w:t xml:space="preserve"> per cent of all costs, with the remaining $2.</w:t>
      </w:r>
      <w:r>
        <w:t>61</w:t>
      </w:r>
      <w:r w:rsidRPr="00610D49">
        <w:t xml:space="preserve"> million being funded through consolidated revenue. This represents an increase in the level of costs recovered over all from current levels, which generates around 7</w:t>
      </w:r>
      <w:r>
        <w:t>8</w:t>
      </w:r>
      <w:r w:rsidRPr="00610D49">
        <w:t>% of recoverable costs.</w:t>
      </w:r>
    </w:p>
    <w:p w14:paraId="7FCBC1F1" w14:textId="4F9A73B7" w:rsidR="00052799" w:rsidRPr="00610D49" w:rsidRDefault="00052799" w:rsidP="00052799">
      <w:pPr>
        <w:pStyle w:val="BodyText"/>
        <w:rPr>
          <w:szCs w:val="20"/>
        </w:rPr>
      </w:pPr>
      <w:r w:rsidRPr="00610D49">
        <w:rPr>
          <w:szCs w:val="20"/>
        </w:rPr>
        <w:t>This option was chosen for inclusion for a number of reasons, including:</w:t>
      </w:r>
    </w:p>
    <w:p w14:paraId="46DC3F8C" w14:textId="7356030D" w:rsidR="00052799" w:rsidRPr="00610D49" w:rsidRDefault="000F1105" w:rsidP="004B487D">
      <w:pPr>
        <w:pStyle w:val="BodyText"/>
        <w:numPr>
          <w:ilvl w:val="0"/>
          <w:numId w:val="55"/>
        </w:numPr>
        <w:tabs>
          <w:tab w:val="clear" w:pos="340"/>
          <w:tab w:val="num" w:pos="1134"/>
        </w:tabs>
        <w:ind w:left="1134"/>
        <w:rPr>
          <w:szCs w:val="20"/>
        </w:rPr>
      </w:pPr>
      <w:r>
        <w:rPr>
          <w:szCs w:val="20"/>
        </w:rPr>
        <w:t>i</w:t>
      </w:r>
      <w:r w:rsidR="00052799" w:rsidRPr="00610D49">
        <w:rPr>
          <w:szCs w:val="20"/>
        </w:rPr>
        <w:t>t reduces many of the cross subsidies that exist under the existing fee regime</w:t>
      </w:r>
      <w:r>
        <w:rPr>
          <w:szCs w:val="20"/>
        </w:rPr>
        <w:t>, and</w:t>
      </w:r>
    </w:p>
    <w:p w14:paraId="0A7EC796" w14:textId="45C0062E" w:rsidR="00052799" w:rsidRPr="00610D49" w:rsidRDefault="000F1105" w:rsidP="004B487D">
      <w:pPr>
        <w:pStyle w:val="BodyText"/>
        <w:numPr>
          <w:ilvl w:val="0"/>
          <w:numId w:val="55"/>
        </w:numPr>
        <w:tabs>
          <w:tab w:val="clear" w:pos="340"/>
          <w:tab w:val="num" w:pos="1780"/>
        </w:tabs>
        <w:ind w:left="1134"/>
      </w:pPr>
      <w:r>
        <w:rPr>
          <w:szCs w:val="20"/>
        </w:rPr>
        <w:t>i</w:t>
      </w:r>
      <w:r w:rsidR="00052799" w:rsidRPr="00610D49">
        <w:rPr>
          <w:szCs w:val="20"/>
        </w:rPr>
        <w:t xml:space="preserve">t </w:t>
      </w:r>
      <w:r w:rsidR="00052799">
        <w:rPr>
          <w:szCs w:val="20"/>
        </w:rPr>
        <w:t>aims to achieve a large level of</w:t>
      </w:r>
      <w:r w:rsidR="00052799" w:rsidRPr="00610D49">
        <w:rPr>
          <w:szCs w:val="20"/>
        </w:rPr>
        <w:t xml:space="preserve"> cost recovery over all, with the exception of the primary production waiver and </w:t>
      </w:r>
      <w:r w:rsidR="00052799">
        <w:rPr>
          <w:szCs w:val="20"/>
        </w:rPr>
        <w:t xml:space="preserve">maintaining </w:t>
      </w:r>
      <w:r w:rsidR="00052799" w:rsidRPr="00610D49">
        <w:rPr>
          <w:szCs w:val="20"/>
        </w:rPr>
        <w:t>junior licences</w:t>
      </w:r>
      <w:r w:rsidR="00052799">
        <w:rPr>
          <w:szCs w:val="20"/>
        </w:rPr>
        <w:t xml:space="preserve"> at current levels</w:t>
      </w:r>
      <w:r w:rsidR="00052799" w:rsidRPr="00610D49">
        <w:rPr>
          <w:szCs w:val="20"/>
        </w:rPr>
        <w:t xml:space="preserve">, </w:t>
      </w:r>
      <w:r w:rsidR="00052799">
        <w:rPr>
          <w:szCs w:val="20"/>
        </w:rPr>
        <w:t xml:space="preserve">maintaining </w:t>
      </w:r>
      <w:r w:rsidR="00052799" w:rsidRPr="00610D49">
        <w:rPr>
          <w:szCs w:val="20"/>
        </w:rPr>
        <w:t>provisional</w:t>
      </w:r>
      <w:r w:rsidR="00052799" w:rsidRPr="00610D49">
        <w:t xml:space="preserve"> licences </w:t>
      </w:r>
      <w:r w:rsidR="00052799">
        <w:t>at current levels, maintaining</w:t>
      </w:r>
      <w:r w:rsidR="00052799" w:rsidRPr="00610D49">
        <w:t xml:space="preserve"> decision review</w:t>
      </w:r>
      <w:r w:rsidR="00052799">
        <w:t xml:space="preserve"> fees at current levels, and introducing a concession for older licence applicants,</w:t>
      </w:r>
      <w:r w:rsidR="00052799" w:rsidRPr="00610D49">
        <w:t xml:space="preserve"> where full cost recovery may not be appropriate give</w:t>
      </w:r>
      <w:r w:rsidR="00D15526">
        <w:t>n potential positive externalities</w:t>
      </w:r>
      <w:r w:rsidR="00052799" w:rsidRPr="00610D49">
        <w:t xml:space="preserve"> and broader government policy objectives.</w:t>
      </w:r>
    </w:p>
    <w:p w14:paraId="3CBB8448" w14:textId="77777777" w:rsidR="00052799" w:rsidRPr="00B7389E" w:rsidRDefault="00052799" w:rsidP="00052799">
      <w:pPr>
        <w:pStyle w:val="Heading4"/>
        <w:numPr>
          <w:ilvl w:val="0"/>
          <w:numId w:val="0"/>
        </w:numPr>
        <w:ind w:left="794"/>
      </w:pPr>
      <w:r w:rsidRPr="00B7389E">
        <w:t>Primary production waiver</w:t>
      </w:r>
    </w:p>
    <w:p w14:paraId="00CEA03E" w14:textId="7A1D03F0" w:rsidR="00052799" w:rsidRPr="00610D49" w:rsidRDefault="00052799" w:rsidP="00052799">
      <w:pPr>
        <w:pStyle w:val="BodyText"/>
      </w:pPr>
      <w:r w:rsidRPr="00610D49">
        <w:t xml:space="preserve">The current regulations include a fee waiver for licence applicants who </w:t>
      </w:r>
      <w:r w:rsidR="000F1105">
        <w:t>hold their licence for the genuine reason of</w:t>
      </w:r>
      <w:r w:rsidRPr="00610D49">
        <w:t xml:space="preserve"> primary produc</w:t>
      </w:r>
      <w:r w:rsidR="000F1105">
        <w:t>tion</w:t>
      </w:r>
      <w:r w:rsidRPr="00610D49">
        <w:t>.</w:t>
      </w:r>
      <w:r>
        <w:t xml:space="preserve"> This waiver was introduced in 1972,</w:t>
      </w:r>
      <w:r>
        <w:rPr>
          <w:rStyle w:val="FootnoteReference"/>
        </w:rPr>
        <w:footnoteReference w:id="59"/>
      </w:r>
      <w:r>
        <w:t xml:space="preserve"> and an equivalent waiver is available in NSW.</w:t>
      </w:r>
      <w:r>
        <w:rPr>
          <w:rStyle w:val="FootnoteReference"/>
        </w:rPr>
        <w:footnoteReference w:id="60"/>
      </w:r>
      <w:r w:rsidRPr="00610D49">
        <w:t xml:space="preserve"> </w:t>
      </w:r>
      <w:r>
        <w:t>It</w:t>
      </w:r>
      <w:r w:rsidR="00D15526">
        <w:t xml:space="preserve"> is estimated to result in for</w:t>
      </w:r>
      <w:r w:rsidRPr="00610D49">
        <w:t>gone revenue of $2.0 million in 2017</w:t>
      </w:r>
      <w:r w:rsidR="000F1105">
        <w:t>–</w:t>
      </w:r>
      <w:r w:rsidRPr="00610D49">
        <w:t>18.</w:t>
      </w:r>
      <w:r w:rsidRPr="00610D49">
        <w:rPr>
          <w:rStyle w:val="FootnoteReference"/>
        </w:rPr>
        <w:footnoteReference w:id="61"/>
      </w:r>
      <w:r w:rsidRPr="00610D49">
        <w:t xml:space="preserve"> </w:t>
      </w:r>
    </w:p>
    <w:p w14:paraId="11E61516" w14:textId="462CF776" w:rsidR="00052799" w:rsidRPr="00610D49" w:rsidRDefault="00052799" w:rsidP="00052799">
      <w:pPr>
        <w:pStyle w:val="BodyText"/>
      </w:pPr>
      <w:r w:rsidRPr="00610D49">
        <w:t>The inclusion of the primary production waiver is justified on the basis that it may help to curb the impact of invasive species, which have significant impact on Victoria’s primary industries, natural ecosystems, human and animal health, and are one of the main threats to biodiversity in Australia today</w:t>
      </w:r>
      <w:r w:rsidR="000F1105">
        <w:t>.</w:t>
      </w:r>
      <w:r w:rsidRPr="00610D49">
        <w:rPr>
          <w:rStyle w:val="FootnoteReference"/>
        </w:rPr>
        <w:footnoteReference w:id="62"/>
      </w:r>
      <w:r w:rsidRPr="00610D49">
        <w:t xml:space="preserve"> </w:t>
      </w:r>
    </w:p>
    <w:p w14:paraId="42C3A710" w14:textId="77777777" w:rsidR="00052799" w:rsidRPr="00610D49" w:rsidRDefault="00052799" w:rsidP="00052799">
      <w:pPr>
        <w:pStyle w:val="BodyText"/>
      </w:pPr>
      <w:r w:rsidRPr="00610D49">
        <w:t xml:space="preserve">According to the 2017 </w:t>
      </w:r>
      <w:r w:rsidRPr="00610D49">
        <w:rPr>
          <w:i/>
        </w:rPr>
        <w:t>State of the Environment</w:t>
      </w:r>
      <w:r w:rsidRPr="00610D49">
        <w:t xml:space="preserve"> report:</w:t>
      </w:r>
      <w:r w:rsidRPr="00610D49">
        <w:rPr>
          <w:rStyle w:val="FootnoteReference"/>
        </w:rPr>
        <w:footnoteReference w:id="63"/>
      </w:r>
    </w:p>
    <w:p w14:paraId="66ECED62" w14:textId="1348FAB8" w:rsidR="00052799" w:rsidRPr="00610D49" w:rsidRDefault="000514BF" w:rsidP="00052799">
      <w:pPr>
        <w:pStyle w:val="Body"/>
        <w:ind w:left="1440"/>
      </w:pPr>
      <w:r>
        <w:t>‘</w:t>
      </w:r>
      <w:r w:rsidR="00052799" w:rsidRPr="00610D49">
        <w:t xml:space="preserve">In 2009, the annual cost of invasive pests and plants to the Victorian economy was estimated to be over $900 million alone. This primarily represents lost production and management costs, as the cost of invasive species to native biodiversity is largely incalculable. Between 2007–08 </w:t>
      </w:r>
      <w:r w:rsidR="00284A42">
        <w:t>and</w:t>
      </w:r>
      <w:r w:rsidR="00052799" w:rsidRPr="00610D49">
        <w:t xml:space="preserve"> 2011–12, the Victorian Government spent $139 million on pest species management on private land alone. The high costs associated with the control of pest species reduce the resources available for other environmental management activities.</w:t>
      </w:r>
      <w:r>
        <w:t>’</w:t>
      </w:r>
    </w:p>
    <w:p w14:paraId="2A5BC595" w14:textId="77777777" w:rsidR="00052799" w:rsidRPr="00610D49" w:rsidRDefault="00052799" w:rsidP="00052799">
      <w:pPr>
        <w:pStyle w:val="Body"/>
      </w:pPr>
      <w:r w:rsidRPr="00610D49">
        <w:t>Further, in 2010, the Invasive Animals Co-operative Research Centre published a report that estimated the direct national annual impact of only six invasive animal species (wild dogs, foxes, mice, wild pigs, rabbits, and starlings) at $743.5 million in lost agricultural production and expenditure on management, administration, and research</w:t>
      </w:r>
      <w:r w:rsidRPr="00610D49">
        <w:rPr>
          <w:rStyle w:val="FootnoteReference"/>
          <w:sz w:val="20"/>
          <w:szCs w:val="20"/>
        </w:rPr>
        <w:footnoteReference w:id="64"/>
      </w:r>
      <w:r w:rsidRPr="00610D49">
        <w:t xml:space="preserve">. This report notes that this estimate does not include a valuation of the environmental loss and therefore underestimates the impact of these invasive species in Australia. </w:t>
      </w:r>
    </w:p>
    <w:p w14:paraId="1DB7BE12" w14:textId="71C72F65" w:rsidR="00052799" w:rsidRPr="00610D49" w:rsidRDefault="00052799" w:rsidP="00052799">
      <w:pPr>
        <w:pStyle w:val="BodyText"/>
      </w:pPr>
      <w:r w:rsidRPr="00610D49">
        <w:t>The environmental damage these species can cause include</w:t>
      </w:r>
      <w:r w:rsidR="00AA1142">
        <w:t>s</w:t>
      </w:r>
      <w:r w:rsidRPr="00610D49">
        <w:t xml:space="preserve"> displacing or preying on native species, spreading weeds, contributing to soil erosion, degrading water supplies, damaging biodiversity, and spreading exotic diseases which can be transferred to native fauna</w:t>
      </w:r>
      <w:r w:rsidR="00AA1142">
        <w:t>.</w:t>
      </w:r>
      <w:r w:rsidRPr="00610D49">
        <w:rPr>
          <w:rStyle w:val="FootnoteReference"/>
        </w:rPr>
        <w:footnoteReference w:id="65"/>
      </w:r>
      <w:r w:rsidRPr="00610D49">
        <w:t xml:space="preserve"> These species also have damaging social impacts, including disruption to farm activities, distress associated with loss of production and livestock predation. </w:t>
      </w:r>
    </w:p>
    <w:p w14:paraId="2D038352" w14:textId="77777777" w:rsidR="00052799" w:rsidRPr="00610D49" w:rsidRDefault="00052799" w:rsidP="00052799">
      <w:pPr>
        <w:pStyle w:val="BodyText"/>
      </w:pPr>
      <w:r w:rsidRPr="00610D49">
        <w:t xml:space="preserve">The control of pest animals is thus both of interest to the wider community, and a Government objective, as demonstrated by the considerable resources expended by the Victorian Government on pest control efforts. That being the case, actions by Victorian primary producers to control pest animals have generated a positive externality, by mitigating the harm these species cause to others and relieving some of the pressure on government pest control efforts. </w:t>
      </w:r>
    </w:p>
    <w:p w14:paraId="7AD19EE7" w14:textId="77777777" w:rsidR="00052799" w:rsidRPr="00610D49" w:rsidRDefault="00052799" w:rsidP="00052799">
      <w:pPr>
        <w:pStyle w:val="BodyText"/>
      </w:pPr>
      <w:r w:rsidRPr="00610D49">
        <w:t>The Act was intended to recognise the practical requirements for primary producers to keep firearms for the purpose of pest control.</w:t>
      </w:r>
      <w:r w:rsidRPr="00610D49">
        <w:rPr>
          <w:rStyle w:val="FootnoteReference"/>
        </w:rPr>
        <w:footnoteReference w:id="66"/>
      </w:r>
      <w:r w:rsidRPr="00610D49">
        <w:t xml:space="preserve">  The inclusion of the proposed primary production waiver can be justified on the grounds that it is in line with the intention of the Act, and because it supports the broader Government objective of controlling invasive pest species. </w:t>
      </w:r>
    </w:p>
    <w:p w14:paraId="56C9F402" w14:textId="77777777" w:rsidR="00052799" w:rsidRDefault="00052799" w:rsidP="00052799">
      <w:pPr>
        <w:pStyle w:val="BodyText"/>
      </w:pPr>
      <w:r w:rsidRPr="00610D49">
        <w:t>It is important to note that firearms are only one form of pest control, and that primary producers have other alternatives such as baiting. Further, it should be noted that some component of a primary producer’s pest control activities result in private benefits, given that the removal of pests is likely to result in their land being more productive or having better amenity. Given this, the extent to which not remaking the primary producer waiver would result in fewer farmers applying for licences to use firearms in pest control is not clear.</w:t>
      </w:r>
    </w:p>
    <w:p w14:paraId="1CA2E6BE" w14:textId="01722BA2" w:rsidR="00052799" w:rsidRDefault="00052799" w:rsidP="00052799">
      <w:pPr>
        <w:pStyle w:val="BodyText"/>
      </w:pPr>
      <w:r>
        <w:t>While there is no evidence to suggest that removing the waiver would reduce pest control activity, and although the waiver results in $2 million of cross subsidy from consolidated revenue and would be less efficient than full cost recovery, the Department’s view is that avoiding large increase</w:t>
      </w:r>
      <w:r w:rsidR="00AA1142">
        <w:t>s</w:t>
      </w:r>
      <w:r>
        <w:t xml:space="preserve"> in or the introduction of new fees</w:t>
      </w:r>
      <w:r w:rsidR="00AA1142">
        <w:t>,</w:t>
      </w:r>
      <w:r>
        <w:t xml:space="preserve"> </w:t>
      </w:r>
      <w:r w:rsidR="00AA1142">
        <w:t>and the corresponding risks of noncompliance, outweighs</w:t>
      </w:r>
      <w:r>
        <w:t xml:space="preserve"> these concerns. As such, </w:t>
      </w:r>
      <w:r w:rsidRPr="00A60C4C">
        <w:rPr>
          <w:b/>
        </w:rPr>
        <w:t>this component is included as part of the preferred option</w:t>
      </w:r>
      <w:r>
        <w:t>.</w:t>
      </w:r>
    </w:p>
    <w:p w14:paraId="307ABDB9" w14:textId="30C37099" w:rsidR="00052799" w:rsidRPr="00610D49" w:rsidRDefault="00052799" w:rsidP="002D7AE6">
      <w:pPr>
        <w:pStyle w:val="Caption"/>
        <w:keepNext/>
      </w:pPr>
      <w:r w:rsidRPr="00610D49">
        <w:t xml:space="preserve">Table </w:t>
      </w:r>
      <w:r w:rsidR="001C7D77">
        <w:rPr>
          <w:noProof/>
        </w:rPr>
        <w:t>30</w:t>
      </w:r>
      <w:r w:rsidR="00AE2E50">
        <w:t>: Discussion of sub-option against criteria</w:t>
      </w:r>
    </w:p>
    <w:tbl>
      <w:tblPr>
        <w:tblW w:w="4505"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30: Discussion of sub-option against criteria"/>
      </w:tblPr>
      <w:tblGrid>
        <w:gridCol w:w="1493"/>
        <w:gridCol w:w="7437"/>
      </w:tblGrid>
      <w:tr w:rsidR="00052799" w:rsidRPr="002D7AE6" w14:paraId="6F9858D1" w14:textId="77777777" w:rsidTr="00871631">
        <w:trPr>
          <w:tblHeader/>
        </w:trPr>
        <w:tc>
          <w:tcPr>
            <w:tcW w:w="836" w:type="pct"/>
            <w:shd w:val="clear" w:color="auto" w:fill="002060"/>
          </w:tcPr>
          <w:p w14:paraId="6FCD2C9C"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Criterion</w:t>
            </w:r>
          </w:p>
        </w:tc>
        <w:tc>
          <w:tcPr>
            <w:tcW w:w="4164" w:type="pct"/>
            <w:shd w:val="clear" w:color="auto" w:fill="002060"/>
          </w:tcPr>
          <w:p w14:paraId="2D3544AC"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Discussion</w:t>
            </w:r>
          </w:p>
        </w:tc>
      </w:tr>
      <w:tr w:rsidR="00052799" w:rsidRPr="002D7AE6" w14:paraId="30594521" w14:textId="77777777" w:rsidTr="00871631">
        <w:tc>
          <w:tcPr>
            <w:tcW w:w="836" w:type="pct"/>
            <w:shd w:val="clear" w:color="auto" w:fill="auto"/>
          </w:tcPr>
          <w:p w14:paraId="42943E11"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Efficiency</w:t>
            </w:r>
          </w:p>
        </w:tc>
        <w:tc>
          <w:tcPr>
            <w:tcW w:w="4164" w:type="pct"/>
            <w:shd w:val="clear" w:color="auto" w:fill="auto"/>
          </w:tcPr>
          <w:p w14:paraId="4C1DDAA2"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 xml:space="preserve">Relative to Option 1, this option would have lower efficiency given that primary producers would not pay the efficient costs associated with firearms regulatory activity </w:t>
            </w:r>
          </w:p>
        </w:tc>
      </w:tr>
      <w:tr w:rsidR="00052799" w:rsidRPr="002D7AE6" w14:paraId="2F746C5C" w14:textId="77777777" w:rsidTr="00871631">
        <w:tc>
          <w:tcPr>
            <w:tcW w:w="836" w:type="pct"/>
            <w:shd w:val="clear" w:color="auto" w:fill="auto"/>
          </w:tcPr>
          <w:p w14:paraId="6BBDD961"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Equity</w:t>
            </w:r>
          </w:p>
        </w:tc>
        <w:tc>
          <w:tcPr>
            <w:tcW w:w="4164" w:type="pct"/>
            <w:shd w:val="clear" w:color="auto" w:fill="auto"/>
          </w:tcPr>
          <w:p w14:paraId="6D4948A2"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Option 1, this option would have lower equity given that primary producers would not pay the costs associated with firearms regulatory activity</w:t>
            </w:r>
          </w:p>
        </w:tc>
      </w:tr>
      <w:tr w:rsidR="00052799" w:rsidRPr="002D7AE6" w14:paraId="624B7976" w14:textId="77777777" w:rsidTr="00871631">
        <w:tc>
          <w:tcPr>
            <w:tcW w:w="836" w:type="pct"/>
            <w:shd w:val="clear" w:color="auto" w:fill="auto"/>
          </w:tcPr>
          <w:p w14:paraId="206DC27E"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Alignment with objectives of the Act</w:t>
            </w:r>
          </w:p>
        </w:tc>
        <w:tc>
          <w:tcPr>
            <w:tcW w:w="4164" w:type="pct"/>
            <w:shd w:val="clear" w:color="auto" w:fill="auto"/>
          </w:tcPr>
          <w:p w14:paraId="2DCB10AD"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Option 1, this option will have a minor benefit for the safety and public peace objectives of the Act, to the extent that exempting primary producers from paying fees encourages them to participate in compliant firearm conduct (e.g. being licensed, and therefore having to undergo storage inspections).</w:t>
            </w:r>
          </w:p>
        </w:tc>
      </w:tr>
      <w:tr w:rsidR="00052799" w:rsidRPr="002D7AE6" w14:paraId="3C2E7DF6" w14:textId="77777777" w:rsidTr="00871631">
        <w:tc>
          <w:tcPr>
            <w:tcW w:w="836" w:type="pct"/>
            <w:shd w:val="clear" w:color="auto" w:fill="auto"/>
          </w:tcPr>
          <w:p w14:paraId="047FA20D"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Administrative complexity</w:t>
            </w:r>
          </w:p>
        </w:tc>
        <w:tc>
          <w:tcPr>
            <w:tcW w:w="4164" w:type="pct"/>
            <w:shd w:val="clear" w:color="auto" w:fill="auto"/>
          </w:tcPr>
          <w:p w14:paraId="2F787BB4" w14:textId="140095BC" w:rsidR="00052799" w:rsidRPr="002D7AE6" w:rsidRDefault="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 xml:space="preserve">Relative to Option 1, this option </w:t>
            </w:r>
            <w:r w:rsidR="00AA1142">
              <w:rPr>
                <w:rFonts w:eastAsia="Times" w:cs="Times New Roman"/>
                <w:sz w:val="18"/>
                <w:szCs w:val="18"/>
              </w:rPr>
              <w:t>would have</w:t>
            </w:r>
            <w:r w:rsidR="00AA1142" w:rsidRPr="002D7AE6">
              <w:rPr>
                <w:rFonts w:eastAsia="Times" w:cs="Times New Roman"/>
                <w:sz w:val="18"/>
                <w:szCs w:val="18"/>
              </w:rPr>
              <w:t xml:space="preserve"> </w:t>
            </w:r>
            <w:r w:rsidRPr="002D7AE6">
              <w:rPr>
                <w:rFonts w:eastAsia="Times" w:cs="Times New Roman"/>
                <w:sz w:val="18"/>
                <w:szCs w:val="18"/>
              </w:rPr>
              <w:t>minor benefits for administrative complexity, given that Victoria Police will not need to change its current systems in order to facilitate changes to charging primary producers.</w:t>
            </w:r>
          </w:p>
        </w:tc>
      </w:tr>
    </w:tbl>
    <w:p w14:paraId="5EA30A7A" w14:textId="77777777" w:rsidR="00052799" w:rsidRDefault="00052799" w:rsidP="00052799">
      <w:pPr>
        <w:pStyle w:val="BodyText"/>
      </w:pPr>
    </w:p>
    <w:p w14:paraId="2FD5C86E" w14:textId="77777777" w:rsidR="00052799" w:rsidRDefault="00052799" w:rsidP="00052799">
      <w:pPr>
        <w:pStyle w:val="BodyText"/>
      </w:pPr>
      <w:r>
        <w:rPr>
          <w:noProof/>
          <w:lang w:eastAsia="en-AU"/>
        </w:rPr>
        <mc:AlternateContent>
          <mc:Choice Requires="wps">
            <w:drawing>
              <wp:inline distT="0" distB="0" distL="0" distR="0" wp14:anchorId="0485ADA5" wp14:editId="17634419">
                <wp:extent cx="5757545" cy="1432560"/>
                <wp:effectExtent l="0" t="0" r="14605" b="12065"/>
                <wp:docPr id="2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7545" cy="1432560"/>
                        </a:xfrm>
                        <a:prstGeom prst="roundRect">
                          <a:avLst>
                            <a:gd name="adj" fmla="val 16667"/>
                          </a:avLst>
                        </a:prstGeom>
                        <a:noFill/>
                        <a:ln w="9525"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349947" w14:textId="77777777" w:rsidR="007D4B3A" w:rsidRPr="007831D0" w:rsidRDefault="007D4B3A" w:rsidP="00052799">
                            <w:pPr>
                              <w:pStyle w:val="BodyText"/>
                              <w:ind w:left="0"/>
                              <w:rPr>
                                <w:b/>
                                <w:sz w:val="18"/>
                              </w:rPr>
                            </w:pPr>
                            <w:r>
                              <w:rPr>
                                <w:b/>
                                <w:sz w:val="18"/>
                              </w:rPr>
                              <w:t>Consultation questions:</w:t>
                            </w:r>
                          </w:p>
                          <w:p w14:paraId="35E8EE5E" w14:textId="77777777" w:rsidR="007D4B3A" w:rsidRPr="00A60C4C" w:rsidRDefault="007D4B3A" w:rsidP="00052799">
                            <w:pPr>
                              <w:pStyle w:val="BodyText"/>
                              <w:ind w:left="0"/>
                              <w:rPr>
                                <w:sz w:val="18"/>
                              </w:rPr>
                            </w:pPr>
                            <w:r>
                              <w:rPr>
                                <w:sz w:val="18"/>
                              </w:rPr>
                              <w:t xml:space="preserve">What impact would an end to the primary production waiver have on pest control activity and how are primary producers likely to respond or adapt in the event that it is discontinued? </w:t>
                            </w:r>
                          </w:p>
                        </w:txbxContent>
                      </wps:txbx>
                      <wps:bodyPr rot="0" vert="horz" wrap="square" lIns="91440" tIns="45720" rIns="91440" bIns="45720" anchor="t" anchorCtr="0" upright="1">
                        <a:spAutoFit/>
                      </wps:bodyPr>
                    </wps:wsp>
                  </a:graphicData>
                </a:graphic>
              </wp:inline>
            </w:drawing>
          </mc:Choice>
          <mc:Fallback>
            <w:pict>
              <v:roundrect w14:anchorId="0485ADA5" id="_x0000_s1031" style="width:453.35pt;height:112.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" filled="f">
                <v:textbox style="mso-fit-shape-to-text:t">
                  <w:txbxContent>
                    <w:p w14:paraId="0D349947" w14:textId="77777777" w:rsidR="007D4B3A" w:rsidRPr="007831D0" w:rsidRDefault="007D4B3A" w:rsidP="00052799">
                      <w:pPr>
                        <w:pStyle w:val="BodyText"/>
                        <w:ind w:left="0"/>
                        <w:rPr>
                          <w:b/>
                          <w:sz w:val="18"/>
                        </w:rPr>
                      </w:pPr>
                      <w:r>
                        <w:rPr>
                          <w:b/>
                          <w:sz w:val="18"/>
                        </w:rPr>
                        <w:t>Consultation questions:</w:t>
                      </w:r>
                    </w:p>
                    <w:p w14:paraId="35E8EE5E" w14:textId="77777777" w:rsidR="007D4B3A" w:rsidRPr="00A60C4C" w:rsidRDefault="007D4B3A" w:rsidP="00052799">
                      <w:pPr>
                        <w:pStyle w:val="BodyText"/>
                        <w:ind w:left="0"/>
                        <w:rPr>
                          <w:sz w:val="18"/>
                        </w:rPr>
                      </w:pPr>
                      <w:r>
                        <w:rPr>
                          <w:sz w:val="18"/>
                        </w:rPr>
                        <w:t xml:space="preserve">What impact would an end to the primary production waiver have on pest control activity and how are primary producers likely to respond or adapt in the event that it is discontinued? </w:t>
                      </w:r>
                    </w:p>
                  </w:txbxContent>
                </v:textbox>
                <w10:anchorlock/>
              </v:roundrect>
            </w:pict>
          </mc:Fallback>
        </mc:AlternateContent>
      </w:r>
    </w:p>
    <w:p w14:paraId="37770332" w14:textId="77777777" w:rsidR="00052799" w:rsidRPr="00610D49" w:rsidRDefault="00052799" w:rsidP="00052799">
      <w:pPr>
        <w:pStyle w:val="BodyText"/>
      </w:pPr>
    </w:p>
    <w:p w14:paraId="6BC269D5" w14:textId="77777777" w:rsidR="00052799" w:rsidRPr="00B7389E" w:rsidRDefault="00052799" w:rsidP="00052799">
      <w:pPr>
        <w:pStyle w:val="Heading4"/>
        <w:numPr>
          <w:ilvl w:val="0"/>
          <w:numId w:val="0"/>
        </w:numPr>
        <w:ind w:left="794"/>
      </w:pPr>
      <w:r w:rsidRPr="00B7389E">
        <w:t>Maintaining junior licence fees at current levels</w:t>
      </w:r>
    </w:p>
    <w:p w14:paraId="1C62F3F6" w14:textId="77777777" w:rsidR="00052799" w:rsidRDefault="00052799" w:rsidP="00052799">
      <w:pPr>
        <w:pStyle w:val="BodyText"/>
      </w:pPr>
      <w:r>
        <w:t xml:space="preserve">Under Option 1, junior licence fees would </w:t>
      </w:r>
      <w:r w:rsidRPr="007B2F2C">
        <w:t>incr</w:t>
      </w:r>
      <w:r>
        <w:t xml:space="preserve">ease by 344 per cent to $232.80. </w:t>
      </w:r>
    </w:p>
    <w:p w14:paraId="1B35E748" w14:textId="1820A07D" w:rsidR="00052799" w:rsidRDefault="00052799" w:rsidP="00052799">
      <w:pPr>
        <w:pStyle w:val="BodyText"/>
      </w:pPr>
      <w:r w:rsidRPr="00636462">
        <w:t xml:space="preserve">A </w:t>
      </w:r>
      <w:r>
        <w:t xml:space="preserve">junior </w:t>
      </w:r>
      <w:r w:rsidRPr="00636462">
        <w:t xml:space="preserve">licence is </w:t>
      </w:r>
      <w:r>
        <w:t>issued to a minor (under 18 years) for a period of up to three years</w:t>
      </w:r>
      <w:r w:rsidRPr="00636462">
        <w:t xml:space="preserve">, and </w:t>
      </w:r>
      <w:r>
        <w:t>allow</w:t>
      </w:r>
      <w:r w:rsidR="00AA1142">
        <w:t>s</w:t>
      </w:r>
      <w:r>
        <w:t xml:space="preserve"> the holder to use firearms when they are accompanied by an adult licensed firearm holder</w:t>
      </w:r>
      <w:r w:rsidRPr="00636462">
        <w:t xml:space="preserve">. </w:t>
      </w:r>
      <w:r>
        <w:t>A junior licence holder is not permitted to own a firearm.</w:t>
      </w:r>
      <w:r>
        <w:rPr>
          <w:rStyle w:val="FootnoteReference"/>
        </w:rPr>
        <w:footnoteReference w:id="67"/>
      </w:r>
    </w:p>
    <w:p w14:paraId="7DF6707F" w14:textId="77777777" w:rsidR="00052799" w:rsidRDefault="00052799" w:rsidP="00052799">
      <w:pPr>
        <w:pStyle w:val="Body"/>
      </w:pPr>
      <w:r w:rsidRPr="00610D49">
        <w:t>This option includes maintaining junior licence fees</w:t>
      </w:r>
      <w:r>
        <w:t xml:space="preserve"> at their current levels. </w:t>
      </w:r>
      <w:r w:rsidRPr="00610D49">
        <w:t xml:space="preserve">Junior licence fees would be retained at current fee levels (i.e. they would be the same in </w:t>
      </w:r>
      <w:r>
        <w:t xml:space="preserve">terms of the level of fees units in </w:t>
      </w:r>
      <w:r w:rsidRPr="00610D49">
        <w:t>2017-18, and continue to be indexed as per the Treasurer’s Rate).</w:t>
      </w:r>
      <w:r>
        <w:t xml:space="preserve"> Under Option 1, this licence category would have generated approximately $700,000 in revenue, but under Option 2, it generates approximately $150,000 in revenue. As such, the result is an under-recovery from this licence category of approximately $550,000.</w:t>
      </w:r>
    </w:p>
    <w:p w14:paraId="7246B2F1" w14:textId="77777777" w:rsidR="00052799" w:rsidRPr="00610D49" w:rsidRDefault="00052799" w:rsidP="00052799">
      <w:pPr>
        <w:pStyle w:val="BodyText"/>
      </w:pPr>
      <w:r>
        <w:t>In relation to maintaining junior licence fees, the key rationale is as follows</w:t>
      </w:r>
      <w:r w:rsidRPr="00610D49">
        <w:t>:</w:t>
      </w:r>
    </w:p>
    <w:p w14:paraId="1D4BBCAB" w14:textId="57F82493" w:rsidR="00052799" w:rsidRDefault="00052799" w:rsidP="00052799">
      <w:pPr>
        <w:pStyle w:val="BodyText"/>
        <w:numPr>
          <w:ilvl w:val="0"/>
          <w:numId w:val="57"/>
        </w:numPr>
        <w:tabs>
          <w:tab w:val="clear" w:pos="340"/>
          <w:tab w:val="num" w:pos="1134"/>
        </w:tabs>
        <w:ind w:left="1134"/>
      </w:pPr>
      <w:r>
        <w:t>Increasing licence fees may discourage junior licence holders from entering into compliance with the regulatory framework</w:t>
      </w:r>
      <w:r w:rsidR="00AA1142">
        <w:t>—</w:t>
      </w:r>
      <w:r>
        <w:t>it is possible that this would have longer term implications for compliance behaviour. That said, it is important to note that the existing fee ($52.5 in 2017</w:t>
      </w:r>
      <w:r w:rsidR="00AA1142">
        <w:t>–</w:t>
      </w:r>
      <w:r>
        <w:t>18) will also pose a disincentive to complying to an extent, and that the relative disincentive between Option 1 and Option 2 would therefore be the difference in the level of fees under each option ($232.8 under Option 1, and $52.5 under Option 2). A common theme in responses to the 2008 RIS was that increasing licence fees for juniors would not stop them from learning to shoot (while being non-compliant), but it would stop them from being licensed to do so.</w:t>
      </w:r>
    </w:p>
    <w:p w14:paraId="7D919BFF" w14:textId="77777777" w:rsidR="00052799" w:rsidRPr="00610D49" w:rsidRDefault="00052799" w:rsidP="00052799">
      <w:pPr>
        <w:pStyle w:val="BodyText"/>
        <w:numPr>
          <w:ilvl w:val="0"/>
          <w:numId w:val="57"/>
        </w:numPr>
        <w:tabs>
          <w:tab w:val="clear" w:pos="340"/>
          <w:tab w:val="num" w:pos="1134"/>
        </w:tabs>
        <w:ind w:left="1134"/>
      </w:pPr>
      <w:r>
        <w:t xml:space="preserve">There was </w:t>
      </w:r>
      <w:r w:rsidRPr="00610D49">
        <w:t>strong feedback to the 2008 RIS from various stakeholders opposing an increase in junior licence fees</w:t>
      </w:r>
      <w:r>
        <w:t xml:space="preserve"> – 31 stakeholders considered that fee increases for junior licences would discourage young people from taking up sport shooting. </w:t>
      </w:r>
      <w:r w:rsidRPr="006A36F8">
        <w:t xml:space="preserve"> </w:t>
      </w:r>
      <w:r>
        <w:t xml:space="preserve">Based on consultation feedback, target shooting at the elite level generally involves participants who commenced shooting as juniors. </w:t>
      </w:r>
    </w:p>
    <w:p w14:paraId="561A8876" w14:textId="77777777" w:rsidR="00052799" w:rsidRDefault="00052799" w:rsidP="00052799">
      <w:pPr>
        <w:pStyle w:val="BodyText"/>
        <w:numPr>
          <w:ilvl w:val="0"/>
          <w:numId w:val="57"/>
        </w:numPr>
        <w:tabs>
          <w:tab w:val="clear" w:pos="340"/>
          <w:tab w:val="num" w:pos="1134"/>
        </w:tabs>
        <w:ind w:left="1134"/>
      </w:pPr>
      <w:r>
        <w:t>T</w:t>
      </w:r>
      <w:r w:rsidRPr="00610D49">
        <w:t>he limited financial resources of shooters under the age of 18</w:t>
      </w:r>
      <w:r>
        <w:t xml:space="preserve"> may result in disproportionate impacts for families who are not able to meet the cost of fee increases. However, this would not be the same for all families given that they may be able to fund this cost, and that firearms licence fees are only one, relatively small component of the costs of participating in shooting.</w:t>
      </w:r>
    </w:p>
    <w:p w14:paraId="52F1F666" w14:textId="4816B496" w:rsidR="00AE2E50" w:rsidRDefault="00AE2E50" w:rsidP="00052799">
      <w:pPr>
        <w:pStyle w:val="Body"/>
      </w:pPr>
      <w:r w:rsidRPr="00AE2E50">
        <w:t>The Department is notionally allocating $450,000 of over-recovered revenue (see the discussion on smoothing below) to cover most of $550,000 subsidy of junior firearms users, on the basis that stakeholders have emphasised that they would be willing to bear an additional cost for some services if it would help keep fees for junior licences low. The Department notes that the $450,000 of over-recovered revenue is not being deliberately raised for this purpose—it is left over as a result of the method used to smooth any increases in fees. The remaining $100,000 of cost of subsidising junior firearms users will be covered by consolidated revenue.</w:t>
      </w:r>
    </w:p>
    <w:p w14:paraId="27869799" w14:textId="77777777" w:rsidR="00052799" w:rsidRDefault="00052799" w:rsidP="00052799">
      <w:pPr>
        <w:pStyle w:val="Body"/>
      </w:pPr>
      <w:r>
        <w:t>The Departm</w:t>
      </w:r>
      <w:r w:rsidRPr="00B7389E">
        <w:t>ent’s view is that while maintain</w:t>
      </w:r>
      <w:r>
        <w:t>ing</w:t>
      </w:r>
      <w:r w:rsidRPr="00B7389E">
        <w:t xml:space="preserve"> junior licence fees</w:t>
      </w:r>
      <w:r w:rsidR="00AE2E50">
        <w:t xml:space="preserve"> results in a cross-subsidy from other firearms users and a small subsidy from</w:t>
      </w:r>
      <w:r w:rsidRPr="00B7389E">
        <w:t xml:space="preserve"> all Victorians, and would reduce the efficiency of the price signal sent to junior firearms users about the costs of their activities, these disadvantages are offset by t</w:t>
      </w:r>
      <w:r>
        <w:t xml:space="preserve">he benefits of mitigating the risk that further increases would result in noncompliance, and/or may undermine Victoria’s representation and success in target shooting competitions. As such, </w:t>
      </w:r>
      <w:r w:rsidRPr="00210A7B">
        <w:rPr>
          <w:b/>
        </w:rPr>
        <w:t>this component is included as part of the preferred option</w:t>
      </w:r>
      <w:r>
        <w:t xml:space="preserve">. </w:t>
      </w:r>
    </w:p>
    <w:p w14:paraId="71729BAD" w14:textId="59B42535" w:rsidR="00052799" w:rsidRDefault="00052799" w:rsidP="00052799">
      <w:pPr>
        <w:pStyle w:val="BodyText"/>
      </w:pPr>
      <w:r>
        <w:t>An alternative formulation of this option would be phasing in increases in fees over time; however, this has not been pursued</w:t>
      </w:r>
      <w:r w:rsidR="00AA1142">
        <w:t>.</w:t>
      </w:r>
      <w:r>
        <w:t xml:space="preserve"> If stakeholders consider that charging the full cost for these applications would be beneficial, this feedback can be provided in public submissions.</w:t>
      </w:r>
    </w:p>
    <w:p w14:paraId="54CB268B" w14:textId="423EF319" w:rsidR="00052799" w:rsidRPr="00610D49" w:rsidRDefault="00052799" w:rsidP="00052799">
      <w:pPr>
        <w:pStyle w:val="Caption"/>
      </w:pPr>
      <w:r w:rsidRPr="00610D49">
        <w:t xml:space="preserve">Table </w:t>
      </w:r>
      <w:r w:rsidR="001C7D77">
        <w:rPr>
          <w:noProof/>
        </w:rPr>
        <w:t>31</w:t>
      </w:r>
      <w:r w:rsidRPr="00610D49">
        <w:t xml:space="preserve">: </w:t>
      </w:r>
      <w:r>
        <w:t xml:space="preserve">Discussion of sub-option against </w:t>
      </w:r>
      <w:r w:rsidRPr="00610D49">
        <w:t xml:space="preserve">criteria </w:t>
      </w:r>
    </w:p>
    <w:tbl>
      <w:tblPr>
        <w:tblW w:w="4505"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31: Discussion of sub-option against criteria"/>
      </w:tblPr>
      <w:tblGrid>
        <w:gridCol w:w="1493"/>
        <w:gridCol w:w="7437"/>
      </w:tblGrid>
      <w:tr w:rsidR="00052799" w:rsidRPr="002D7AE6" w14:paraId="2D38A5A9" w14:textId="77777777" w:rsidTr="00871631">
        <w:trPr>
          <w:tblHeader/>
        </w:trPr>
        <w:tc>
          <w:tcPr>
            <w:tcW w:w="836" w:type="pct"/>
            <w:shd w:val="clear" w:color="auto" w:fill="002060"/>
          </w:tcPr>
          <w:p w14:paraId="10929584"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Criterion</w:t>
            </w:r>
          </w:p>
        </w:tc>
        <w:tc>
          <w:tcPr>
            <w:tcW w:w="4164" w:type="pct"/>
            <w:shd w:val="clear" w:color="auto" w:fill="002060"/>
          </w:tcPr>
          <w:p w14:paraId="627E9575"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Discussion</w:t>
            </w:r>
          </w:p>
        </w:tc>
      </w:tr>
      <w:tr w:rsidR="00052799" w:rsidRPr="002D7AE6" w14:paraId="26F40943" w14:textId="77777777" w:rsidTr="00871631">
        <w:tc>
          <w:tcPr>
            <w:tcW w:w="836" w:type="pct"/>
            <w:shd w:val="clear" w:color="auto" w:fill="auto"/>
          </w:tcPr>
          <w:p w14:paraId="71381D68"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Efficiency</w:t>
            </w:r>
          </w:p>
        </w:tc>
        <w:tc>
          <w:tcPr>
            <w:tcW w:w="4164" w:type="pct"/>
            <w:shd w:val="clear" w:color="auto" w:fill="auto"/>
          </w:tcPr>
          <w:p w14:paraId="10CD16E5"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Option 1, this option reduces efficiency because junior licence applicants would not have an efficient price signal for the cost of regulating them</w:t>
            </w:r>
          </w:p>
        </w:tc>
      </w:tr>
      <w:tr w:rsidR="00052799" w:rsidRPr="002D7AE6" w14:paraId="143372DD" w14:textId="77777777" w:rsidTr="00871631">
        <w:tc>
          <w:tcPr>
            <w:tcW w:w="836" w:type="pct"/>
            <w:shd w:val="clear" w:color="auto" w:fill="auto"/>
          </w:tcPr>
          <w:p w14:paraId="7B142069"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Equity</w:t>
            </w:r>
          </w:p>
        </w:tc>
        <w:tc>
          <w:tcPr>
            <w:tcW w:w="4164" w:type="pct"/>
            <w:shd w:val="clear" w:color="auto" w:fill="auto"/>
          </w:tcPr>
          <w:p w14:paraId="4E2C4A83"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Option 1, this option would have lower equity given that junior licence applicants would not pay the full costs associated with firearms regulatory activity, and these costs would largely be met</w:t>
            </w:r>
            <w:r w:rsidR="00AE2E50" w:rsidRPr="002D7AE6">
              <w:rPr>
                <w:rFonts w:eastAsia="Times" w:cs="Times New Roman"/>
                <w:sz w:val="18"/>
                <w:szCs w:val="18"/>
              </w:rPr>
              <w:t xml:space="preserve"> by over-recovered revenue, with a small component of costs covered</w:t>
            </w:r>
            <w:r w:rsidRPr="002D7AE6">
              <w:rPr>
                <w:rFonts w:eastAsia="Times" w:cs="Times New Roman"/>
                <w:sz w:val="18"/>
                <w:szCs w:val="18"/>
              </w:rPr>
              <w:t xml:space="preserve"> by general taxpayers</w:t>
            </w:r>
          </w:p>
        </w:tc>
      </w:tr>
      <w:tr w:rsidR="00052799" w:rsidRPr="002D7AE6" w14:paraId="351798BE" w14:textId="77777777" w:rsidTr="00871631">
        <w:tc>
          <w:tcPr>
            <w:tcW w:w="836" w:type="pct"/>
            <w:shd w:val="clear" w:color="auto" w:fill="auto"/>
          </w:tcPr>
          <w:p w14:paraId="14CA31A6"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Alignment with objectives of the Act</w:t>
            </w:r>
          </w:p>
        </w:tc>
        <w:tc>
          <w:tcPr>
            <w:tcW w:w="4164" w:type="pct"/>
            <w:shd w:val="clear" w:color="auto" w:fill="auto"/>
          </w:tcPr>
          <w:p w14:paraId="2BDF6AF9"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Option 1, this option will have a minor benefit for the safety and public peace objectives of the Act, to the extent that maintaining fees at the current rates for junior licences encourages firearms licensees to participate in compliant firearm conduct (e.g. through being licensed, and learning about compliance requirements).</w:t>
            </w:r>
          </w:p>
        </w:tc>
      </w:tr>
      <w:tr w:rsidR="00052799" w:rsidRPr="002D7AE6" w14:paraId="1415342A" w14:textId="77777777" w:rsidTr="00871631">
        <w:tc>
          <w:tcPr>
            <w:tcW w:w="836" w:type="pct"/>
            <w:shd w:val="clear" w:color="auto" w:fill="auto"/>
          </w:tcPr>
          <w:p w14:paraId="654B7309"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Administrative complexity</w:t>
            </w:r>
          </w:p>
        </w:tc>
        <w:tc>
          <w:tcPr>
            <w:tcW w:w="4164" w:type="pct"/>
            <w:shd w:val="clear" w:color="auto" w:fill="auto"/>
          </w:tcPr>
          <w:p w14:paraId="1A88FB16"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Option 1, this option has minor benefits for administrative complexity, given that Victoria Police will not need to change its current systems in order to facilitate any changes.</w:t>
            </w:r>
          </w:p>
        </w:tc>
      </w:tr>
    </w:tbl>
    <w:p w14:paraId="0C7EF971" w14:textId="77777777" w:rsidR="00052799" w:rsidRDefault="00052799" w:rsidP="00052799">
      <w:pPr>
        <w:pStyle w:val="BodyText"/>
      </w:pPr>
    </w:p>
    <w:p w14:paraId="7E3410C8" w14:textId="77777777" w:rsidR="00052799" w:rsidRDefault="00052799" w:rsidP="00052799">
      <w:pPr>
        <w:pStyle w:val="BodyText"/>
      </w:pPr>
      <w:r>
        <w:rPr>
          <w:noProof/>
          <w:lang w:eastAsia="en-AU"/>
        </w:rPr>
        <mc:AlternateContent>
          <mc:Choice Requires="wps">
            <w:drawing>
              <wp:inline distT="0" distB="0" distL="0" distR="0" wp14:anchorId="56382C8D" wp14:editId="44120346">
                <wp:extent cx="5757545" cy="1432560"/>
                <wp:effectExtent l="0" t="0" r="14605" b="15875"/>
                <wp:docPr id="2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7545" cy="1432560"/>
                        </a:xfrm>
                        <a:prstGeom prst="roundRect">
                          <a:avLst>
                            <a:gd name="adj" fmla="val 16667"/>
                          </a:avLst>
                        </a:prstGeom>
                        <a:noFill/>
                        <a:ln w="9525"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5394FD" w14:textId="77777777" w:rsidR="007D4B3A" w:rsidRPr="007831D0" w:rsidRDefault="007D4B3A" w:rsidP="00052799">
                            <w:pPr>
                              <w:pStyle w:val="BodyText"/>
                              <w:ind w:left="0"/>
                              <w:rPr>
                                <w:b/>
                                <w:sz w:val="18"/>
                              </w:rPr>
                            </w:pPr>
                            <w:r>
                              <w:rPr>
                                <w:b/>
                                <w:sz w:val="18"/>
                              </w:rPr>
                              <w:t>Consultation questions:</w:t>
                            </w:r>
                          </w:p>
                          <w:p w14:paraId="318786A0" w14:textId="77777777" w:rsidR="007D4B3A" w:rsidRDefault="007D4B3A" w:rsidP="00052799">
                            <w:pPr>
                              <w:pStyle w:val="BodyText"/>
                              <w:ind w:left="0"/>
                              <w:rPr>
                                <w:sz w:val="18"/>
                              </w:rPr>
                            </w:pPr>
                            <w:r>
                              <w:rPr>
                                <w:sz w:val="18"/>
                              </w:rPr>
                              <w:t xml:space="preserve">What impact would an increase in junior licence fees have on juniors engaging in and learning about complaint firearms conduct, and participation in shooting sports? </w:t>
                            </w:r>
                          </w:p>
                          <w:p w14:paraId="3744845D" w14:textId="77777777" w:rsidR="007D4B3A" w:rsidRDefault="007D4B3A" w:rsidP="00052799">
                            <w:pPr>
                              <w:pStyle w:val="BodyText"/>
                              <w:ind w:left="0"/>
                              <w:rPr>
                                <w:sz w:val="18"/>
                              </w:rPr>
                            </w:pPr>
                            <w:r>
                              <w:rPr>
                                <w:sz w:val="18"/>
                              </w:rPr>
                              <w:t>Does this impact justify the proposed cross subsidy?</w:t>
                            </w:r>
                          </w:p>
                          <w:p w14:paraId="5A96AE43" w14:textId="77777777" w:rsidR="007D4B3A" w:rsidRPr="00A60C4C" w:rsidRDefault="007D4B3A" w:rsidP="00052799">
                            <w:pPr>
                              <w:pStyle w:val="BodyText"/>
                              <w:ind w:left="0"/>
                              <w:rPr>
                                <w:sz w:val="18"/>
                              </w:rPr>
                            </w:pPr>
                            <w:r>
                              <w:rPr>
                                <w:sz w:val="18"/>
                              </w:rPr>
                              <w:t>Would it be more appropriate to phase in changes over time to achieve full cost recovery?</w:t>
                            </w:r>
                          </w:p>
                        </w:txbxContent>
                      </wps:txbx>
                      <wps:bodyPr rot="0" vert="horz" wrap="square" lIns="91440" tIns="45720" rIns="91440" bIns="45720" anchor="t" anchorCtr="0" upright="1">
                        <a:spAutoFit/>
                      </wps:bodyPr>
                    </wps:wsp>
                  </a:graphicData>
                </a:graphic>
              </wp:inline>
            </w:drawing>
          </mc:Choice>
          <mc:Fallback>
            <w:pict>
              <v:roundrect w14:anchorId="56382C8D" id="_x0000_s1032" style="width:453.35pt;height:112.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" filled="f">
                <v:textbox style="mso-fit-shape-to-text:t">
                  <w:txbxContent>
                    <w:p w14:paraId="505394FD" w14:textId="77777777" w:rsidR="007D4B3A" w:rsidRPr="007831D0" w:rsidRDefault="007D4B3A" w:rsidP="00052799">
                      <w:pPr>
                        <w:pStyle w:val="BodyText"/>
                        <w:ind w:left="0"/>
                        <w:rPr>
                          <w:b/>
                          <w:sz w:val="18"/>
                        </w:rPr>
                      </w:pPr>
                      <w:r>
                        <w:rPr>
                          <w:b/>
                          <w:sz w:val="18"/>
                        </w:rPr>
                        <w:t>Consultation questions:</w:t>
                      </w:r>
                    </w:p>
                    <w:p w14:paraId="318786A0" w14:textId="77777777" w:rsidR="007D4B3A" w:rsidRDefault="007D4B3A" w:rsidP="00052799">
                      <w:pPr>
                        <w:pStyle w:val="BodyText"/>
                        <w:ind w:left="0"/>
                        <w:rPr>
                          <w:sz w:val="18"/>
                        </w:rPr>
                      </w:pPr>
                      <w:r>
                        <w:rPr>
                          <w:sz w:val="18"/>
                        </w:rPr>
                        <w:t xml:space="preserve">What impact would an increase in junior licence fees have on juniors engaging in and learning about complaint firearms conduct, and participation in shooting sports? </w:t>
                      </w:r>
                    </w:p>
                    <w:p w14:paraId="3744845D" w14:textId="77777777" w:rsidR="007D4B3A" w:rsidRDefault="007D4B3A" w:rsidP="00052799">
                      <w:pPr>
                        <w:pStyle w:val="BodyText"/>
                        <w:ind w:left="0"/>
                        <w:rPr>
                          <w:sz w:val="18"/>
                        </w:rPr>
                      </w:pPr>
                      <w:r>
                        <w:rPr>
                          <w:sz w:val="18"/>
                        </w:rPr>
                        <w:t>Does this impact justify the proposed cross subsidy?</w:t>
                      </w:r>
                    </w:p>
                    <w:p w14:paraId="5A96AE43" w14:textId="77777777" w:rsidR="007D4B3A" w:rsidRPr="00A60C4C" w:rsidRDefault="007D4B3A" w:rsidP="00052799">
                      <w:pPr>
                        <w:pStyle w:val="BodyText"/>
                        <w:ind w:left="0"/>
                        <w:rPr>
                          <w:sz w:val="18"/>
                        </w:rPr>
                      </w:pPr>
                      <w:r>
                        <w:rPr>
                          <w:sz w:val="18"/>
                        </w:rPr>
                        <w:t>Would it be more appropriate to phase in changes over time to achieve full cost recovery?</w:t>
                      </w:r>
                    </w:p>
                  </w:txbxContent>
                </v:textbox>
                <w10:anchorlock/>
              </v:roundrect>
            </w:pict>
          </mc:Fallback>
        </mc:AlternateContent>
      </w:r>
    </w:p>
    <w:p w14:paraId="2E74B35B" w14:textId="77777777" w:rsidR="00052799" w:rsidRDefault="00052799" w:rsidP="00052799">
      <w:pPr>
        <w:pStyle w:val="BodyText"/>
        <w:rPr>
          <w:b/>
        </w:rPr>
      </w:pPr>
    </w:p>
    <w:p w14:paraId="4E1176B6" w14:textId="77777777" w:rsidR="00052799" w:rsidRPr="00B7389E" w:rsidRDefault="00052799" w:rsidP="00052799">
      <w:pPr>
        <w:pStyle w:val="Heading4"/>
        <w:numPr>
          <w:ilvl w:val="0"/>
          <w:numId w:val="0"/>
        </w:numPr>
        <w:ind w:left="794"/>
      </w:pPr>
      <w:r w:rsidRPr="00B7389E">
        <w:t xml:space="preserve">Maintaining provisional licence fees at current levels </w:t>
      </w:r>
    </w:p>
    <w:p w14:paraId="0F03F6FE" w14:textId="77777777" w:rsidR="00052799" w:rsidRDefault="00052799" w:rsidP="00052799">
      <w:pPr>
        <w:pStyle w:val="BodyText"/>
      </w:pPr>
      <w:r>
        <w:t>Under Option 1, provisional handgun licence fees would increase by 153 per cent to $276.1</w:t>
      </w:r>
      <w:r w:rsidRPr="007B2F2C">
        <w:t>0</w:t>
      </w:r>
      <w:r>
        <w:t xml:space="preserve">. </w:t>
      </w:r>
    </w:p>
    <w:p w14:paraId="26271DB4" w14:textId="261D9807" w:rsidR="00052799" w:rsidRDefault="00052799" w:rsidP="00052799">
      <w:pPr>
        <w:pStyle w:val="BodyText"/>
      </w:pPr>
      <w:r w:rsidRPr="00610D49">
        <w:t xml:space="preserve">A provisional licence </w:t>
      </w:r>
      <w:r>
        <w:t xml:space="preserve">provides applicants with the ability to attain the preliminary requirement to qualify for a </w:t>
      </w:r>
      <w:r w:rsidR="00AA1142">
        <w:t>g</w:t>
      </w:r>
      <w:r>
        <w:t xml:space="preserve">eneral </w:t>
      </w:r>
      <w:r w:rsidR="00AA1142">
        <w:t>c</w:t>
      </w:r>
      <w:r>
        <w:t xml:space="preserve">ategory </w:t>
      </w:r>
      <w:r w:rsidR="00AA1142">
        <w:t>h</w:t>
      </w:r>
      <w:r>
        <w:t xml:space="preserve">andgun </w:t>
      </w:r>
      <w:r w:rsidR="00AA1142">
        <w:t>l</w:t>
      </w:r>
      <w:r>
        <w:t>icence. A provisional licence</w:t>
      </w:r>
      <w:r w:rsidRPr="00610D49">
        <w:t xml:space="preserve"> is held for between 6–12 months, and cannot be renewed. It does not permit the holder to own handguns.</w:t>
      </w:r>
    </w:p>
    <w:p w14:paraId="45AB5B68" w14:textId="2AF78759" w:rsidR="00052799" w:rsidRDefault="00052799" w:rsidP="00052799">
      <w:pPr>
        <w:pStyle w:val="Body"/>
      </w:pPr>
      <w:r w:rsidRPr="006A36F8">
        <w:t xml:space="preserve">This option </w:t>
      </w:r>
      <w:r w:rsidR="00AA1142">
        <w:t>keeps</w:t>
      </w:r>
      <w:r w:rsidR="00AA1142" w:rsidRPr="006A36F8">
        <w:t xml:space="preserve"> </w:t>
      </w:r>
      <w:r>
        <w:t xml:space="preserve">provisional </w:t>
      </w:r>
      <w:r w:rsidRPr="006A36F8">
        <w:t xml:space="preserve">licence fees at their current levels. </w:t>
      </w:r>
      <w:r>
        <w:t xml:space="preserve">Provisional </w:t>
      </w:r>
      <w:r w:rsidRPr="006A36F8">
        <w:t>licence fees would be retained at current fee levels (i.e. they would be the same in terms of the level of fees units in 2017</w:t>
      </w:r>
      <w:r w:rsidR="00AA1142">
        <w:t>–</w:t>
      </w:r>
      <w:r w:rsidRPr="006A36F8">
        <w:t>18, and continue to be indexed as per the Treasurer’s Rate). Under Option 1, this licence category would have generated approximately $</w:t>
      </w:r>
      <w:r>
        <w:t>12</w:t>
      </w:r>
      <w:r w:rsidRPr="006A36F8">
        <w:t>0,000 in revenue, but under Option 2, it generates approximately $50,000 in revenue. As such, the result is an under-recovery from this licence category of approximately $</w:t>
      </w:r>
      <w:r>
        <w:t>7</w:t>
      </w:r>
      <w:r w:rsidRPr="006A36F8">
        <w:t>0,000.</w:t>
      </w:r>
    </w:p>
    <w:p w14:paraId="59DE7687" w14:textId="77777777" w:rsidR="00052799" w:rsidRDefault="00052799" w:rsidP="00052799">
      <w:pPr>
        <w:pStyle w:val="BodyText"/>
      </w:pPr>
      <w:r>
        <w:t>In relation to provisional licences, the key rationale is as follows:</w:t>
      </w:r>
    </w:p>
    <w:p w14:paraId="4675F967" w14:textId="30593CEF" w:rsidR="00052799" w:rsidRPr="00A60C4C" w:rsidRDefault="00052799" w:rsidP="00052799">
      <w:pPr>
        <w:pStyle w:val="Bulletnormal"/>
        <w:tabs>
          <w:tab w:val="clear" w:pos="283"/>
        </w:tabs>
      </w:pPr>
      <w:r>
        <w:t xml:space="preserve">Provisional licences are a pathway to gaining a full </w:t>
      </w:r>
      <w:r w:rsidR="00AA1142">
        <w:t>g</w:t>
      </w:r>
      <w:r>
        <w:t xml:space="preserve">eneral </w:t>
      </w:r>
      <w:r w:rsidR="00AA1142">
        <w:t>c</w:t>
      </w:r>
      <w:r>
        <w:t xml:space="preserve">ategory </w:t>
      </w:r>
      <w:r w:rsidR="00AA1142">
        <w:t>h</w:t>
      </w:r>
      <w:r>
        <w:t xml:space="preserve">andgun </w:t>
      </w:r>
      <w:r w:rsidR="00AA1142">
        <w:t>l</w:t>
      </w:r>
      <w:r>
        <w:t xml:space="preserve">icence. As such, provisional licences are an important component of encouraging </w:t>
      </w:r>
      <w:r>
        <w:rPr>
          <w:rFonts w:eastAsia="Times" w:cs="Times New Roman"/>
        </w:rPr>
        <w:t>participating in compliant firearm conduct, for example, through being licensed and learning about compliance requirements. Increasing provisional licence fees may pose a disincentive to entering into the regulated firearms community. It is important to note, that there are fees under the current arrangements, and as such the extent of any additional distinctive between Option 1 and Option 2 would be the difference in the levels of the two fees ($276.1 under Option 1, and $109.2 under Option 2).</w:t>
      </w:r>
    </w:p>
    <w:p w14:paraId="36EDAE86" w14:textId="77777777" w:rsidR="00052799" w:rsidRDefault="00052799" w:rsidP="00052799">
      <w:pPr>
        <w:pStyle w:val="Bulletnormal"/>
        <w:tabs>
          <w:tab w:val="clear" w:pos="283"/>
        </w:tabs>
      </w:pPr>
      <w:r w:rsidRPr="00610D49">
        <w:t>The Department notes that the revenue impact of this change is small.</w:t>
      </w:r>
    </w:p>
    <w:p w14:paraId="574D16CE" w14:textId="77777777" w:rsidR="00052799" w:rsidRDefault="00052799" w:rsidP="00052799">
      <w:pPr>
        <w:pStyle w:val="Body"/>
      </w:pPr>
      <w:r>
        <w:t xml:space="preserve">The </w:t>
      </w:r>
      <w:r w:rsidRPr="00B7389E">
        <w:t xml:space="preserve">Department’s view is that maintaining provisional licence fees at their current fee level is worth </w:t>
      </w:r>
      <w:r w:rsidRPr="00A60C4C">
        <w:t xml:space="preserve">doing because </w:t>
      </w:r>
      <w:r w:rsidRPr="00B7389E">
        <w:t>despite this approach resulting in cross-subsidy of this group by approximately $70,000 and resulting in an inefficie</w:t>
      </w:r>
      <w:r>
        <w:t>nt price signal being sent to this group of licensees, the benefits of encouraging compliant firearms conduct outweigh these c</w:t>
      </w:r>
      <w:r w:rsidRPr="00B7389E">
        <w:t>osts.</w:t>
      </w:r>
      <w:r w:rsidRPr="00A60C4C" w:rsidDel="00F8170A">
        <w:t xml:space="preserve"> </w:t>
      </w:r>
      <w:r w:rsidRPr="00B7389E">
        <w:t xml:space="preserve"> As such, </w:t>
      </w:r>
      <w:r w:rsidRPr="00B7389E">
        <w:rPr>
          <w:b/>
        </w:rPr>
        <w:t>this component is included as part of the preferred option</w:t>
      </w:r>
      <w:r w:rsidRPr="00B7389E">
        <w:t>.</w:t>
      </w:r>
      <w:r>
        <w:t xml:space="preserve">  It is proposed to be funded from general revenue, for the reasons discussed below.</w:t>
      </w:r>
    </w:p>
    <w:p w14:paraId="4370CBA8" w14:textId="77777777" w:rsidR="00052799" w:rsidRDefault="00052799" w:rsidP="00052799">
      <w:pPr>
        <w:pStyle w:val="BodyText"/>
      </w:pPr>
      <w:r>
        <w:t>An alternative formulation of this option would be phasing in increases in fees over time, however, this has not been pursued – stakeholders can respond to this RIS if they consider that charging full cost for these applications would be beneficial.</w:t>
      </w:r>
    </w:p>
    <w:p w14:paraId="5941B84F" w14:textId="1F093FFF" w:rsidR="00052799" w:rsidRPr="00610D49" w:rsidRDefault="00052799" w:rsidP="00052799">
      <w:pPr>
        <w:pStyle w:val="Caption"/>
      </w:pPr>
      <w:r w:rsidRPr="00610D49">
        <w:t xml:space="preserve">Table </w:t>
      </w:r>
      <w:r w:rsidR="001C7D77">
        <w:rPr>
          <w:noProof/>
        </w:rPr>
        <w:t>32</w:t>
      </w:r>
      <w:r w:rsidRPr="00610D49">
        <w:t xml:space="preserve">: </w:t>
      </w:r>
      <w:r>
        <w:t xml:space="preserve">Discussion of sub-option against </w:t>
      </w:r>
      <w:r w:rsidRPr="00610D49">
        <w:t xml:space="preserve">criteria </w:t>
      </w:r>
    </w:p>
    <w:tbl>
      <w:tblPr>
        <w:tblW w:w="4505"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32: Discussion of sub-option against criteria"/>
      </w:tblPr>
      <w:tblGrid>
        <w:gridCol w:w="1493"/>
        <w:gridCol w:w="7437"/>
      </w:tblGrid>
      <w:tr w:rsidR="00052799" w:rsidRPr="002D7AE6" w14:paraId="2CE49C42" w14:textId="77777777" w:rsidTr="00871631">
        <w:trPr>
          <w:tblHeader/>
        </w:trPr>
        <w:tc>
          <w:tcPr>
            <w:tcW w:w="836" w:type="pct"/>
            <w:shd w:val="clear" w:color="auto" w:fill="002060"/>
          </w:tcPr>
          <w:p w14:paraId="49488517"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Criterion</w:t>
            </w:r>
          </w:p>
        </w:tc>
        <w:tc>
          <w:tcPr>
            <w:tcW w:w="4164" w:type="pct"/>
            <w:shd w:val="clear" w:color="auto" w:fill="002060"/>
          </w:tcPr>
          <w:p w14:paraId="7E26ADC0"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Discussion</w:t>
            </w:r>
          </w:p>
        </w:tc>
      </w:tr>
      <w:tr w:rsidR="00052799" w:rsidRPr="002D7AE6" w14:paraId="3D7A18F5" w14:textId="77777777" w:rsidTr="00871631">
        <w:tc>
          <w:tcPr>
            <w:tcW w:w="836" w:type="pct"/>
            <w:shd w:val="clear" w:color="auto" w:fill="auto"/>
          </w:tcPr>
          <w:p w14:paraId="594B4D0B"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Efficiency</w:t>
            </w:r>
          </w:p>
        </w:tc>
        <w:tc>
          <w:tcPr>
            <w:tcW w:w="4164" w:type="pct"/>
            <w:shd w:val="clear" w:color="auto" w:fill="auto"/>
          </w:tcPr>
          <w:p w14:paraId="38D77A42"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Option 1, this option reduces efficiency because provisional licence applicants would not have an efficient price signal for the cost of regulating them</w:t>
            </w:r>
          </w:p>
        </w:tc>
      </w:tr>
      <w:tr w:rsidR="00052799" w:rsidRPr="002D7AE6" w14:paraId="4D8C0B6B" w14:textId="77777777" w:rsidTr="00871631">
        <w:tc>
          <w:tcPr>
            <w:tcW w:w="836" w:type="pct"/>
            <w:shd w:val="clear" w:color="auto" w:fill="auto"/>
          </w:tcPr>
          <w:p w14:paraId="101C46D3"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Equity</w:t>
            </w:r>
          </w:p>
        </w:tc>
        <w:tc>
          <w:tcPr>
            <w:tcW w:w="4164" w:type="pct"/>
            <w:shd w:val="clear" w:color="auto" w:fill="auto"/>
          </w:tcPr>
          <w:p w14:paraId="27D5BBA2"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Option 1, this option would have lower equity given that provisional licence applicants would not pay the full costs associated with firearms regulatory activity, and these costs would largely be met by general taxpayers</w:t>
            </w:r>
          </w:p>
        </w:tc>
      </w:tr>
      <w:tr w:rsidR="00052799" w:rsidRPr="002D7AE6" w14:paraId="4510F680" w14:textId="77777777" w:rsidTr="00871631">
        <w:tc>
          <w:tcPr>
            <w:tcW w:w="836" w:type="pct"/>
            <w:shd w:val="clear" w:color="auto" w:fill="auto"/>
          </w:tcPr>
          <w:p w14:paraId="109EF259"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Alignment with objectives of the Act</w:t>
            </w:r>
          </w:p>
        </w:tc>
        <w:tc>
          <w:tcPr>
            <w:tcW w:w="4164" w:type="pct"/>
            <w:shd w:val="clear" w:color="auto" w:fill="auto"/>
          </w:tcPr>
          <w:p w14:paraId="3CC3F814"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Option 1, this option will have a minor benefit for the safety and public peace objectives of the Act, to the extent that maintaining fees at the current rates for provisional licensees encourages increases in compliant firearm conduct (e.g. through encouraging a pathway to being licensed, and learning about compliance requirements).</w:t>
            </w:r>
          </w:p>
        </w:tc>
      </w:tr>
      <w:tr w:rsidR="00052799" w:rsidRPr="002D7AE6" w14:paraId="569697BA" w14:textId="77777777" w:rsidTr="00871631">
        <w:tc>
          <w:tcPr>
            <w:tcW w:w="836" w:type="pct"/>
            <w:shd w:val="clear" w:color="auto" w:fill="auto"/>
          </w:tcPr>
          <w:p w14:paraId="36CD612B"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Administrative complexity</w:t>
            </w:r>
          </w:p>
        </w:tc>
        <w:tc>
          <w:tcPr>
            <w:tcW w:w="4164" w:type="pct"/>
            <w:shd w:val="clear" w:color="auto" w:fill="auto"/>
          </w:tcPr>
          <w:p w14:paraId="00159234"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Option 1, this option has minor benefits for administrative complexity, given that Victoria Police will not need to change its current systems in order to facilitate any changes.</w:t>
            </w:r>
          </w:p>
        </w:tc>
      </w:tr>
    </w:tbl>
    <w:p w14:paraId="6A47954F" w14:textId="77777777" w:rsidR="00052799" w:rsidRDefault="00052799" w:rsidP="00052799">
      <w:pPr>
        <w:pStyle w:val="BodyText"/>
      </w:pPr>
    </w:p>
    <w:p w14:paraId="5737DDE6" w14:textId="77777777" w:rsidR="00052799" w:rsidRDefault="00052799" w:rsidP="00052799">
      <w:pPr>
        <w:pStyle w:val="BodyText"/>
      </w:pPr>
      <w:r>
        <w:rPr>
          <w:noProof/>
          <w:lang w:eastAsia="en-AU"/>
        </w:rPr>
        <mc:AlternateContent>
          <mc:Choice Requires="wps">
            <w:drawing>
              <wp:inline distT="0" distB="0" distL="0" distR="0" wp14:anchorId="02147D69" wp14:editId="671BC49D">
                <wp:extent cx="5757545" cy="1432560"/>
                <wp:effectExtent l="0" t="0" r="14605" b="15875"/>
                <wp:docPr id="1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7545" cy="1432560"/>
                        </a:xfrm>
                        <a:prstGeom prst="roundRect">
                          <a:avLst>
                            <a:gd name="adj" fmla="val 16667"/>
                          </a:avLst>
                        </a:prstGeom>
                        <a:noFill/>
                        <a:ln w="9525"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2BC3EB" w14:textId="77777777" w:rsidR="007D4B3A" w:rsidRPr="007831D0" w:rsidRDefault="007D4B3A" w:rsidP="00052799">
                            <w:pPr>
                              <w:pStyle w:val="BodyText"/>
                              <w:ind w:left="0"/>
                              <w:rPr>
                                <w:b/>
                                <w:sz w:val="18"/>
                              </w:rPr>
                            </w:pPr>
                            <w:r>
                              <w:rPr>
                                <w:b/>
                                <w:sz w:val="18"/>
                              </w:rPr>
                              <w:t>Consultation questions:</w:t>
                            </w:r>
                          </w:p>
                          <w:p w14:paraId="0607B629" w14:textId="77777777" w:rsidR="007D4B3A" w:rsidRDefault="007D4B3A" w:rsidP="00052799">
                            <w:pPr>
                              <w:pStyle w:val="BodyText"/>
                              <w:ind w:left="0"/>
                              <w:rPr>
                                <w:sz w:val="18"/>
                              </w:rPr>
                            </w:pPr>
                            <w:r>
                              <w:rPr>
                                <w:sz w:val="18"/>
                              </w:rPr>
                              <w:t xml:space="preserve">What impact would an increase in provisional licence fees have on new shooters undertaking compliant firearms conduct? </w:t>
                            </w:r>
                          </w:p>
                          <w:p w14:paraId="70E407AD" w14:textId="77777777" w:rsidR="007D4B3A" w:rsidRDefault="007D4B3A" w:rsidP="00052799">
                            <w:pPr>
                              <w:pStyle w:val="BodyText"/>
                              <w:ind w:left="0"/>
                              <w:rPr>
                                <w:sz w:val="18"/>
                              </w:rPr>
                            </w:pPr>
                            <w:r>
                              <w:rPr>
                                <w:sz w:val="18"/>
                              </w:rPr>
                              <w:t>Does this impact justify the proposed cross subsidy?</w:t>
                            </w:r>
                          </w:p>
                          <w:p w14:paraId="77076E4E" w14:textId="77777777" w:rsidR="007D4B3A" w:rsidRPr="00A60C4C" w:rsidRDefault="007D4B3A" w:rsidP="00052799">
                            <w:pPr>
                              <w:pStyle w:val="BodyText"/>
                              <w:ind w:left="0"/>
                              <w:rPr>
                                <w:sz w:val="18"/>
                              </w:rPr>
                            </w:pPr>
                            <w:r>
                              <w:rPr>
                                <w:sz w:val="18"/>
                              </w:rPr>
                              <w:t>Would it be more appropriate to phase in changes over time to achieve full cost recovery?</w:t>
                            </w:r>
                          </w:p>
                        </w:txbxContent>
                      </wps:txbx>
                      <wps:bodyPr rot="0" vert="horz" wrap="square" lIns="91440" tIns="45720" rIns="91440" bIns="45720" anchor="t" anchorCtr="0" upright="1">
                        <a:spAutoFit/>
                      </wps:bodyPr>
                    </wps:wsp>
                  </a:graphicData>
                </a:graphic>
              </wp:inline>
            </w:drawing>
          </mc:Choice>
          <mc:Fallback>
            <w:pict>
              <v:roundrect w14:anchorId="02147D69" id="_x0000_s1033" style="width:453.35pt;height:112.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" filled="f">
                <v:textbox style="mso-fit-shape-to-text:t">
                  <w:txbxContent>
                    <w:p w14:paraId="0C2BC3EB" w14:textId="77777777" w:rsidR="007D4B3A" w:rsidRPr="007831D0" w:rsidRDefault="007D4B3A" w:rsidP="00052799">
                      <w:pPr>
                        <w:pStyle w:val="BodyText"/>
                        <w:ind w:left="0"/>
                        <w:rPr>
                          <w:b/>
                          <w:sz w:val="18"/>
                        </w:rPr>
                      </w:pPr>
                      <w:r>
                        <w:rPr>
                          <w:b/>
                          <w:sz w:val="18"/>
                        </w:rPr>
                        <w:t>Consultation questions:</w:t>
                      </w:r>
                    </w:p>
                    <w:p w14:paraId="0607B629" w14:textId="77777777" w:rsidR="007D4B3A" w:rsidRDefault="007D4B3A" w:rsidP="00052799">
                      <w:pPr>
                        <w:pStyle w:val="BodyText"/>
                        <w:ind w:left="0"/>
                        <w:rPr>
                          <w:sz w:val="18"/>
                        </w:rPr>
                      </w:pPr>
                      <w:r>
                        <w:rPr>
                          <w:sz w:val="18"/>
                        </w:rPr>
                        <w:t xml:space="preserve">What impact would an increase in provisional licence fees have on new shooters undertaking compliant firearms conduct? </w:t>
                      </w:r>
                    </w:p>
                    <w:p w14:paraId="70E407AD" w14:textId="77777777" w:rsidR="007D4B3A" w:rsidRDefault="007D4B3A" w:rsidP="00052799">
                      <w:pPr>
                        <w:pStyle w:val="BodyText"/>
                        <w:ind w:left="0"/>
                        <w:rPr>
                          <w:sz w:val="18"/>
                        </w:rPr>
                      </w:pPr>
                      <w:r>
                        <w:rPr>
                          <w:sz w:val="18"/>
                        </w:rPr>
                        <w:t>Does this impact justify the proposed cross subsidy?</w:t>
                      </w:r>
                    </w:p>
                    <w:p w14:paraId="77076E4E" w14:textId="77777777" w:rsidR="007D4B3A" w:rsidRPr="00A60C4C" w:rsidRDefault="007D4B3A" w:rsidP="00052799">
                      <w:pPr>
                        <w:pStyle w:val="BodyText"/>
                        <w:ind w:left="0"/>
                        <w:rPr>
                          <w:sz w:val="18"/>
                        </w:rPr>
                      </w:pPr>
                      <w:r>
                        <w:rPr>
                          <w:sz w:val="18"/>
                        </w:rPr>
                        <w:t>Would it be more appropriate to phase in changes over time to achieve full cost recovery?</w:t>
                      </w:r>
                    </w:p>
                  </w:txbxContent>
                </v:textbox>
                <w10:anchorlock/>
              </v:roundrect>
            </w:pict>
          </mc:Fallback>
        </mc:AlternateContent>
      </w:r>
    </w:p>
    <w:p w14:paraId="1548B778" w14:textId="77777777" w:rsidR="00052799" w:rsidRPr="006A36F8" w:rsidRDefault="00052799" w:rsidP="00052799">
      <w:pPr>
        <w:pStyle w:val="BodyText"/>
      </w:pPr>
    </w:p>
    <w:p w14:paraId="21B33430" w14:textId="77777777" w:rsidR="00052799" w:rsidRPr="00B7389E" w:rsidRDefault="00052799" w:rsidP="00052799">
      <w:pPr>
        <w:pStyle w:val="Heading4"/>
        <w:numPr>
          <w:ilvl w:val="0"/>
          <w:numId w:val="0"/>
        </w:numPr>
        <w:ind w:left="794"/>
      </w:pPr>
      <w:r w:rsidRPr="00B7389E">
        <w:t>Maintaining decision review fees at current levels</w:t>
      </w:r>
    </w:p>
    <w:p w14:paraId="72E5D4C0" w14:textId="6A837982" w:rsidR="00052799" w:rsidRDefault="00052799" w:rsidP="00052799">
      <w:pPr>
        <w:pStyle w:val="BodyText"/>
      </w:pPr>
      <w:r>
        <w:t xml:space="preserve">Under Option 1, decision review fees would increase </w:t>
      </w:r>
      <w:r w:rsidRPr="007B2F2C">
        <w:t>682 per cent to $332.6</w:t>
      </w:r>
      <w:r w:rsidR="00AA1142">
        <w:t>.</w:t>
      </w:r>
      <w:r w:rsidRPr="00610D49">
        <w:rPr>
          <w:rStyle w:val="FootnoteReference"/>
        </w:rPr>
        <w:footnoteReference w:id="68"/>
      </w:r>
      <w:r>
        <w:t xml:space="preserve"> </w:t>
      </w:r>
    </w:p>
    <w:p w14:paraId="761FB63E" w14:textId="77777777" w:rsidR="00052799" w:rsidRDefault="00052799" w:rsidP="00052799">
      <w:pPr>
        <w:pStyle w:val="BodyText"/>
      </w:pPr>
      <w:r>
        <w:t xml:space="preserve">A decision review fee is paid where an applicant for a firearms </w:t>
      </w:r>
      <w:r w:rsidRPr="00636462">
        <w:t>licence</w:t>
      </w:r>
      <w:r>
        <w:t xml:space="preserve"> </w:t>
      </w:r>
      <w:r w:rsidRPr="00636462">
        <w:t>appeal</w:t>
      </w:r>
      <w:r>
        <w:t>s a</w:t>
      </w:r>
      <w:r w:rsidRPr="00636462">
        <w:t xml:space="preserve"> </w:t>
      </w:r>
      <w:r>
        <w:t>decision of Victoria Police with regards to their licence.</w:t>
      </w:r>
    </w:p>
    <w:p w14:paraId="399F6953" w14:textId="50D96484" w:rsidR="00052799" w:rsidRPr="006A36F8" w:rsidRDefault="00052799" w:rsidP="00052799">
      <w:pPr>
        <w:pStyle w:val="Body"/>
      </w:pPr>
      <w:r w:rsidRPr="006A36F8">
        <w:t xml:space="preserve">This option includes maintaining </w:t>
      </w:r>
      <w:r>
        <w:t xml:space="preserve">decision review </w:t>
      </w:r>
      <w:r w:rsidRPr="006A36F8">
        <w:t xml:space="preserve">fees at their current levels. </w:t>
      </w:r>
      <w:r>
        <w:t xml:space="preserve">Decision review </w:t>
      </w:r>
      <w:r w:rsidRPr="006A36F8">
        <w:t>fees would be retained at current fee levels (i.e. they would be the same in terms of the level of fees units in 2017</w:t>
      </w:r>
      <w:r w:rsidR="00AA1142">
        <w:t>–</w:t>
      </w:r>
      <w:r w:rsidRPr="006A36F8">
        <w:t>18, and continue to be indexed as per the Treasurer’s Rate). Under Option 1, this licence category would have generated approximately $</w:t>
      </w:r>
      <w:r>
        <w:t>25</w:t>
      </w:r>
      <w:r w:rsidRPr="006A36F8">
        <w:t>,000 in revenue, but under Option 2, it generates approximately $</w:t>
      </w:r>
      <w:r>
        <w:t>5</w:t>
      </w:r>
      <w:r w:rsidRPr="006A36F8">
        <w:t>,000 in revenue. As such, the result is an under-recovery from this licence category of approximately $</w:t>
      </w:r>
      <w:r>
        <w:t>20</w:t>
      </w:r>
      <w:r w:rsidRPr="006A36F8">
        <w:t>,000.</w:t>
      </w:r>
    </w:p>
    <w:p w14:paraId="33987849" w14:textId="77777777" w:rsidR="00052799" w:rsidRDefault="00052799" w:rsidP="00052799">
      <w:pPr>
        <w:pStyle w:val="BodyText"/>
      </w:pPr>
      <w:r>
        <w:t>In relation to decision reviews, the key rationale is as follows:</w:t>
      </w:r>
    </w:p>
    <w:p w14:paraId="7B4B47E8" w14:textId="77777777" w:rsidR="00052799" w:rsidRPr="00610D49" w:rsidRDefault="00052799" w:rsidP="00052799">
      <w:pPr>
        <w:pStyle w:val="Bulletnormal"/>
        <w:tabs>
          <w:tab w:val="clear" w:pos="283"/>
        </w:tabs>
      </w:pPr>
      <w:r w:rsidRPr="00610D49">
        <w:t>access to the right to review benefits all firearms licence holders, regardless of whether they use the appeal mechanism. If this fee were charged on a full cost-recovery basis, the fee could pose an impediment to accessing a review mechanism under the firearms licensing framework.</w:t>
      </w:r>
      <w:r>
        <w:t xml:space="preserve"> If firearms licence applicants perceive that there is not appropriate access to appeal arrangements, it could result in a lower degree of confidence in the licence assessment process, and thereby have the unintended consequence of discouraging firearms licence applications. </w:t>
      </w:r>
      <w:r>
        <w:rPr>
          <w:rFonts w:eastAsia="Times" w:cs="Times New Roman"/>
        </w:rPr>
        <w:t>It is important to note that there are fees under the current arrangements, and as such, the extent of any additional distinctive between Option 1 and Option 2 would be the difference in the levels of the two fees ($332.6 under Option 1, and $42.7 under Option 2).</w:t>
      </w:r>
    </w:p>
    <w:p w14:paraId="121282C0" w14:textId="77777777" w:rsidR="00052799" w:rsidRPr="00610D49" w:rsidRDefault="00052799" w:rsidP="00052799">
      <w:pPr>
        <w:pStyle w:val="Bulletnormal"/>
        <w:tabs>
          <w:tab w:val="clear" w:pos="283"/>
        </w:tabs>
      </w:pPr>
      <w:r w:rsidRPr="00610D49">
        <w:t>the fee for review of a decision is only one small component of the costs to the appellant – the others being time costs associated with submitting an appeal, and potential legal costs associated with gaining representation.</w:t>
      </w:r>
      <w:r>
        <w:t xml:space="preserve"> However, as it is a more obvious cost as part of the appeals process, it is likely to influence appellant behaviour.</w:t>
      </w:r>
    </w:p>
    <w:p w14:paraId="6B2EAFC7" w14:textId="77777777" w:rsidR="00052799" w:rsidRDefault="00052799" w:rsidP="00052799">
      <w:pPr>
        <w:pStyle w:val="Bulletnormal"/>
        <w:tabs>
          <w:tab w:val="clear" w:pos="283"/>
        </w:tabs>
      </w:pPr>
      <w:r w:rsidRPr="00610D49">
        <w:t>The Department notes that the revenue impact of this change is small.</w:t>
      </w:r>
    </w:p>
    <w:p w14:paraId="791A4FB0" w14:textId="77777777" w:rsidR="00052799" w:rsidRDefault="00052799" w:rsidP="00052799">
      <w:pPr>
        <w:pStyle w:val="Body"/>
      </w:pPr>
      <w:r>
        <w:t xml:space="preserve">The Department’s view is that maintaining decision review fees at their current fee levels is worth doing because despite it resulting in a cross-subsidy of $20,000 and not sending an efficient price signal to appellants, the benefits associated with ensuring access to an appeals mechanism for all firearms applicants provides confidence in the integrity of the regulatory framework, and in doing so, encourages compliant firearms conduct. As such, </w:t>
      </w:r>
      <w:r w:rsidRPr="00210A7B">
        <w:rPr>
          <w:b/>
        </w:rPr>
        <w:t>this component is included as part of the preferred option</w:t>
      </w:r>
      <w:r>
        <w:t>.  It is proposed to be funded from general revenue, for the reasons discussed below.</w:t>
      </w:r>
    </w:p>
    <w:p w14:paraId="01701072" w14:textId="77777777" w:rsidR="00052799" w:rsidRDefault="00052799" w:rsidP="00052799">
      <w:pPr>
        <w:pStyle w:val="BodyText"/>
      </w:pPr>
      <w:r>
        <w:t>An alternative formulation of this option would be phasing in increases in fees over time, however, this has not been pursued – stakeholders can respond to this RIS if they consider that charging full cost for these applications would be beneficial.</w:t>
      </w:r>
    </w:p>
    <w:p w14:paraId="4333A27B" w14:textId="67048794" w:rsidR="00052799" w:rsidRPr="00610D49" w:rsidRDefault="00052799" w:rsidP="00D62F33">
      <w:pPr>
        <w:pStyle w:val="Caption"/>
        <w:keepNext/>
      </w:pPr>
      <w:r w:rsidRPr="00610D49">
        <w:t xml:space="preserve">Table </w:t>
      </w:r>
      <w:r w:rsidR="001C7D77">
        <w:rPr>
          <w:noProof/>
        </w:rPr>
        <w:t>33</w:t>
      </w:r>
      <w:r w:rsidRPr="00610D49">
        <w:t xml:space="preserve">: </w:t>
      </w:r>
      <w:r>
        <w:t xml:space="preserve">Discussion of sub-option against </w:t>
      </w:r>
      <w:r w:rsidRPr="00610D49">
        <w:t xml:space="preserve">criteria </w:t>
      </w:r>
    </w:p>
    <w:tbl>
      <w:tblPr>
        <w:tblW w:w="4505"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33: Discussion of sub-option against criteria"/>
      </w:tblPr>
      <w:tblGrid>
        <w:gridCol w:w="1493"/>
        <w:gridCol w:w="7437"/>
      </w:tblGrid>
      <w:tr w:rsidR="00052799" w:rsidRPr="002D7AE6" w14:paraId="516D3E38" w14:textId="77777777" w:rsidTr="00871631">
        <w:trPr>
          <w:tblHeader/>
        </w:trPr>
        <w:tc>
          <w:tcPr>
            <w:tcW w:w="836" w:type="pct"/>
            <w:shd w:val="clear" w:color="auto" w:fill="002060"/>
          </w:tcPr>
          <w:p w14:paraId="2EED23F3"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Criterion</w:t>
            </w:r>
          </w:p>
        </w:tc>
        <w:tc>
          <w:tcPr>
            <w:tcW w:w="4164" w:type="pct"/>
            <w:shd w:val="clear" w:color="auto" w:fill="002060"/>
          </w:tcPr>
          <w:p w14:paraId="5A88E95B"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Discussion</w:t>
            </w:r>
          </w:p>
        </w:tc>
      </w:tr>
      <w:tr w:rsidR="00052799" w:rsidRPr="002D7AE6" w14:paraId="470B01BD" w14:textId="77777777" w:rsidTr="00871631">
        <w:tc>
          <w:tcPr>
            <w:tcW w:w="836" w:type="pct"/>
            <w:shd w:val="clear" w:color="auto" w:fill="auto"/>
          </w:tcPr>
          <w:p w14:paraId="66F8D557"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Efficiency</w:t>
            </w:r>
          </w:p>
        </w:tc>
        <w:tc>
          <w:tcPr>
            <w:tcW w:w="4164" w:type="pct"/>
            <w:shd w:val="clear" w:color="auto" w:fill="auto"/>
          </w:tcPr>
          <w:p w14:paraId="731D5321"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Option 1, this option reduces efficiency because decision review applicants would not have an efficient price signal for the cost of regulating them</w:t>
            </w:r>
          </w:p>
        </w:tc>
      </w:tr>
      <w:tr w:rsidR="00052799" w:rsidRPr="002D7AE6" w14:paraId="48B4C5DF" w14:textId="77777777" w:rsidTr="00871631">
        <w:tc>
          <w:tcPr>
            <w:tcW w:w="836" w:type="pct"/>
            <w:shd w:val="clear" w:color="auto" w:fill="auto"/>
          </w:tcPr>
          <w:p w14:paraId="0C4E871B"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Equity</w:t>
            </w:r>
          </w:p>
        </w:tc>
        <w:tc>
          <w:tcPr>
            <w:tcW w:w="4164" w:type="pct"/>
            <w:shd w:val="clear" w:color="auto" w:fill="auto"/>
          </w:tcPr>
          <w:p w14:paraId="3BA1C950"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Option 1, this option would have lower equity given that decision review applicants would not pay the full costs associated with firearms regulatory activity, and these costs would largely be met by general taxpayers</w:t>
            </w:r>
          </w:p>
        </w:tc>
      </w:tr>
      <w:tr w:rsidR="00052799" w:rsidRPr="002D7AE6" w14:paraId="5742E37F" w14:textId="77777777" w:rsidTr="00871631">
        <w:tc>
          <w:tcPr>
            <w:tcW w:w="836" w:type="pct"/>
            <w:shd w:val="clear" w:color="auto" w:fill="auto"/>
          </w:tcPr>
          <w:p w14:paraId="5A17E49C"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Alignment with objectives of the Act</w:t>
            </w:r>
          </w:p>
        </w:tc>
        <w:tc>
          <w:tcPr>
            <w:tcW w:w="4164" w:type="pct"/>
            <w:shd w:val="clear" w:color="auto" w:fill="auto"/>
          </w:tcPr>
          <w:p w14:paraId="61AA2463"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Option 1, this option will have a minor benefit for the safety and public peace objectives of the Act, to the extent that maintaining fees at the current rates for decision reviews provides confidence in the firearms application assessment process, and thereby encourages compliant firearm conduct (e.g. through being licensed).</w:t>
            </w:r>
          </w:p>
        </w:tc>
      </w:tr>
      <w:tr w:rsidR="00052799" w:rsidRPr="002D7AE6" w14:paraId="31568465" w14:textId="77777777" w:rsidTr="00871631">
        <w:tc>
          <w:tcPr>
            <w:tcW w:w="836" w:type="pct"/>
            <w:shd w:val="clear" w:color="auto" w:fill="auto"/>
          </w:tcPr>
          <w:p w14:paraId="3C1E70CE"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Administrative complexity</w:t>
            </w:r>
          </w:p>
        </w:tc>
        <w:tc>
          <w:tcPr>
            <w:tcW w:w="4164" w:type="pct"/>
            <w:shd w:val="clear" w:color="auto" w:fill="auto"/>
          </w:tcPr>
          <w:p w14:paraId="76DA575D"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Option 1, this option has minor benefits for administrative complexity, given that Victoria Police will not need to change its current systems in order to facilitate any changes.</w:t>
            </w:r>
          </w:p>
        </w:tc>
      </w:tr>
    </w:tbl>
    <w:p w14:paraId="5F21E909" w14:textId="77777777" w:rsidR="00052799" w:rsidRDefault="00052799" w:rsidP="00052799">
      <w:pPr>
        <w:pStyle w:val="BodyText"/>
      </w:pPr>
      <w:r>
        <w:t xml:space="preserve"> </w:t>
      </w:r>
    </w:p>
    <w:p w14:paraId="32F5F003" w14:textId="77777777" w:rsidR="00052799" w:rsidRPr="00262183" w:rsidRDefault="00052799" w:rsidP="00052799">
      <w:pPr>
        <w:pStyle w:val="BodyText"/>
        <w:rPr>
          <w:b/>
        </w:rPr>
      </w:pPr>
      <w:r>
        <w:rPr>
          <w:noProof/>
          <w:lang w:eastAsia="en-AU"/>
        </w:rPr>
        <mc:AlternateContent>
          <mc:Choice Requires="wps">
            <w:drawing>
              <wp:inline distT="0" distB="0" distL="0" distR="0" wp14:anchorId="2F529FF8" wp14:editId="0FCFAAEA">
                <wp:extent cx="5757545" cy="1432560"/>
                <wp:effectExtent l="0" t="0" r="14605" b="15875"/>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7545" cy="1432560"/>
                        </a:xfrm>
                        <a:prstGeom prst="roundRect">
                          <a:avLst>
                            <a:gd name="adj" fmla="val 16667"/>
                          </a:avLst>
                        </a:prstGeom>
                        <a:noFill/>
                        <a:ln w="9525"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147823E" w14:textId="77777777" w:rsidR="007D4B3A" w:rsidRPr="007831D0" w:rsidRDefault="007D4B3A" w:rsidP="00052799">
                            <w:pPr>
                              <w:pStyle w:val="BodyText"/>
                              <w:ind w:left="0"/>
                              <w:rPr>
                                <w:b/>
                                <w:sz w:val="18"/>
                              </w:rPr>
                            </w:pPr>
                            <w:r>
                              <w:rPr>
                                <w:b/>
                                <w:sz w:val="18"/>
                              </w:rPr>
                              <w:t>Consultation questions:</w:t>
                            </w:r>
                          </w:p>
                          <w:p w14:paraId="4F5C4B54" w14:textId="77777777" w:rsidR="007D4B3A" w:rsidRDefault="007D4B3A" w:rsidP="00052799">
                            <w:pPr>
                              <w:pStyle w:val="BodyText"/>
                              <w:ind w:left="0"/>
                              <w:rPr>
                                <w:sz w:val="18"/>
                              </w:rPr>
                            </w:pPr>
                            <w:r>
                              <w:rPr>
                                <w:sz w:val="18"/>
                              </w:rPr>
                              <w:t>What impact would an increase in decision review fees have on firearms licensees having confidence in the firearms licence regulatory assessment process?</w:t>
                            </w:r>
                          </w:p>
                          <w:p w14:paraId="22C2C84F" w14:textId="77777777" w:rsidR="007D4B3A" w:rsidRDefault="007D4B3A" w:rsidP="00052799">
                            <w:pPr>
                              <w:pStyle w:val="BodyText"/>
                              <w:ind w:left="0"/>
                              <w:rPr>
                                <w:sz w:val="18"/>
                              </w:rPr>
                            </w:pPr>
                            <w:r>
                              <w:rPr>
                                <w:sz w:val="18"/>
                              </w:rPr>
                              <w:t>Does this impact justify the proposed cross subsidy?</w:t>
                            </w:r>
                          </w:p>
                          <w:p w14:paraId="258B3CAB" w14:textId="77777777" w:rsidR="007D4B3A" w:rsidRPr="00A60C4C" w:rsidRDefault="007D4B3A" w:rsidP="00052799">
                            <w:pPr>
                              <w:pStyle w:val="BodyText"/>
                              <w:ind w:left="0"/>
                              <w:rPr>
                                <w:sz w:val="18"/>
                              </w:rPr>
                            </w:pPr>
                            <w:r>
                              <w:rPr>
                                <w:sz w:val="18"/>
                              </w:rPr>
                              <w:t>Would it be more appropriate to phase in changes over time to achieve full cost recovery?</w:t>
                            </w:r>
                          </w:p>
                        </w:txbxContent>
                      </wps:txbx>
                      <wps:bodyPr rot="0" vert="horz" wrap="square" lIns="91440" tIns="45720" rIns="91440" bIns="45720" anchor="t" anchorCtr="0" upright="1">
                        <a:spAutoFit/>
                      </wps:bodyPr>
                    </wps:wsp>
                  </a:graphicData>
                </a:graphic>
              </wp:inline>
            </w:drawing>
          </mc:Choice>
          <mc:Fallback>
            <w:pict>
              <v:roundrect w14:anchorId="2F529FF8" id="_x0000_s1034" style="width:453.35pt;height:112.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" filled="f">
                <v:textbox style="mso-fit-shape-to-text:t">
                  <w:txbxContent>
                    <w:p w14:paraId="2147823E" w14:textId="77777777" w:rsidR="007D4B3A" w:rsidRPr="007831D0" w:rsidRDefault="007D4B3A" w:rsidP="00052799">
                      <w:pPr>
                        <w:pStyle w:val="BodyText"/>
                        <w:ind w:left="0"/>
                        <w:rPr>
                          <w:b/>
                          <w:sz w:val="18"/>
                        </w:rPr>
                      </w:pPr>
                      <w:r>
                        <w:rPr>
                          <w:b/>
                          <w:sz w:val="18"/>
                        </w:rPr>
                        <w:t>Consultation questions:</w:t>
                      </w:r>
                    </w:p>
                    <w:p w14:paraId="4F5C4B54" w14:textId="77777777" w:rsidR="007D4B3A" w:rsidRDefault="007D4B3A" w:rsidP="00052799">
                      <w:pPr>
                        <w:pStyle w:val="BodyText"/>
                        <w:ind w:left="0"/>
                        <w:rPr>
                          <w:sz w:val="18"/>
                        </w:rPr>
                      </w:pPr>
                      <w:r>
                        <w:rPr>
                          <w:sz w:val="18"/>
                        </w:rPr>
                        <w:t>What impact would an increase in decision review fees have on firearms licensees having confidence in the firearms licence regulatory assessment process?</w:t>
                      </w:r>
                    </w:p>
                    <w:p w14:paraId="22C2C84F" w14:textId="77777777" w:rsidR="007D4B3A" w:rsidRDefault="007D4B3A" w:rsidP="00052799">
                      <w:pPr>
                        <w:pStyle w:val="BodyText"/>
                        <w:ind w:left="0"/>
                        <w:rPr>
                          <w:sz w:val="18"/>
                        </w:rPr>
                      </w:pPr>
                      <w:r>
                        <w:rPr>
                          <w:sz w:val="18"/>
                        </w:rPr>
                        <w:t>Does this impact justify the proposed cross subsidy?</w:t>
                      </w:r>
                    </w:p>
                    <w:p w14:paraId="258B3CAB" w14:textId="77777777" w:rsidR="007D4B3A" w:rsidRPr="00A60C4C" w:rsidRDefault="007D4B3A" w:rsidP="00052799">
                      <w:pPr>
                        <w:pStyle w:val="BodyText"/>
                        <w:ind w:left="0"/>
                        <w:rPr>
                          <w:sz w:val="18"/>
                        </w:rPr>
                      </w:pPr>
                      <w:r>
                        <w:rPr>
                          <w:sz w:val="18"/>
                        </w:rPr>
                        <w:t>Would it be more appropriate to phase in changes over time to achieve full cost recovery?</w:t>
                      </w:r>
                    </w:p>
                  </w:txbxContent>
                </v:textbox>
                <w10:anchorlock/>
              </v:roundrect>
            </w:pict>
          </mc:Fallback>
        </mc:AlternateContent>
      </w:r>
    </w:p>
    <w:p w14:paraId="20057297" w14:textId="77777777" w:rsidR="00052799" w:rsidRPr="00B7389E" w:rsidRDefault="00052799" w:rsidP="00052799">
      <w:pPr>
        <w:pStyle w:val="Heading4"/>
        <w:numPr>
          <w:ilvl w:val="0"/>
          <w:numId w:val="0"/>
        </w:numPr>
        <w:ind w:left="794"/>
      </w:pPr>
      <w:r w:rsidRPr="00B7389E">
        <w:t>Creation of a concession scheme for firearm licences</w:t>
      </w:r>
    </w:p>
    <w:p w14:paraId="0C09D9FC" w14:textId="1257B5C4" w:rsidR="00052799" w:rsidRPr="00610D49" w:rsidRDefault="00052799" w:rsidP="00052799">
      <w:pPr>
        <w:pStyle w:val="BodyText"/>
      </w:pPr>
      <w:r w:rsidRPr="00610D49">
        <w:t xml:space="preserve">Under this proposal discounts would be available for firearms licences granted under Part 2 of the Act. Applicants would be eligible for the discount if they are over the age of 70 and/or an ‘eligible recipient’ within the meaning of the </w:t>
      </w:r>
      <w:r w:rsidRPr="00610D49">
        <w:rPr>
          <w:i/>
        </w:rPr>
        <w:t xml:space="preserve">State Concessions Act 2004. </w:t>
      </w:r>
      <w:r w:rsidRPr="00610D49">
        <w:t>Essentially, this would mean that any applicant who held a Commonwealth pensioner concession card or a Department of Veteran’s Affairs (DVA) Gold Card would be eligible to receive the discount.</w:t>
      </w:r>
      <w:r w:rsidR="00BB100E">
        <w:rPr>
          <w:rStyle w:val="FootnoteReference"/>
        </w:rPr>
        <w:footnoteReference w:id="69"/>
      </w:r>
      <w:r w:rsidRPr="00610D49">
        <w:t xml:space="preserve"> The proposed discount under this option is 25 per cent of the ordinary fee payable. </w:t>
      </w:r>
    </w:p>
    <w:p w14:paraId="70FC44D4" w14:textId="32EBD0CF" w:rsidR="00052799" w:rsidRPr="00610D49" w:rsidRDefault="00052799" w:rsidP="00052799">
      <w:pPr>
        <w:pStyle w:val="BodyText"/>
        <w:rPr>
          <w:i/>
        </w:rPr>
      </w:pPr>
      <w:r w:rsidRPr="00610D49">
        <w:t>The Victorian Government currently extends a number of concessions to i</w:t>
      </w:r>
      <w:r w:rsidR="0099108A">
        <w:t xml:space="preserve">ndividuals who would be eligible for a discount </w:t>
      </w:r>
      <w:r w:rsidRPr="00610D49">
        <w:t>under this option. These include a 50 per cent discount on the cost of a game licence</w:t>
      </w:r>
      <w:r w:rsidRPr="004B487D">
        <w:rPr>
          <w:rStyle w:val="FootnoteReference"/>
        </w:rPr>
        <w:footnoteReference w:id="70"/>
      </w:r>
      <w:r w:rsidRPr="00610D49">
        <w:t xml:space="preserve"> and a complete exemption from the need to hold a recreational fishing licence</w:t>
      </w:r>
      <w:r w:rsidRPr="00610D49">
        <w:rPr>
          <w:i/>
        </w:rPr>
        <w:t>.</w:t>
      </w:r>
      <w:r w:rsidRPr="00610D49">
        <w:rPr>
          <w:rStyle w:val="FootnoteReference"/>
          <w:i/>
        </w:rPr>
        <w:footnoteReference w:id="71"/>
      </w:r>
      <w:r w:rsidRPr="00610D49">
        <w:rPr>
          <w:i/>
        </w:rPr>
        <w:t xml:space="preserve"> </w:t>
      </w:r>
    </w:p>
    <w:p w14:paraId="18E96045" w14:textId="77777777" w:rsidR="00052799" w:rsidRPr="00610D49" w:rsidRDefault="00052799" w:rsidP="00052799">
      <w:pPr>
        <w:pStyle w:val="BodyText"/>
        <w:rPr>
          <w:i/>
        </w:rPr>
      </w:pPr>
      <w:r w:rsidRPr="00610D49">
        <w:t>These concessions are partly intended to allow these licence holders, who may have a diminished capacity to pay relative to other groups within society, to have more affordable access to recreational fishing and game hunting. It also acknowledges that people with physical disabilities, who may be eligible for associated pensions or concessions, are engaged in and derive social benefit from participation in the shooting sports.</w:t>
      </w:r>
    </w:p>
    <w:p w14:paraId="4C1EF63B" w14:textId="5D791406" w:rsidR="00052799" w:rsidRPr="00610D49" w:rsidRDefault="00052799" w:rsidP="00052799">
      <w:pPr>
        <w:pStyle w:val="BodyText"/>
      </w:pPr>
      <w:r w:rsidRPr="00610D49">
        <w:t>Some other States also offer applicants for firearms licences and permits similar to those considered by this sub-option. These include Tasmania, where a 20 per cent discount is offered to pensioners</w:t>
      </w:r>
      <w:r w:rsidRPr="00610D49">
        <w:rPr>
          <w:i/>
        </w:rPr>
        <w:t>.</w:t>
      </w:r>
      <w:r w:rsidRPr="00610D49">
        <w:rPr>
          <w:rStyle w:val="FootnoteReference"/>
          <w:i/>
        </w:rPr>
        <w:footnoteReference w:id="72"/>
      </w:r>
      <w:r w:rsidRPr="00610D49">
        <w:rPr>
          <w:i/>
        </w:rPr>
        <w:t xml:space="preserve"> </w:t>
      </w:r>
      <w:r w:rsidRPr="00610D49">
        <w:t xml:space="preserve">In New South Wales, persons who hold a pensioner concession card, a DVA Gold Card, or who are in receipt of pensions or payments under the </w:t>
      </w:r>
      <w:r w:rsidRPr="00610D49">
        <w:rPr>
          <w:i/>
        </w:rPr>
        <w:t xml:space="preserve">Veterans Entitlements Act 1986 </w:t>
      </w:r>
      <w:r w:rsidR="00AA1142" w:rsidRPr="004B487D">
        <w:t xml:space="preserve">(Cth) </w:t>
      </w:r>
      <w:r w:rsidRPr="00610D49">
        <w:t xml:space="preserve">or the </w:t>
      </w:r>
      <w:r w:rsidRPr="00610D49">
        <w:rPr>
          <w:i/>
        </w:rPr>
        <w:t xml:space="preserve">Military Rehabilitation and Compensation Act 2004 </w:t>
      </w:r>
      <w:r w:rsidR="00AA1142" w:rsidRPr="004B487D">
        <w:t xml:space="preserve">(Cth) </w:t>
      </w:r>
      <w:r w:rsidRPr="00610D49">
        <w:t>are wholly exempt from pa</w:t>
      </w:r>
      <w:r w:rsidR="0099108A">
        <w:t>ying any fees for category A, B</w:t>
      </w:r>
      <w:r w:rsidRPr="00610D49">
        <w:t xml:space="preserve"> or H firearms licences, permits to acquire, or to register a firearm in their name. </w:t>
      </w:r>
    </w:p>
    <w:p w14:paraId="5AD913FE" w14:textId="77777777" w:rsidR="00052799" w:rsidRPr="00610D49" w:rsidRDefault="00052799" w:rsidP="00052799">
      <w:pPr>
        <w:pStyle w:val="BodyText"/>
      </w:pPr>
      <w:r w:rsidRPr="00610D49">
        <w:t>Victoria Police does not hold data on the proportion of current licensees that would be entitled to concession pricing on firearms licences under this sub-option, as it does not collect this information from licensees. However, it does record information on the number of current licensees over the age of 70, which in 2017 was 12.6 per cent of all licence holders.</w:t>
      </w:r>
      <w:r w:rsidRPr="00610D49">
        <w:rPr>
          <w:rStyle w:val="FootnoteReference"/>
        </w:rPr>
        <w:footnoteReference w:id="73"/>
      </w:r>
      <w:r w:rsidRPr="00610D49">
        <w:t xml:space="preserve"> The Game Management Authority (which currently provides concessions) does maintain data on its applicants for hunting licences and reports that 23 percent of its long-term licensees claim a concession entitlement.</w:t>
      </w:r>
      <w:r w:rsidRPr="00610D49">
        <w:rPr>
          <w:rStyle w:val="FootnoteReference"/>
        </w:rPr>
        <w:footnoteReference w:id="74"/>
      </w:r>
      <w:r w:rsidRPr="00610D49">
        <w:t xml:space="preserve"> While not all hunters are firearms users, and hunters are only a subset of firearms licence holders, this proportion can be used for approximation purposes.</w:t>
      </w:r>
    </w:p>
    <w:p w14:paraId="54E0D9F4" w14:textId="77777777" w:rsidR="00052799" w:rsidRPr="00610D49" w:rsidRDefault="00052799" w:rsidP="00052799">
      <w:pPr>
        <w:pStyle w:val="BodyText"/>
      </w:pPr>
      <w:r w:rsidRPr="00610D49">
        <w:t xml:space="preserve">In so far as evaluating the costs of the concessions, there is no evidence available to suggest that older users pose a higher risk of accidental or deliberate misuse of firearms, and as such, that they are likely to require a similar level of administrative effort (i.e. cost) to regulate as general firearms users. </w:t>
      </w:r>
    </w:p>
    <w:p w14:paraId="511647F2" w14:textId="62E544A0" w:rsidR="00052799" w:rsidRPr="00610D49" w:rsidRDefault="00052799" w:rsidP="00052799">
      <w:pPr>
        <w:pStyle w:val="BodyText"/>
      </w:pPr>
      <w:r w:rsidRPr="00610D49">
        <w:t xml:space="preserve">Given the lack of data about eligibility for this concession, it is also unclear how such a concession would interact with the existing waivers relating to </w:t>
      </w:r>
      <w:r w:rsidR="00AA1142">
        <w:t>p</w:t>
      </w:r>
      <w:r w:rsidRPr="00610D49">
        <w:t xml:space="preserve">rimary </w:t>
      </w:r>
      <w:r w:rsidR="00AA1142">
        <w:t>p</w:t>
      </w:r>
      <w:r w:rsidRPr="00610D49">
        <w:t xml:space="preserve">roducers and for holders of category C longarms (when applying for a category A or B licence). For example, primary producers would have no need to claim a concession if covered by the full waiver included in strategic option 2. </w:t>
      </w:r>
    </w:p>
    <w:p w14:paraId="5ED2F4BD" w14:textId="14EF96D6" w:rsidR="00052799" w:rsidRPr="00610D49" w:rsidRDefault="00052799" w:rsidP="00052799">
      <w:pPr>
        <w:pStyle w:val="BodyText"/>
      </w:pPr>
      <w:r w:rsidRPr="00610D49">
        <w:t xml:space="preserve">Assuming that a concession applies to </w:t>
      </w:r>
      <w:r>
        <w:t xml:space="preserve">approximately </w:t>
      </w:r>
      <w:r w:rsidRPr="00610D49">
        <w:t>1</w:t>
      </w:r>
      <w:r>
        <w:t>5</w:t>
      </w:r>
      <w:r w:rsidRPr="00610D49">
        <w:t xml:space="preserve"> per cent of individual licences applied for, (</w:t>
      </w:r>
      <w:r>
        <w:t xml:space="preserve">using the 12.6 per cent estimate and </w:t>
      </w:r>
      <w:r w:rsidRPr="00610D49">
        <w:t>excluding categories where few applicants are likely to be eligible, including junior, private security handgun and category D</w:t>
      </w:r>
      <w:r w:rsidR="00AA1142">
        <w:t xml:space="preserve"> and </w:t>
      </w:r>
      <w:r w:rsidRPr="00610D49">
        <w:t>E</w:t>
      </w:r>
      <w:r w:rsidR="00AA1142">
        <w:t xml:space="preserve"> longarm</w:t>
      </w:r>
      <w:r w:rsidRPr="00610D49">
        <w:t xml:space="preserve"> licences, and low-volume categories, such as collector’s licences) the estimated cost would be as follows (based on the proposed 2017/18 fees under Option 1).</w:t>
      </w:r>
    </w:p>
    <w:p w14:paraId="5E03F117" w14:textId="3376062F" w:rsidR="00052799" w:rsidRPr="00610D49" w:rsidRDefault="00052799" w:rsidP="007727EA">
      <w:pPr>
        <w:pStyle w:val="Caption"/>
        <w:keepNext/>
      </w:pPr>
      <w:r w:rsidRPr="00610D49">
        <w:t xml:space="preserve">Table </w:t>
      </w:r>
      <w:r w:rsidR="001C7D77">
        <w:rPr>
          <w:noProof/>
        </w:rPr>
        <w:t>34</w:t>
      </w:r>
      <w:r w:rsidRPr="00610D49">
        <w:t>: Estimated cost for proposed concession scheme (</w:t>
      </w:r>
      <w:r>
        <w:t>using indicative</w:t>
      </w:r>
      <w:r w:rsidRPr="00610D49">
        <w:t xml:space="preserve"> 2016-17 volumes)</w:t>
      </w:r>
    </w:p>
    <w:tbl>
      <w:tblPr>
        <w:tblStyle w:val="TableGrid"/>
        <w:tblW w:w="893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Caption w:val="Table 34: Estimated cost for proposed concession scheme (using indicative 2016-17 volumes)"/>
      </w:tblPr>
      <w:tblGrid>
        <w:gridCol w:w="3686"/>
        <w:gridCol w:w="1735"/>
        <w:gridCol w:w="3509"/>
      </w:tblGrid>
      <w:tr w:rsidR="00052799" w:rsidRPr="002D7AE6" w14:paraId="7DA2FCB5" w14:textId="77777777" w:rsidTr="00D25BA9">
        <w:trPr>
          <w:trHeight w:val="329"/>
          <w:tblHeader/>
        </w:trPr>
        <w:tc>
          <w:tcPr>
            <w:tcW w:w="3686" w:type="dxa"/>
            <w:shd w:val="clear" w:color="auto" w:fill="002060"/>
            <w:noWrap/>
            <w:vAlign w:val="center"/>
          </w:tcPr>
          <w:p w14:paraId="5844F7EA" w14:textId="77777777" w:rsidR="00052799" w:rsidRPr="00BB100E" w:rsidRDefault="00052799" w:rsidP="00BB100E">
            <w:pPr>
              <w:keepNext/>
              <w:spacing w:beforeLines="20" w:before="48" w:afterLines="20" w:after="48"/>
              <w:jc w:val="center"/>
              <w:rPr>
                <w:b/>
                <w:color w:val="FFFFFF"/>
                <w:sz w:val="18"/>
                <w:szCs w:val="18"/>
              </w:rPr>
            </w:pPr>
            <w:r w:rsidRPr="00BB100E">
              <w:rPr>
                <w:b/>
                <w:color w:val="FFFFFF"/>
                <w:sz w:val="18"/>
                <w:szCs w:val="18"/>
              </w:rPr>
              <w:t>Licence Category</w:t>
            </w:r>
          </w:p>
        </w:tc>
        <w:tc>
          <w:tcPr>
            <w:tcW w:w="1735" w:type="dxa"/>
            <w:shd w:val="clear" w:color="auto" w:fill="002060"/>
            <w:noWrap/>
            <w:vAlign w:val="center"/>
          </w:tcPr>
          <w:p w14:paraId="68E7AFCF" w14:textId="77777777" w:rsidR="00052799" w:rsidRPr="00BB100E" w:rsidRDefault="00052799" w:rsidP="00BB100E">
            <w:pPr>
              <w:keepNext/>
              <w:jc w:val="center"/>
              <w:rPr>
                <w:b/>
                <w:color w:val="FFFFFF"/>
                <w:sz w:val="18"/>
                <w:szCs w:val="18"/>
              </w:rPr>
            </w:pPr>
            <w:r w:rsidRPr="00BB100E">
              <w:rPr>
                <w:b/>
                <w:color w:val="FFFFFF"/>
                <w:sz w:val="18"/>
                <w:szCs w:val="18"/>
              </w:rPr>
              <w:t>Full fee</w:t>
            </w:r>
          </w:p>
        </w:tc>
        <w:tc>
          <w:tcPr>
            <w:tcW w:w="3509" w:type="dxa"/>
            <w:shd w:val="clear" w:color="auto" w:fill="002060"/>
            <w:vAlign w:val="center"/>
          </w:tcPr>
          <w:p w14:paraId="1B50964E" w14:textId="77777777" w:rsidR="00052799" w:rsidRPr="00BB100E" w:rsidRDefault="00052799" w:rsidP="00BB100E">
            <w:pPr>
              <w:keepNext/>
              <w:jc w:val="center"/>
              <w:rPr>
                <w:b/>
                <w:color w:val="FFFFFF"/>
                <w:sz w:val="18"/>
                <w:szCs w:val="18"/>
              </w:rPr>
            </w:pPr>
            <w:r w:rsidRPr="00BB100E">
              <w:rPr>
                <w:b/>
                <w:color w:val="FFFFFF"/>
                <w:sz w:val="18"/>
                <w:szCs w:val="18"/>
              </w:rPr>
              <w:t>Concession Value (indicative)</w:t>
            </w:r>
          </w:p>
        </w:tc>
      </w:tr>
      <w:tr w:rsidR="00052799" w:rsidRPr="002D7AE6" w14:paraId="1700A8BE" w14:textId="77777777" w:rsidTr="00052799">
        <w:trPr>
          <w:trHeight w:val="329"/>
        </w:trPr>
        <w:tc>
          <w:tcPr>
            <w:tcW w:w="3686" w:type="dxa"/>
            <w:tcBorders>
              <w:bottom w:val="single" w:sz="4" w:space="0" w:color="auto"/>
            </w:tcBorders>
            <w:noWrap/>
            <w:vAlign w:val="center"/>
          </w:tcPr>
          <w:p w14:paraId="70C5ABCE" w14:textId="77777777" w:rsidR="00052799" w:rsidRPr="00BB100E" w:rsidRDefault="00052799" w:rsidP="00871631">
            <w:pPr>
              <w:spacing w:beforeLines="20" w:before="48" w:afterLines="20" w:after="48"/>
              <w:rPr>
                <w:b/>
                <w:sz w:val="18"/>
                <w:szCs w:val="18"/>
              </w:rPr>
            </w:pPr>
            <w:r w:rsidRPr="00BB100E">
              <w:rPr>
                <w:b/>
                <w:sz w:val="18"/>
                <w:szCs w:val="18"/>
              </w:rPr>
              <w:t>A longarm</w:t>
            </w:r>
          </w:p>
        </w:tc>
        <w:tc>
          <w:tcPr>
            <w:tcW w:w="1735" w:type="dxa"/>
            <w:tcBorders>
              <w:bottom w:val="single" w:sz="4" w:space="0" w:color="auto"/>
            </w:tcBorders>
            <w:shd w:val="clear" w:color="auto" w:fill="FFFFFF"/>
            <w:noWrap/>
            <w:vAlign w:val="center"/>
          </w:tcPr>
          <w:p w14:paraId="6A5CE802" w14:textId="77777777" w:rsidR="00052799" w:rsidRPr="00BB100E" w:rsidRDefault="00052799" w:rsidP="00871631">
            <w:pPr>
              <w:spacing w:before="80" w:after="80"/>
              <w:jc w:val="center"/>
              <w:rPr>
                <w:color w:val="000000"/>
                <w:sz w:val="18"/>
                <w:szCs w:val="18"/>
              </w:rPr>
            </w:pPr>
            <w:r w:rsidRPr="00BB100E">
              <w:rPr>
                <w:color w:val="000000"/>
                <w:sz w:val="18"/>
                <w:szCs w:val="18"/>
              </w:rPr>
              <w:t>$230.80</w:t>
            </w:r>
          </w:p>
        </w:tc>
        <w:tc>
          <w:tcPr>
            <w:tcW w:w="3509" w:type="dxa"/>
            <w:vMerge w:val="restart"/>
            <w:shd w:val="clear" w:color="auto" w:fill="FFFFFF"/>
            <w:vAlign w:val="center"/>
          </w:tcPr>
          <w:p w14:paraId="093D7D68" w14:textId="77777777" w:rsidR="00052799" w:rsidRPr="00BB100E" w:rsidRDefault="00052799" w:rsidP="00871631">
            <w:pPr>
              <w:spacing w:before="80" w:after="80"/>
              <w:jc w:val="center"/>
              <w:rPr>
                <w:color w:val="000000"/>
                <w:sz w:val="18"/>
                <w:szCs w:val="18"/>
              </w:rPr>
            </w:pPr>
            <w:r w:rsidRPr="00BB100E">
              <w:rPr>
                <w:color w:val="000000"/>
                <w:sz w:val="18"/>
                <w:szCs w:val="18"/>
              </w:rPr>
              <w:t>$400,000</w:t>
            </w:r>
          </w:p>
        </w:tc>
      </w:tr>
      <w:tr w:rsidR="00052799" w:rsidRPr="002D7AE6" w14:paraId="7F138CCA" w14:textId="77777777" w:rsidTr="00871631">
        <w:trPr>
          <w:trHeight w:val="329"/>
        </w:trPr>
        <w:tc>
          <w:tcPr>
            <w:tcW w:w="3686" w:type="dxa"/>
            <w:tcBorders>
              <w:top w:val="single" w:sz="4" w:space="0" w:color="auto"/>
              <w:bottom w:val="single" w:sz="4" w:space="0" w:color="auto"/>
            </w:tcBorders>
            <w:noWrap/>
            <w:vAlign w:val="center"/>
          </w:tcPr>
          <w:p w14:paraId="0F565013" w14:textId="77777777" w:rsidR="00052799" w:rsidRPr="00BB100E" w:rsidRDefault="00052799" w:rsidP="00871631">
            <w:pPr>
              <w:spacing w:beforeLines="20" w:before="48" w:afterLines="20" w:after="48"/>
              <w:rPr>
                <w:b/>
                <w:sz w:val="18"/>
                <w:szCs w:val="18"/>
              </w:rPr>
            </w:pPr>
            <w:r w:rsidRPr="00BB100E">
              <w:rPr>
                <w:b/>
                <w:sz w:val="18"/>
                <w:szCs w:val="18"/>
              </w:rPr>
              <w:t>B longarm</w:t>
            </w:r>
          </w:p>
        </w:tc>
        <w:tc>
          <w:tcPr>
            <w:tcW w:w="1735" w:type="dxa"/>
            <w:tcBorders>
              <w:top w:val="single" w:sz="4" w:space="0" w:color="auto"/>
              <w:bottom w:val="single" w:sz="4" w:space="0" w:color="auto"/>
            </w:tcBorders>
            <w:noWrap/>
            <w:vAlign w:val="center"/>
          </w:tcPr>
          <w:p w14:paraId="7D4AB494" w14:textId="77777777" w:rsidR="00052799" w:rsidRPr="00BB100E" w:rsidRDefault="00052799" w:rsidP="00871631">
            <w:pPr>
              <w:spacing w:before="80" w:after="80"/>
              <w:jc w:val="center"/>
              <w:rPr>
                <w:color w:val="000000"/>
                <w:sz w:val="18"/>
                <w:szCs w:val="18"/>
              </w:rPr>
            </w:pPr>
            <w:r w:rsidRPr="00BB100E">
              <w:rPr>
                <w:color w:val="000000"/>
                <w:sz w:val="18"/>
                <w:szCs w:val="18"/>
              </w:rPr>
              <w:t>$233.20</w:t>
            </w:r>
          </w:p>
        </w:tc>
        <w:tc>
          <w:tcPr>
            <w:tcW w:w="3509" w:type="dxa"/>
            <w:vMerge/>
            <w:tcBorders>
              <w:bottom w:val="single" w:sz="4" w:space="0" w:color="auto"/>
            </w:tcBorders>
            <w:vAlign w:val="center"/>
          </w:tcPr>
          <w:p w14:paraId="35FE7D24" w14:textId="77777777" w:rsidR="00052799" w:rsidRPr="00BB100E" w:rsidRDefault="00052799" w:rsidP="00871631">
            <w:pPr>
              <w:spacing w:before="80" w:after="80"/>
              <w:jc w:val="center"/>
              <w:rPr>
                <w:color w:val="000000"/>
                <w:sz w:val="18"/>
                <w:szCs w:val="18"/>
              </w:rPr>
            </w:pPr>
          </w:p>
        </w:tc>
      </w:tr>
      <w:tr w:rsidR="00052799" w:rsidRPr="002D7AE6" w14:paraId="635F66FA" w14:textId="77777777" w:rsidTr="00871631">
        <w:trPr>
          <w:trHeight w:val="329"/>
        </w:trPr>
        <w:tc>
          <w:tcPr>
            <w:tcW w:w="3686" w:type="dxa"/>
            <w:tcBorders>
              <w:top w:val="single" w:sz="4" w:space="0" w:color="auto"/>
              <w:bottom w:val="single" w:sz="4" w:space="0" w:color="auto"/>
            </w:tcBorders>
            <w:noWrap/>
            <w:vAlign w:val="center"/>
          </w:tcPr>
          <w:p w14:paraId="2C0D22DC" w14:textId="77777777" w:rsidR="00052799" w:rsidRPr="00BB100E" w:rsidRDefault="00052799" w:rsidP="00871631">
            <w:pPr>
              <w:spacing w:beforeLines="20" w:before="48" w:afterLines="20" w:after="48"/>
              <w:rPr>
                <w:b/>
                <w:sz w:val="18"/>
                <w:szCs w:val="18"/>
              </w:rPr>
            </w:pPr>
            <w:r w:rsidRPr="00BB100E">
              <w:rPr>
                <w:b/>
                <w:sz w:val="18"/>
                <w:szCs w:val="18"/>
              </w:rPr>
              <w:t>C longarm</w:t>
            </w:r>
          </w:p>
        </w:tc>
        <w:tc>
          <w:tcPr>
            <w:tcW w:w="1735" w:type="dxa"/>
            <w:tcBorders>
              <w:top w:val="single" w:sz="4" w:space="0" w:color="auto"/>
              <w:bottom w:val="single" w:sz="4" w:space="0" w:color="auto"/>
            </w:tcBorders>
            <w:noWrap/>
            <w:vAlign w:val="center"/>
          </w:tcPr>
          <w:p w14:paraId="0EFF26F8" w14:textId="77777777" w:rsidR="00052799" w:rsidRPr="00BB100E" w:rsidRDefault="00052799" w:rsidP="00871631">
            <w:pPr>
              <w:spacing w:before="80" w:after="80"/>
              <w:jc w:val="center"/>
              <w:rPr>
                <w:color w:val="000000"/>
                <w:sz w:val="18"/>
                <w:szCs w:val="18"/>
              </w:rPr>
            </w:pPr>
            <w:r w:rsidRPr="00BB100E">
              <w:rPr>
                <w:color w:val="000000"/>
                <w:sz w:val="18"/>
                <w:szCs w:val="18"/>
              </w:rPr>
              <w:t>$352.80</w:t>
            </w:r>
          </w:p>
        </w:tc>
        <w:tc>
          <w:tcPr>
            <w:tcW w:w="3509" w:type="dxa"/>
            <w:vMerge w:val="restart"/>
            <w:tcBorders>
              <w:top w:val="single" w:sz="4" w:space="0" w:color="auto"/>
            </w:tcBorders>
            <w:vAlign w:val="center"/>
          </w:tcPr>
          <w:p w14:paraId="6D86B1C9" w14:textId="77777777" w:rsidR="00052799" w:rsidRPr="00BB100E" w:rsidRDefault="00052799" w:rsidP="00871631">
            <w:pPr>
              <w:spacing w:before="80" w:after="80"/>
              <w:jc w:val="center"/>
              <w:rPr>
                <w:color w:val="000000"/>
                <w:sz w:val="18"/>
                <w:szCs w:val="18"/>
              </w:rPr>
            </w:pPr>
            <w:r w:rsidRPr="00BB100E">
              <w:rPr>
                <w:color w:val="000000"/>
                <w:sz w:val="18"/>
                <w:szCs w:val="18"/>
              </w:rPr>
              <w:t>$29,000</w:t>
            </w:r>
          </w:p>
        </w:tc>
      </w:tr>
      <w:tr w:rsidR="00052799" w:rsidRPr="002D7AE6" w14:paraId="54B8049C" w14:textId="77777777" w:rsidTr="00871631">
        <w:trPr>
          <w:trHeight w:val="329"/>
        </w:trPr>
        <w:tc>
          <w:tcPr>
            <w:tcW w:w="3686" w:type="dxa"/>
            <w:tcBorders>
              <w:top w:val="single" w:sz="4" w:space="0" w:color="auto"/>
              <w:bottom w:val="single" w:sz="4" w:space="0" w:color="auto"/>
            </w:tcBorders>
            <w:noWrap/>
            <w:vAlign w:val="center"/>
          </w:tcPr>
          <w:p w14:paraId="5DFE6181" w14:textId="77777777" w:rsidR="00052799" w:rsidRPr="00BB100E" w:rsidRDefault="00052799" w:rsidP="00871631">
            <w:pPr>
              <w:spacing w:beforeLines="20" w:before="48" w:afterLines="20" w:after="48"/>
              <w:rPr>
                <w:b/>
                <w:sz w:val="18"/>
                <w:szCs w:val="18"/>
              </w:rPr>
            </w:pPr>
            <w:r w:rsidRPr="00BB100E">
              <w:rPr>
                <w:b/>
                <w:sz w:val="18"/>
                <w:szCs w:val="18"/>
              </w:rPr>
              <w:t>General category handgun (sporting)</w:t>
            </w:r>
          </w:p>
        </w:tc>
        <w:tc>
          <w:tcPr>
            <w:tcW w:w="1735" w:type="dxa"/>
            <w:tcBorders>
              <w:top w:val="single" w:sz="4" w:space="0" w:color="auto"/>
              <w:bottom w:val="single" w:sz="4" w:space="0" w:color="auto"/>
            </w:tcBorders>
            <w:noWrap/>
            <w:vAlign w:val="center"/>
          </w:tcPr>
          <w:p w14:paraId="02EF8628" w14:textId="77777777" w:rsidR="00052799" w:rsidRPr="00BB100E" w:rsidRDefault="00052799" w:rsidP="00871631">
            <w:pPr>
              <w:spacing w:before="80" w:after="80"/>
              <w:jc w:val="center"/>
              <w:rPr>
                <w:color w:val="000000"/>
                <w:sz w:val="18"/>
                <w:szCs w:val="18"/>
              </w:rPr>
            </w:pPr>
            <w:r w:rsidRPr="00BB100E">
              <w:rPr>
                <w:color w:val="000000"/>
                <w:sz w:val="18"/>
                <w:szCs w:val="18"/>
              </w:rPr>
              <w:t>$275.60</w:t>
            </w:r>
          </w:p>
        </w:tc>
        <w:tc>
          <w:tcPr>
            <w:tcW w:w="3509" w:type="dxa"/>
            <w:vMerge/>
            <w:tcBorders>
              <w:bottom w:val="single" w:sz="4" w:space="0" w:color="auto"/>
            </w:tcBorders>
            <w:vAlign w:val="center"/>
          </w:tcPr>
          <w:p w14:paraId="39FA5C69" w14:textId="77777777" w:rsidR="00052799" w:rsidRPr="00BB100E" w:rsidRDefault="00052799" w:rsidP="00871631">
            <w:pPr>
              <w:spacing w:before="80" w:after="80"/>
              <w:jc w:val="center"/>
              <w:rPr>
                <w:color w:val="000000"/>
                <w:sz w:val="18"/>
                <w:szCs w:val="18"/>
              </w:rPr>
            </w:pPr>
          </w:p>
        </w:tc>
      </w:tr>
      <w:tr w:rsidR="00052799" w:rsidRPr="002D7AE6" w14:paraId="0D5BF19A" w14:textId="77777777" w:rsidTr="00871631">
        <w:trPr>
          <w:trHeight w:val="329"/>
        </w:trPr>
        <w:tc>
          <w:tcPr>
            <w:tcW w:w="3686" w:type="dxa"/>
            <w:tcBorders>
              <w:top w:val="single" w:sz="4" w:space="0" w:color="auto"/>
              <w:bottom w:val="single" w:sz="4" w:space="0" w:color="auto"/>
            </w:tcBorders>
            <w:noWrap/>
            <w:vAlign w:val="center"/>
          </w:tcPr>
          <w:p w14:paraId="3295A4B2" w14:textId="77777777" w:rsidR="00052799" w:rsidRPr="00BB100E" w:rsidRDefault="00052799" w:rsidP="00871631">
            <w:pPr>
              <w:spacing w:beforeLines="20" w:before="48" w:afterLines="20" w:after="48"/>
              <w:rPr>
                <w:b/>
                <w:sz w:val="18"/>
                <w:szCs w:val="18"/>
              </w:rPr>
            </w:pPr>
            <w:r w:rsidRPr="00BB100E">
              <w:rPr>
                <w:b/>
                <w:sz w:val="18"/>
                <w:szCs w:val="18"/>
              </w:rPr>
              <w:t>Paintball Marker</w:t>
            </w:r>
          </w:p>
        </w:tc>
        <w:tc>
          <w:tcPr>
            <w:tcW w:w="1735" w:type="dxa"/>
            <w:tcBorders>
              <w:top w:val="single" w:sz="4" w:space="0" w:color="auto"/>
              <w:bottom w:val="single" w:sz="4" w:space="0" w:color="auto"/>
            </w:tcBorders>
            <w:noWrap/>
            <w:vAlign w:val="center"/>
          </w:tcPr>
          <w:p w14:paraId="31DC1A34" w14:textId="77777777" w:rsidR="00052799" w:rsidRPr="00BB100E" w:rsidRDefault="00052799" w:rsidP="00871631">
            <w:pPr>
              <w:spacing w:before="80" w:after="80"/>
              <w:jc w:val="center"/>
              <w:rPr>
                <w:color w:val="000000"/>
                <w:sz w:val="18"/>
                <w:szCs w:val="18"/>
              </w:rPr>
            </w:pPr>
            <w:r w:rsidRPr="00BB100E">
              <w:rPr>
                <w:color w:val="000000"/>
                <w:sz w:val="18"/>
                <w:szCs w:val="18"/>
              </w:rPr>
              <w:t>$230.80</w:t>
            </w:r>
          </w:p>
        </w:tc>
        <w:tc>
          <w:tcPr>
            <w:tcW w:w="3509" w:type="dxa"/>
            <w:tcBorders>
              <w:top w:val="single" w:sz="4" w:space="0" w:color="auto"/>
              <w:bottom w:val="single" w:sz="4" w:space="0" w:color="auto"/>
            </w:tcBorders>
            <w:vAlign w:val="center"/>
          </w:tcPr>
          <w:p w14:paraId="63E6190D" w14:textId="77777777" w:rsidR="00052799" w:rsidRPr="00BB100E" w:rsidRDefault="00052799" w:rsidP="00871631">
            <w:pPr>
              <w:spacing w:before="80" w:after="80"/>
              <w:jc w:val="center"/>
              <w:rPr>
                <w:color w:val="000000"/>
                <w:sz w:val="18"/>
                <w:szCs w:val="18"/>
              </w:rPr>
            </w:pPr>
            <w:r w:rsidRPr="00BB100E">
              <w:rPr>
                <w:color w:val="000000"/>
                <w:sz w:val="18"/>
                <w:szCs w:val="18"/>
              </w:rPr>
              <w:t>$1,000</w:t>
            </w:r>
          </w:p>
        </w:tc>
      </w:tr>
      <w:tr w:rsidR="00052799" w:rsidRPr="002D7AE6" w14:paraId="048C6E61" w14:textId="77777777" w:rsidTr="00871631">
        <w:trPr>
          <w:trHeight w:val="329"/>
        </w:trPr>
        <w:tc>
          <w:tcPr>
            <w:tcW w:w="3686" w:type="dxa"/>
            <w:tcBorders>
              <w:top w:val="single" w:sz="4" w:space="0" w:color="auto"/>
            </w:tcBorders>
            <w:noWrap/>
            <w:vAlign w:val="center"/>
          </w:tcPr>
          <w:p w14:paraId="1B504750" w14:textId="77777777" w:rsidR="00052799" w:rsidRPr="00BB100E" w:rsidDel="003B149C" w:rsidRDefault="00052799" w:rsidP="00871631">
            <w:pPr>
              <w:spacing w:beforeLines="20" w:before="48" w:afterLines="20" w:after="48"/>
              <w:rPr>
                <w:b/>
                <w:sz w:val="18"/>
                <w:szCs w:val="18"/>
              </w:rPr>
            </w:pPr>
            <w:r w:rsidRPr="00BB100E">
              <w:rPr>
                <w:b/>
                <w:sz w:val="18"/>
                <w:szCs w:val="18"/>
              </w:rPr>
              <w:t>TOTAL</w:t>
            </w:r>
          </w:p>
        </w:tc>
        <w:tc>
          <w:tcPr>
            <w:tcW w:w="1735" w:type="dxa"/>
            <w:tcBorders>
              <w:top w:val="single" w:sz="4" w:space="0" w:color="auto"/>
            </w:tcBorders>
            <w:noWrap/>
            <w:vAlign w:val="center"/>
          </w:tcPr>
          <w:p w14:paraId="71CC7B89" w14:textId="77777777" w:rsidR="00052799" w:rsidRPr="00BB100E" w:rsidRDefault="00052799" w:rsidP="00871631">
            <w:pPr>
              <w:spacing w:before="80" w:after="80"/>
              <w:jc w:val="center"/>
              <w:rPr>
                <w:color w:val="000000"/>
                <w:sz w:val="18"/>
                <w:szCs w:val="18"/>
              </w:rPr>
            </w:pPr>
          </w:p>
        </w:tc>
        <w:tc>
          <w:tcPr>
            <w:tcW w:w="3509" w:type="dxa"/>
            <w:tcBorders>
              <w:top w:val="single" w:sz="4" w:space="0" w:color="auto"/>
            </w:tcBorders>
            <w:vAlign w:val="center"/>
          </w:tcPr>
          <w:p w14:paraId="4CAC2ECE" w14:textId="77777777" w:rsidR="00052799" w:rsidRPr="00BB100E" w:rsidRDefault="00052799" w:rsidP="00871631">
            <w:pPr>
              <w:spacing w:before="80" w:after="80"/>
              <w:jc w:val="center"/>
              <w:rPr>
                <w:b/>
                <w:color w:val="000000"/>
                <w:sz w:val="18"/>
                <w:szCs w:val="18"/>
              </w:rPr>
            </w:pPr>
            <w:r w:rsidRPr="00BB100E">
              <w:rPr>
                <w:b/>
                <w:color w:val="000000"/>
                <w:sz w:val="18"/>
                <w:szCs w:val="18"/>
              </w:rPr>
              <w:t>$430,000</w:t>
            </w:r>
          </w:p>
        </w:tc>
      </w:tr>
    </w:tbl>
    <w:p w14:paraId="1A73350A" w14:textId="77777777" w:rsidR="00052799" w:rsidRPr="00610D49" w:rsidRDefault="00052799" w:rsidP="00052799">
      <w:pPr>
        <w:pStyle w:val="BodyText"/>
      </w:pPr>
    </w:p>
    <w:p w14:paraId="50C68424" w14:textId="77777777" w:rsidR="00052799" w:rsidRPr="00610D49" w:rsidRDefault="00052799" w:rsidP="00052799">
      <w:pPr>
        <w:pStyle w:val="BodyText"/>
      </w:pPr>
      <w:r w:rsidRPr="00610D49">
        <w:t>As outlined in the table above, this sub-option would result in an under-recovery of around $</w:t>
      </w:r>
      <w:r>
        <w:t>4</w:t>
      </w:r>
      <w:r w:rsidRPr="00610D49">
        <w:t>3</w:t>
      </w:r>
      <w:r>
        <w:t>0</w:t>
      </w:r>
      <w:r w:rsidRPr="00610D49">
        <w:t xml:space="preserve">,000. </w:t>
      </w:r>
    </w:p>
    <w:p w14:paraId="6AC84C2A" w14:textId="77777777" w:rsidR="00052799" w:rsidRPr="00610D49" w:rsidRDefault="00052799" w:rsidP="00052799">
      <w:pPr>
        <w:pStyle w:val="BodyText"/>
      </w:pPr>
      <w:r w:rsidRPr="00610D49">
        <w:t xml:space="preserve">There are four primary circumstances in which full cost recovery may not be desirable. As discussed earlier in this document, these circumstances include cases where: </w:t>
      </w:r>
    </w:p>
    <w:p w14:paraId="211EE776" w14:textId="77777777" w:rsidR="00052799" w:rsidRPr="00610D49" w:rsidRDefault="00052799" w:rsidP="00052799">
      <w:pPr>
        <w:pStyle w:val="BodyText"/>
        <w:numPr>
          <w:ilvl w:val="0"/>
          <w:numId w:val="62"/>
        </w:numPr>
        <w:tabs>
          <w:tab w:val="clear" w:pos="340"/>
          <w:tab w:val="num" w:pos="1134"/>
        </w:tabs>
        <w:ind w:left="1134"/>
        <w:rPr>
          <w:b/>
        </w:rPr>
      </w:pPr>
      <w:r w:rsidRPr="00610D49">
        <w:t>practical implementation issues make cost recovery infeasible</w:t>
      </w:r>
    </w:p>
    <w:p w14:paraId="39A26B9D" w14:textId="77777777" w:rsidR="00052799" w:rsidRPr="00610D49" w:rsidRDefault="00052799" w:rsidP="00052799">
      <w:pPr>
        <w:pStyle w:val="BodyText"/>
        <w:numPr>
          <w:ilvl w:val="0"/>
          <w:numId w:val="62"/>
        </w:numPr>
        <w:tabs>
          <w:tab w:val="clear" w:pos="340"/>
          <w:tab w:val="num" w:pos="1134"/>
        </w:tabs>
        <w:ind w:left="1134"/>
        <w:rPr>
          <w:b/>
        </w:rPr>
      </w:pPr>
      <w:r w:rsidRPr="00610D49">
        <w:t>there are benefits to unrelated third parties</w:t>
      </w:r>
    </w:p>
    <w:p w14:paraId="27074665" w14:textId="77777777" w:rsidR="00052799" w:rsidRPr="00610D49" w:rsidRDefault="00052799" w:rsidP="00052799">
      <w:pPr>
        <w:pStyle w:val="BodyText"/>
        <w:numPr>
          <w:ilvl w:val="0"/>
          <w:numId w:val="62"/>
        </w:numPr>
        <w:tabs>
          <w:tab w:val="clear" w:pos="340"/>
          <w:tab w:val="num" w:pos="1134"/>
        </w:tabs>
        <w:ind w:left="1134"/>
        <w:rPr>
          <w:b/>
        </w:rPr>
      </w:pPr>
      <w:r w:rsidRPr="00610D49">
        <w:t>social policy or vertical equity considerations are considered to outweigh the efficiency objectives associated with full cost recovery, or</w:t>
      </w:r>
    </w:p>
    <w:p w14:paraId="5D245ACB" w14:textId="77777777" w:rsidR="00052799" w:rsidRPr="00610D49" w:rsidRDefault="00052799" w:rsidP="00052799">
      <w:pPr>
        <w:pStyle w:val="BodyText"/>
        <w:numPr>
          <w:ilvl w:val="0"/>
          <w:numId w:val="62"/>
        </w:numPr>
        <w:tabs>
          <w:tab w:val="clear" w:pos="340"/>
          <w:tab w:val="num" w:pos="1134"/>
        </w:tabs>
        <w:ind w:left="1134"/>
        <w:rPr>
          <w:b/>
        </w:rPr>
      </w:pPr>
      <w:r w:rsidRPr="00610D49">
        <w:t xml:space="preserve">full cost recovery might adversely affect the achievement of other government policy objectives. </w:t>
      </w:r>
    </w:p>
    <w:p w14:paraId="56BC103C" w14:textId="467A44B7" w:rsidR="00052799" w:rsidRPr="00610D49" w:rsidRDefault="00052799" w:rsidP="00052799">
      <w:pPr>
        <w:pStyle w:val="BodyText"/>
      </w:pPr>
      <w:r w:rsidRPr="00610D49">
        <w:t>In the case of this proposal, however, there does not appear to be a practical implementation concern weighing against full cost recovery. The regulatory regime currently fully recovers from those eligible persons who are not covered by a separate waiver or exemption. In the case of recreational fishing licences, removing the exemption applying to eligible persons would have required the system to expand to accommodate a new, large cohort of licence holders.</w:t>
      </w:r>
      <w:r w:rsidRPr="00610D49">
        <w:rPr>
          <w:rStyle w:val="FootnoteReference"/>
        </w:rPr>
        <w:footnoteReference w:id="75"/>
      </w:r>
      <w:r w:rsidRPr="00610D49">
        <w:t xml:space="preserve"> By contrast, under this proposal eligible persons would still need to obtain firearms licences, meaning that the costs involved in receiving, processing, and monitoring licences for eligible persons will still be incurred. As there would be additional administrative complexity involved in administering a concession regime (involved in collecting and checking eligibility), this proposal would likely be less practical, from an implementation perspective, than an unchanged strategic fee</w:t>
      </w:r>
      <w:r w:rsidR="008C1BB4">
        <w:t xml:space="preserve"> </w:t>
      </w:r>
      <w:r w:rsidRPr="00610D49">
        <w:t>option 2.</w:t>
      </w:r>
    </w:p>
    <w:p w14:paraId="07C7BC9F" w14:textId="77777777" w:rsidR="00052799" w:rsidRPr="00610D49" w:rsidRDefault="00052799" w:rsidP="00052799">
      <w:pPr>
        <w:pStyle w:val="BodyText"/>
      </w:pPr>
      <w:r w:rsidRPr="00610D49">
        <w:t xml:space="preserve">On the issue of benefits to third parties, firearms stakeholders </w:t>
      </w:r>
      <w:r>
        <w:t xml:space="preserve">consider </w:t>
      </w:r>
      <w:r w:rsidRPr="00610D49">
        <w:t xml:space="preserve">that some shooting activities can have positive externalities. To the extent that a concession encourages individuals to participate in activities that create these externalities, a concession may be justified. </w:t>
      </w:r>
      <w:r>
        <w:t>P</w:t>
      </w:r>
      <w:r w:rsidRPr="00610D49">
        <w:t>ositive externalities were previously discussed in relation to pest control (for primary producers) and in relation to participation in public sporting events</w:t>
      </w:r>
      <w:r>
        <w:t>, but</w:t>
      </w:r>
      <w:r w:rsidRPr="00610D49">
        <w:t xml:space="preserve"> as any individuals eligible for the proposed senior/pension concession would in any event be eligible for a full waiver if engaged in primary production</w:t>
      </w:r>
      <w:r>
        <w:t xml:space="preserve">, this consideration does not apply. In the case of recreational firearms use by </w:t>
      </w:r>
      <w:r w:rsidRPr="00610D49">
        <w:t>seniors and eligible recipients</w:t>
      </w:r>
      <w:r>
        <w:t xml:space="preserve">, such as people with disabilities and veterans, there are positive externalities to encouraging them </w:t>
      </w:r>
      <w:r w:rsidRPr="00610D49">
        <w:t xml:space="preserve">to apply for and maintain firearms licences. </w:t>
      </w:r>
      <w:r>
        <w:t>In particular, these groups can become socially isolated and lose community connections due to their age or other status.</w:t>
      </w:r>
      <w:r>
        <w:rPr>
          <w:rStyle w:val="FootnoteReference"/>
        </w:rPr>
        <w:footnoteReference w:id="76"/>
      </w:r>
      <w:r>
        <w:t xml:space="preserve"> By encouraging participation in recreational pursuits such as target shooting, a concession would improve social cohesion and reduce the harms to these groups caused by a lack of social networks and interactions.</w:t>
      </w:r>
      <w:r w:rsidRPr="00610D49">
        <w:t xml:space="preserve"> </w:t>
      </w:r>
      <w:r>
        <w:t>Similarly, participation in target shooting can provide an opportunity to engage in physical exercise and maintain good health. Encouraging participation in this way is consistent with the Victorian Government’s commitment to reducing social isolation and loneliness among seniors, including by creating opportunities for older people to better participate in their local communities.</w:t>
      </w:r>
      <w:r>
        <w:rPr>
          <w:rStyle w:val="FootnoteReference"/>
        </w:rPr>
        <w:footnoteReference w:id="77"/>
      </w:r>
    </w:p>
    <w:p w14:paraId="149BC5AE" w14:textId="77777777" w:rsidR="00052799" w:rsidRPr="00610D49" w:rsidRDefault="00052799" w:rsidP="00052799">
      <w:pPr>
        <w:pStyle w:val="BodyText"/>
      </w:pPr>
      <w:r w:rsidRPr="00610D49">
        <w:t>By providing concessions to Victorians aged over the age of 70, this sub-option would arguably remove some of the financial burden of the regulatory regime for firearms from persons who, in statistical terms, are less likely to have high incomes, and transfer that burden to the overall tax base where capacity to pay may be higher. There is a significant difference in average incomes between Victorians past the age of seventy and the rest of the adult population. At the time of the 2016, census, roughly 66 percent of Victorians aged 70 or over reported an annual income of less than $26,000, twice the proportion of Victorians aged 20-69. Approximately 44 percent of Victorians aged 70 or over earned $20,799 or less, compared to 19 percent of those aged 20-69.</w:t>
      </w:r>
      <w:r w:rsidRPr="00610D49">
        <w:rPr>
          <w:rStyle w:val="FootnoteReference"/>
        </w:rPr>
        <w:footnoteReference w:id="78"/>
      </w:r>
      <w:r w:rsidRPr="00610D49">
        <w:t xml:space="preserve"> </w:t>
      </w:r>
    </w:p>
    <w:p w14:paraId="36FB543E" w14:textId="77777777" w:rsidR="00052799" w:rsidRPr="00610D49" w:rsidRDefault="00052799" w:rsidP="00052799">
      <w:pPr>
        <w:pStyle w:val="BodyText"/>
      </w:pPr>
      <w:r w:rsidRPr="00610D49">
        <w:t xml:space="preserve">However, this discrepancy in incomes is not of itself necessarily sufficient to justify the concession on equity grounds. Unlike concessions on essential services, such as electricity and public transport, </w:t>
      </w:r>
      <w:r w:rsidRPr="00610D49">
        <w:rPr>
          <w:lang w:eastAsia="en-AU"/>
        </w:rPr>
        <w:t xml:space="preserve">firearms for this group are generally a recreational pursuit, with only narrow </w:t>
      </w:r>
      <w:r w:rsidRPr="00610D49">
        <w:rPr>
          <w:color w:val="000000"/>
          <w:lang w:eastAsia="en-AU"/>
        </w:rPr>
        <w:t xml:space="preserve">segment of the relevant population holding a firearms licence. As a result, concessional </w:t>
      </w:r>
      <w:r w:rsidRPr="00610D49">
        <w:t xml:space="preserve">discounts on firearm licence fees could be seen as providing only limited support for social equality and equity, despite providing a social benefit to this group. </w:t>
      </w:r>
    </w:p>
    <w:p w14:paraId="62DB928E" w14:textId="77777777" w:rsidR="00052799" w:rsidRDefault="00052799" w:rsidP="00052799">
      <w:pPr>
        <w:pStyle w:val="BodyText"/>
      </w:pPr>
      <w:r w:rsidRPr="00610D49">
        <w:t>Further, it should be noted that household wealth and capacity to pay may not correspond to household incomes. Australians over the age of seventy may, despite lower incomes, hold significant larger assets than the average person. In 2015-16, the median net worth for all households was $527,000, whereas the median net worth for households with a person over the age of 75 was $642,000.</w:t>
      </w:r>
      <w:r w:rsidRPr="00610D49">
        <w:rPr>
          <w:rStyle w:val="FootnoteReference"/>
        </w:rPr>
        <w:footnoteReference w:id="79"/>
      </w:r>
      <w:r w:rsidRPr="00610D49">
        <w:t xml:space="preserve"> As such, the potential recipients of this concession, despite being likely to have a lower income than other Victorians, </w:t>
      </w:r>
      <w:r>
        <w:t>may have a</w:t>
      </w:r>
      <w:r w:rsidRPr="00610D49">
        <w:t xml:space="preserve"> high</w:t>
      </w:r>
      <w:r>
        <w:t>er</w:t>
      </w:r>
      <w:r w:rsidRPr="00610D49">
        <w:t xml:space="preserve"> capacity to pay </w:t>
      </w:r>
      <w:r>
        <w:t>due to their greater wealth</w:t>
      </w:r>
      <w:r w:rsidRPr="00610D49">
        <w:t xml:space="preserve">. </w:t>
      </w:r>
      <w:r>
        <w:t>The same reasoning may not apply to eligible recipients who, by virtue of their eligibility for a pension, generally have lesser means.</w:t>
      </w:r>
      <w:r w:rsidRPr="00610D49">
        <w:t xml:space="preserve"> </w:t>
      </w:r>
    </w:p>
    <w:p w14:paraId="1C924F18" w14:textId="77777777" w:rsidR="00052799" w:rsidRPr="00085B06" w:rsidRDefault="00052799" w:rsidP="00052799">
      <w:pPr>
        <w:pStyle w:val="BodyText"/>
        <w:rPr>
          <w:b/>
        </w:rPr>
      </w:pPr>
      <w:r>
        <w:t xml:space="preserve">The Department’s view is that, despite limited evidence supporting the need to introduce concessional arrangements on the basis of equity (for older firearms licensees generally), the social benefits of encouraging participation by older and other marginalised Victorians in the shooting sports justifies providing older firearms licensees with concessions. For the reasons outlined above, the Department considers these concessions should be funded out of general revenue. As such, </w:t>
      </w:r>
      <w:r w:rsidRPr="00210A7B">
        <w:rPr>
          <w:b/>
        </w:rPr>
        <w:t>this component is included as part of the preferred option</w:t>
      </w:r>
      <w:r>
        <w:t>.</w:t>
      </w:r>
    </w:p>
    <w:p w14:paraId="33F108B6" w14:textId="4B90E0DC" w:rsidR="00052799" w:rsidRPr="00610D49" w:rsidRDefault="00052799" w:rsidP="00052799">
      <w:pPr>
        <w:pStyle w:val="Caption"/>
      </w:pPr>
      <w:r w:rsidRPr="00610D49">
        <w:t xml:space="preserve">Table </w:t>
      </w:r>
      <w:r w:rsidR="001C7D77">
        <w:rPr>
          <w:noProof/>
        </w:rPr>
        <w:t>35</w:t>
      </w:r>
      <w:r w:rsidRPr="00610D49">
        <w:t xml:space="preserve">: </w:t>
      </w:r>
      <w:r>
        <w:t xml:space="preserve">Discussion of sub-option against </w:t>
      </w:r>
      <w:r w:rsidRPr="00610D49">
        <w:t xml:space="preserve">criteria </w:t>
      </w:r>
    </w:p>
    <w:tbl>
      <w:tblPr>
        <w:tblW w:w="4505"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35: Discussion of sub-option against criteria"/>
      </w:tblPr>
      <w:tblGrid>
        <w:gridCol w:w="1493"/>
        <w:gridCol w:w="7437"/>
      </w:tblGrid>
      <w:tr w:rsidR="00052799" w:rsidRPr="002D7AE6" w14:paraId="72531153" w14:textId="77777777" w:rsidTr="00871631">
        <w:trPr>
          <w:tblHeader/>
        </w:trPr>
        <w:tc>
          <w:tcPr>
            <w:tcW w:w="836" w:type="pct"/>
            <w:shd w:val="clear" w:color="auto" w:fill="002060"/>
          </w:tcPr>
          <w:p w14:paraId="40E80269"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Criterion</w:t>
            </w:r>
          </w:p>
        </w:tc>
        <w:tc>
          <w:tcPr>
            <w:tcW w:w="4164" w:type="pct"/>
            <w:shd w:val="clear" w:color="auto" w:fill="002060"/>
          </w:tcPr>
          <w:p w14:paraId="1FB15D40"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Discussion</w:t>
            </w:r>
          </w:p>
        </w:tc>
      </w:tr>
      <w:tr w:rsidR="00052799" w:rsidRPr="002D7AE6" w14:paraId="09FFA790" w14:textId="77777777" w:rsidTr="00871631">
        <w:tc>
          <w:tcPr>
            <w:tcW w:w="836" w:type="pct"/>
            <w:shd w:val="clear" w:color="auto" w:fill="auto"/>
          </w:tcPr>
          <w:p w14:paraId="77CC9C61"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Efficiency</w:t>
            </w:r>
          </w:p>
        </w:tc>
        <w:tc>
          <w:tcPr>
            <w:tcW w:w="4164" w:type="pct"/>
            <w:shd w:val="clear" w:color="auto" w:fill="auto"/>
          </w:tcPr>
          <w:p w14:paraId="7F981F8F"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 xml:space="preserve">Relative to Option 1, this option would have lower efficiency given that concession holders would not pay the efficient costs associated with firearms regulatory activity </w:t>
            </w:r>
          </w:p>
        </w:tc>
      </w:tr>
      <w:tr w:rsidR="00052799" w:rsidRPr="002D7AE6" w14:paraId="69D5794C" w14:textId="77777777" w:rsidTr="00871631">
        <w:tc>
          <w:tcPr>
            <w:tcW w:w="836" w:type="pct"/>
            <w:shd w:val="clear" w:color="auto" w:fill="auto"/>
          </w:tcPr>
          <w:p w14:paraId="2FCC0778"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Equity</w:t>
            </w:r>
          </w:p>
        </w:tc>
        <w:tc>
          <w:tcPr>
            <w:tcW w:w="4164" w:type="pct"/>
            <w:shd w:val="clear" w:color="auto" w:fill="auto"/>
          </w:tcPr>
          <w:p w14:paraId="41475D5C"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Option 1, this option would have lower horizontal equity given that eligible concession cohorts would not pay the costs associated with firearms regulatory activity, and these costs (approx. $430,000) would be subsidised from general revenue. However, it would provide improved vertical equity for groups with lesser income, by lowering the barriers to them participating in sports shooting activities.</w:t>
            </w:r>
          </w:p>
        </w:tc>
      </w:tr>
      <w:tr w:rsidR="00052799" w:rsidRPr="002D7AE6" w14:paraId="41043431" w14:textId="77777777" w:rsidTr="00871631">
        <w:tc>
          <w:tcPr>
            <w:tcW w:w="836" w:type="pct"/>
            <w:shd w:val="clear" w:color="auto" w:fill="auto"/>
          </w:tcPr>
          <w:p w14:paraId="3D9B4182"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Alignment with objectives of the Act</w:t>
            </w:r>
          </w:p>
        </w:tc>
        <w:tc>
          <w:tcPr>
            <w:tcW w:w="4164" w:type="pct"/>
            <w:shd w:val="clear" w:color="auto" w:fill="auto"/>
          </w:tcPr>
          <w:p w14:paraId="082CFD75"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Option 1, this option has no impact on alignment with objectives of the Act.</w:t>
            </w:r>
          </w:p>
        </w:tc>
      </w:tr>
      <w:tr w:rsidR="00052799" w:rsidRPr="002D7AE6" w14:paraId="348AA5AA" w14:textId="77777777" w:rsidTr="00871631">
        <w:tc>
          <w:tcPr>
            <w:tcW w:w="836" w:type="pct"/>
            <w:shd w:val="clear" w:color="auto" w:fill="auto"/>
          </w:tcPr>
          <w:p w14:paraId="5953089A"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Administrative complexity</w:t>
            </w:r>
          </w:p>
        </w:tc>
        <w:tc>
          <w:tcPr>
            <w:tcW w:w="4164" w:type="pct"/>
            <w:shd w:val="clear" w:color="auto" w:fill="auto"/>
          </w:tcPr>
          <w:p w14:paraId="617DDCC0"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Option 1, this option has minor negative impacts on administrative complexity, given that Victoria Police will need to change its current systems in order to facilitate changes to introduce concession arrangements.</w:t>
            </w:r>
          </w:p>
        </w:tc>
      </w:tr>
    </w:tbl>
    <w:p w14:paraId="46024486" w14:textId="77777777" w:rsidR="00052799" w:rsidRDefault="00052799" w:rsidP="00052799">
      <w:pPr>
        <w:pStyle w:val="BodyText"/>
        <w:rPr>
          <w:b/>
        </w:rPr>
      </w:pPr>
      <w:r>
        <w:t xml:space="preserve"> </w:t>
      </w:r>
    </w:p>
    <w:p w14:paraId="600B9362" w14:textId="77777777" w:rsidR="00052799" w:rsidRPr="00610D49" w:rsidRDefault="00052799" w:rsidP="00052799">
      <w:pPr>
        <w:pStyle w:val="BodyText"/>
        <w:rPr>
          <w:b/>
        </w:rPr>
      </w:pPr>
      <w:r>
        <w:rPr>
          <w:noProof/>
          <w:lang w:eastAsia="en-AU"/>
        </w:rPr>
        <mc:AlternateContent>
          <mc:Choice Requires="wps">
            <w:drawing>
              <wp:inline distT="0" distB="0" distL="0" distR="0" wp14:anchorId="2CDC80DE" wp14:editId="22487E6C">
                <wp:extent cx="5757545" cy="1432560"/>
                <wp:effectExtent l="0" t="0" r="14605" b="15875"/>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7545" cy="1432560"/>
                        </a:xfrm>
                        <a:prstGeom prst="roundRect">
                          <a:avLst>
                            <a:gd name="adj" fmla="val 16667"/>
                          </a:avLst>
                        </a:prstGeom>
                        <a:noFill/>
                        <a:ln w="9525"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3F13E6" w14:textId="77777777" w:rsidR="007D4B3A" w:rsidRPr="007831D0" w:rsidRDefault="007D4B3A" w:rsidP="00052799">
                            <w:pPr>
                              <w:pStyle w:val="BodyText"/>
                              <w:ind w:left="0"/>
                              <w:rPr>
                                <w:b/>
                                <w:sz w:val="18"/>
                              </w:rPr>
                            </w:pPr>
                            <w:r>
                              <w:rPr>
                                <w:b/>
                                <w:sz w:val="18"/>
                              </w:rPr>
                              <w:t>Consultation questions:</w:t>
                            </w:r>
                          </w:p>
                          <w:p w14:paraId="15EB3ADF" w14:textId="77777777" w:rsidR="007D4B3A" w:rsidRDefault="007D4B3A" w:rsidP="00052799">
                            <w:pPr>
                              <w:pStyle w:val="BodyText"/>
                              <w:ind w:left="0"/>
                              <w:rPr>
                                <w:sz w:val="18"/>
                              </w:rPr>
                            </w:pPr>
                            <w:r>
                              <w:rPr>
                                <w:sz w:val="18"/>
                              </w:rPr>
                              <w:t>Do stakeholders consider that concessions for older firearms licence applicants is appropriate, given that this will result in a subsidy from general revenue?</w:t>
                            </w:r>
                          </w:p>
                          <w:p w14:paraId="7C3E2818" w14:textId="77777777" w:rsidR="007D4B3A" w:rsidRPr="00A60C4C" w:rsidRDefault="007D4B3A" w:rsidP="00052799">
                            <w:pPr>
                              <w:pStyle w:val="BodyText"/>
                              <w:ind w:left="0"/>
                              <w:rPr>
                                <w:sz w:val="18"/>
                              </w:rPr>
                            </w:pPr>
                            <w:r>
                              <w:rPr>
                                <w:sz w:val="18"/>
                              </w:rPr>
                              <w:t>What impact is a concession scheme for older firearms licensees likely to have on participation in shooting activities?</w:t>
                            </w:r>
                          </w:p>
                        </w:txbxContent>
                      </wps:txbx>
                      <wps:bodyPr rot="0" vert="horz" wrap="square" lIns="91440" tIns="45720" rIns="91440" bIns="45720" anchor="t" anchorCtr="0" upright="1">
                        <a:spAutoFit/>
                      </wps:bodyPr>
                    </wps:wsp>
                  </a:graphicData>
                </a:graphic>
              </wp:inline>
            </w:drawing>
          </mc:Choice>
          <mc:Fallback>
            <w:pict>
              <v:roundrect w14:anchorId="2CDC80DE" id="_x0000_s1035" style="width:453.35pt;height:112.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" filled="f">
                <v:textbox style="mso-fit-shape-to-text:t">
                  <w:txbxContent>
                    <w:p w14:paraId="333F13E6" w14:textId="77777777" w:rsidR="007D4B3A" w:rsidRPr="007831D0" w:rsidRDefault="007D4B3A" w:rsidP="00052799">
                      <w:pPr>
                        <w:pStyle w:val="BodyText"/>
                        <w:ind w:left="0"/>
                        <w:rPr>
                          <w:b/>
                          <w:sz w:val="18"/>
                        </w:rPr>
                      </w:pPr>
                      <w:r>
                        <w:rPr>
                          <w:b/>
                          <w:sz w:val="18"/>
                        </w:rPr>
                        <w:t>Consultation questions:</w:t>
                      </w:r>
                    </w:p>
                    <w:p w14:paraId="15EB3ADF" w14:textId="77777777" w:rsidR="007D4B3A" w:rsidRDefault="007D4B3A" w:rsidP="00052799">
                      <w:pPr>
                        <w:pStyle w:val="BodyText"/>
                        <w:ind w:left="0"/>
                        <w:rPr>
                          <w:sz w:val="18"/>
                        </w:rPr>
                      </w:pPr>
                      <w:r>
                        <w:rPr>
                          <w:sz w:val="18"/>
                        </w:rPr>
                        <w:t>Do stakeholders consider that concessions for older firearms licence applicants is appropriate, given that this will result in a subsidy from general revenue?</w:t>
                      </w:r>
                    </w:p>
                    <w:p w14:paraId="7C3E2818" w14:textId="77777777" w:rsidR="007D4B3A" w:rsidRPr="00A60C4C" w:rsidRDefault="007D4B3A" w:rsidP="00052799">
                      <w:pPr>
                        <w:pStyle w:val="BodyText"/>
                        <w:ind w:left="0"/>
                        <w:rPr>
                          <w:sz w:val="18"/>
                        </w:rPr>
                      </w:pPr>
                      <w:r>
                        <w:rPr>
                          <w:sz w:val="18"/>
                        </w:rPr>
                        <w:t>What impact is a concession scheme for older firearms licensees likely to have on participation in shooting activities?</w:t>
                      </w:r>
                    </w:p>
                  </w:txbxContent>
                </v:textbox>
                <w10:anchorlock/>
              </v:roundrect>
            </w:pict>
          </mc:Fallback>
        </mc:AlternateContent>
      </w:r>
    </w:p>
    <w:p w14:paraId="3721F41D" w14:textId="77777777" w:rsidR="00052799" w:rsidRDefault="00052799" w:rsidP="00052799">
      <w:pPr>
        <w:pStyle w:val="BodyText"/>
        <w:rPr>
          <w:b/>
        </w:rPr>
      </w:pPr>
    </w:p>
    <w:p w14:paraId="2C9ECA63" w14:textId="77777777" w:rsidR="00052799" w:rsidRPr="00B7389E" w:rsidRDefault="00052799" w:rsidP="00052799">
      <w:pPr>
        <w:pStyle w:val="Heading4"/>
        <w:numPr>
          <w:ilvl w:val="0"/>
          <w:numId w:val="0"/>
        </w:numPr>
        <w:ind w:left="794"/>
      </w:pPr>
      <w:r w:rsidRPr="00B7389E">
        <w:t>Smoothing of fee increases and decreases</w:t>
      </w:r>
    </w:p>
    <w:p w14:paraId="62C7073D" w14:textId="77777777" w:rsidR="00052799" w:rsidRPr="00610D49" w:rsidRDefault="00052799" w:rsidP="00052799">
      <w:pPr>
        <w:pStyle w:val="BodyText"/>
        <w:rPr>
          <w:lang w:eastAsia="en-AU"/>
        </w:rPr>
      </w:pPr>
      <w:r w:rsidRPr="00610D49">
        <w:rPr>
          <w:lang w:eastAsia="en-AU"/>
        </w:rPr>
        <w:t xml:space="preserve">The ABC modelling resulted in </w:t>
      </w:r>
      <w:r>
        <w:rPr>
          <w:lang w:eastAsia="en-AU"/>
        </w:rPr>
        <w:t xml:space="preserve">proposed </w:t>
      </w:r>
      <w:r w:rsidRPr="00610D49">
        <w:rPr>
          <w:lang w:eastAsia="en-AU"/>
        </w:rPr>
        <w:t>changes to all fe</w:t>
      </w:r>
      <w:r>
        <w:rPr>
          <w:lang w:eastAsia="en-AU"/>
        </w:rPr>
        <w:t>e categories</w:t>
      </w:r>
      <w:r w:rsidRPr="00610D49">
        <w:rPr>
          <w:lang w:eastAsia="en-AU"/>
        </w:rPr>
        <w:t xml:space="preserve">. The key changes were a small decrease in fees for the largest revenue category (category B longarm licences), and a number of large increases for smaller revenue categories. </w:t>
      </w:r>
    </w:p>
    <w:p w14:paraId="086D8FBF" w14:textId="77777777" w:rsidR="00052799" w:rsidRPr="00610D49" w:rsidRDefault="00052799" w:rsidP="00052799">
      <w:pPr>
        <w:pStyle w:val="BodyText"/>
        <w:rPr>
          <w:lang w:eastAsia="en-AU"/>
        </w:rPr>
      </w:pPr>
      <w:r w:rsidRPr="00610D49">
        <w:rPr>
          <w:lang w:eastAsia="en-AU"/>
        </w:rPr>
        <w:t>During consultation, stakeholders noted the potential to smooth impacts across the industry by holding fees at current levels for those categories where there were small falls, and reducing the extent of fee increases for fee categories where there were going to be large fee increases.</w:t>
      </w:r>
      <w:r>
        <w:rPr>
          <w:lang w:eastAsia="en-AU"/>
        </w:rPr>
        <w:t xml:space="preserve"> The effect of this would be to not allow fees to change to whatever is the efficient cost of regulating each different type of fee category (whether that be an increase or decrease), and thereby not passing through any efficiency benefits to fee categories which are currently under-charged.</w:t>
      </w:r>
    </w:p>
    <w:p w14:paraId="6E304B08" w14:textId="77777777" w:rsidR="00052799" w:rsidRDefault="00052799" w:rsidP="00052799">
      <w:pPr>
        <w:pStyle w:val="BodyText"/>
        <w:rPr>
          <w:lang w:eastAsia="en-AU"/>
        </w:rPr>
      </w:pPr>
      <w:r w:rsidRPr="00610D49">
        <w:rPr>
          <w:lang w:eastAsia="en-AU"/>
        </w:rPr>
        <w:t xml:space="preserve">As such, in addition to the changes discussed previously, this option </w:t>
      </w:r>
      <w:r>
        <w:rPr>
          <w:lang w:eastAsia="en-AU"/>
        </w:rPr>
        <w:t>introduces an approach for smoothing the changes to fees, while largely keeping the extent of revenue recovery unchanged. In seeking an appropriate method to smooth any changes to fees arising from the ABC modelling, the Department sought to:</w:t>
      </w:r>
    </w:p>
    <w:p w14:paraId="4DBB5808" w14:textId="5BAB0A6D" w:rsidR="00052799" w:rsidRDefault="008C1BB4" w:rsidP="00052799">
      <w:pPr>
        <w:pStyle w:val="BodyText"/>
        <w:numPr>
          <w:ilvl w:val="0"/>
          <w:numId w:val="84"/>
        </w:numPr>
        <w:tabs>
          <w:tab w:val="clear" w:pos="340"/>
          <w:tab w:val="num" w:pos="1134"/>
        </w:tabs>
        <w:ind w:left="1134"/>
        <w:rPr>
          <w:lang w:eastAsia="en-AU"/>
        </w:rPr>
      </w:pPr>
      <w:r>
        <w:rPr>
          <w:lang w:eastAsia="en-AU"/>
        </w:rPr>
        <w:t>m</w:t>
      </w:r>
      <w:r w:rsidR="00052799">
        <w:rPr>
          <w:lang w:eastAsia="en-AU"/>
        </w:rPr>
        <w:t>itigate larger fee increases, largely focussing on percentage changes, rather than dollar changes. The reason for this focus is that through consultations, the Department noted that stakeholders were particularly sensitive to changes in fees relative to the current fee (i.e. concerned about a doubling of fees), rather than changes in dollar amounts charged.</w:t>
      </w:r>
    </w:p>
    <w:p w14:paraId="272D1AED" w14:textId="4BBBF1A8" w:rsidR="00052799" w:rsidRDefault="008C1BB4" w:rsidP="00052799">
      <w:pPr>
        <w:pStyle w:val="BodyText"/>
        <w:numPr>
          <w:ilvl w:val="0"/>
          <w:numId w:val="84"/>
        </w:numPr>
        <w:tabs>
          <w:tab w:val="clear" w:pos="340"/>
          <w:tab w:val="num" w:pos="1134"/>
        </w:tabs>
        <w:ind w:left="1134"/>
        <w:rPr>
          <w:lang w:eastAsia="en-AU"/>
        </w:rPr>
      </w:pPr>
      <w:r>
        <w:rPr>
          <w:lang w:eastAsia="en-AU"/>
        </w:rPr>
        <w:t>e</w:t>
      </w:r>
      <w:r w:rsidR="00052799">
        <w:rPr>
          <w:lang w:eastAsia="en-AU"/>
        </w:rPr>
        <w:t>nsure that overall revenue was kept largely constant.</w:t>
      </w:r>
    </w:p>
    <w:p w14:paraId="086EBEC8" w14:textId="77777777" w:rsidR="00052799" w:rsidRDefault="00052799" w:rsidP="00052799">
      <w:pPr>
        <w:pStyle w:val="BodyText"/>
        <w:rPr>
          <w:lang w:eastAsia="en-AU"/>
        </w:rPr>
      </w:pPr>
      <w:r>
        <w:rPr>
          <w:lang w:eastAsia="en-AU"/>
        </w:rPr>
        <w:t>The Department identified that halving any fee increases and not passing on any fee decreases would be an approach to smoothing that largely met both of these constraints.</w:t>
      </w:r>
    </w:p>
    <w:p w14:paraId="1B99B97A" w14:textId="77777777" w:rsidR="00052799" w:rsidRDefault="00052799" w:rsidP="00052799">
      <w:pPr>
        <w:pStyle w:val="BodyText"/>
        <w:rPr>
          <w:lang w:eastAsia="en-AU"/>
        </w:rPr>
      </w:pPr>
      <w:r>
        <w:rPr>
          <w:lang w:eastAsia="en-AU"/>
        </w:rPr>
        <w:t xml:space="preserve">As such, the approach presented in this Option 2 </w:t>
      </w:r>
      <w:r w:rsidRPr="00610D49">
        <w:rPr>
          <w:lang w:eastAsia="en-AU"/>
        </w:rPr>
        <w:t xml:space="preserve">involves holding fees at current levels for those categories where fees decreased under the ABC, and reducing the extent of fee increases for fee categories where there were going to be fee increases by </w:t>
      </w:r>
      <w:r>
        <w:rPr>
          <w:lang w:eastAsia="en-AU"/>
        </w:rPr>
        <w:t>half</w:t>
      </w:r>
      <w:r w:rsidRPr="00610D49">
        <w:rPr>
          <w:lang w:eastAsia="en-AU"/>
        </w:rPr>
        <w:t>. That is, if a fee would have increased from $50 to $100 under Option 1, under this option it would increase to only $75. Similarly, if a fee would have decreased from $50 to $40 under Option 1, under this option it would be held constant at its original fee of $50.</w:t>
      </w:r>
      <w:r>
        <w:rPr>
          <w:lang w:eastAsia="en-AU"/>
        </w:rPr>
        <w:t xml:space="preserve"> </w:t>
      </w:r>
    </w:p>
    <w:p w14:paraId="736D4759" w14:textId="04328FC1" w:rsidR="00052799" w:rsidRPr="00610D49" w:rsidRDefault="00052799" w:rsidP="00052799">
      <w:pPr>
        <w:pStyle w:val="BodyText"/>
        <w:rPr>
          <w:lang w:eastAsia="en-AU"/>
        </w:rPr>
      </w:pPr>
      <w:r>
        <w:rPr>
          <w:lang w:eastAsia="en-AU"/>
        </w:rPr>
        <w:t xml:space="preserve">It is important to note that this is the approach that has been developed for consultation with stakeholders. Stakeholders are invited to make submissions on the RIS which propose </w:t>
      </w:r>
      <w:r w:rsidR="008C1BB4">
        <w:rPr>
          <w:lang w:eastAsia="en-AU"/>
        </w:rPr>
        <w:t xml:space="preserve">other </w:t>
      </w:r>
      <w:r>
        <w:rPr>
          <w:lang w:eastAsia="en-AU"/>
        </w:rPr>
        <w:t>ways of smoothing changes in fees. For example, changes could be gradually phased in over time, or more/less revenue could be recovered from certain categories (e.g. by allowing fee increases to rise by three quarters of their full-cost recovery level, rather than the proposed approach of half).</w:t>
      </w:r>
    </w:p>
    <w:p w14:paraId="42570CDB" w14:textId="1F072720" w:rsidR="00052799" w:rsidRPr="00610D49" w:rsidRDefault="00052799" w:rsidP="00052799">
      <w:pPr>
        <w:pStyle w:val="BodyText"/>
      </w:pPr>
      <w:r w:rsidRPr="00610D49">
        <w:t xml:space="preserve">The fee tables in </w:t>
      </w:r>
      <w:r w:rsidR="001C7D77">
        <w:t>Appendix 2</w:t>
      </w:r>
      <w:r>
        <w:t xml:space="preserve"> </w:t>
      </w:r>
      <w:r w:rsidRPr="00610D49">
        <w:t>outlines the overall revenue changes under Option 1 and Option 2 for each group of licensees. These tables show which licence categories benefit under this approach, and which categories are worse off under this approach. Major revenue categories include:</w:t>
      </w:r>
    </w:p>
    <w:p w14:paraId="2094FA36" w14:textId="77777777" w:rsidR="00052799" w:rsidRPr="00610D49" w:rsidRDefault="00052799" w:rsidP="00052799">
      <w:pPr>
        <w:pStyle w:val="BodyText"/>
        <w:numPr>
          <w:ilvl w:val="0"/>
          <w:numId w:val="71"/>
        </w:numPr>
        <w:tabs>
          <w:tab w:val="clear" w:pos="340"/>
          <w:tab w:val="num" w:pos="1134"/>
        </w:tabs>
        <w:ind w:left="1134"/>
      </w:pPr>
      <w:r w:rsidRPr="00610D49">
        <w:t xml:space="preserve">Category B individual licensees do not receive a 13 per cent fee decrease (a $35 reduction on a five-year licence, based on current fee levels), resulting in a net impact of </w:t>
      </w:r>
      <w:r>
        <w:t>a large increase in revenue recovered</w:t>
      </w:r>
    </w:p>
    <w:p w14:paraId="0E4FBC7E" w14:textId="77777777" w:rsidR="00052799" w:rsidRPr="00610D49" w:rsidRDefault="00052799" w:rsidP="00052799">
      <w:pPr>
        <w:pStyle w:val="BodyText"/>
        <w:numPr>
          <w:ilvl w:val="0"/>
          <w:numId w:val="71"/>
        </w:numPr>
        <w:tabs>
          <w:tab w:val="clear" w:pos="340"/>
          <w:tab w:val="num" w:pos="1134"/>
        </w:tabs>
        <w:ind w:left="1134"/>
      </w:pPr>
      <w:r w:rsidRPr="00610D49">
        <w:t>Category C individual licen</w:t>
      </w:r>
      <w:r>
        <w:t>s</w:t>
      </w:r>
      <w:r w:rsidRPr="00610D49">
        <w:t xml:space="preserve">ees have a fee increase of 59 per cent (a $95 increase, based on current fee levels) rather than 118 per cent, resulting in a net impact of a </w:t>
      </w:r>
      <w:r>
        <w:t>small f</w:t>
      </w:r>
      <w:r w:rsidRPr="00610D49">
        <w:t xml:space="preserve">all in recovered revenue </w:t>
      </w:r>
    </w:p>
    <w:p w14:paraId="23FEDD35" w14:textId="0E181BCF" w:rsidR="00052799" w:rsidRPr="00610D49" w:rsidRDefault="008C1BB4" w:rsidP="00052799">
      <w:pPr>
        <w:pStyle w:val="BodyText"/>
        <w:numPr>
          <w:ilvl w:val="0"/>
          <w:numId w:val="71"/>
        </w:numPr>
        <w:tabs>
          <w:tab w:val="clear" w:pos="340"/>
          <w:tab w:val="num" w:pos="1134"/>
        </w:tabs>
        <w:ind w:left="1134"/>
      </w:pPr>
      <w:r>
        <w:t>a</w:t>
      </w:r>
      <w:r w:rsidR="00052799" w:rsidRPr="00610D49">
        <w:t xml:space="preserve">pplicants for </w:t>
      </w:r>
      <w:r>
        <w:t>p</w:t>
      </w:r>
      <w:r w:rsidR="00052799" w:rsidRPr="00610D49">
        <w:t xml:space="preserve">ermits to </w:t>
      </w:r>
      <w:r>
        <w:t>a</w:t>
      </w:r>
      <w:r w:rsidR="00052799" w:rsidRPr="00610D49">
        <w:t>cquire for Category A longarms have a fee increase of 91 per cent (an $8.30 increase, based on current fee levels) instead of 182 per cent, resulting in a net impact of a</w:t>
      </w:r>
      <w:r w:rsidR="00052799">
        <w:t xml:space="preserve"> small </w:t>
      </w:r>
      <w:r w:rsidR="00052799" w:rsidRPr="00610D49">
        <w:t xml:space="preserve">fall in recovered revenue </w:t>
      </w:r>
    </w:p>
    <w:p w14:paraId="0378ECE9" w14:textId="3094CA6B" w:rsidR="00052799" w:rsidRPr="00610D49" w:rsidRDefault="008C1BB4" w:rsidP="00052799">
      <w:pPr>
        <w:pStyle w:val="BodyText"/>
        <w:numPr>
          <w:ilvl w:val="0"/>
          <w:numId w:val="71"/>
        </w:numPr>
        <w:tabs>
          <w:tab w:val="clear" w:pos="340"/>
          <w:tab w:val="num" w:pos="1134"/>
        </w:tabs>
        <w:ind w:left="1134"/>
      </w:pPr>
      <w:r>
        <w:t>a</w:t>
      </w:r>
      <w:r w:rsidR="00052799" w:rsidRPr="00610D49">
        <w:t xml:space="preserve">pplicants for </w:t>
      </w:r>
      <w:r>
        <w:t>p</w:t>
      </w:r>
      <w:r w:rsidR="00052799" w:rsidRPr="00610D49">
        <w:t xml:space="preserve">ermits to </w:t>
      </w:r>
      <w:r>
        <w:t>a</w:t>
      </w:r>
      <w:r w:rsidR="00052799" w:rsidRPr="00610D49">
        <w:t xml:space="preserve">cquire for Category B and C longarms have a fee increase of 115 per cent (a $10.58 increase, based on current fee levels) rather than 231 per cent, resulting in a net impact of a </w:t>
      </w:r>
      <w:r w:rsidR="00052799">
        <w:t xml:space="preserve">small </w:t>
      </w:r>
      <w:r w:rsidR="00052799" w:rsidRPr="00610D49">
        <w:t>fall in recovered revenue.</w:t>
      </w:r>
    </w:p>
    <w:p w14:paraId="51255207" w14:textId="77777777" w:rsidR="00052799" w:rsidRDefault="00052799" w:rsidP="00052799">
      <w:pPr>
        <w:pStyle w:val="BodyText"/>
      </w:pPr>
      <w:r w:rsidRPr="00610D49">
        <w:t xml:space="preserve">Stakeholders stated that the rationale for this approach was that applicants who would benefit from a small fee decrease under Option 1 will not perceive this to be a significant benefit. On the other hand, </w:t>
      </w:r>
      <w:r>
        <w:t xml:space="preserve">stakeholders noted </w:t>
      </w:r>
      <w:r w:rsidRPr="00610D49">
        <w:t xml:space="preserve">that applicants who would face large fee increases under Option 1 would perceive this option to make them significantly worse off. </w:t>
      </w:r>
    </w:p>
    <w:p w14:paraId="1FC8B6E7" w14:textId="5F7F8F65" w:rsidR="00052799" w:rsidRDefault="00052799" w:rsidP="00052799">
      <w:pPr>
        <w:pStyle w:val="BodyText"/>
      </w:pPr>
      <w:r>
        <w:t>Specifically, under Option 1, there would be 11 fee categories which would experience a fee increase of over 100 per cent, and 1</w:t>
      </w:r>
      <w:r w:rsidR="0038179F">
        <w:t>2</w:t>
      </w:r>
      <w:r>
        <w:t xml:space="preserve"> categories which would experience a fee increase of over $200. Under this smoothing approach, there would be </w:t>
      </w:r>
      <w:r w:rsidR="0038179F" w:rsidRPr="0038179F">
        <w:t>three</w:t>
      </w:r>
      <w:r>
        <w:t xml:space="preserve"> fee categories which would experience a fee increase of over 100 per cent,</w:t>
      </w:r>
      <w:r w:rsidR="008C1BB4">
        <w:rPr>
          <w:rStyle w:val="FootnoteReference"/>
        </w:rPr>
        <w:footnoteReference w:id="80"/>
      </w:r>
      <w:r>
        <w:t xml:space="preserve"> and </w:t>
      </w:r>
      <w:r w:rsidR="0038179F">
        <w:t>one</w:t>
      </w:r>
      <w:r>
        <w:t xml:space="preserve"> categor</w:t>
      </w:r>
      <w:r w:rsidR="0038179F">
        <w:t>y</w:t>
      </w:r>
      <w:r>
        <w:t xml:space="preserve"> which would experience a fee increase of over $200</w:t>
      </w:r>
      <w:r w:rsidR="008C1BB4">
        <w:t>.</w:t>
      </w:r>
    </w:p>
    <w:p w14:paraId="721D8605" w14:textId="763151C5" w:rsidR="00052799" w:rsidRDefault="00052799" w:rsidP="00F0523E">
      <w:pPr>
        <w:pStyle w:val="Body"/>
      </w:pPr>
      <w:r>
        <w:t>The Department’s view is that smoothing fees is worth doing because</w:t>
      </w:r>
      <w:r w:rsidR="008C1BB4">
        <w:t>,</w:t>
      </w:r>
      <w:r>
        <w:t xml:space="preserve"> despite it resulting in 10</w:t>
      </w:r>
      <w:r w:rsidR="0038179F">
        <w:t> </w:t>
      </w:r>
      <w:r>
        <w:t xml:space="preserve">categories of licence applicants facing an over-recovery of $1.3 million per year, this adverse impact of this is outweighed by the benefit associated with </w:t>
      </w:r>
      <w:r>
        <w:rPr>
          <w:szCs w:val="20"/>
        </w:rPr>
        <w:t xml:space="preserve">mitigating the scale of fee increases for </w:t>
      </w:r>
      <w:r>
        <w:t>39</w:t>
      </w:r>
      <w:r w:rsidR="0038179F">
        <w:t> </w:t>
      </w:r>
      <w:r>
        <w:t xml:space="preserve">smaller volume fee categories seeing an under-recovery of $850,000 per year (i.e. these groups would be cross-subsidised). As such, </w:t>
      </w:r>
      <w:r w:rsidRPr="00210A7B">
        <w:rPr>
          <w:b/>
        </w:rPr>
        <w:t>this component is included as part of the preferred option</w:t>
      </w:r>
      <w:r>
        <w:t>.</w:t>
      </w:r>
      <w:r w:rsidR="00F0523E">
        <w:t xml:space="preserve"> The net effect on revenue is to over-recover $450,000 per year.</w:t>
      </w:r>
    </w:p>
    <w:p w14:paraId="71AB604E" w14:textId="17F30247" w:rsidR="00052799" w:rsidRPr="00610D49" w:rsidRDefault="00052799" w:rsidP="00052799">
      <w:pPr>
        <w:pStyle w:val="Caption"/>
      </w:pPr>
      <w:r w:rsidRPr="00610D49">
        <w:t xml:space="preserve">Table </w:t>
      </w:r>
      <w:r w:rsidR="001C7D77">
        <w:rPr>
          <w:noProof/>
        </w:rPr>
        <w:t>36</w:t>
      </w:r>
      <w:r w:rsidRPr="00610D49">
        <w:t xml:space="preserve">: </w:t>
      </w:r>
      <w:r>
        <w:t xml:space="preserve">Discussion of sub-option against </w:t>
      </w:r>
      <w:r w:rsidRPr="00610D49">
        <w:t xml:space="preserve">criteria </w:t>
      </w:r>
    </w:p>
    <w:tbl>
      <w:tblPr>
        <w:tblW w:w="4505"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36: Discussion of sub-option against criteria"/>
      </w:tblPr>
      <w:tblGrid>
        <w:gridCol w:w="1493"/>
        <w:gridCol w:w="7437"/>
      </w:tblGrid>
      <w:tr w:rsidR="00052799" w:rsidRPr="002D7AE6" w14:paraId="0B0ED477" w14:textId="77777777" w:rsidTr="00871631">
        <w:trPr>
          <w:tblHeader/>
        </w:trPr>
        <w:tc>
          <w:tcPr>
            <w:tcW w:w="836" w:type="pct"/>
            <w:shd w:val="clear" w:color="auto" w:fill="002060"/>
          </w:tcPr>
          <w:p w14:paraId="569A7F27"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Criterion</w:t>
            </w:r>
          </w:p>
        </w:tc>
        <w:tc>
          <w:tcPr>
            <w:tcW w:w="4164" w:type="pct"/>
            <w:shd w:val="clear" w:color="auto" w:fill="002060"/>
          </w:tcPr>
          <w:p w14:paraId="000CEDE3"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Discussion</w:t>
            </w:r>
          </w:p>
        </w:tc>
      </w:tr>
      <w:tr w:rsidR="00052799" w:rsidRPr="002D7AE6" w14:paraId="40653240" w14:textId="77777777" w:rsidTr="00871631">
        <w:tc>
          <w:tcPr>
            <w:tcW w:w="836" w:type="pct"/>
            <w:shd w:val="clear" w:color="auto" w:fill="auto"/>
          </w:tcPr>
          <w:p w14:paraId="52F99925"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Efficiency</w:t>
            </w:r>
          </w:p>
        </w:tc>
        <w:tc>
          <w:tcPr>
            <w:tcW w:w="4164" w:type="pct"/>
            <w:shd w:val="clear" w:color="auto" w:fill="auto"/>
          </w:tcPr>
          <w:p w14:paraId="4C75059D"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Option 1, this option reduces efficiency because applicants in categories where fee increases are smoothed, they will be charged below the efficient fee level and therefore face a dulled price signal (and would therefore have inefficiently high demand for these fee categories). The inverse is true for fee categories where they are charged above the efficient fee level.</w:t>
            </w:r>
          </w:p>
        </w:tc>
      </w:tr>
      <w:tr w:rsidR="00052799" w:rsidRPr="002D7AE6" w14:paraId="533BC5FD" w14:textId="77777777" w:rsidTr="00871631">
        <w:tc>
          <w:tcPr>
            <w:tcW w:w="836" w:type="pct"/>
            <w:shd w:val="clear" w:color="auto" w:fill="auto"/>
          </w:tcPr>
          <w:p w14:paraId="05458F67"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Equity</w:t>
            </w:r>
          </w:p>
        </w:tc>
        <w:tc>
          <w:tcPr>
            <w:tcW w:w="4164" w:type="pct"/>
            <w:shd w:val="clear" w:color="auto" w:fill="auto"/>
          </w:tcPr>
          <w:p w14:paraId="589B2733"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Option 1, this option would have lower equity given that applicants for the smoothed fee categories would not pay the full costs associated with firearms regulatory activity, and these costs would be met by other firearms licensees (mainly from higher volume categories)</w:t>
            </w:r>
          </w:p>
        </w:tc>
      </w:tr>
      <w:tr w:rsidR="00052799" w:rsidRPr="002D7AE6" w14:paraId="7F02A7E4" w14:textId="77777777" w:rsidTr="00871631">
        <w:tc>
          <w:tcPr>
            <w:tcW w:w="836" w:type="pct"/>
            <w:shd w:val="clear" w:color="auto" w:fill="auto"/>
          </w:tcPr>
          <w:p w14:paraId="37275B6B"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Alignment with objectives of the Act</w:t>
            </w:r>
          </w:p>
        </w:tc>
        <w:tc>
          <w:tcPr>
            <w:tcW w:w="4164" w:type="pct"/>
            <w:shd w:val="clear" w:color="auto" w:fill="auto"/>
          </w:tcPr>
          <w:p w14:paraId="7BEAEFE9"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Option 1, this option will have no impact on safety and public peace.</w:t>
            </w:r>
          </w:p>
        </w:tc>
      </w:tr>
      <w:tr w:rsidR="00052799" w:rsidRPr="002D7AE6" w14:paraId="319F6115" w14:textId="77777777" w:rsidTr="00871631">
        <w:tc>
          <w:tcPr>
            <w:tcW w:w="836" w:type="pct"/>
            <w:shd w:val="clear" w:color="auto" w:fill="auto"/>
          </w:tcPr>
          <w:p w14:paraId="23EFC58C"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Administrative complexity</w:t>
            </w:r>
          </w:p>
        </w:tc>
        <w:tc>
          <w:tcPr>
            <w:tcW w:w="4164" w:type="pct"/>
            <w:shd w:val="clear" w:color="auto" w:fill="auto"/>
          </w:tcPr>
          <w:p w14:paraId="407A5F1B"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Option 1, this option has minor benefits for administrative complexity, given that Victoria Police will not need to change its current systems in order to facilitate any changes.</w:t>
            </w:r>
          </w:p>
        </w:tc>
      </w:tr>
    </w:tbl>
    <w:p w14:paraId="4A5C270A" w14:textId="77777777" w:rsidR="00052799" w:rsidRPr="00262183" w:rsidRDefault="00052799" w:rsidP="00052799">
      <w:pPr>
        <w:pStyle w:val="BodyText"/>
        <w:rPr>
          <w:b/>
        </w:rPr>
      </w:pPr>
      <w:r w:rsidRPr="00610D49">
        <w:t>On balance, the issues outlined above mean that</w:t>
      </w:r>
      <w:r w:rsidRPr="00610D49">
        <w:rPr>
          <w:b/>
        </w:rPr>
        <w:t xml:space="preserve"> this sub-proposal is included as part of this option.</w:t>
      </w:r>
      <w:r>
        <w:rPr>
          <w:b/>
        </w:rPr>
        <w:t xml:space="preserve"> </w:t>
      </w:r>
    </w:p>
    <w:p w14:paraId="4C527E41" w14:textId="77777777" w:rsidR="00052799" w:rsidRDefault="00052799" w:rsidP="00052799">
      <w:pPr>
        <w:pStyle w:val="BodyText"/>
      </w:pPr>
      <w:r>
        <w:rPr>
          <w:noProof/>
          <w:lang w:eastAsia="en-AU"/>
        </w:rPr>
        <mc:AlternateContent>
          <mc:Choice Requires="wps">
            <w:drawing>
              <wp:inline distT="0" distB="0" distL="0" distR="0" wp14:anchorId="5226AA6F" wp14:editId="30653CD1">
                <wp:extent cx="5757545" cy="1432560"/>
                <wp:effectExtent l="0" t="0" r="14605" b="19685"/>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7545" cy="1432560"/>
                        </a:xfrm>
                        <a:prstGeom prst="roundRect">
                          <a:avLst>
                            <a:gd name="adj" fmla="val 16667"/>
                          </a:avLst>
                        </a:prstGeom>
                        <a:noFill/>
                        <a:ln w="9525"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E9946A" w14:textId="77777777" w:rsidR="007D4B3A" w:rsidRPr="007831D0" w:rsidRDefault="007D4B3A" w:rsidP="00052799">
                            <w:pPr>
                              <w:pStyle w:val="BodyText"/>
                              <w:ind w:left="0"/>
                              <w:rPr>
                                <w:b/>
                                <w:sz w:val="18"/>
                              </w:rPr>
                            </w:pPr>
                            <w:r>
                              <w:rPr>
                                <w:b/>
                                <w:sz w:val="18"/>
                              </w:rPr>
                              <w:t>Consultation questions:</w:t>
                            </w:r>
                          </w:p>
                          <w:p w14:paraId="3AEF7F26" w14:textId="77777777" w:rsidR="007D4B3A" w:rsidRDefault="007D4B3A" w:rsidP="00052799">
                            <w:pPr>
                              <w:pStyle w:val="BodyText"/>
                              <w:ind w:left="0"/>
                              <w:rPr>
                                <w:sz w:val="18"/>
                              </w:rPr>
                            </w:pPr>
                            <w:r>
                              <w:rPr>
                                <w:sz w:val="18"/>
                              </w:rPr>
                              <w:t>Do stakeholders the proposed approach to smoothing fee increases is appropriate (i.e. over-recovering from some firearms groups, and under-recovering from others)?</w:t>
                            </w:r>
                          </w:p>
                          <w:p w14:paraId="10EDAA14" w14:textId="77777777" w:rsidR="007D4B3A" w:rsidRDefault="007D4B3A" w:rsidP="00052799">
                            <w:pPr>
                              <w:pStyle w:val="BodyText"/>
                              <w:ind w:left="0"/>
                              <w:rPr>
                                <w:sz w:val="18"/>
                              </w:rPr>
                            </w:pPr>
                            <w:r>
                              <w:rPr>
                                <w:sz w:val="18"/>
                              </w:rPr>
                              <w:t>Are there alternative approaches to smoothing fee changes which stakeholders consider to be more appropriate?</w:t>
                            </w:r>
                          </w:p>
                          <w:p w14:paraId="08A26981" w14:textId="77777777" w:rsidR="007D4B3A" w:rsidRPr="00A60C4C" w:rsidRDefault="007D4B3A" w:rsidP="00052799">
                            <w:pPr>
                              <w:pStyle w:val="BodyText"/>
                              <w:ind w:left="0"/>
                              <w:rPr>
                                <w:sz w:val="18"/>
                              </w:rPr>
                            </w:pPr>
                            <w:r>
                              <w:rPr>
                                <w:sz w:val="18"/>
                              </w:rPr>
                              <w:t>Do stakeholders consider it appropriate to attempt to phase-in full cost recovery by eliminating any over or under-recovery over time?</w:t>
                            </w:r>
                          </w:p>
                        </w:txbxContent>
                      </wps:txbx>
                      <wps:bodyPr rot="0" vert="horz" wrap="square" lIns="91440" tIns="45720" rIns="91440" bIns="45720" anchor="t" anchorCtr="0" upright="1">
                        <a:spAutoFit/>
                      </wps:bodyPr>
                    </wps:wsp>
                  </a:graphicData>
                </a:graphic>
              </wp:inline>
            </w:drawing>
          </mc:Choice>
          <mc:Fallback>
            <w:pict>
              <v:roundrect w14:anchorId="5226AA6F" id="_x0000_s1036" style="width:453.35pt;height:112.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" filled="f">
                <v:textbox style="mso-fit-shape-to-text:t">
                  <w:txbxContent>
                    <w:p w14:paraId="2BE9946A" w14:textId="77777777" w:rsidR="007D4B3A" w:rsidRPr="007831D0" w:rsidRDefault="007D4B3A" w:rsidP="00052799">
                      <w:pPr>
                        <w:pStyle w:val="BodyText"/>
                        <w:ind w:left="0"/>
                        <w:rPr>
                          <w:b/>
                          <w:sz w:val="18"/>
                        </w:rPr>
                      </w:pPr>
                      <w:r>
                        <w:rPr>
                          <w:b/>
                          <w:sz w:val="18"/>
                        </w:rPr>
                        <w:t>Consultation questions:</w:t>
                      </w:r>
                    </w:p>
                    <w:p w14:paraId="3AEF7F26" w14:textId="77777777" w:rsidR="007D4B3A" w:rsidRDefault="007D4B3A" w:rsidP="00052799">
                      <w:pPr>
                        <w:pStyle w:val="BodyText"/>
                        <w:ind w:left="0"/>
                        <w:rPr>
                          <w:sz w:val="18"/>
                        </w:rPr>
                      </w:pPr>
                      <w:r>
                        <w:rPr>
                          <w:sz w:val="18"/>
                        </w:rPr>
                        <w:t>Do stakeholders the proposed approach to smoothing fee increases is appropriate (i.e. over-recovering from some firearms groups, and under-recovering from others)?</w:t>
                      </w:r>
                    </w:p>
                    <w:p w14:paraId="10EDAA14" w14:textId="77777777" w:rsidR="007D4B3A" w:rsidRDefault="007D4B3A" w:rsidP="00052799">
                      <w:pPr>
                        <w:pStyle w:val="BodyText"/>
                        <w:ind w:left="0"/>
                        <w:rPr>
                          <w:sz w:val="18"/>
                        </w:rPr>
                      </w:pPr>
                      <w:r>
                        <w:rPr>
                          <w:sz w:val="18"/>
                        </w:rPr>
                        <w:t>Are there alternative approaches to smoothing fee changes which stakeholders consider to be more appropriate?</w:t>
                      </w:r>
                    </w:p>
                    <w:p w14:paraId="08A26981" w14:textId="77777777" w:rsidR="007D4B3A" w:rsidRPr="00A60C4C" w:rsidRDefault="007D4B3A" w:rsidP="00052799">
                      <w:pPr>
                        <w:pStyle w:val="BodyText"/>
                        <w:ind w:left="0"/>
                        <w:rPr>
                          <w:sz w:val="18"/>
                        </w:rPr>
                      </w:pPr>
                      <w:r>
                        <w:rPr>
                          <w:sz w:val="18"/>
                        </w:rPr>
                        <w:t>Do stakeholders consider it appropriate to attempt to phase-in full cost recovery by eliminating any over or under-recovery over time?</w:t>
                      </w:r>
                    </w:p>
                  </w:txbxContent>
                </v:textbox>
                <w10:anchorlock/>
              </v:roundrect>
            </w:pict>
          </mc:Fallback>
        </mc:AlternateContent>
      </w:r>
    </w:p>
    <w:p w14:paraId="13C2525E" w14:textId="77777777" w:rsidR="00052799" w:rsidRPr="00B7389E" w:rsidRDefault="00052799" w:rsidP="00052799">
      <w:pPr>
        <w:pStyle w:val="BodyText"/>
      </w:pPr>
    </w:p>
    <w:p w14:paraId="20DE8FF4" w14:textId="77777777" w:rsidR="00052799" w:rsidRPr="00610D49" w:rsidRDefault="00052799" w:rsidP="00052799">
      <w:pPr>
        <w:pStyle w:val="Heading4"/>
      </w:pPr>
      <w:r>
        <w:t>Overall e</w:t>
      </w:r>
      <w:r w:rsidRPr="00610D49">
        <w:t xml:space="preserve">valuation of </w:t>
      </w:r>
      <w:r>
        <w:t>O</w:t>
      </w:r>
      <w:r w:rsidRPr="00610D49">
        <w:t>ption</w:t>
      </w:r>
      <w:r>
        <w:t xml:space="preserve"> 2 and discussion of cost recovery approach</w:t>
      </w:r>
    </w:p>
    <w:p w14:paraId="15455923" w14:textId="77777777" w:rsidR="00052799" w:rsidRPr="00EA6C74" w:rsidRDefault="00052799" w:rsidP="00052799">
      <w:pPr>
        <w:pStyle w:val="Body"/>
      </w:pPr>
      <w:r>
        <w:t xml:space="preserve">As discussed at the beginning of this section on Option 2, this option is a package of smaller options which are each a deviation away from full cost recovery. </w:t>
      </w:r>
      <w:r w:rsidRPr="00EA6C74">
        <w:t xml:space="preserve">The outcome of this approach is that </w:t>
      </w:r>
      <w:r>
        <w:t>Option 2 (</w:t>
      </w:r>
      <w:r w:rsidRPr="00EA6C74">
        <w:t xml:space="preserve">the </w:t>
      </w:r>
      <w:r>
        <w:t xml:space="preserve">preferred option on which the </w:t>
      </w:r>
      <w:r w:rsidRPr="00EA6C74">
        <w:t xml:space="preserve">proposed regulations </w:t>
      </w:r>
      <w:r>
        <w:t xml:space="preserve">have been developed) </w:t>
      </w:r>
      <w:r w:rsidRPr="00EA6C74">
        <w:t>under-recover the total costs of activities associated with licences and permits for firearms</w:t>
      </w:r>
      <w:r>
        <w:t>. This is because Option 2</w:t>
      </w:r>
      <w:r w:rsidRPr="00EA6C74">
        <w:t>:</w:t>
      </w:r>
    </w:p>
    <w:p w14:paraId="207950DC" w14:textId="77777777" w:rsidR="00052799" w:rsidRPr="00BA516D" w:rsidRDefault="00052799" w:rsidP="00052799">
      <w:pPr>
        <w:pStyle w:val="Bulletnormal"/>
        <w:tabs>
          <w:tab w:val="clear" w:pos="283"/>
        </w:tabs>
      </w:pPr>
      <w:r w:rsidRPr="00BA516D">
        <w:t>keep</w:t>
      </w:r>
      <w:r>
        <w:t>s</w:t>
      </w:r>
      <w:r w:rsidRPr="00BA516D">
        <w:t xml:space="preserve"> several fees (for junior licences, provisional licences and review of decisions) set at current levels, resulting in the under-recovery of costs of $640,000 per year;</w:t>
      </w:r>
    </w:p>
    <w:p w14:paraId="691FC3CA" w14:textId="5D1AF77D" w:rsidR="00052799" w:rsidRPr="00BA516D" w:rsidRDefault="00052799" w:rsidP="00052799">
      <w:pPr>
        <w:pStyle w:val="Bulletnormal"/>
        <w:tabs>
          <w:tab w:val="clear" w:pos="283"/>
        </w:tabs>
      </w:pPr>
      <w:r w:rsidRPr="00BA516D">
        <w:t>retain</w:t>
      </w:r>
      <w:r>
        <w:t>s</w:t>
      </w:r>
      <w:r w:rsidRPr="00BA516D">
        <w:t xml:space="preserve"> the waiver for primary production licences, resulting in the under-recovery of costs of $2</w:t>
      </w:r>
      <w:r w:rsidR="008C1BB4">
        <w:t> </w:t>
      </w:r>
      <w:r w:rsidRPr="00BA516D">
        <w:t>million per year;</w:t>
      </w:r>
    </w:p>
    <w:p w14:paraId="02A6FB3F" w14:textId="77777777" w:rsidR="00052799" w:rsidRPr="00BA516D" w:rsidRDefault="00052799" w:rsidP="00052799">
      <w:pPr>
        <w:pStyle w:val="Bulletnormal"/>
        <w:tabs>
          <w:tab w:val="clear" w:pos="283"/>
        </w:tabs>
      </w:pPr>
      <w:r w:rsidRPr="00BA516D">
        <w:t>introduce</w:t>
      </w:r>
      <w:r>
        <w:t>s</w:t>
      </w:r>
      <w:r w:rsidRPr="00BA516D">
        <w:t xml:space="preserve"> a new discount for pensioners and the aged, resulting in the under-recovery of costs of around $</w:t>
      </w:r>
      <w:r>
        <w:t>4</w:t>
      </w:r>
      <w:r w:rsidRPr="00BA516D">
        <w:t>30,000 per year; and</w:t>
      </w:r>
    </w:p>
    <w:p w14:paraId="5B0151B6" w14:textId="77777777" w:rsidR="00052799" w:rsidRPr="00BA516D" w:rsidRDefault="00052799" w:rsidP="00052799">
      <w:pPr>
        <w:pStyle w:val="Bulletnormal"/>
        <w:tabs>
          <w:tab w:val="clear" w:pos="283"/>
        </w:tabs>
      </w:pPr>
      <w:r w:rsidRPr="00BA516D">
        <w:t>limit</w:t>
      </w:r>
      <w:r>
        <w:t>s</w:t>
      </w:r>
      <w:r w:rsidRPr="00BA516D">
        <w:t xml:space="preserve"> any increase in any fee to only </w:t>
      </w:r>
      <w:r>
        <w:t>half</w:t>
      </w:r>
      <w:r w:rsidRPr="00BA516D">
        <w:t xml:space="preserve"> of the increase that would occur if full cost recovery</w:t>
      </w:r>
      <w:r>
        <w:t xml:space="preserve"> were pursued</w:t>
      </w:r>
      <w:r w:rsidRPr="00BA516D">
        <w:t>, resulting in the under</w:t>
      </w:r>
      <w:r>
        <w:t>-recovery of costs of around $85</w:t>
      </w:r>
      <w:r w:rsidRPr="00BA516D">
        <w:t>0,000 per year;</w:t>
      </w:r>
    </w:p>
    <w:p w14:paraId="5CA8AB4E" w14:textId="77777777" w:rsidR="00052799" w:rsidRPr="00BA516D" w:rsidRDefault="00052799" w:rsidP="00052799">
      <w:pPr>
        <w:pStyle w:val="Body"/>
      </w:pPr>
      <w:r w:rsidRPr="00BA516D">
        <w:t>In total,</w:t>
      </w:r>
      <w:r>
        <w:t xml:space="preserve"> under Option 2,</w:t>
      </w:r>
      <w:r w:rsidRPr="00BA516D">
        <w:t xml:space="preserve"> annual revenue falls short</w:t>
      </w:r>
      <w:r>
        <w:t xml:space="preserve"> of annual costs by around $3,92</w:t>
      </w:r>
      <w:r w:rsidRPr="00BA516D">
        <w:t>0,000. This shortfall could be funded either through consolidated revenue (in which case the cost would be borne by all Victorians), or by charging more than the cost of some activities to some firearms users (which would constitute cross-subsidisation between users). Either of these options results in the costs of activities undertaken for some regulated parties being funded by those who do not give rise to or directly benefit from the regulatory activity.</w:t>
      </w:r>
    </w:p>
    <w:p w14:paraId="4DC0A74D" w14:textId="77777777" w:rsidR="00052799" w:rsidRPr="00BA516D" w:rsidRDefault="00052799" w:rsidP="00052799">
      <w:pPr>
        <w:pStyle w:val="Body"/>
      </w:pPr>
      <w:r w:rsidRPr="00BA516D">
        <w:t xml:space="preserve">The proposed regulations fund this shortfall through a mix of continued over-recovery for some fees and funding through consolidated revenue. </w:t>
      </w:r>
    </w:p>
    <w:p w14:paraId="72DF1840" w14:textId="77777777" w:rsidR="00052799" w:rsidRPr="00BA516D" w:rsidRDefault="00052799" w:rsidP="00052799">
      <w:pPr>
        <w:pStyle w:val="Body"/>
      </w:pPr>
      <w:r w:rsidRPr="00BA516D">
        <w:t xml:space="preserve">The activity-based costing for this RIS found that ten different fees are currently set above the cost of </w:t>
      </w:r>
      <w:r>
        <w:t>a specific activity (see the following table</w:t>
      </w:r>
      <w:r w:rsidRPr="00BA516D">
        <w:t>). The level of over-recovery ranged from around $2 (for an individual licence for a Category A longarm) to $287 (for a business licence for a Category 1 firearms collector or for an antique handgun collector). Across all ten fees the total amount over-re</w:t>
      </w:r>
      <w:r>
        <w:t>covered per year is around $1.31</w:t>
      </w:r>
      <w:r w:rsidRPr="00BA516D">
        <w:t xml:space="preserve"> million. Almost all of this over recovery (approximately $1.30m) results from over-recovery in relation to category A and B longarm licences.</w:t>
      </w:r>
    </w:p>
    <w:p w14:paraId="73B242F0" w14:textId="7009AC0D" w:rsidR="00052799" w:rsidRPr="007C2C00" w:rsidRDefault="00052799" w:rsidP="00052799">
      <w:pPr>
        <w:pStyle w:val="Caption"/>
      </w:pPr>
      <w:r>
        <w:t xml:space="preserve">Table </w:t>
      </w:r>
      <w:r w:rsidR="001C7D77">
        <w:rPr>
          <w:noProof/>
        </w:rPr>
        <w:t>37</w:t>
      </w:r>
      <w:r>
        <w:t xml:space="preserve">: </w:t>
      </w:r>
      <w:r w:rsidRPr="007C2C00">
        <w:t>Fees that currently over-recover costs of activities</w:t>
      </w:r>
    </w:p>
    <w:tbl>
      <w:tblPr>
        <w:tblW w:w="8755" w:type="dxa"/>
        <w:jc w:val="center"/>
        <w:tblBorders>
          <w:top w:val="single" w:sz="4" w:space="0" w:color="C9C9C9"/>
          <w:bottom w:val="single" w:sz="4" w:space="0" w:color="C9C9C9"/>
          <w:insideH w:val="single" w:sz="4" w:space="0" w:color="C9C9C9"/>
        </w:tblBorders>
        <w:tblLayout w:type="fixed"/>
        <w:tblCellMar>
          <w:left w:w="57" w:type="dxa"/>
          <w:right w:w="57" w:type="dxa"/>
        </w:tblCellMar>
        <w:tblLook w:val="04A0" w:firstRow="1" w:lastRow="0" w:firstColumn="1" w:lastColumn="0" w:noHBand="0" w:noVBand="1"/>
        <w:tblCaption w:val="Table 37: Fees that currently over-recover costs of activities"/>
      </w:tblPr>
      <w:tblGrid>
        <w:gridCol w:w="2943"/>
        <w:gridCol w:w="1560"/>
        <w:gridCol w:w="1638"/>
        <w:gridCol w:w="2614"/>
      </w:tblGrid>
      <w:tr w:rsidR="00052799" w:rsidRPr="002D7AE6" w14:paraId="293D1DF7" w14:textId="77777777" w:rsidTr="00871631">
        <w:trPr>
          <w:trHeight w:val="309"/>
          <w:jc w:val="center"/>
        </w:trPr>
        <w:tc>
          <w:tcPr>
            <w:tcW w:w="2943" w:type="dxa"/>
            <w:shd w:val="clear" w:color="auto" w:fill="002060"/>
            <w:noWrap/>
          </w:tcPr>
          <w:p w14:paraId="18BEDC6A" w14:textId="77777777" w:rsidR="00052799" w:rsidRPr="002D7AE6" w:rsidRDefault="00052799" w:rsidP="00871631">
            <w:pPr>
              <w:spacing w:before="60" w:after="60"/>
              <w:jc w:val="center"/>
              <w:rPr>
                <w:b/>
                <w:sz w:val="18"/>
                <w:szCs w:val="18"/>
              </w:rPr>
            </w:pPr>
            <w:r w:rsidRPr="002D7AE6">
              <w:rPr>
                <w:b/>
                <w:sz w:val="18"/>
                <w:szCs w:val="18"/>
              </w:rPr>
              <w:t>Activity</w:t>
            </w:r>
          </w:p>
        </w:tc>
        <w:tc>
          <w:tcPr>
            <w:tcW w:w="1560" w:type="dxa"/>
            <w:shd w:val="clear" w:color="auto" w:fill="002060"/>
            <w:noWrap/>
          </w:tcPr>
          <w:p w14:paraId="6D1A7F49" w14:textId="77777777" w:rsidR="00052799" w:rsidRPr="002D7AE6" w:rsidRDefault="00052799" w:rsidP="00871631">
            <w:pPr>
              <w:spacing w:before="60" w:after="60"/>
              <w:jc w:val="center"/>
              <w:rPr>
                <w:b/>
                <w:sz w:val="18"/>
                <w:szCs w:val="18"/>
              </w:rPr>
            </w:pPr>
            <w:r w:rsidRPr="002D7AE6">
              <w:rPr>
                <w:b/>
                <w:sz w:val="18"/>
                <w:szCs w:val="18"/>
              </w:rPr>
              <w:t>Current fee</w:t>
            </w:r>
          </w:p>
        </w:tc>
        <w:tc>
          <w:tcPr>
            <w:tcW w:w="1638" w:type="dxa"/>
            <w:shd w:val="clear" w:color="auto" w:fill="002060"/>
            <w:noWrap/>
          </w:tcPr>
          <w:p w14:paraId="2C91F6E0" w14:textId="77777777" w:rsidR="00052799" w:rsidRPr="002D7AE6" w:rsidRDefault="00052799" w:rsidP="00871631">
            <w:pPr>
              <w:spacing w:before="60" w:after="60"/>
              <w:jc w:val="center"/>
              <w:rPr>
                <w:b/>
                <w:sz w:val="18"/>
                <w:szCs w:val="18"/>
              </w:rPr>
            </w:pPr>
            <w:r w:rsidRPr="002D7AE6">
              <w:rPr>
                <w:b/>
                <w:sz w:val="18"/>
                <w:szCs w:val="18"/>
              </w:rPr>
              <w:t>Cost of activity</w:t>
            </w:r>
          </w:p>
        </w:tc>
        <w:tc>
          <w:tcPr>
            <w:tcW w:w="2614" w:type="dxa"/>
            <w:shd w:val="clear" w:color="auto" w:fill="002060"/>
            <w:noWrap/>
          </w:tcPr>
          <w:p w14:paraId="76B8C3D1" w14:textId="77777777" w:rsidR="00052799" w:rsidRPr="002D7AE6" w:rsidRDefault="00052799" w:rsidP="00871631">
            <w:pPr>
              <w:spacing w:before="60" w:after="60"/>
              <w:jc w:val="center"/>
              <w:rPr>
                <w:b/>
                <w:sz w:val="18"/>
                <w:szCs w:val="18"/>
              </w:rPr>
            </w:pPr>
            <w:r w:rsidRPr="002D7AE6">
              <w:rPr>
                <w:b/>
                <w:sz w:val="18"/>
                <w:szCs w:val="18"/>
              </w:rPr>
              <w:t>Current over-recovery (per licence issued)</w:t>
            </w:r>
          </w:p>
        </w:tc>
      </w:tr>
      <w:tr w:rsidR="00052799" w:rsidRPr="002D7AE6" w14:paraId="345A023C" w14:textId="77777777" w:rsidTr="00871631">
        <w:trPr>
          <w:trHeight w:val="309"/>
          <w:jc w:val="center"/>
        </w:trPr>
        <w:tc>
          <w:tcPr>
            <w:tcW w:w="2943" w:type="dxa"/>
            <w:shd w:val="clear" w:color="auto" w:fill="auto"/>
            <w:noWrap/>
            <w:hideMark/>
          </w:tcPr>
          <w:p w14:paraId="28B35C15" w14:textId="77777777" w:rsidR="00052799" w:rsidRPr="002D7AE6" w:rsidRDefault="00052799" w:rsidP="00871631">
            <w:pPr>
              <w:spacing w:before="60" w:after="60"/>
              <w:rPr>
                <w:sz w:val="18"/>
                <w:szCs w:val="18"/>
              </w:rPr>
            </w:pPr>
            <w:r w:rsidRPr="002D7AE6">
              <w:rPr>
                <w:sz w:val="18"/>
                <w:szCs w:val="18"/>
              </w:rPr>
              <w:t>Longarm Category A Licence (individual)</w:t>
            </w:r>
          </w:p>
        </w:tc>
        <w:tc>
          <w:tcPr>
            <w:tcW w:w="1560" w:type="dxa"/>
            <w:shd w:val="clear" w:color="auto" w:fill="auto"/>
            <w:noWrap/>
            <w:hideMark/>
          </w:tcPr>
          <w:p w14:paraId="03E052D2" w14:textId="6E95593D" w:rsidR="00052799" w:rsidRPr="002D7AE6" w:rsidRDefault="00052799" w:rsidP="00871631">
            <w:pPr>
              <w:spacing w:before="60" w:after="60"/>
              <w:jc w:val="center"/>
              <w:rPr>
                <w:sz w:val="18"/>
                <w:szCs w:val="18"/>
              </w:rPr>
            </w:pPr>
            <w:r w:rsidRPr="002D7AE6">
              <w:rPr>
                <w:sz w:val="18"/>
                <w:szCs w:val="18"/>
              </w:rPr>
              <w:t>$233.2</w:t>
            </w:r>
          </w:p>
        </w:tc>
        <w:tc>
          <w:tcPr>
            <w:tcW w:w="1638" w:type="dxa"/>
            <w:shd w:val="clear" w:color="auto" w:fill="auto"/>
            <w:noWrap/>
            <w:hideMark/>
          </w:tcPr>
          <w:p w14:paraId="4FD5F6D0" w14:textId="77777777" w:rsidR="00052799" w:rsidRPr="002D7AE6" w:rsidRDefault="00052799" w:rsidP="00871631">
            <w:pPr>
              <w:spacing w:before="60" w:after="60"/>
              <w:jc w:val="center"/>
              <w:rPr>
                <w:sz w:val="18"/>
                <w:szCs w:val="18"/>
              </w:rPr>
            </w:pPr>
            <w:r w:rsidRPr="002D7AE6">
              <w:rPr>
                <w:sz w:val="18"/>
                <w:szCs w:val="18"/>
              </w:rPr>
              <w:t xml:space="preserve"> $231.3 </w:t>
            </w:r>
          </w:p>
        </w:tc>
        <w:tc>
          <w:tcPr>
            <w:tcW w:w="2614" w:type="dxa"/>
            <w:shd w:val="clear" w:color="auto" w:fill="auto"/>
            <w:noWrap/>
            <w:hideMark/>
          </w:tcPr>
          <w:p w14:paraId="5E6A7010" w14:textId="728D6966" w:rsidR="00052799" w:rsidRPr="002D7AE6" w:rsidRDefault="00052799" w:rsidP="00871631">
            <w:pPr>
              <w:spacing w:before="60" w:after="60"/>
              <w:jc w:val="center"/>
              <w:rPr>
                <w:sz w:val="18"/>
                <w:szCs w:val="18"/>
              </w:rPr>
            </w:pPr>
            <w:r w:rsidRPr="002D7AE6">
              <w:rPr>
                <w:sz w:val="18"/>
                <w:szCs w:val="18"/>
              </w:rPr>
              <w:t xml:space="preserve"> $1.</w:t>
            </w:r>
            <w:r w:rsidR="002406E1">
              <w:rPr>
                <w:sz w:val="18"/>
                <w:szCs w:val="18"/>
              </w:rPr>
              <w:t>9</w:t>
            </w:r>
            <w:r w:rsidRPr="002D7AE6">
              <w:rPr>
                <w:sz w:val="18"/>
                <w:szCs w:val="18"/>
              </w:rPr>
              <w:t xml:space="preserve"> </w:t>
            </w:r>
          </w:p>
        </w:tc>
      </w:tr>
      <w:tr w:rsidR="00052799" w:rsidRPr="002D7AE6" w14:paraId="3C76B14C" w14:textId="77777777" w:rsidTr="00871631">
        <w:trPr>
          <w:trHeight w:val="309"/>
          <w:jc w:val="center"/>
        </w:trPr>
        <w:tc>
          <w:tcPr>
            <w:tcW w:w="2943" w:type="dxa"/>
            <w:shd w:val="clear" w:color="auto" w:fill="auto"/>
            <w:noWrap/>
            <w:hideMark/>
          </w:tcPr>
          <w:p w14:paraId="7C148B43" w14:textId="77777777" w:rsidR="00052799" w:rsidRPr="002D7AE6" w:rsidRDefault="00052799" w:rsidP="00871631">
            <w:pPr>
              <w:spacing w:before="60" w:after="60"/>
              <w:rPr>
                <w:sz w:val="18"/>
                <w:szCs w:val="18"/>
              </w:rPr>
            </w:pPr>
            <w:r w:rsidRPr="002D7AE6">
              <w:rPr>
                <w:sz w:val="18"/>
                <w:szCs w:val="18"/>
              </w:rPr>
              <w:t>Longarm Category B Licence (individual)</w:t>
            </w:r>
          </w:p>
        </w:tc>
        <w:tc>
          <w:tcPr>
            <w:tcW w:w="1560" w:type="dxa"/>
            <w:shd w:val="clear" w:color="auto" w:fill="auto"/>
            <w:noWrap/>
            <w:hideMark/>
          </w:tcPr>
          <w:p w14:paraId="3B2F96E1" w14:textId="36117227" w:rsidR="00052799" w:rsidRPr="002D7AE6" w:rsidRDefault="00052799" w:rsidP="00871631">
            <w:pPr>
              <w:spacing w:before="60" w:after="60"/>
              <w:jc w:val="center"/>
              <w:rPr>
                <w:sz w:val="18"/>
                <w:szCs w:val="18"/>
              </w:rPr>
            </w:pPr>
            <w:r w:rsidRPr="002D7AE6">
              <w:rPr>
                <w:sz w:val="18"/>
                <w:szCs w:val="18"/>
              </w:rPr>
              <w:t>$269.5</w:t>
            </w:r>
          </w:p>
        </w:tc>
        <w:tc>
          <w:tcPr>
            <w:tcW w:w="1638" w:type="dxa"/>
            <w:shd w:val="clear" w:color="auto" w:fill="auto"/>
            <w:noWrap/>
            <w:hideMark/>
          </w:tcPr>
          <w:p w14:paraId="2BBC1439" w14:textId="77777777" w:rsidR="00052799" w:rsidRPr="002D7AE6" w:rsidRDefault="00052799" w:rsidP="00871631">
            <w:pPr>
              <w:spacing w:before="60" w:after="60"/>
              <w:jc w:val="center"/>
              <w:rPr>
                <w:sz w:val="18"/>
                <w:szCs w:val="18"/>
              </w:rPr>
            </w:pPr>
            <w:r w:rsidRPr="002D7AE6">
              <w:rPr>
                <w:sz w:val="18"/>
                <w:szCs w:val="18"/>
              </w:rPr>
              <w:t xml:space="preserve"> $233.8 </w:t>
            </w:r>
          </w:p>
        </w:tc>
        <w:tc>
          <w:tcPr>
            <w:tcW w:w="2614" w:type="dxa"/>
            <w:shd w:val="clear" w:color="auto" w:fill="auto"/>
            <w:noWrap/>
          </w:tcPr>
          <w:p w14:paraId="6960AA6B" w14:textId="565524FF" w:rsidR="00052799" w:rsidRPr="002D7AE6" w:rsidRDefault="00052799" w:rsidP="00871631">
            <w:pPr>
              <w:spacing w:before="60" w:after="60"/>
              <w:jc w:val="center"/>
              <w:rPr>
                <w:sz w:val="18"/>
                <w:szCs w:val="18"/>
              </w:rPr>
            </w:pPr>
            <w:r w:rsidRPr="002D7AE6">
              <w:rPr>
                <w:sz w:val="18"/>
                <w:szCs w:val="18"/>
              </w:rPr>
              <w:t xml:space="preserve"> $35.7</w:t>
            </w:r>
          </w:p>
        </w:tc>
      </w:tr>
      <w:tr w:rsidR="00052799" w:rsidRPr="002D7AE6" w14:paraId="24F801C8" w14:textId="77777777" w:rsidTr="00871631">
        <w:trPr>
          <w:trHeight w:val="309"/>
          <w:jc w:val="center"/>
        </w:trPr>
        <w:tc>
          <w:tcPr>
            <w:tcW w:w="2943" w:type="dxa"/>
            <w:shd w:val="clear" w:color="auto" w:fill="auto"/>
            <w:noWrap/>
            <w:hideMark/>
          </w:tcPr>
          <w:p w14:paraId="307C9610" w14:textId="77777777" w:rsidR="00052799" w:rsidRPr="002D7AE6" w:rsidRDefault="00052799" w:rsidP="00871631">
            <w:pPr>
              <w:spacing w:before="60" w:after="60"/>
              <w:rPr>
                <w:sz w:val="18"/>
                <w:szCs w:val="18"/>
              </w:rPr>
            </w:pPr>
            <w:r w:rsidRPr="002D7AE6">
              <w:rPr>
                <w:sz w:val="18"/>
                <w:szCs w:val="18"/>
              </w:rPr>
              <w:t>Paintball marker Licence (individual)</w:t>
            </w:r>
          </w:p>
        </w:tc>
        <w:tc>
          <w:tcPr>
            <w:tcW w:w="1560" w:type="dxa"/>
            <w:shd w:val="clear" w:color="auto" w:fill="auto"/>
            <w:noWrap/>
            <w:hideMark/>
          </w:tcPr>
          <w:p w14:paraId="3695BB68" w14:textId="1B793AE2" w:rsidR="00052799" w:rsidRPr="002D7AE6" w:rsidRDefault="00052799" w:rsidP="00871631">
            <w:pPr>
              <w:spacing w:before="60" w:after="60"/>
              <w:jc w:val="center"/>
              <w:rPr>
                <w:sz w:val="18"/>
                <w:szCs w:val="18"/>
              </w:rPr>
            </w:pPr>
            <w:r w:rsidRPr="002D7AE6">
              <w:rPr>
                <w:sz w:val="18"/>
                <w:szCs w:val="18"/>
              </w:rPr>
              <w:t>$233.2</w:t>
            </w:r>
          </w:p>
        </w:tc>
        <w:tc>
          <w:tcPr>
            <w:tcW w:w="1638" w:type="dxa"/>
            <w:shd w:val="clear" w:color="auto" w:fill="auto"/>
            <w:noWrap/>
            <w:hideMark/>
          </w:tcPr>
          <w:p w14:paraId="29434539" w14:textId="3D23EFF9" w:rsidR="00052799" w:rsidRPr="002D7AE6" w:rsidRDefault="00052799" w:rsidP="00871631">
            <w:pPr>
              <w:spacing w:before="60" w:after="60"/>
              <w:jc w:val="center"/>
              <w:rPr>
                <w:sz w:val="18"/>
                <w:szCs w:val="18"/>
              </w:rPr>
            </w:pPr>
            <w:r w:rsidRPr="002D7AE6">
              <w:rPr>
                <w:sz w:val="18"/>
                <w:szCs w:val="18"/>
              </w:rPr>
              <w:t xml:space="preserve"> $2</w:t>
            </w:r>
            <w:r w:rsidR="002406E1">
              <w:rPr>
                <w:sz w:val="18"/>
                <w:szCs w:val="18"/>
              </w:rPr>
              <w:t>31</w:t>
            </w:r>
            <w:r w:rsidRPr="002D7AE6">
              <w:rPr>
                <w:sz w:val="18"/>
                <w:szCs w:val="18"/>
              </w:rPr>
              <w:t>.</w:t>
            </w:r>
            <w:r w:rsidR="002406E1">
              <w:rPr>
                <w:sz w:val="18"/>
                <w:szCs w:val="18"/>
              </w:rPr>
              <w:t>3</w:t>
            </w:r>
            <w:r w:rsidRPr="002D7AE6">
              <w:rPr>
                <w:sz w:val="18"/>
                <w:szCs w:val="18"/>
              </w:rPr>
              <w:t xml:space="preserve"> </w:t>
            </w:r>
          </w:p>
        </w:tc>
        <w:tc>
          <w:tcPr>
            <w:tcW w:w="2614" w:type="dxa"/>
            <w:shd w:val="clear" w:color="auto" w:fill="auto"/>
            <w:noWrap/>
          </w:tcPr>
          <w:p w14:paraId="14C35747" w14:textId="26B9EE9D" w:rsidR="00052799" w:rsidRPr="002D7AE6" w:rsidRDefault="00052799" w:rsidP="00871631">
            <w:pPr>
              <w:spacing w:before="60" w:after="60"/>
              <w:jc w:val="center"/>
              <w:rPr>
                <w:sz w:val="18"/>
                <w:szCs w:val="18"/>
              </w:rPr>
            </w:pPr>
            <w:r w:rsidRPr="002D7AE6">
              <w:rPr>
                <w:sz w:val="18"/>
                <w:szCs w:val="18"/>
              </w:rPr>
              <w:t xml:space="preserve"> $1</w:t>
            </w:r>
            <w:r w:rsidR="002406E1">
              <w:rPr>
                <w:sz w:val="18"/>
                <w:szCs w:val="18"/>
              </w:rPr>
              <w:t>.9</w:t>
            </w:r>
          </w:p>
        </w:tc>
      </w:tr>
      <w:tr w:rsidR="00052799" w:rsidRPr="002D7AE6" w14:paraId="67680484" w14:textId="77777777" w:rsidTr="00871631">
        <w:trPr>
          <w:trHeight w:val="309"/>
          <w:jc w:val="center"/>
        </w:trPr>
        <w:tc>
          <w:tcPr>
            <w:tcW w:w="2943" w:type="dxa"/>
            <w:shd w:val="clear" w:color="auto" w:fill="auto"/>
            <w:noWrap/>
            <w:hideMark/>
          </w:tcPr>
          <w:p w14:paraId="596917F7" w14:textId="77777777" w:rsidR="00052799" w:rsidRPr="002D7AE6" w:rsidRDefault="00052799" w:rsidP="00871631">
            <w:pPr>
              <w:spacing w:before="60" w:after="60"/>
              <w:rPr>
                <w:sz w:val="18"/>
                <w:szCs w:val="18"/>
              </w:rPr>
            </w:pPr>
            <w:r w:rsidRPr="002D7AE6">
              <w:rPr>
                <w:sz w:val="18"/>
                <w:szCs w:val="18"/>
              </w:rPr>
              <w:t>General category handgun licence – security guard, prison guard, official or commercial purpose (individual)</w:t>
            </w:r>
          </w:p>
        </w:tc>
        <w:tc>
          <w:tcPr>
            <w:tcW w:w="1560" w:type="dxa"/>
            <w:shd w:val="clear" w:color="auto" w:fill="auto"/>
            <w:noWrap/>
            <w:hideMark/>
          </w:tcPr>
          <w:p w14:paraId="2FC9556B" w14:textId="4603B7A1" w:rsidR="00052799" w:rsidRPr="002D7AE6" w:rsidRDefault="00052799" w:rsidP="00871631">
            <w:pPr>
              <w:spacing w:before="60" w:after="60"/>
              <w:jc w:val="center"/>
              <w:rPr>
                <w:sz w:val="18"/>
                <w:szCs w:val="18"/>
              </w:rPr>
            </w:pPr>
            <w:r w:rsidRPr="002D7AE6">
              <w:rPr>
                <w:sz w:val="18"/>
                <w:szCs w:val="18"/>
              </w:rPr>
              <w:t>$305.9</w:t>
            </w:r>
          </w:p>
        </w:tc>
        <w:tc>
          <w:tcPr>
            <w:tcW w:w="1638" w:type="dxa"/>
            <w:shd w:val="clear" w:color="auto" w:fill="auto"/>
            <w:noWrap/>
            <w:hideMark/>
          </w:tcPr>
          <w:p w14:paraId="59DEB8EB" w14:textId="34E92658" w:rsidR="00052799" w:rsidRPr="002D7AE6" w:rsidRDefault="00052799" w:rsidP="00871631">
            <w:pPr>
              <w:spacing w:before="60" w:after="60"/>
              <w:jc w:val="center"/>
              <w:rPr>
                <w:sz w:val="18"/>
                <w:szCs w:val="18"/>
              </w:rPr>
            </w:pPr>
            <w:r w:rsidRPr="002D7AE6">
              <w:rPr>
                <w:sz w:val="18"/>
                <w:szCs w:val="18"/>
              </w:rPr>
              <w:t xml:space="preserve"> $2</w:t>
            </w:r>
            <w:r w:rsidR="002406E1">
              <w:rPr>
                <w:sz w:val="18"/>
                <w:szCs w:val="18"/>
              </w:rPr>
              <w:t>89</w:t>
            </w:r>
            <w:r w:rsidRPr="002D7AE6">
              <w:rPr>
                <w:sz w:val="18"/>
                <w:szCs w:val="18"/>
              </w:rPr>
              <w:t>.</w:t>
            </w:r>
            <w:r w:rsidR="002406E1">
              <w:rPr>
                <w:sz w:val="18"/>
                <w:szCs w:val="18"/>
              </w:rPr>
              <w:t>5</w:t>
            </w:r>
            <w:r w:rsidRPr="002D7AE6">
              <w:rPr>
                <w:sz w:val="18"/>
                <w:szCs w:val="18"/>
              </w:rPr>
              <w:t xml:space="preserve"> </w:t>
            </w:r>
          </w:p>
        </w:tc>
        <w:tc>
          <w:tcPr>
            <w:tcW w:w="2614" w:type="dxa"/>
            <w:shd w:val="clear" w:color="auto" w:fill="auto"/>
            <w:noWrap/>
          </w:tcPr>
          <w:p w14:paraId="50690169" w14:textId="6F70C96B" w:rsidR="00052799" w:rsidRPr="002D7AE6" w:rsidRDefault="00052799" w:rsidP="00871631">
            <w:pPr>
              <w:spacing w:before="60" w:after="60"/>
              <w:jc w:val="center"/>
              <w:rPr>
                <w:sz w:val="18"/>
                <w:szCs w:val="18"/>
              </w:rPr>
            </w:pPr>
            <w:r w:rsidRPr="002D7AE6">
              <w:rPr>
                <w:sz w:val="18"/>
                <w:szCs w:val="18"/>
              </w:rPr>
              <w:t xml:space="preserve"> $1</w:t>
            </w:r>
            <w:r w:rsidR="002406E1">
              <w:rPr>
                <w:sz w:val="18"/>
                <w:szCs w:val="18"/>
              </w:rPr>
              <w:t>6</w:t>
            </w:r>
            <w:r w:rsidRPr="002D7AE6">
              <w:rPr>
                <w:sz w:val="18"/>
                <w:szCs w:val="18"/>
              </w:rPr>
              <w:t>.</w:t>
            </w:r>
            <w:r w:rsidR="002406E1">
              <w:rPr>
                <w:sz w:val="18"/>
                <w:szCs w:val="18"/>
              </w:rPr>
              <w:t>4</w:t>
            </w:r>
            <w:r w:rsidRPr="002D7AE6">
              <w:rPr>
                <w:sz w:val="18"/>
                <w:szCs w:val="18"/>
              </w:rPr>
              <w:t xml:space="preserve"> </w:t>
            </w:r>
          </w:p>
        </w:tc>
      </w:tr>
      <w:tr w:rsidR="00052799" w:rsidRPr="002D7AE6" w14:paraId="3FCA2069" w14:textId="77777777" w:rsidTr="00871631">
        <w:trPr>
          <w:trHeight w:val="309"/>
          <w:jc w:val="center"/>
        </w:trPr>
        <w:tc>
          <w:tcPr>
            <w:tcW w:w="2943" w:type="dxa"/>
            <w:shd w:val="clear" w:color="auto" w:fill="auto"/>
            <w:noWrap/>
            <w:hideMark/>
          </w:tcPr>
          <w:p w14:paraId="1C8220F5" w14:textId="77777777" w:rsidR="00052799" w:rsidRPr="002D7AE6" w:rsidRDefault="00052799" w:rsidP="00871631">
            <w:pPr>
              <w:spacing w:before="60" w:after="60"/>
              <w:rPr>
                <w:sz w:val="18"/>
                <w:szCs w:val="18"/>
              </w:rPr>
            </w:pPr>
            <w:r w:rsidRPr="002D7AE6">
              <w:rPr>
                <w:sz w:val="18"/>
                <w:szCs w:val="18"/>
              </w:rPr>
              <w:t>Category 1 firearms collectors licence (individual)</w:t>
            </w:r>
          </w:p>
        </w:tc>
        <w:tc>
          <w:tcPr>
            <w:tcW w:w="1560" w:type="dxa"/>
            <w:shd w:val="clear" w:color="auto" w:fill="auto"/>
            <w:noWrap/>
            <w:hideMark/>
          </w:tcPr>
          <w:p w14:paraId="47372B26" w14:textId="54EC0AB3" w:rsidR="00052799" w:rsidRPr="002D7AE6" w:rsidRDefault="00052799" w:rsidP="00871631">
            <w:pPr>
              <w:spacing w:before="60" w:after="60"/>
              <w:jc w:val="center"/>
              <w:rPr>
                <w:sz w:val="18"/>
                <w:szCs w:val="18"/>
              </w:rPr>
            </w:pPr>
            <w:r w:rsidRPr="002D7AE6">
              <w:rPr>
                <w:sz w:val="18"/>
                <w:szCs w:val="18"/>
              </w:rPr>
              <w:t>$342.0</w:t>
            </w:r>
          </w:p>
        </w:tc>
        <w:tc>
          <w:tcPr>
            <w:tcW w:w="1638" w:type="dxa"/>
            <w:shd w:val="clear" w:color="auto" w:fill="auto"/>
            <w:noWrap/>
            <w:hideMark/>
          </w:tcPr>
          <w:p w14:paraId="2A7F29F9" w14:textId="77777777" w:rsidR="00052799" w:rsidRPr="002D7AE6" w:rsidRDefault="00052799" w:rsidP="00871631">
            <w:pPr>
              <w:spacing w:before="60" w:after="60"/>
              <w:jc w:val="center"/>
              <w:rPr>
                <w:sz w:val="18"/>
                <w:szCs w:val="18"/>
              </w:rPr>
            </w:pPr>
            <w:r w:rsidRPr="002D7AE6">
              <w:rPr>
                <w:sz w:val="18"/>
                <w:szCs w:val="18"/>
              </w:rPr>
              <w:t xml:space="preserve"> $243.1 </w:t>
            </w:r>
          </w:p>
        </w:tc>
        <w:tc>
          <w:tcPr>
            <w:tcW w:w="2614" w:type="dxa"/>
            <w:shd w:val="clear" w:color="auto" w:fill="auto"/>
            <w:noWrap/>
          </w:tcPr>
          <w:p w14:paraId="6B79EEC6" w14:textId="7E63668A" w:rsidR="00052799" w:rsidRPr="002D7AE6" w:rsidRDefault="00052799" w:rsidP="00871631">
            <w:pPr>
              <w:spacing w:before="60" w:after="60"/>
              <w:jc w:val="center"/>
              <w:rPr>
                <w:sz w:val="18"/>
                <w:szCs w:val="18"/>
              </w:rPr>
            </w:pPr>
            <w:r w:rsidRPr="002D7AE6">
              <w:rPr>
                <w:sz w:val="18"/>
                <w:szCs w:val="18"/>
              </w:rPr>
              <w:t xml:space="preserve"> $98.</w:t>
            </w:r>
            <w:r w:rsidR="002406E1">
              <w:rPr>
                <w:sz w:val="18"/>
                <w:szCs w:val="18"/>
              </w:rPr>
              <w:t>9</w:t>
            </w:r>
            <w:r w:rsidRPr="002D7AE6">
              <w:rPr>
                <w:sz w:val="18"/>
                <w:szCs w:val="18"/>
              </w:rPr>
              <w:t xml:space="preserve"> </w:t>
            </w:r>
          </w:p>
        </w:tc>
      </w:tr>
      <w:tr w:rsidR="00052799" w:rsidRPr="002D7AE6" w14:paraId="307A83A2" w14:textId="77777777" w:rsidTr="00871631">
        <w:trPr>
          <w:trHeight w:val="309"/>
          <w:jc w:val="center"/>
        </w:trPr>
        <w:tc>
          <w:tcPr>
            <w:tcW w:w="2943" w:type="dxa"/>
            <w:shd w:val="clear" w:color="auto" w:fill="auto"/>
            <w:noWrap/>
            <w:hideMark/>
          </w:tcPr>
          <w:p w14:paraId="484A26FF" w14:textId="77777777" w:rsidR="00052799" w:rsidRPr="002D7AE6" w:rsidRDefault="00052799" w:rsidP="00871631">
            <w:pPr>
              <w:spacing w:before="60" w:after="60"/>
              <w:rPr>
                <w:sz w:val="18"/>
                <w:szCs w:val="18"/>
              </w:rPr>
            </w:pPr>
            <w:r w:rsidRPr="002D7AE6">
              <w:rPr>
                <w:sz w:val="18"/>
                <w:szCs w:val="18"/>
              </w:rPr>
              <w:t xml:space="preserve">Category 1 firearms collectors licence (business) </w:t>
            </w:r>
          </w:p>
        </w:tc>
        <w:tc>
          <w:tcPr>
            <w:tcW w:w="1560" w:type="dxa"/>
            <w:shd w:val="clear" w:color="auto" w:fill="auto"/>
            <w:noWrap/>
            <w:hideMark/>
          </w:tcPr>
          <w:p w14:paraId="5FC6F015" w14:textId="2F9414C7" w:rsidR="00052799" w:rsidRPr="002D7AE6" w:rsidRDefault="00052799" w:rsidP="00871631">
            <w:pPr>
              <w:spacing w:before="60" w:after="60"/>
              <w:jc w:val="center"/>
              <w:rPr>
                <w:sz w:val="18"/>
                <w:szCs w:val="18"/>
              </w:rPr>
            </w:pPr>
            <w:r w:rsidRPr="002D7AE6">
              <w:rPr>
                <w:sz w:val="18"/>
                <w:szCs w:val="18"/>
              </w:rPr>
              <w:t>$67</w:t>
            </w:r>
            <w:r w:rsidR="002406E1">
              <w:rPr>
                <w:sz w:val="18"/>
                <w:szCs w:val="18"/>
              </w:rPr>
              <w:t>7</w:t>
            </w:r>
            <w:r w:rsidRPr="002D7AE6">
              <w:rPr>
                <w:sz w:val="18"/>
                <w:szCs w:val="18"/>
              </w:rPr>
              <w:t>.</w:t>
            </w:r>
            <w:r w:rsidR="002406E1">
              <w:rPr>
                <w:sz w:val="18"/>
                <w:szCs w:val="18"/>
              </w:rPr>
              <w:t>6</w:t>
            </w:r>
          </w:p>
        </w:tc>
        <w:tc>
          <w:tcPr>
            <w:tcW w:w="1638" w:type="dxa"/>
            <w:shd w:val="clear" w:color="auto" w:fill="auto"/>
            <w:noWrap/>
            <w:hideMark/>
          </w:tcPr>
          <w:p w14:paraId="6DF54199" w14:textId="77777777" w:rsidR="00052799" w:rsidRPr="002D7AE6" w:rsidRDefault="00052799" w:rsidP="00871631">
            <w:pPr>
              <w:spacing w:before="60" w:after="60"/>
              <w:jc w:val="center"/>
              <w:rPr>
                <w:sz w:val="18"/>
                <w:szCs w:val="18"/>
              </w:rPr>
            </w:pPr>
            <w:r w:rsidRPr="002D7AE6">
              <w:rPr>
                <w:sz w:val="18"/>
                <w:szCs w:val="18"/>
              </w:rPr>
              <w:t xml:space="preserve"> $392.0 </w:t>
            </w:r>
          </w:p>
        </w:tc>
        <w:tc>
          <w:tcPr>
            <w:tcW w:w="2614" w:type="dxa"/>
            <w:shd w:val="clear" w:color="auto" w:fill="auto"/>
            <w:noWrap/>
          </w:tcPr>
          <w:p w14:paraId="74E280F7" w14:textId="5EEDF5C0" w:rsidR="00052799" w:rsidRPr="002D7AE6" w:rsidRDefault="00052799" w:rsidP="00871631">
            <w:pPr>
              <w:spacing w:before="60" w:after="60"/>
              <w:jc w:val="center"/>
              <w:rPr>
                <w:sz w:val="18"/>
                <w:szCs w:val="18"/>
              </w:rPr>
            </w:pPr>
            <w:r w:rsidRPr="002D7AE6">
              <w:rPr>
                <w:sz w:val="18"/>
                <w:szCs w:val="18"/>
              </w:rPr>
              <w:t xml:space="preserve"> $285.</w:t>
            </w:r>
            <w:r w:rsidR="002406E1">
              <w:rPr>
                <w:sz w:val="18"/>
                <w:szCs w:val="18"/>
              </w:rPr>
              <w:t>6</w:t>
            </w:r>
            <w:r w:rsidRPr="002D7AE6">
              <w:rPr>
                <w:sz w:val="18"/>
                <w:szCs w:val="18"/>
              </w:rPr>
              <w:t xml:space="preserve"> </w:t>
            </w:r>
          </w:p>
        </w:tc>
      </w:tr>
      <w:tr w:rsidR="00052799" w:rsidRPr="002D7AE6" w14:paraId="78256902" w14:textId="77777777" w:rsidTr="00871631">
        <w:trPr>
          <w:trHeight w:val="309"/>
          <w:jc w:val="center"/>
        </w:trPr>
        <w:tc>
          <w:tcPr>
            <w:tcW w:w="2943" w:type="dxa"/>
            <w:shd w:val="clear" w:color="auto" w:fill="auto"/>
            <w:noWrap/>
            <w:hideMark/>
          </w:tcPr>
          <w:p w14:paraId="6718BA16" w14:textId="77777777" w:rsidR="00052799" w:rsidRPr="002D7AE6" w:rsidRDefault="00052799" w:rsidP="00871631">
            <w:pPr>
              <w:spacing w:before="60" w:after="60"/>
              <w:rPr>
                <w:sz w:val="18"/>
                <w:szCs w:val="18"/>
              </w:rPr>
            </w:pPr>
            <w:r w:rsidRPr="002D7AE6">
              <w:rPr>
                <w:sz w:val="18"/>
                <w:szCs w:val="18"/>
              </w:rPr>
              <w:t xml:space="preserve">Category 2 firearms collectors licence (individual) </w:t>
            </w:r>
          </w:p>
        </w:tc>
        <w:tc>
          <w:tcPr>
            <w:tcW w:w="1560" w:type="dxa"/>
            <w:shd w:val="clear" w:color="auto" w:fill="auto"/>
            <w:noWrap/>
            <w:hideMark/>
          </w:tcPr>
          <w:p w14:paraId="3AA7CED6" w14:textId="69F9B052" w:rsidR="00052799" w:rsidRPr="002D7AE6" w:rsidRDefault="00052799" w:rsidP="00871631">
            <w:pPr>
              <w:spacing w:before="60" w:after="60"/>
              <w:jc w:val="center"/>
              <w:rPr>
                <w:sz w:val="18"/>
                <w:szCs w:val="18"/>
              </w:rPr>
            </w:pPr>
            <w:r w:rsidRPr="002D7AE6">
              <w:rPr>
                <w:sz w:val="18"/>
                <w:szCs w:val="18"/>
              </w:rPr>
              <w:t>$408.</w:t>
            </w:r>
            <w:r w:rsidR="002406E1">
              <w:rPr>
                <w:sz w:val="18"/>
                <w:szCs w:val="18"/>
              </w:rPr>
              <w:t>1</w:t>
            </w:r>
          </w:p>
        </w:tc>
        <w:tc>
          <w:tcPr>
            <w:tcW w:w="1638" w:type="dxa"/>
            <w:shd w:val="clear" w:color="auto" w:fill="auto"/>
            <w:noWrap/>
            <w:hideMark/>
          </w:tcPr>
          <w:p w14:paraId="52B6B059" w14:textId="77777777" w:rsidR="00052799" w:rsidRPr="002D7AE6" w:rsidRDefault="00052799" w:rsidP="00871631">
            <w:pPr>
              <w:spacing w:before="60" w:after="60"/>
              <w:jc w:val="center"/>
              <w:rPr>
                <w:sz w:val="18"/>
                <w:szCs w:val="18"/>
              </w:rPr>
            </w:pPr>
            <w:r w:rsidRPr="002D7AE6">
              <w:rPr>
                <w:sz w:val="18"/>
                <w:szCs w:val="18"/>
              </w:rPr>
              <w:t xml:space="preserve"> $257.3 </w:t>
            </w:r>
          </w:p>
        </w:tc>
        <w:tc>
          <w:tcPr>
            <w:tcW w:w="2614" w:type="dxa"/>
            <w:shd w:val="clear" w:color="auto" w:fill="auto"/>
            <w:noWrap/>
          </w:tcPr>
          <w:p w14:paraId="4598208C" w14:textId="2AEE375F" w:rsidR="00052799" w:rsidRPr="002D7AE6" w:rsidRDefault="00052799" w:rsidP="00871631">
            <w:pPr>
              <w:spacing w:before="60" w:after="60"/>
              <w:jc w:val="center"/>
              <w:rPr>
                <w:sz w:val="18"/>
                <w:szCs w:val="18"/>
              </w:rPr>
            </w:pPr>
            <w:r w:rsidRPr="002D7AE6">
              <w:rPr>
                <w:sz w:val="18"/>
                <w:szCs w:val="18"/>
              </w:rPr>
              <w:t xml:space="preserve"> $150.8 </w:t>
            </w:r>
          </w:p>
        </w:tc>
      </w:tr>
      <w:tr w:rsidR="00052799" w:rsidRPr="002D7AE6" w14:paraId="46AE4DB9" w14:textId="77777777" w:rsidTr="00871631">
        <w:trPr>
          <w:trHeight w:val="309"/>
          <w:jc w:val="center"/>
        </w:trPr>
        <w:tc>
          <w:tcPr>
            <w:tcW w:w="2943" w:type="dxa"/>
            <w:shd w:val="clear" w:color="auto" w:fill="auto"/>
            <w:noWrap/>
            <w:hideMark/>
          </w:tcPr>
          <w:p w14:paraId="4E3A5CE0" w14:textId="77777777" w:rsidR="00052799" w:rsidRPr="002D7AE6" w:rsidRDefault="00052799" w:rsidP="00871631">
            <w:pPr>
              <w:spacing w:before="60" w:after="60"/>
              <w:rPr>
                <w:sz w:val="18"/>
                <w:szCs w:val="18"/>
              </w:rPr>
            </w:pPr>
            <w:r w:rsidRPr="002D7AE6">
              <w:rPr>
                <w:sz w:val="18"/>
                <w:szCs w:val="18"/>
              </w:rPr>
              <w:t xml:space="preserve">Category 2 firearms collectors licence (business) </w:t>
            </w:r>
          </w:p>
        </w:tc>
        <w:tc>
          <w:tcPr>
            <w:tcW w:w="1560" w:type="dxa"/>
            <w:shd w:val="clear" w:color="auto" w:fill="auto"/>
            <w:noWrap/>
            <w:hideMark/>
          </w:tcPr>
          <w:p w14:paraId="3009CDA0" w14:textId="12922122" w:rsidR="00052799" w:rsidRPr="002D7AE6" w:rsidRDefault="00052799">
            <w:pPr>
              <w:spacing w:before="60" w:after="60"/>
              <w:jc w:val="center"/>
              <w:rPr>
                <w:sz w:val="18"/>
                <w:szCs w:val="18"/>
              </w:rPr>
            </w:pPr>
            <w:r w:rsidRPr="002D7AE6">
              <w:rPr>
                <w:sz w:val="18"/>
                <w:szCs w:val="18"/>
              </w:rPr>
              <w:t>$51</w:t>
            </w:r>
            <w:r w:rsidR="002406E1">
              <w:rPr>
                <w:sz w:val="18"/>
                <w:szCs w:val="18"/>
              </w:rPr>
              <w:t>6</w:t>
            </w:r>
            <w:r w:rsidRPr="002D7AE6">
              <w:rPr>
                <w:sz w:val="18"/>
                <w:szCs w:val="18"/>
              </w:rPr>
              <w:t>.</w:t>
            </w:r>
            <w:r w:rsidR="002406E1">
              <w:rPr>
                <w:sz w:val="18"/>
                <w:szCs w:val="18"/>
              </w:rPr>
              <w:t>9</w:t>
            </w:r>
          </w:p>
        </w:tc>
        <w:tc>
          <w:tcPr>
            <w:tcW w:w="1638" w:type="dxa"/>
            <w:shd w:val="clear" w:color="auto" w:fill="auto"/>
            <w:noWrap/>
            <w:hideMark/>
          </w:tcPr>
          <w:p w14:paraId="03223B36" w14:textId="77777777" w:rsidR="00052799" w:rsidRPr="002D7AE6" w:rsidRDefault="00052799" w:rsidP="00871631">
            <w:pPr>
              <w:spacing w:before="60" w:after="60"/>
              <w:jc w:val="center"/>
              <w:rPr>
                <w:sz w:val="18"/>
                <w:szCs w:val="18"/>
              </w:rPr>
            </w:pPr>
            <w:r w:rsidRPr="002D7AE6">
              <w:rPr>
                <w:sz w:val="18"/>
                <w:szCs w:val="18"/>
              </w:rPr>
              <w:t xml:space="preserve"> $409.3 </w:t>
            </w:r>
          </w:p>
        </w:tc>
        <w:tc>
          <w:tcPr>
            <w:tcW w:w="2614" w:type="dxa"/>
            <w:shd w:val="clear" w:color="auto" w:fill="auto"/>
            <w:noWrap/>
          </w:tcPr>
          <w:p w14:paraId="5346300D" w14:textId="0B0DD678" w:rsidR="00052799" w:rsidRPr="002D7AE6" w:rsidRDefault="00052799">
            <w:pPr>
              <w:spacing w:before="60" w:after="60"/>
              <w:jc w:val="center"/>
              <w:rPr>
                <w:sz w:val="18"/>
                <w:szCs w:val="18"/>
              </w:rPr>
            </w:pPr>
            <w:r w:rsidRPr="002D7AE6">
              <w:rPr>
                <w:sz w:val="18"/>
                <w:szCs w:val="18"/>
              </w:rPr>
              <w:t xml:space="preserve"> $107.6 </w:t>
            </w:r>
          </w:p>
        </w:tc>
      </w:tr>
      <w:tr w:rsidR="00052799" w:rsidRPr="002D7AE6" w14:paraId="315FE62D" w14:textId="77777777" w:rsidTr="00871631">
        <w:trPr>
          <w:trHeight w:val="309"/>
          <w:jc w:val="center"/>
        </w:trPr>
        <w:tc>
          <w:tcPr>
            <w:tcW w:w="2943" w:type="dxa"/>
            <w:shd w:val="clear" w:color="auto" w:fill="auto"/>
            <w:noWrap/>
            <w:hideMark/>
          </w:tcPr>
          <w:p w14:paraId="27E88B60" w14:textId="77777777" w:rsidR="00052799" w:rsidRPr="002D7AE6" w:rsidRDefault="00052799" w:rsidP="00871631">
            <w:pPr>
              <w:spacing w:before="60" w:after="60"/>
              <w:rPr>
                <w:sz w:val="18"/>
                <w:szCs w:val="18"/>
              </w:rPr>
            </w:pPr>
            <w:r w:rsidRPr="002D7AE6">
              <w:rPr>
                <w:sz w:val="18"/>
                <w:szCs w:val="18"/>
              </w:rPr>
              <w:t>Antique handgun collector’s licence (individual)</w:t>
            </w:r>
          </w:p>
        </w:tc>
        <w:tc>
          <w:tcPr>
            <w:tcW w:w="1560" w:type="dxa"/>
            <w:shd w:val="clear" w:color="auto" w:fill="auto"/>
            <w:noWrap/>
            <w:hideMark/>
          </w:tcPr>
          <w:p w14:paraId="1F379B33" w14:textId="2CE96727" w:rsidR="00052799" w:rsidRPr="002D7AE6" w:rsidRDefault="00052799" w:rsidP="00871631">
            <w:pPr>
              <w:spacing w:before="60" w:after="60"/>
              <w:jc w:val="center"/>
              <w:rPr>
                <w:sz w:val="18"/>
                <w:szCs w:val="18"/>
              </w:rPr>
            </w:pPr>
            <w:r w:rsidRPr="002D7AE6">
              <w:rPr>
                <w:sz w:val="18"/>
                <w:szCs w:val="18"/>
              </w:rPr>
              <w:t>$342.0</w:t>
            </w:r>
          </w:p>
        </w:tc>
        <w:tc>
          <w:tcPr>
            <w:tcW w:w="1638" w:type="dxa"/>
            <w:shd w:val="clear" w:color="auto" w:fill="auto"/>
            <w:noWrap/>
            <w:hideMark/>
          </w:tcPr>
          <w:p w14:paraId="3349A548" w14:textId="77777777" w:rsidR="00052799" w:rsidRPr="002D7AE6" w:rsidRDefault="00052799" w:rsidP="00871631">
            <w:pPr>
              <w:spacing w:before="60" w:after="60"/>
              <w:jc w:val="center"/>
              <w:rPr>
                <w:sz w:val="18"/>
                <w:szCs w:val="18"/>
              </w:rPr>
            </w:pPr>
            <w:r w:rsidRPr="002D7AE6">
              <w:rPr>
                <w:sz w:val="18"/>
                <w:szCs w:val="18"/>
              </w:rPr>
              <w:t xml:space="preserve"> $243.1 </w:t>
            </w:r>
          </w:p>
        </w:tc>
        <w:tc>
          <w:tcPr>
            <w:tcW w:w="2614" w:type="dxa"/>
            <w:shd w:val="clear" w:color="auto" w:fill="auto"/>
            <w:noWrap/>
          </w:tcPr>
          <w:p w14:paraId="2B568603" w14:textId="1127076E" w:rsidR="00052799" w:rsidRPr="002D7AE6" w:rsidRDefault="00052799">
            <w:pPr>
              <w:spacing w:before="60" w:after="60"/>
              <w:jc w:val="center"/>
              <w:rPr>
                <w:sz w:val="18"/>
                <w:szCs w:val="18"/>
              </w:rPr>
            </w:pPr>
            <w:r w:rsidRPr="002D7AE6">
              <w:rPr>
                <w:sz w:val="18"/>
                <w:szCs w:val="18"/>
              </w:rPr>
              <w:t xml:space="preserve"> $98.</w:t>
            </w:r>
            <w:r w:rsidR="002406E1">
              <w:rPr>
                <w:sz w:val="18"/>
                <w:szCs w:val="18"/>
              </w:rPr>
              <w:t>9</w:t>
            </w:r>
            <w:r w:rsidRPr="002D7AE6">
              <w:rPr>
                <w:sz w:val="18"/>
                <w:szCs w:val="18"/>
              </w:rPr>
              <w:t xml:space="preserve"> </w:t>
            </w:r>
          </w:p>
        </w:tc>
      </w:tr>
      <w:tr w:rsidR="00052799" w:rsidRPr="002D7AE6" w14:paraId="349BBD43" w14:textId="77777777" w:rsidTr="00871631">
        <w:trPr>
          <w:trHeight w:val="309"/>
          <w:jc w:val="center"/>
        </w:trPr>
        <w:tc>
          <w:tcPr>
            <w:tcW w:w="2943" w:type="dxa"/>
            <w:shd w:val="clear" w:color="auto" w:fill="auto"/>
            <w:noWrap/>
            <w:hideMark/>
          </w:tcPr>
          <w:p w14:paraId="470E11F5" w14:textId="77777777" w:rsidR="00052799" w:rsidRPr="002D7AE6" w:rsidRDefault="00052799" w:rsidP="00871631">
            <w:pPr>
              <w:spacing w:before="60" w:after="60"/>
              <w:rPr>
                <w:sz w:val="18"/>
                <w:szCs w:val="18"/>
              </w:rPr>
            </w:pPr>
            <w:r w:rsidRPr="002D7AE6">
              <w:rPr>
                <w:sz w:val="18"/>
                <w:szCs w:val="18"/>
              </w:rPr>
              <w:t xml:space="preserve">Antique handgun collector’s licence (business) </w:t>
            </w:r>
          </w:p>
        </w:tc>
        <w:tc>
          <w:tcPr>
            <w:tcW w:w="1560" w:type="dxa"/>
            <w:shd w:val="clear" w:color="auto" w:fill="auto"/>
            <w:noWrap/>
            <w:hideMark/>
          </w:tcPr>
          <w:p w14:paraId="01D3B408" w14:textId="4D3BACEF" w:rsidR="00052799" w:rsidRPr="002D7AE6" w:rsidRDefault="00052799" w:rsidP="00871631">
            <w:pPr>
              <w:spacing w:before="60" w:after="60"/>
              <w:jc w:val="center"/>
              <w:rPr>
                <w:sz w:val="18"/>
                <w:szCs w:val="18"/>
              </w:rPr>
            </w:pPr>
            <w:r w:rsidRPr="002D7AE6">
              <w:rPr>
                <w:sz w:val="18"/>
                <w:szCs w:val="18"/>
              </w:rPr>
              <w:t>$67</w:t>
            </w:r>
            <w:r w:rsidR="002406E1">
              <w:rPr>
                <w:sz w:val="18"/>
                <w:szCs w:val="18"/>
              </w:rPr>
              <w:t>7</w:t>
            </w:r>
            <w:r w:rsidRPr="002D7AE6">
              <w:rPr>
                <w:sz w:val="18"/>
                <w:szCs w:val="18"/>
              </w:rPr>
              <w:t>.</w:t>
            </w:r>
            <w:r w:rsidR="002406E1">
              <w:rPr>
                <w:sz w:val="18"/>
                <w:szCs w:val="18"/>
              </w:rPr>
              <w:t>6</w:t>
            </w:r>
          </w:p>
        </w:tc>
        <w:tc>
          <w:tcPr>
            <w:tcW w:w="1638" w:type="dxa"/>
            <w:shd w:val="clear" w:color="auto" w:fill="auto"/>
            <w:noWrap/>
            <w:hideMark/>
          </w:tcPr>
          <w:p w14:paraId="31AE4A15" w14:textId="77777777" w:rsidR="00052799" w:rsidRPr="002D7AE6" w:rsidRDefault="00052799" w:rsidP="00871631">
            <w:pPr>
              <w:spacing w:before="60" w:after="60"/>
              <w:jc w:val="center"/>
              <w:rPr>
                <w:sz w:val="18"/>
                <w:szCs w:val="18"/>
              </w:rPr>
            </w:pPr>
            <w:r w:rsidRPr="002D7AE6">
              <w:rPr>
                <w:sz w:val="18"/>
                <w:szCs w:val="18"/>
              </w:rPr>
              <w:t xml:space="preserve"> $392.0 </w:t>
            </w:r>
          </w:p>
        </w:tc>
        <w:tc>
          <w:tcPr>
            <w:tcW w:w="2614" w:type="dxa"/>
            <w:shd w:val="clear" w:color="auto" w:fill="auto"/>
            <w:noWrap/>
          </w:tcPr>
          <w:p w14:paraId="065CE3CC" w14:textId="0566223F" w:rsidR="00052799" w:rsidRPr="002D7AE6" w:rsidRDefault="00052799">
            <w:pPr>
              <w:spacing w:before="60" w:after="60"/>
              <w:jc w:val="center"/>
              <w:rPr>
                <w:sz w:val="18"/>
                <w:szCs w:val="18"/>
              </w:rPr>
            </w:pPr>
            <w:r w:rsidRPr="002D7AE6">
              <w:rPr>
                <w:sz w:val="18"/>
                <w:szCs w:val="18"/>
              </w:rPr>
              <w:t xml:space="preserve"> $285.</w:t>
            </w:r>
            <w:r w:rsidR="002406E1">
              <w:rPr>
                <w:sz w:val="18"/>
                <w:szCs w:val="18"/>
              </w:rPr>
              <w:t>6</w:t>
            </w:r>
            <w:r w:rsidRPr="002D7AE6">
              <w:rPr>
                <w:sz w:val="18"/>
                <w:szCs w:val="18"/>
              </w:rPr>
              <w:t xml:space="preserve"> </w:t>
            </w:r>
          </w:p>
        </w:tc>
      </w:tr>
    </w:tbl>
    <w:p w14:paraId="55B87700" w14:textId="77777777" w:rsidR="00052799" w:rsidRPr="00BA516D" w:rsidRDefault="00052799" w:rsidP="00052799">
      <w:pPr>
        <w:pStyle w:val="Body"/>
      </w:pPr>
      <w:r w:rsidRPr="00BA516D">
        <w:br/>
        <w:t>The Victorian Government’s Cost Recovery Guidelines emphasise that cross-subsidisation — where one group of users pay more for the cost of the services they receive and the ‘surplus’ is used to offset the cost of services provided to other users — should generally be avoided. The Department notes that retaining these ten fees at their current level will continue to cross-subsidise other firearms users by around $1.3 million per year. The Department’s view, having consulted with the Department of Treasury and Finance, is this is a reasonable trade-off in support of a proposed set of regulations that move closer to full cost recovery while mitigating the increases in fees. In particular, stakeholders emphasised that they supported for</w:t>
      </w:r>
      <w:r>
        <w:t>e</w:t>
      </w:r>
      <w:r w:rsidRPr="00BA516D">
        <w:t>going a reduction in fees that were low or affected a small number of people over very large increases in specific fee categories.</w:t>
      </w:r>
    </w:p>
    <w:p w14:paraId="20BA15AA" w14:textId="77777777" w:rsidR="00052799" w:rsidRDefault="00052799" w:rsidP="00052799">
      <w:pPr>
        <w:pStyle w:val="Body"/>
      </w:pPr>
      <w:r w:rsidRPr="00BA516D">
        <w:t xml:space="preserve">The continued over-recovery of $1.3 million per year from these ten fees, will reduce </w:t>
      </w:r>
      <w:r>
        <w:t>the revenue shortfall from $3,920,000 to $2,61</w:t>
      </w:r>
      <w:r w:rsidRPr="00BA516D">
        <w:t xml:space="preserve">0,000. </w:t>
      </w:r>
      <w:r w:rsidR="00F0523E">
        <w:t xml:space="preserve">This $1.3 million will cover the $850,000 in revenue forgone as a result of limiting any increase in fees, leaving $450,000 of over-recovered revenue which is allocated to covering some of the cost of keeping fees for junior licences at current levels. </w:t>
      </w:r>
      <w:r w:rsidRPr="00BA516D">
        <w:t xml:space="preserve">Funding any more of </w:t>
      </w:r>
      <w:r w:rsidR="00F0523E">
        <w:t xml:space="preserve">the cost of </w:t>
      </w:r>
      <w:r w:rsidRPr="00BA516D">
        <w:t>the decisions above (such as the primary production waiver, concessions for pensioners and the aged, and the freeze on the junior licence fee) through</w:t>
      </w:r>
      <w:r w:rsidR="00F0523E">
        <w:t xml:space="preserve"> further</w:t>
      </w:r>
      <w:r w:rsidRPr="00BA516D">
        <w:t xml:space="preserve"> increases in fees would constitute an increase in the existing level of cross-subsidisation which, as noted above, is discouraged by the Cost Recovery Guidelines. For this reason, and in consultation with the Department of Treasury and Finance, the Department proposes to fund the remaining shortfall (that is, the portion of the shortfall not recovered by limited fee increases) out of consolidated revenue. While this means that a substantial portion of the costs of the decisions above will be borne by all Victorians (including those not involved in the lawful, regulated use of firearms), it means that the increase in fees can be limited and waivers/discounts implemented without an increase in the current level of cross-subsidisation. It also means that a fee structure that is closer to achieving full cost recovery can be achieved, while avoiding very large increases in fees for particular categories of firearms users.</w:t>
      </w:r>
    </w:p>
    <w:p w14:paraId="1DDDEC5B" w14:textId="77777777" w:rsidR="00052799" w:rsidRPr="00BA516D" w:rsidRDefault="00052799" w:rsidP="00052799">
      <w:pPr>
        <w:pStyle w:val="Body"/>
      </w:pPr>
      <w:r>
        <w:rPr>
          <w:noProof/>
          <w:lang w:eastAsia="en-AU"/>
        </w:rPr>
        <mc:AlternateContent>
          <mc:Choice Requires="wps">
            <w:drawing>
              <wp:inline distT="0" distB="0" distL="0" distR="0" wp14:anchorId="36DAE542" wp14:editId="0699EBD3">
                <wp:extent cx="5757545" cy="1432560"/>
                <wp:effectExtent l="0" t="0" r="14605" b="13970"/>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7545" cy="1432560"/>
                        </a:xfrm>
                        <a:prstGeom prst="roundRect">
                          <a:avLst>
                            <a:gd name="adj" fmla="val 16667"/>
                          </a:avLst>
                        </a:prstGeom>
                        <a:noFill/>
                        <a:ln w="9525"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127074" w14:textId="77777777" w:rsidR="007D4B3A" w:rsidRPr="007831D0" w:rsidRDefault="007D4B3A" w:rsidP="00052799">
                            <w:pPr>
                              <w:pStyle w:val="BodyText"/>
                              <w:ind w:left="0"/>
                              <w:rPr>
                                <w:b/>
                                <w:sz w:val="18"/>
                              </w:rPr>
                            </w:pPr>
                            <w:r>
                              <w:rPr>
                                <w:b/>
                                <w:sz w:val="18"/>
                              </w:rPr>
                              <w:t>Consultation questions:</w:t>
                            </w:r>
                          </w:p>
                          <w:p w14:paraId="1E70F4E6" w14:textId="77777777" w:rsidR="007D4B3A" w:rsidRPr="00A60C4C" w:rsidRDefault="007D4B3A" w:rsidP="00052799">
                            <w:pPr>
                              <w:pStyle w:val="BodyText"/>
                              <w:ind w:left="0"/>
                              <w:rPr>
                                <w:sz w:val="18"/>
                              </w:rPr>
                            </w:pPr>
                            <w:r>
                              <w:rPr>
                                <w:sz w:val="18"/>
                              </w:rPr>
                              <w:t>Do stakeholders consider that the proposed approach is to funding shortfalls in revenue is appropriate – that is, over-recovery for some licence categories, and funding the remaining revenue shortfall from general taxpayers?</w:t>
                            </w:r>
                          </w:p>
                        </w:txbxContent>
                      </wps:txbx>
                      <wps:bodyPr rot="0" vert="horz" wrap="square" lIns="91440" tIns="45720" rIns="91440" bIns="45720" anchor="t" anchorCtr="0" upright="1">
                        <a:spAutoFit/>
                      </wps:bodyPr>
                    </wps:wsp>
                  </a:graphicData>
                </a:graphic>
              </wp:inline>
            </w:drawing>
          </mc:Choice>
          <mc:Fallback>
            <w:pict>
              <v:roundrect w14:anchorId="36DAE542" id="_x0000_s1037" style="width:453.35pt;height:112.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" filled="f">
                <v:textbox style="mso-fit-shape-to-text:t">
                  <w:txbxContent>
                    <w:p w14:paraId="40127074" w14:textId="77777777" w:rsidR="007D4B3A" w:rsidRPr="007831D0" w:rsidRDefault="007D4B3A" w:rsidP="00052799">
                      <w:pPr>
                        <w:pStyle w:val="BodyText"/>
                        <w:ind w:left="0"/>
                        <w:rPr>
                          <w:b/>
                          <w:sz w:val="18"/>
                        </w:rPr>
                      </w:pPr>
                      <w:r>
                        <w:rPr>
                          <w:b/>
                          <w:sz w:val="18"/>
                        </w:rPr>
                        <w:t>Consultation questions:</w:t>
                      </w:r>
                    </w:p>
                    <w:p w14:paraId="1E70F4E6" w14:textId="77777777" w:rsidR="007D4B3A" w:rsidRPr="00A60C4C" w:rsidRDefault="007D4B3A" w:rsidP="00052799">
                      <w:pPr>
                        <w:pStyle w:val="BodyText"/>
                        <w:ind w:left="0"/>
                        <w:rPr>
                          <w:sz w:val="18"/>
                        </w:rPr>
                      </w:pPr>
                      <w:r>
                        <w:rPr>
                          <w:sz w:val="18"/>
                        </w:rPr>
                        <w:t>Do stakeholders consider that the proposed approach is to funding shortfalls in revenue is appropriate – that is, over-recovery for some licence categories, and funding the remaining revenue shortfall from general taxpayers?</w:t>
                      </w:r>
                    </w:p>
                  </w:txbxContent>
                </v:textbox>
                <w10:anchorlock/>
              </v:roundrect>
            </w:pict>
          </mc:Fallback>
        </mc:AlternateContent>
      </w:r>
    </w:p>
    <w:p w14:paraId="65C1317A" w14:textId="1993AF83" w:rsidR="00052799" w:rsidRDefault="00052799" w:rsidP="00052799">
      <w:pPr>
        <w:pStyle w:val="BodyText"/>
      </w:pPr>
      <w:r>
        <w:t xml:space="preserve">Throughout this section, the RIS has presented a number of components of Option 2, and discussed the merits of each component against the criteria. </w:t>
      </w:r>
      <w:r w:rsidR="001C7D77" w:rsidRPr="00610D49">
        <w:t xml:space="preserve">Table </w:t>
      </w:r>
      <w:r w:rsidR="001C7D77">
        <w:rPr>
          <w:noProof/>
        </w:rPr>
        <w:t>38</w:t>
      </w:r>
      <w:r w:rsidRPr="00610D49">
        <w:t xml:space="preserve"> </w:t>
      </w:r>
      <w:r>
        <w:t xml:space="preserve">consolidates all of these assessments, and outlines a full </w:t>
      </w:r>
      <w:r w:rsidRPr="00610D49">
        <w:t>multi-criteria assessment for this Option.</w:t>
      </w:r>
    </w:p>
    <w:p w14:paraId="3F940E08" w14:textId="5D54D6FD" w:rsidR="00052799" w:rsidRPr="00610D49" w:rsidRDefault="00052799" w:rsidP="00052799">
      <w:pPr>
        <w:pStyle w:val="Caption"/>
      </w:pPr>
      <w:bookmarkStart w:id="206" w:name="_Ref496784083"/>
      <w:r w:rsidRPr="00610D49">
        <w:t xml:space="preserve">Table </w:t>
      </w:r>
      <w:r w:rsidR="001C7D77">
        <w:rPr>
          <w:noProof/>
        </w:rPr>
        <w:t>38</w:t>
      </w:r>
      <w:bookmarkEnd w:id="206"/>
      <w:r w:rsidRPr="00610D49">
        <w:t>: Multi-criteria assessment of fee-option 2</w:t>
      </w: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Table 38: Multi-criteria assessment of fee-option 2"/>
      </w:tblPr>
      <w:tblGrid>
        <w:gridCol w:w="1412"/>
        <w:gridCol w:w="5059"/>
        <w:gridCol w:w="1048"/>
        <w:gridCol w:w="1271"/>
        <w:gridCol w:w="1139"/>
        <w:gridCol w:w="30"/>
      </w:tblGrid>
      <w:tr w:rsidR="00052799" w:rsidRPr="002D7AE6" w14:paraId="1548FE64" w14:textId="77777777" w:rsidTr="00871631">
        <w:trPr>
          <w:gridAfter w:val="1"/>
          <w:wAfter w:w="15" w:type="pct"/>
          <w:tblHeader/>
        </w:trPr>
        <w:tc>
          <w:tcPr>
            <w:tcW w:w="709" w:type="pct"/>
            <w:shd w:val="clear" w:color="auto" w:fill="002060"/>
          </w:tcPr>
          <w:p w14:paraId="2DEB1449"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Criterion</w:t>
            </w:r>
          </w:p>
        </w:tc>
        <w:tc>
          <w:tcPr>
            <w:tcW w:w="2540" w:type="pct"/>
            <w:shd w:val="clear" w:color="auto" w:fill="002060"/>
          </w:tcPr>
          <w:p w14:paraId="2E760405"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Assessment</w:t>
            </w:r>
          </w:p>
        </w:tc>
        <w:tc>
          <w:tcPr>
            <w:tcW w:w="526" w:type="pct"/>
            <w:shd w:val="clear" w:color="auto" w:fill="002060"/>
          </w:tcPr>
          <w:p w14:paraId="008502F2"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Score</w:t>
            </w:r>
          </w:p>
        </w:tc>
        <w:tc>
          <w:tcPr>
            <w:tcW w:w="637" w:type="pct"/>
            <w:shd w:val="clear" w:color="auto" w:fill="002060"/>
          </w:tcPr>
          <w:p w14:paraId="09CEAA33"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Weighting</w:t>
            </w:r>
          </w:p>
        </w:tc>
        <w:tc>
          <w:tcPr>
            <w:tcW w:w="572" w:type="pct"/>
            <w:shd w:val="clear" w:color="auto" w:fill="002060"/>
          </w:tcPr>
          <w:p w14:paraId="5864276A" w14:textId="77777777" w:rsidR="00052799" w:rsidRPr="002D7AE6" w:rsidRDefault="00052799" w:rsidP="00871631">
            <w:pPr>
              <w:suppressAutoHyphens/>
              <w:spacing w:before="120" w:after="120"/>
              <w:rPr>
                <w:rFonts w:eastAsia="Times" w:cs="Times New Roman"/>
                <w:b/>
                <w:sz w:val="18"/>
                <w:szCs w:val="18"/>
              </w:rPr>
            </w:pPr>
            <w:r w:rsidRPr="002D7AE6">
              <w:rPr>
                <w:rFonts w:eastAsia="Times" w:cs="Times New Roman"/>
                <w:b/>
                <w:sz w:val="18"/>
                <w:szCs w:val="18"/>
              </w:rPr>
              <w:t>Weighted score</w:t>
            </w:r>
          </w:p>
        </w:tc>
      </w:tr>
      <w:tr w:rsidR="00052799" w:rsidRPr="002D7AE6" w14:paraId="23BBD2A8" w14:textId="77777777" w:rsidTr="00871631">
        <w:trPr>
          <w:gridAfter w:val="1"/>
          <w:wAfter w:w="15" w:type="pct"/>
        </w:trPr>
        <w:tc>
          <w:tcPr>
            <w:tcW w:w="709" w:type="pct"/>
            <w:shd w:val="clear" w:color="auto" w:fill="auto"/>
          </w:tcPr>
          <w:p w14:paraId="2C53FB46"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Efficiency</w:t>
            </w:r>
          </w:p>
        </w:tc>
        <w:tc>
          <w:tcPr>
            <w:tcW w:w="2540" w:type="pct"/>
            <w:shd w:val="clear" w:color="auto" w:fill="auto"/>
          </w:tcPr>
          <w:p w14:paraId="2CDB8812" w14:textId="52E850F5"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the base case (</w:t>
            </w:r>
            <w:r w:rsidR="002406E1">
              <w:rPr>
                <w:rFonts w:eastAsia="Times" w:cs="Times New Roman"/>
                <w:sz w:val="18"/>
                <w:szCs w:val="18"/>
              </w:rPr>
              <w:t>zero</w:t>
            </w:r>
            <w:r w:rsidRPr="002D7AE6">
              <w:rPr>
                <w:rFonts w:eastAsia="Times" w:cs="Times New Roman"/>
                <w:sz w:val="18"/>
                <w:szCs w:val="18"/>
              </w:rPr>
              <w:t xml:space="preserve"> cost recovery), this option recovers approximately 81 per cent of costs attributable to the firearms regulatory regime. This option provides a more direct price signal to members of the regulated community as to the cost of their activities.</w:t>
            </w:r>
          </w:p>
          <w:p w14:paraId="7CFFD3A2" w14:textId="5199BE20"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Option 1, the efficient price signal is dulled by smoothing across licence holders and concessions for</w:t>
            </w:r>
            <w:r w:rsidR="0099108A">
              <w:rPr>
                <w:rFonts w:eastAsia="Times" w:cs="Times New Roman"/>
                <w:sz w:val="18"/>
                <w:szCs w:val="18"/>
              </w:rPr>
              <w:t xml:space="preserve"> pensioners and</w:t>
            </w:r>
            <w:r w:rsidRPr="002D7AE6">
              <w:rPr>
                <w:rFonts w:eastAsia="Times" w:cs="Times New Roman"/>
                <w:sz w:val="18"/>
                <w:szCs w:val="18"/>
              </w:rPr>
              <w:t xml:space="preserve"> older firearms licence holders. Other notable exceptions from efficient price signals are junior licence holders, provisional licensees, applicants for reviews of decisions, and licence holders who receive a primary production fee waiver (which </w:t>
            </w:r>
            <w:r w:rsidR="002406E1" w:rsidRPr="002D7AE6">
              <w:rPr>
                <w:rFonts w:eastAsia="Times" w:cs="Times New Roman"/>
                <w:sz w:val="18"/>
                <w:szCs w:val="18"/>
              </w:rPr>
              <w:t xml:space="preserve">together </w:t>
            </w:r>
            <w:r w:rsidRPr="002D7AE6">
              <w:rPr>
                <w:rFonts w:eastAsia="Times" w:cs="Times New Roman"/>
                <w:sz w:val="18"/>
                <w:szCs w:val="18"/>
              </w:rPr>
              <w:t>represent a 19 per cent deviation from full cost recovery).</w:t>
            </w:r>
          </w:p>
          <w:p w14:paraId="7D66D76C"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This option is given an efficiency score of 8, compared to the base case where no price signal is set as fees would not be prescribed (a zero score), and relative to full cost recovery in Option 1 (a score of 10).</w:t>
            </w:r>
          </w:p>
        </w:tc>
        <w:tc>
          <w:tcPr>
            <w:tcW w:w="526" w:type="pct"/>
            <w:shd w:val="clear" w:color="auto" w:fill="auto"/>
            <w:vAlign w:val="center"/>
          </w:tcPr>
          <w:p w14:paraId="6D6347E3"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8</w:t>
            </w:r>
          </w:p>
        </w:tc>
        <w:tc>
          <w:tcPr>
            <w:tcW w:w="637" w:type="pct"/>
            <w:vAlign w:val="center"/>
          </w:tcPr>
          <w:p w14:paraId="14C9C0D6"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25%</w:t>
            </w:r>
          </w:p>
        </w:tc>
        <w:tc>
          <w:tcPr>
            <w:tcW w:w="572" w:type="pct"/>
            <w:shd w:val="clear" w:color="auto" w:fill="auto"/>
            <w:vAlign w:val="center"/>
          </w:tcPr>
          <w:p w14:paraId="1AF77E7A"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2</w:t>
            </w:r>
          </w:p>
        </w:tc>
      </w:tr>
      <w:tr w:rsidR="00052799" w:rsidRPr="002D7AE6" w14:paraId="3942FAD9" w14:textId="77777777" w:rsidTr="00871631">
        <w:trPr>
          <w:gridAfter w:val="1"/>
          <w:wAfter w:w="15" w:type="pct"/>
        </w:trPr>
        <w:tc>
          <w:tcPr>
            <w:tcW w:w="709" w:type="pct"/>
            <w:shd w:val="clear" w:color="auto" w:fill="auto"/>
          </w:tcPr>
          <w:p w14:paraId="778D43AE"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Equity</w:t>
            </w:r>
          </w:p>
        </w:tc>
        <w:tc>
          <w:tcPr>
            <w:tcW w:w="2540" w:type="pct"/>
            <w:shd w:val="clear" w:color="auto" w:fill="auto"/>
          </w:tcPr>
          <w:p w14:paraId="016A6373" w14:textId="62C0A5BB"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 xml:space="preserve">Relative to the base case (no cost recovery and full subsidisation from general revenue), this option introduces fees which largely reflect cost recovery. The introduction of fees under this option would ensure that a majority of the cost of the regulatory regime for firearms in Victoria would be borne by the regulated community who, through their use, ownership, and/or trade in firearms </w:t>
            </w:r>
            <w:r w:rsidR="002406E1">
              <w:rPr>
                <w:rFonts w:eastAsia="Times" w:cs="Times New Roman"/>
                <w:sz w:val="18"/>
                <w:szCs w:val="18"/>
              </w:rPr>
              <w:t>increase</w:t>
            </w:r>
            <w:r w:rsidRPr="002D7AE6">
              <w:rPr>
                <w:rFonts w:eastAsia="Times" w:cs="Times New Roman"/>
                <w:sz w:val="18"/>
                <w:szCs w:val="18"/>
              </w:rPr>
              <w:t xml:space="preserve"> the need for Victoria Police’s activities in administering the regulatory regime.</w:t>
            </w:r>
          </w:p>
          <w:p w14:paraId="6975E25B" w14:textId="580EC145" w:rsidR="00052799" w:rsidRPr="002D7AE6" w:rsidRDefault="00052799" w:rsidP="0099108A">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 xml:space="preserve">Relative to Option 1, this option introduces a range of cross-subsidies through smoothing, particularly for smaller volume licence categories which would have experienced a large fee increases under Option 1. Separate to smoothing, this option would also result in under-recovery for junior licences, provisional licensees, decision reviews, </w:t>
            </w:r>
            <w:r w:rsidR="002406E1">
              <w:rPr>
                <w:rFonts w:eastAsia="Times" w:cs="Times New Roman"/>
                <w:sz w:val="18"/>
                <w:szCs w:val="18"/>
              </w:rPr>
              <w:t>fee reductions</w:t>
            </w:r>
            <w:r w:rsidR="002406E1" w:rsidRPr="002D7AE6">
              <w:rPr>
                <w:rFonts w:eastAsia="Times" w:cs="Times New Roman"/>
                <w:sz w:val="18"/>
                <w:szCs w:val="18"/>
              </w:rPr>
              <w:t xml:space="preserve"> </w:t>
            </w:r>
            <w:r w:rsidRPr="002D7AE6">
              <w:rPr>
                <w:rFonts w:eastAsia="Times" w:cs="Times New Roman"/>
                <w:sz w:val="18"/>
                <w:szCs w:val="18"/>
              </w:rPr>
              <w:t>for older firearms holders</w:t>
            </w:r>
            <w:r w:rsidR="002406E1">
              <w:rPr>
                <w:rFonts w:eastAsia="Times" w:cs="Times New Roman"/>
                <w:sz w:val="18"/>
                <w:szCs w:val="18"/>
              </w:rPr>
              <w:t xml:space="preserve">, certain </w:t>
            </w:r>
            <w:r w:rsidR="0099108A">
              <w:rPr>
                <w:rFonts w:eastAsia="Times" w:cs="Times New Roman"/>
                <w:sz w:val="18"/>
                <w:szCs w:val="18"/>
              </w:rPr>
              <w:t>pensioners</w:t>
            </w:r>
            <w:r w:rsidRPr="002D7AE6">
              <w:rPr>
                <w:rFonts w:eastAsia="Times" w:cs="Times New Roman"/>
                <w:sz w:val="18"/>
                <w:szCs w:val="18"/>
              </w:rPr>
              <w:t xml:space="preserve"> and primary producers. Shortfalls in cost recovery associated with administering these activities would be funded through a combination of consolidated revenue and over-recovery from selected licence groups.</w:t>
            </w:r>
          </w:p>
        </w:tc>
        <w:tc>
          <w:tcPr>
            <w:tcW w:w="526" w:type="pct"/>
            <w:shd w:val="clear" w:color="auto" w:fill="auto"/>
            <w:vAlign w:val="center"/>
          </w:tcPr>
          <w:p w14:paraId="6A79A402"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8</w:t>
            </w:r>
          </w:p>
        </w:tc>
        <w:tc>
          <w:tcPr>
            <w:tcW w:w="637" w:type="pct"/>
            <w:vAlign w:val="center"/>
          </w:tcPr>
          <w:p w14:paraId="5795DC0F"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25%</w:t>
            </w:r>
          </w:p>
        </w:tc>
        <w:tc>
          <w:tcPr>
            <w:tcW w:w="572" w:type="pct"/>
            <w:shd w:val="clear" w:color="auto" w:fill="auto"/>
            <w:vAlign w:val="center"/>
          </w:tcPr>
          <w:p w14:paraId="2B28048A"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2</w:t>
            </w:r>
          </w:p>
        </w:tc>
      </w:tr>
      <w:tr w:rsidR="00052799" w:rsidRPr="002D7AE6" w14:paraId="2FC58DFD" w14:textId="77777777" w:rsidTr="00871631">
        <w:trPr>
          <w:gridAfter w:val="1"/>
          <w:wAfter w:w="15" w:type="pct"/>
        </w:trPr>
        <w:tc>
          <w:tcPr>
            <w:tcW w:w="709" w:type="pct"/>
            <w:shd w:val="clear" w:color="auto" w:fill="auto"/>
          </w:tcPr>
          <w:p w14:paraId="599E3311"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Alignment with objectives of the Act</w:t>
            </w:r>
          </w:p>
        </w:tc>
        <w:tc>
          <w:tcPr>
            <w:tcW w:w="2540" w:type="pct"/>
            <w:shd w:val="clear" w:color="auto" w:fill="auto"/>
          </w:tcPr>
          <w:p w14:paraId="251A0405"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 xml:space="preserve">Compared to the base case, this option introduces fees which may act as a small deterrent to persons wishing to use or deal in firearms from seeking and maintaining the requisite, licences, registration, or permits, thereby reducing the efficacy of the regulatory regime. However, these fees are small relative to the other costs of participating in this industry such the costs of purchasing, maintaining, and storing firearms. </w:t>
            </w:r>
          </w:p>
          <w:p w14:paraId="7218FC6B"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Option 1, Option 2 targets exemptions towards primary producers, and maintains firearms licence fees for junior licences, provisional licences and decision review fees which is likely to encourage compliant conduct for these key cohorts of shooters.</w:t>
            </w:r>
          </w:p>
        </w:tc>
        <w:tc>
          <w:tcPr>
            <w:tcW w:w="526" w:type="pct"/>
            <w:shd w:val="clear" w:color="auto" w:fill="auto"/>
            <w:vAlign w:val="center"/>
          </w:tcPr>
          <w:p w14:paraId="43989573"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-1</w:t>
            </w:r>
          </w:p>
        </w:tc>
        <w:tc>
          <w:tcPr>
            <w:tcW w:w="637" w:type="pct"/>
            <w:vAlign w:val="center"/>
          </w:tcPr>
          <w:p w14:paraId="4FAA2AED" w14:textId="77777777" w:rsidR="00052799" w:rsidRPr="002D7AE6" w:rsidRDefault="00F0523E" w:rsidP="00871631">
            <w:pPr>
              <w:suppressAutoHyphens/>
              <w:spacing w:before="120" w:after="120"/>
              <w:jc w:val="center"/>
              <w:rPr>
                <w:rFonts w:eastAsia="Times" w:cs="Times New Roman"/>
                <w:sz w:val="18"/>
                <w:szCs w:val="18"/>
              </w:rPr>
            </w:pPr>
            <w:r w:rsidRPr="002D7AE6">
              <w:rPr>
                <w:rFonts w:eastAsia="Times" w:cs="Times New Roman"/>
                <w:sz w:val="18"/>
                <w:szCs w:val="18"/>
              </w:rPr>
              <w:t>3</w:t>
            </w:r>
            <w:r w:rsidR="00052799" w:rsidRPr="002D7AE6">
              <w:rPr>
                <w:rFonts w:eastAsia="Times" w:cs="Times New Roman"/>
                <w:sz w:val="18"/>
                <w:szCs w:val="18"/>
              </w:rPr>
              <w:t>0%</w:t>
            </w:r>
          </w:p>
        </w:tc>
        <w:tc>
          <w:tcPr>
            <w:tcW w:w="572" w:type="pct"/>
            <w:shd w:val="clear" w:color="auto" w:fill="auto"/>
            <w:vAlign w:val="center"/>
          </w:tcPr>
          <w:p w14:paraId="4E3DB13F"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-0.</w:t>
            </w:r>
            <w:r w:rsidR="00F0523E" w:rsidRPr="002D7AE6">
              <w:rPr>
                <w:rFonts w:eastAsia="Times" w:cs="Times New Roman"/>
                <w:sz w:val="18"/>
                <w:szCs w:val="18"/>
              </w:rPr>
              <w:t>3</w:t>
            </w:r>
          </w:p>
        </w:tc>
      </w:tr>
      <w:tr w:rsidR="00052799" w:rsidRPr="002D7AE6" w14:paraId="480235A9" w14:textId="77777777" w:rsidTr="00871631">
        <w:trPr>
          <w:gridAfter w:val="1"/>
          <w:wAfter w:w="15" w:type="pct"/>
        </w:trPr>
        <w:tc>
          <w:tcPr>
            <w:tcW w:w="709" w:type="pct"/>
            <w:shd w:val="clear" w:color="auto" w:fill="auto"/>
          </w:tcPr>
          <w:p w14:paraId="48E4DD0E" w14:textId="77777777" w:rsidR="00052799" w:rsidRPr="002D7AE6" w:rsidRDefault="00052799" w:rsidP="00871631">
            <w:pPr>
              <w:suppressAutoHyphens/>
              <w:spacing w:before="120" w:after="120"/>
              <w:rPr>
                <w:rFonts w:eastAsia="Times" w:cs="Times New Roman"/>
                <w:sz w:val="18"/>
                <w:szCs w:val="18"/>
              </w:rPr>
            </w:pPr>
            <w:r w:rsidRPr="002D7AE6">
              <w:rPr>
                <w:rFonts w:eastAsia="Times" w:cs="Times New Roman"/>
                <w:sz w:val="18"/>
                <w:szCs w:val="18"/>
              </w:rPr>
              <w:t>Administrative complexity</w:t>
            </w:r>
          </w:p>
        </w:tc>
        <w:tc>
          <w:tcPr>
            <w:tcW w:w="2540" w:type="pct"/>
            <w:shd w:val="clear" w:color="auto" w:fill="auto"/>
          </w:tcPr>
          <w:p w14:paraId="0F013A21" w14:textId="77777777" w:rsidR="00052799" w:rsidRPr="002D7AE6" w:rsidRDefault="00052799" w:rsidP="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Relative to the base case (lapsing Regulations), this option is more administratively complex as it would require activity from Victoria Police to incorporate the proposed changes.</w:t>
            </w:r>
          </w:p>
          <w:p w14:paraId="3D1FC7E0" w14:textId="6D998F44" w:rsidR="00052799" w:rsidRPr="002D7AE6" w:rsidRDefault="00052799">
            <w:pPr>
              <w:widowControl w:val="0"/>
              <w:numPr>
                <w:ilvl w:val="0"/>
                <w:numId w:val="56"/>
              </w:numPr>
              <w:suppressAutoHyphens/>
              <w:spacing w:before="120" w:after="120"/>
              <w:rPr>
                <w:rFonts w:eastAsia="Times" w:cs="Times New Roman"/>
                <w:sz w:val="18"/>
                <w:szCs w:val="18"/>
              </w:rPr>
            </w:pPr>
            <w:r w:rsidRPr="002D7AE6">
              <w:rPr>
                <w:rFonts w:eastAsia="Times" w:cs="Times New Roman"/>
                <w:sz w:val="18"/>
                <w:szCs w:val="18"/>
              </w:rPr>
              <w:t xml:space="preserve">Similar to Option 1, this option would be somewhat more complex, as it requires adjustments to the value of numerous fee categories, but does not require a radical overhaul of the administrative scheme. The </w:t>
            </w:r>
            <w:r w:rsidR="002406E1">
              <w:rPr>
                <w:rFonts w:eastAsia="Times" w:cs="Times New Roman"/>
                <w:sz w:val="18"/>
                <w:szCs w:val="18"/>
              </w:rPr>
              <w:t>continuation</w:t>
            </w:r>
            <w:r w:rsidR="002406E1" w:rsidRPr="002D7AE6">
              <w:rPr>
                <w:rFonts w:eastAsia="Times" w:cs="Times New Roman"/>
                <w:sz w:val="18"/>
                <w:szCs w:val="18"/>
              </w:rPr>
              <w:t xml:space="preserve"> </w:t>
            </w:r>
            <w:r w:rsidRPr="002D7AE6">
              <w:rPr>
                <w:rFonts w:eastAsia="Times" w:cs="Times New Roman"/>
                <w:sz w:val="18"/>
                <w:szCs w:val="18"/>
              </w:rPr>
              <w:t>of the primary production waiver makes the option simpler than Option 1 as it requires no change in practices from Victoria Police or the Regulated Community.</w:t>
            </w:r>
          </w:p>
        </w:tc>
        <w:tc>
          <w:tcPr>
            <w:tcW w:w="526" w:type="pct"/>
            <w:shd w:val="clear" w:color="auto" w:fill="auto"/>
            <w:vAlign w:val="center"/>
          </w:tcPr>
          <w:p w14:paraId="0743A595"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-1</w:t>
            </w:r>
          </w:p>
        </w:tc>
        <w:tc>
          <w:tcPr>
            <w:tcW w:w="637" w:type="pct"/>
            <w:vAlign w:val="center"/>
          </w:tcPr>
          <w:p w14:paraId="49340A5D" w14:textId="77777777" w:rsidR="00052799" w:rsidRPr="002D7AE6" w:rsidRDefault="00F0523E" w:rsidP="00871631">
            <w:pPr>
              <w:suppressAutoHyphens/>
              <w:spacing w:before="120" w:after="120"/>
              <w:jc w:val="center"/>
              <w:rPr>
                <w:rFonts w:eastAsia="Times" w:cs="Times New Roman"/>
                <w:sz w:val="18"/>
                <w:szCs w:val="18"/>
              </w:rPr>
            </w:pPr>
            <w:r w:rsidRPr="002D7AE6">
              <w:rPr>
                <w:rFonts w:eastAsia="Times" w:cs="Times New Roman"/>
                <w:sz w:val="18"/>
                <w:szCs w:val="18"/>
              </w:rPr>
              <w:t>2</w:t>
            </w:r>
            <w:r w:rsidR="00052799" w:rsidRPr="002D7AE6">
              <w:rPr>
                <w:rFonts w:eastAsia="Times" w:cs="Times New Roman"/>
                <w:sz w:val="18"/>
                <w:szCs w:val="18"/>
              </w:rPr>
              <w:t>0%</w:t>
            </w:r>
          </w:p>
        </w:tc>
        <w:tc>
          <w:tcPr>
            <w:tcW w:w="572" w:type="pct"/>
            <w:shd w:val="clear" w:color="auto" w:fill="auto"/>
            <w:vAlign w:val="center"/>
          </w:tcPr>
          <w:p w14:paraId="6C7E6554"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-0.</w:t>
            </w:r>
            <w:r w:rsidR="00F0523E" w:rsidRPr="002D7AE6">
              <w:rPr>
                <w:rFonts w:eastAsia="Times" w:cs="Times New Roman"/>
                <w:sz w:val="18"/>
                <w:szCs w:val="18"/>
              </w:rPr>
              <w:t>2</w:t>
            </w:r>
          </w:p>
        </w:tc>
      </w:tr>
      <w:tr w:rsidR="00052799" w:rsidRPr="002D7AE6" w14:paraId="049DB51D" w14:textId="77777777" w:rsidTr="00871631">
        <w:tc>
          <w:tcPr>
            <w:tcW w:w="4413" w:type="pct"/>
            <w:gridSpan w:val="4"/>
            <w:shd w:val="clear" w:color="auto" w:fill="auto"/>
          </w:tcPr>
          <w:p w14:paraId="17D16ED6" w14:textId="77777777" w:rsidR="00052799" w:rsidRPr="002D7AE6" w:rsidRDefault="00052799" w:rsidP="00871631">
            <w:pPr>
              <w:suppressAutoHyphens/>
              <w:spacing w:before="120" w:after="120"/>
              <w:jc w:val="right"/>
              <w:rPr>
                <w:rFonts w:eastAsia="Times" w:cs="Times New Roman"/>
                <w:sz w:val="18"/>
                <w:szCs w:val="18"/>
              </w:rPr>
            </w:pPr>
            <w:r w:rsidRPr="002D7AE6">
              <w:rPr>
                <w:rFonts w:eastAsia="Times" w:cs="Times New Roman"/>
                <w:b/>
                <w:sz w:val="18"/>
                <w:szCs w:val="18"/>
              </w:rPr>
              <w:t>Weighted score</w:t>
            </w:r>
          </w:p>
        </w:tc>
        <w:tc>
          <w:tcPr>
            <w:tcW w:w="587" w:type="pct"/>
            <w:gridSpan w:val="2"/>
            <w:shd w:val="clear" w:color="auto" w:fill="auto"/>
            <w:vAlign w:val="center"/>
          </w:tcPr>
          <w:p w14:paraId="5895C46F" w14:textId="77777777" w:rsidR="00052799" w:rsidRPr="002D7AE6" w:rsidRDefault="00052799" w:rsidP="00871631">
            <w:pPr>
              <w:suppressAutoHyphens/>
              <w:spacing w:before="120" w:after="120"/>
              <w:jc w:val="center"/>
              <w:rPr>
                <w:rFonts w:eastAsia="Times" w:cs="Times New Roman"/>
                <w:sz w:val="18"/>
                <w:szCs w:val="18"/>
              </w:rPr>
            </w:pPr>
            <w:r w:rsidRPr="002D7AE6">
              <w:rPr>
                <w:rFonts w:eastAsia="Times" w:cs="Times New Roman"/>
                <w:sz w:val="18"/>
                <w:szCs w:val="18"/>
              </w:rPr>
              <w:t>3.5</w:t>
            </w:r>
          </w:p>
        </w:tc>
      </w:tr>
    </w:tbl>
    <w:p w14:paraId="16A98D58" w14:textId="77777777" w:rsidR="00052799" w:rsidRPr="0010024C" w:rsidRDefault="00052799" w:rsidP="00052799"/>
    <w:p w14:paraId="01A023B7" w14:textId="77777777" w:rsidR="00052799" w:rsidRPr="00BD6998" w:rsidRDefault="00052799" w:rsidP="00052799">
      <w:pPr>
        <w:pStyle w:val="Heading1"/>
        <w:pageBreakBefore/>
      </w:pPr>
      <w:bookmarkStart w:id="207" w:name="_Toc498083121"/>
      <w:bookmarkStart w:id="208" w:name="_Toc500505488"/>
      <w:bookmarkStart w:id="209" w:name="_Toc501539183"/>
      <w:bookmarkStart w:id="210" w:name="_Toc491068126"/>
      <w:r w:rsidRPr="00BD6998">
        <w:t>Small business and competition impacts</w:t>
      </w:r>
      <w:bookmarkEnd w:id="207"/>
      <w:bookmarkEnd w:id="208"/>
      <w:bookmarkEnd w:id="209"/>
    </w:p>
    <w:p w14:paraId="7786E68A" w14:textId="77777777" w:rsidR="00052799" w:rsidRPr="00176ADE" w:rsidRDefault="00052799" w:rsidP="00052799">
      <w:pPr>
        <w:pStyle w:val="BodyText"/>
      </w:pPr>
      <w:r w:rsidRPr="00176ADE">
        <w:t xml:space="preserve">Regulatory change can have a disproportionate impact on small businesses as </w:t>
      </w:r>
      <w:r>
        <w:t>it has</w:t>
      </w:r>
      <w:r w:rsidRPr="00176ADE">
        <w:t xml:space="preserve"> </w:t>
      </w:r>
      <w:r>
        <w:t>more limited</w:t>
      </w:r>
      <w:r w:rsidRPr="00176ADE">
        <w:t xml:space="preserve"> resources to meet the cost burden </w:t>
      </w:r>
      <w:r>
        <w:t>imposed</w:t>
      </w:r>
      <w:r w:rsidRPr="00176ADE">
        <w:t xml:space="preserve"> by government</w:t>
      </w:r>
      <w:r>
        <w:t xml:space="preserve"> requirements</w:t>
      </w:r>
      <w:r w:rsidRPr="00176ADE">
        <w:t xml:space="preserve">. As a result, </w:t>
      </w:r>
      <w:r>
        <w:t xml:space="preserve">when </w:t>
      </w:r>
      <w:r w:rsidRPr="00176ADE">
        <w:t xml:space="preserve">implementing new or recurring </w:t>
      </w:r>
      <w:r>
        <w:t>r</w:t>
      </w:r>
      <w:r w:rsidRPr="00176ADE">
        <w:t>egulations, understanding the impact of the burden on small business is of importance.</w:t>
      </w:r>
    </w:p>
    <w:p w14:paraId="0D472BC8" w14:textId="77777777" w:rsidR="00052799" w:rsidRDefault="00052799" w:rsidP="00052799">
      <w:pPr>
        <w:pStyle w:val="BodyText"/>
      </w:pPr>
      <w:r w:rsidRPr="00176ADE">
        <w:t xml:space="preserve">As </w:t>
      </w:r>
      <w:r>
        <w:t>understood</w:t>
      </w:r>
      <w:r w:rsidRPr="00176ADE">
        <w:t xml:space="preserve"> through the consultation process, the </w:t>
      </w:r>
      <w:r>
        <w:t>Victorian</w:t>
      </w:r>
      <w:r w:rsidRPr="00176ADE">
        <w:t xml:space="preserve"> firearms market features a small number of very large wholesalers but a large number of small, independent firearms dealers, many of whom operate their dealership on a part</w:t>
      </w:r>
      <w:r>
        <w:t>-</w:t>
      </w:r>
      <w:r w:rsidRPr="00176ADE">
        <w:t>time basis or as an extension of another business.</w:t>
      </w:r>
      <w:r>
        <w:t xml:space="preserve"> </w:t>
      </w:r>
    </w:p>
    <w:p w14:paraId="7E674908" w14:textId="77777777" w:rsidR="00052799" w:rsidRPr="00176ADE" w:rsidRDefault="00052799" w:rsidP="00052799">
      <w:pPr>
        <w:pStyle w:val="BodyText"/>
      </w:pPr>
      <w:r w:rsidRPr="00176ADE">
        <w:t xml:space="preserve">In smaller business, compliance requirements associated with applications, record keeping and provision of information are more likely to be undertaken </w:t>
      </w:r>
      <w:r>
        <w:t xml:space="preserve">by </w:t>
      </w:r>
      <w:r w:rsidRPr="00176ADE">
        <w:t>a more senior staff member than would be the case for a larger business</w:t>
      </w:r>
      <w:r>
        <w:t>,</w:t>
      </w:r>
      <w:r w:rsidRPr="00176ADE">
        <w:t xml:space="preserve"> which is likely to have more junior staff dedicated to fulfilling these requirements. As such, to the extent that the remade Regulations impose a burden that is greater than what the Act would otherwise impose, there is likely to be a slightly greater proportionate impact on small business than for larger businesses, although this is likely to be marginal. </w:t>
      </w:r>
    </w:p>
    <w:p w14:paraId="5B69ACA5" w14:textId="77777777" w:rsidR="00052799" w:rsidRPr="00176ADE" w:rsidRDefault="00052799" w:rsidP="00052799">
      <w:pPr>
        <w:pStyle w:val="BodyText"/>
      </w:pPr>
      <w:r w:rsidRPr="00176ADE">
        <w:t>The proposed Regulations include changes relative to the lapsing regulations, including a change to allow Class 2 dealers to sell category C firearms, and the creation of a standalone paintball dealer’s licen</w:t>
      </w:r>
      <w:r>
        <w:t>c</w:t>
      </w:r>
      <w:r w:rsidRPr="00176ADE">
        <w:t xml:space="preserve">e for those dealers that only wish to trade in paintball </w:t>
      </w:r>
      <w:r>
        <w:t>markers</w:t>
      </w:r>
      <w:r w:rsidRPr="00176ADE">
        <w:t xml:space="preserve"> and associated </w:t>
      </w:r>
      <w:r>
        <w:t>components</w:t>
      </w:r>
      <w:r w:rsidRPr="00176ADE">
        <w:t xml:space="preserve">. These changes may allow smaller dealers to reduce their regulatory burden by: </w:t>
      </w:r>
    </w:p>
    <w:p w14:paraId="00110FC9" w14:textId="77777777" w:rsidR="00052799" w:rsidRPr="00176ADE" w:rsidRDefault="00052799" w:rsidP="00052799">
      <w:pPr>
        <w:pStyle w:val="BodyText"/>
        <w:numPr>
          <w:ilvl w:val="0"/>
          <w:numId w:val="70"/>
        </w:numPr>
        <w:tabs>
          <w:tab w:val="clear" w:pos="340"/>
          <w:tab w:val="num" w:pos="1134"/>
        </w:tabs>
        <w:ind w:left="1134"/>
      </w:pPr>
      <w:r>
        <w:t>a</w:t>
      </w:r>
      <w:r w:rsidRPr="00176ADE">
        <w:t>llowing dealers that currently feel compelled to maintain a Class 1 dealer licen</w:t>
      </w:r>
      <w:r>
        <w:t>c</w:t>
      </w:r>
      <w:r w:rsidRPr="00176ADE">
        <w:t>e in order to trade in category C firearms (primarily in the rural and regional markets) to instead take up a lower cost Class 2 licen</w:t>
      </w:r>
      <w:r>
        <w:t>c</w:t>
      </w:r>
      <w:r w:rsidRPr="00176ADE">
        <w:t>e while retaining their right to trade in these firearms</w:t>
      </w:r>
    </w:p>
    <w:p w14:paraId="29973D54" w14:textId="77777777" w:rsidR="00052799" w:rsidRPr="00176ADE" w:rsidRDefault="00052799" w:rsidP="00052799">
      <w:pPr>
        <w:pStyle w:val="BodyText"/>
        <w:numPr>
          <w:ilvl w:val="0"/>
          <w:numId w:val="70"/>
        </w:numPr>
        <w:tabs>
          <w:tab w:val="clear" w:pos="340"/>
          <w:tab w:val="num" w:pos="1134"/>
        </w:tabs>
        <w:ind w:left="1134"/>
      </w:pPr>
      <w:r>
        <w:t>a</w:t>
      </w:r>
      <w:r w:rsidRPr="00176ADE">
        <w:t>llowing small dealers who currently hold Class 2 dealer licen</w:t>
      </w:r>
      <w:r>
        <w:t>c</w:t>
      </w:r>
      <w:r w:rsidRPr="00176ADE">
        <w:t>es to access additional market opportunities through trade in category C firearms without any additional fees or regulatory burden</w:t>
      </w:r>
      <w:r>
        <w:t>, and</w:t>
      </w:r>
    </w:p>
    <w:p w14:paraId="2A1898E8" w14:textId="77777777" w:rsidR="00052799" w:rsidRPr="00176ADE" w:rsidRDefault="00052799" w:rsidP="00052799">
      <w:pPr>
        <w:pStyle w:val="BodyText"/>
        <w:numPr>
          <w:ilvl w:val="0"/>
          <w:numId w:val="70"/>
        </w:numPr>
        <w:tabs>
          <w:tab w:val="clear" w:pos="340"/>
          <w:tab w:val="num" w:pos="1134"/>
        </w:tabs>
        <w:ind w:left="1134"/>
      </w:pPr>
      <w:r>
        <w:t>a</w:t>
      </w:r>
      <w:r w:rsidRPr="00176ADE">
        <w:t xml:space="preserve">llowing dealers who only wish to trade in paintball </w:t>
      </w:r>
      <w:r>
        <w:t>markers</w:t>
      </w:r>
      <w:r w:rsidRPr="00176ADE">
        <w:t xml:space="preserve"> and associated </w:t>
      </w:r>
      <w:r>
        <w:t>components</w:t>
      </w:r>
      <w:r w:rsidRPr="00176ADE">
        <w:t xml:space="preserve"> to take up a standalone paintball dealer’s licen</w:t>
      </w:r>
      <w:r>
        <w:t>c</w:t>
      </w:r>
      <w:r w:rsidRPr="00176ADE">
        <w:t xml:space="preserve">e which is less expensive </w:t>
      </w:r>
      <w:r>
        <w:t>and</w:t>
      </w:r>
      <w:r w:rsidRPr="00176ADE">
        <w:t xml:space="preserve"> burdensome than </w:t>
      </w:r>
      <w:r>
        <w:t>a Class 1</w:t>
      </w:r>
      <w:r w:rsidRPr="00176ADE">
        <w:t xml:space="preserve"> dealer</w:t>
      </w:r>
      <w:r>
        <w:t>’s</w:t>
      </w:r>
      <w:r w:rsidRPr="00176ADE">
        <w:t xml:space="preserve"> licen</w:t>
      </w:r>
      <w:r>
        <w:t>ce, which a person who wishes to deal in paintball markers is currently required to hold</w:t>
      </w:r>
      <w:r w:rsidRPr="00176ADE">
        <w:t xml:space="preserve">. </w:t>
      </w:r>
    </w:p>
    <w:p w14:paraId="0CAED826" w14:textId="77777777" w:rsidR="00052799" w:rsidRPr="00176ADE" w:rsidRDefault="00052799" w:rsidP="00052799">
      <w:pPr>
        <w:pStyle w:val="BodyText"/>
      </w:pPr>
      <w:r w:rsidRPr="00176ADE">
        <w:t xml:space="preserve">In addition to these changes, the proposed regulations also </w:t>
      </w:r>
      <w:r>
        <w:t>increase and prescribe in fee units</w:t>
      </w:r>
      <w:r w:rsidRPr="00176ADE">
        <w:t xml:space="preserve"> the maximum amount that a dealer can charge for being an agent in the transfer of a firearm. Stakeholders reported that the existing fee was often insufficient to reflect the paperwork involved in processing a transaction as an agent, and that other jurisdictions allowed much higher (or uncapped) fees to be charged without </w:t>
      </w:r>
      <w:r>
        <w:t xml:space="preserve">any </w:t>
      </w:r>
      <w:r w:rsidRPr="00176ADE">
        <w:t>issues. Many of the dealers consulted indicated that acting as an agent represented a large proportion of the staff work required at many</w:t>
      </w:r>
      <w:r>
        <w:t xml:space="preserve"> retail</w:t>
      </w:r>
      <w:r w:rsidRPr="00176ADE">
        <w:t xml:space="preserve"> firearms dealerships and being allowed to charge more for these transactions would increase the financial viability of these small businesses. To this extent, the</w:t>
      </w:r>
      <w:r>
        <w:t xml:space="preserve"> Department considers that the R</w:t>
      </w:r>
      <w:r w:rsidRPr="00176ADE">
        <w:t>egulations offer additional opportunities for small dealers</w:t>
      </w:r>
      <w:r>
        <w:t>, allowing for an effective fee increase as of the time the regulations are remade, and providing for ongoing indexation of the fee cap over the life of the regulations</w:t>
      </w:r>
      <w:r w:rsidRPr="00176ADE">
        <w:t>.</w:t>
      </w:r>
      <w:r>
        <w:t xml:space="preserve"> It is expected that the benefit of this change will outweigh any costs to dealers associated with increased dealer licence fees.</w:t>
      </w:r>
    </w:p>
    <w:p w14:paraId="2AA6D172" w14:textId="77777777" w:rsidR="00052799" w:rsidRDefault="00052799" w:rsidP="00052799">
      <w:pPr>
        <w:pStyle w:val="BodyText"/>
      </w:pPr>
      <w:r w:rsidRPr="00176ADE">
        <w:t>The proposed (and existing) Regulations offer different fee rates for dealers that are bodies corporate as opposed to individuals. While not a perfect proxy for the size of a dealership, it does mean that individual traders in the firearms market will pay reduced fees relative to larger corporate dealers (though not all bodies corporate that are licensed firearms dealers are likely to be large businesses</w:t>
      </w:r>
      <w:r>
        <w:t>, and not all dealers licensed as individuals operate small businesses</w:t>
      </w:r>
      <w:r w:rsidRPr="00176ADE">
        <w:t xml:space="preserve">). </w:t>
      </w:r>
    </w:p>
    <w:p w14:paraId="5CBDB943" w14:textId="77777777" w:rsidR="00052799" w:rsidRDefault="00052799" w:rsidP="00052799">
      <w:pPr>
        <w:pStyle w:val="BodyText"/>
      </w:pPr>
      <w:r>
        <w:t xml:space="preserve">Other small businesses are also affected by fees set by the Regulations, such as small private security </w:t>
      </w:r>
      <w:r w:rsidRPr="00A60C4C">
        <w:t>companies, privately held target shooting ranges and paintball ranges, companies running firearm training courses and theatrical armourers, who provide firearms for use in film or stage productions. These businesses are required to hold relevant licences and permits, with fees for these representing a portion of their business expenses. As for dealers, these licensees would pay a different rate if licensed as an individual as compared to a body corporate. Some of these small businesses also hold a dealer’s licence, in which case they are affected in the same way as described above.</w:t>
      </w:r>
    </w:p>
    <w:p w14:paraId="260F5FA8" w14:textId="77777777" w:rsidR="00052799" w:rsidRPr="00BD6998" w:rsidRDefault="00052799" w:rsidP="00052799">
      <w:pPr>
        <w:pStyle w:val="Heading1"/>
        <w:pageBreakBefore/>
      </w:pPr>
      <w:bookmarkStart w:id="211" w:name="_Toc498083122"/>
      <w:bookmarkStart w:id="212" w:name="_Toc500505489"/>
      <w:bookmarkStart w:id="213" w:name="_Toc501539184"/>
      <w:r w:rsidRPr="00BD6998">
        <w:t>Implementation</w:t>
      </w:r>
      <w:bookmarkEnd w:id="211"/>
      <w:bookmarkEnd w:id="212"/>
      <w:bookmarkEnd w:id="213"/>
    </w:p>
    <w:p w14:paraId="36D572DE" w14:textId="61BD43B7" w:rsidR="00052799" w:rsidRPr="00176ADE" w:rsidRDefault="00052799" w:rsidP="00052799">
      <w:pPr>
        <w:pStyle w:val="BodyText"/>
      </w:pPr>
      <w:r w:rsidRPr="00176ADE">
        <w:t>The proposed regulations do not require extensive changes to existing administrative arrangements</w:t>
      </w:r>
      <w:r w:rsidR="002406E1">
        <w:t>.</w:t>
      </w:r>
      <w:r w:rsidRPr="00176ADE">
        <w:t xml:space="preserve"> </w:t>
      </w:r>
    </w:p>
    <w:p w14:paraId="35A48963" w14:textId="77777777" w:rsidR="00052799" w:rsidRPr="00176ADE" w:rsidRDefault="00052799" w:rsidP="00052799">
      <w:pPr>
        <w:pStyle w:val="BodyText"/>
      </w:pPr>
      <w:r w:rsidRPr="00176ADE">
        <w:t xml:space="preserve">Victoria Police will continue to be the regulator and its responsibilities would remain as they are under the status quo. </w:t>
      </w:r>
      <w:r>
        <w:t xml:space="preserve">That is, Victoria Police would continue to undertake its role in assessing and approving applications regarding firearms, and would continue to undertake monitoring and enforcement activity in order to achieve the regulatory objectives of public peace and safety. </w:t>
      </w:r>
    </w:p>
    <w:p w14:paraId="04377389" w14:textId="371A05A3" w:rsidR="00052799" w:rsidRPr="00176ADE" w:rsidRDefault="00052799" w:rsidP="00052799">
      <w:pPr>
        <w:pStyle w:val="BodyText"/>
      </w:pPr>
      <w:r w:rsidRPr="00176ADE">
        <w:t>Some administrative changes are expected as a result of the transition from licen</w:t>
      </w:r>
      <w:r>
        <w:t>c</w:t>
      </w:r>
      <w:r w:rsidRPr="00176ADE">
        <w:t>e issue fees to an application fee based system (</w:t>
      </w:r>
      <w:r w:rsidR="002406E1">
        <w:t>potentially involving</w:t>
      </w:r>
      <w:r w:rsidRPr="00176ADE">
        <w:t xml:space="preserve"> partial refunds for unsuccessful applicants)</w:t>
      </w:r>
      <w:r w:rsidR="002406E1">
        <w:t>;</w:t>
      </w:r>
      <w:r w:rsidRPr="00176ADE">
        <w:t xml:space="preserve"> however</w:t>
      </w:r>
      <w:r w:rsidR="002406E1">
        <w:t>,</w:t>
      </w:r>
      <w:r w:rsidRPr="00176ADE">
        <w:t xml:space="preserve"> these are unlikely to cause significant disruption for licensees or applicants. </w:t>
      </w:r>
      <w:r>
        <w:t xml:space="preserve">These changes, for example, could include minor reconfiguration of ICT systems, and providing communications activities to firearms applicants so that they became familiar with changes to the payment approach. </w:t>
      </w:r>
      <w:r w:rsidRPr="00176ADE">
        <w:t xml:space="preserve">The Department will work with Victoria Police to ensure that the public are notified in advance of this and the other proposed changes to the regulatory regime in order to limit any disruption that may be caused by the changes. </w:t>
      </w:r>
      <w:r>
        <w:t>For example, Victoria Police will develop communications to ensure that members of the public are aware of new exempt devices, and the permit requirements applying to chassis kits.</w:t>
      </w:r>
    </w:p>
    <w:p w14:paraId="5E57F6B4" w14:textId="77777777" w:rsidR="00052799" w:rsidRPr="00BD6998" w:rsidRDefault="00052799" w:rsidP="00052799">
      <w:pPr>
        <w:pStyle w:val="Heading1"/>
        <w:pageBreakBefore/>
      </w:pPr>
      <w:bookmarkStart w:id="214" w:name="_Toc498083123"/>
      <w:bookmarkStart w:id="215" w:name="_Toc500505490"/>
      <w:bookmarkStart w:id="216" w:name="_Toc501539185"/>
      <w:r w:rsidRPr="00BD6998">
        <w:t>Evaluation</w:t>
      </w:r>
      <w:bookmarkEnd w:id="214"/>
      <w:bookmarkEnd w:id="215"/>
      <w:bookmarkEnd w:id="216"/>
    </w:p>
    <w:p w14:paraId="6FA05079" w14:textId="77777777" w:rsidR="00052799" w:rsidRPr="00176ADE" w:rsidRDefault="00052799" w:rsidP="00052799">
      <w:pPr>
        <w:pStyle w:val="BodyText"/>
      </w:pPr>
      <w:r w:rsidRPr="00176ADE">
        <w:t xml:space="preserve">The Department will review the operation and impacts of the proposed Regulations over their lifetime. </w:t>
      </w:r>
    </w:p>
    <w:p w14:paraId="743C202C" w14:textId="77777777" w:rsidR="00052799" w:rsidRDefault="00052799" w:rsidP="00052799">
      <w:pPr>
        <w:pStyle w:val="BodyText"/>
      </w:pPr>
      <w:r w:rsidRPr="00176ADE">
        <w:t xml:space="preserve">The Department will in particular </w:t>
      </w:r>
      <w:r>
        <w:t>work with</w:t>
      </w:r>
      <w:r w:rsidRPr="00176ADE">
        <w:t xml:space="preserve"> LRD to monitor trends in the licensing of firearms users and dealers, as well as enforcement operations. This data will be used </w:t>
      </w:r>
      <w:r>
        <w:t>together with offence and</w:t>
      </w:r>
      <w:r w:rsidRPr="00176ADE">
        <w:t xml:space="preserve"> </w:t>
      </w:r>
      <w:r>
        <w:t>prosecution data</w:t>
      </w:r>
      <w:r w:rsidRPr="00176ADE">
        <w:t xml:space="preserve"> to analyse the number and nature of breaches of the Act</w:t>
      </w:r>
      <w:r>
        <w:t xml:space="preserve"> during the life of the Regulations</w:t>
      </w:r>
      <w:r w:rsidRPr="00176ADE">
        <w:t xml:space="preserve">. The goal of this analysis will be to determine any trends in the breaches of the Act or Regulations, to help inform consideration of whether any further changes to the Regulations may be required. </w:t>
      </w:r>
    </w:p>
    <w:p w14:paraId="41AB3FAE" w14:textId="77777777" w:rsidR="00052799" w:rsidRPr="00176ADE" w:rsidRDefault="00052799" w:rsidP="00052799">
      <w:pPr>
        <w:pStyle w:val="BodyText"/>
      </w:pPr>
      <w:r>
        <w:t xml:space="preserve">As part of consideration of changes to the administration of the regulatory framework over the duration of the remade regulations, </w:t>
      </w:r>
      <w:r w:rsidRPr="00975D38">
        <w:t xml:space="preserve">the risks, benefits and costs of aligning expiry dates for individuals who hold multiple category firearms licences </w:t>
      </w:r>
      <w:r>
        <w:t>will be further considered</w:t>
      </w:r>
      <w:r w:rsidRPr="00975D38">
        <w:t>.</w:t>
      </w:r>
      <w:r>
        <w:t xml:space="preserve"> To this end, stakeholders are invited to comment on the pros and cons of this approach.</w:t>
      </w:r>
    </w:p>
    <w:p w14:paraId="61B6CE40" w14:textId="77777777" w:rsidR="00052799" w:rsidRDefault="00052799" w:rsidP="00052799">
      <w:pPr>
        <w:pStyle w:val="BodyText"/>
      </w:pPr>
      <w:r w:rsidRPr="00176ADE">
        <w:t>The setting of fees in the proposed regulation has been supported by an activity</w:t>
      </w:r>
      <w:r>
        <w:t>-</w:t>
      </w:r>
      <w:r w:rsidRPr="00176ADE">
        <w:t>based costing which involved a comprehensive evaluation of the costs associated with the regulatory regime for firearms in Victoria and the manner in which these could most accurately be apportioned across the various classes of licen</w:t>
      </w:r>
      <w:r>
        <w:t>c</w:t>
      </w:r>
      <w:r w:rsidRPr="00176ADE">
        <w:t xml:space="preserve">es and permits in order to achieve efficient and equitable cost recovery. To ensure the quantum of fees remain appropriate in future years, the Department will seek advice from Victoria </w:t>
      </w:r>
      <w:r>
        <w:t>P</w:t>
      </w:r>
      <w:r w:rsidRPr="00176ADE">
        <w:t xml:space="preserve">olice on any changes in its cost profile, particularly within LRD. These will be used to indicate whether or not further alterations are required to the fee schedules in the future. The Department will also seek advice from Victoria Police on potential efficiency gains arising from technological advancements or process changes within LRD which may allow for an adjustment of the fees proposed in the proposed Regulations. </w:t>
      </w:r>
    </w:p>
    <w:p w14:paraId="3D135780" w14:textId="77777777" w:rsidR="00052799" w:rsidRDefault="00052799" w:rsidP="00052799">
      <w:pPr>
        <w:pStyle w:val="BodyText"/>
      </w:pPr>
      <w:r>
        <w:t>In particular, specific data will be collected with regard to:</w:t>
      </w:r>
    </w:p>
    <w:p w14:paraId="2A1092B5" w14:textId="77777777" w:rsidR="00052799" w:rsidRDefault="00052799" w:rsidP="00052799">
      <w:pPr>
        <w:pStyle w:val="Bulletnormal"/>
        <w:tabs>
          <w:tab w:val="clear" w:pos="283"/>
        </w:tabs>
      </w:pPr>
      <w:r>
        <w:t xml:space="preserve">Primary producer exemptions – in order to continue to assess the extent of revenue forgone, and any increases or decreases in this level, and whether it remains appropriate. The Department will track this by keeping a record of the number of licences applied for with ‘primary production’ as the stated genuine reason underpinning the licence application, which will provide information on the scale of the exemption over time. </w:t>
      </w:r>
    </w:p>
    <w:p w14:paraId="58D8EEFD" w14:textId="49194B5C" w:rsidR="00052799" w:rsidRDefault="00052799" w:rsidP="00052799">
      <w:pPr>
        <w:pStyle w:val="Bulletnormal"/>
        <w:tabs>
          <w:tab w:val="clear" w:pos="283"/>
        </w:tabs>
      </w:pPr>
      <w:r>
        <w:t xml:space="preserve">Concessions – in order to establish the extent of revenue forgone, and whether this amendment is changing application behaviour, and whether it remains appropriate. This finding would be based on records kept of the number of licence applications to which the concession discount is applied </w:t>
      </w:r>
      <w:r w:rsidR="0099108A">
        <w:t>and/</w:t>
      </w:r>
      <w:r>
        <w:t xml:space="preserve">or based on records regarding the ages of approved licence applicants. </w:t>
      </w:r>
    </w:p>
    <w:p w14:paraId="15553375" w14:textId="77777777" w:rsidR="00052799" w:rsidRDefault="00052799" w:rsidP="00052799">
      <w:pPr>
        <w:pStyle w:val="Bulletnormal"/>
        <w:tabs>
          <w:tab w:val="clear" w:pos="283"/>
        </w:tabs>
      </w:pPr>
      <w:r>
        <w:t>Application fees – in order to establish whether the amendments have reduced the work undertaken by Victoria Police in relation to unsuccessful applications, with this data being based on consultation with members of the LRD and an assessment of volume of applications processed relative to available resources over time.</w:t>
      </w:r>
    </w:p>
    <w:p w14:paraId="00A3D74A" w14:textId="77777777" w:rsidR="00052799" w:rsidRDefault="00052799" w:rsidP="00052799">
      <w:pPr>
        <w:pStyle w:val="Bulletnormal"/>
        <w:tabs>
          <w:tab w:val="clear" w:pos="283"/>
        </w:tabs>
      </w:pPr>
      <w:r>
        <w:t xml:space="preserve">Chassis kits permit applications – in order to identify whether the low volume expected is accurate. Quantity of applications for these kits would be sufficient to determine demand, and re-assessment would be triggered if successful application rates were significantly higher than expected which would demonstrate a greater than expected need for these kits. </w:t>
      </w:r>
    </w:p>
    <w:p w14:paraId="576838EF" w14:textId="14E2C6E4" w:rsidR="00A80BC8" w:rsidRPr="00176ADE" w:rsidRDefault="00A80BC8" w:rsidP="000514BF">
      <w:pPr>
        <w:pStyle w:val="Bulletnormal"/>
        <w:numPr>
          <w:ilvl w:val="0"/>
          <w:numId w:val="0"/>
        </w:numPr>
        <w:tabs>
          <w:tab w:val="clear" w:pos="4877"/>
        </w:tabs>
        <w:ind w:left="851"/>
      </w:pPr>
      <w:r>
        <w:t>Given the impact of the regulations (which exceeds $8m per annum), a mid-term evaluation of the above impacts will be undertaken five years into the life of the regulations.</w:t>
      </w:r>
    </w:p>
    <w:p w14:paraId="2886E5CF" w14:textId="77777777" w:rsidR="00052799" w:rsidRPr="00BD6998" w:rsidRDefault="00052799" w:rsidP="00052799">
      <w:pPr>
        <w:pStyle w:val="Heading1"/>
        <w:pageBreakBefore/>
      </w:pPr>
      <w:bookmarkStart w:id="217" w:name="_Toc498083124"/>
      <w:bookmarkStart w:id="218" w:name="_Toc500505491"/>
      <w:bookmarkStart w:id="219" w:name="_Toc501539186"/>
      <w:r w:rsidRPr="00BD6998">
        <w:t>Consultation</w:t>
      </w:r>
      <w:bookmarkEnd w:id="217"/>
      <w:bookmarkEnd w:id="218"/>
      <w:bookmarkEnd w:id="219"/>
    </w:p>
    <w:p w14:paraId="5A2B0B51" w14:textId="77777777" w:rsidR="00052799" w:rsidRPr="00176ADE" w:rsidRDefault="00052799" w:rsidP="00052799">
      <w:pPr>
        <w:pStyle w:val="Heading2"/>
      </w:pPr>
      <w:bookmarkStart w:id="220" w:name="_Toc498083125"/>
      <w:bookmarkStart w:id="221" w:name="_Toc500505492"/>
      <w:bookmarkStart w:id="222" w:name="_Toc501539187"/>
      <w:r w:rsidRPr="00176ADE">
        <w:t>Consultation Background</w:t>
      </w:r>
      <w:bookmarkEnd w:id="220"/>
      <w:bookmarkEnd w:id="221"/>
      <w:bookmarkEnd w:id="222"/>
    </w:p>
    <w:p w14:paraId="405E14F4" w14:textId="77777777" w:rsidR="00052799" w:rsidRDefault="00052799" w:rsidP="00052799">
      <w:pPr>
        <w:pStyle w:val="BodyText"/>
      </w:pPr>
      <w:r>
        <w:t>During its review of the Regulations, t</w:t>
      </w:r>
      <w:r w:rsidRPr="00BD6998">
        <w:t xml:space="preserve">he </w:t>
      </w:r>
      <w:r>
        <w:t xml:space="preserve">Department undertook consultations with a range of key stakeholders. </w:t>
      </w:r>
    </w:p>
    <w:p w14:paraId="7456B3CC" w14:textId="1C96D1BB" w:rsidR="00052799" w:rsidRDefault="00052799" w:rsidP="00052799">
      <w:pPr>
        <w:pStyle w:val="BodyText"/>
      </w:pPr>
      <w:r>
        <w:t xml:space="preserve">Extensive consultations with Victoria Police were carried out to identify potential improvements to the regulations. Victoria Police also supplied data to support the analysis and consideration of proposals in this document. The Department offers its thanks to the Licensing and Regulation Division for its pro-active and diligent support throughout the preparation of this document. </w:t>
      </w:r>
    </w:p>
    <w:p w14:paraId="3D3C8D2C" w14:textId="77777777" w:rsidR="00052799" w:rsidRDefault="00052799" w:rsidP="00052799">
      <w:pPr>
        <w:pStyle w:val="BodyText"/>
      </w:pPr>
      <w:r>
        <w:t>The Department also consulted with a subcommittee of the Victorian Firearms Consultative Committee (VFCC). The VFCC advises the Minister for Police on firearms policy in the state. The VFCC subcommittee met to discuss proposals under consideration for amending the Regulations, and to provide feedback on their impact. The Department thanks the members of the subcommittee for giving their time and experience to this process.</w:t>
      </w:r>
    </w:p>
    <w:p w14:paraId="5700B8C2" w14:textId="77777777" w:rsidR="00052799" w:rsidRDefault="00052799" w:rsidP="00052799">
      <w:pPr>
        <w:pStyle w:val="BodyText"/>
      </w:pPr>
      <w:r>
        <w:t xml:space="preserve">The Department also consulted directly with stakeholder representative groups, across different segments of the firearms community. A focus on stakeholder groups within the firearms community was considered appropriate because, due to their limited scope, the regulations do not affect access to firearms, only practical aspects of their purchase and use.  </w:t>
      </w:r>
    </w:p>
    <w:p w14:paraId="51BCDA45" w14:textId="77777777" w:rsidR="00052799" w:rsidRDefault="00052799" w:rsidP="00052799">
      <w:pPr>
        <w:pStyle w:val="BodyText"/>
      </w:pPr>
      <w:r>
        <w:t>The groups consulted by the Department were:</w:t>
      </w:r>
    </w:p>
    <w:p w14:paraId="550E6334" w14:textId="2C91DC63" w:rsidR="00243550" w:rsidRPr="00610D49" w:rsidRDefault="00243550" w:rsidP="00243550">
      <w:pPr>
        <w:pStyle w:val="Caption"/>
      </w:pPr>
      <w:r w:rsidRPr="00610D49">
        <w:t xml:space="preserve">Table </w:t>
      </w:r>
      <w:r w:rsidR="001C7D77">
        <w:rPr>
          <w:noProof/>
        </w:rPr>
        <w:t>39</w:t>
      </w:r>
      <w:r>
        <w:t>: Stakeholders consulted during the development of the RIS</w:t>
      </w:r>
    </w:p>
    <w:tbl>
      <w:tblPr>
        <w:tblW w:w="4553" w:type="pct"/>
        <w:tblInd w:w="907" w:type="dxa"/>
        <w:tblBorders>
          <w:top w:val="single" w:sz="4" w:space="0" w:color="666366"/>
          <w:bottom w:val="single" w:sz="4" w:space="0" w:color="666366"/>
          <w:insideH w:val="single" w:sz="2" w:space="0" w:color="C0C0C0"/>
        </w:tblBorders>
        <w:tblLayout w:type="fixed"/>
        <w:tblCellMar>
          <w:top w:w="57" w:type="dxa"/>
          <w:bottom w:w="57" w:type="dxa"/>
        </w:tblCellMar>
        <w:tblLook w:val="01E0" w:firstRow="1" w:lastRow="1" w:firstColumn="1" w:lastColumn="1" w:noHBand="0" w:noVBand="0"/>
        <w:tblCaption w:val="Table 39: Stakeholders consulted during the development of the RIS"/>
      </w:tblPr>
      <w:tblGrid>
        <w:gridCol w:w="3203"/>
        <w:gridCol w:w="5831"/>
      </w:tblGrid>
      <w:tr w:rsidR="00052799" w:rsidRPr="002D7AE6" w14:paraId="2F23AAF2" w14:textId="77777777" w:rsidTr="001C7D77">
        <w:trPr>
          <w:tblHeader/>
        </w:trPr>
        <w:tc>
          <w:tcPr>
            <w:tcW w:w="1773" w:type="pct"/>
            <w:tcBorders>
              <w:top w:val="single" w:sz="4" w:space="0" w:color="666366"/>
              <w:bottom w:val="single" w:sz="2" w:space="0" w:color="C0C0C0"/>
            </w:tcBorders>
            <w:shd w:val="clear" w:color="auto" w:fill="002060"/>
          </w:tcPr>
          <w:p w14:paraId="2400AF70" w14:textId="77777777" w:rsidR="00052799" w:rsidRPr="002D7AE6" w:rsidRDefault="00052799" w:rsidP="00871631">
            <w:pPr>
              <w:pStyle w:val="TableHeader"/>
              <w:rPr>
                <w:sz w:val="18"/>
                <w:szCs w:val="18"/>
              </w:rPr>
            </w:pPr>
            <w:r w:rsidRPr="002D7AE6">
              <w:rPr>
                <w:sz w:val="18"/>
                <w:szCs w:val="18"/>
              </w:rPr>
              <w:t>Group</w:t>
            </w:r>
          </w:p>
        </w:tc>
        <w:tc>
          <w:tcPr>
            <w:tcW w:w="3227" w:type="pct"/>
            <w:tcBorders>
              <w:top w:val="single" w:sz="4" w:space="0" w:color="666366"/>
              <w:bottom w:val="single" w:sz="2" w:space="0" w:color="C0C0C0"/>
            </w:tcBorders>
            <w:shd w:val="clear" w:color="auto" w:fill="002060"/>
          </w:tcPr>
          <w:p w14:paraId="49572498" w14:textId="77777777" w:rsidR="00052799" w:rsidRPr="002D7AE6" w:rsidRDefault="00052799" w:rsidP="00871631">
            <w:pPr>
              <w:pStyle w:val="TableHeader"/>
              <w:rPr>
                <w:sz w:val="18"/>
                <w:szCs w:val="18"/>
              </w:rPr>
            </w:pPr>
            <w:r w:rsidRPr="002D7AE6">
              <w:rPr>
                <w:sz w:val="18"/>
                <w:szCs w:val="18"/>
              </w:rPr>
              <w:t>Organisations</w:t>
            </w:r>
          </w:p>
        </w:tc>
      </w:tr>
      <w:tr w:rsidR="00052799" w:rsidRPr="002D7AE6" w14:paraId="0CE29635" w14:textId="77777777" w:rsidTr="00871631">
        <w:tc>
          <w:tcPr>
            <w:tcW w:w="1773" w:type="pct"/>
            <w:tcBorders>
              <w:top w:val="single" w:sz="2" w:space="0" w:color="C0C0C0"/>
            </w:tcBorders>
            <w:shd w:val="clear" w:color="auto" w:fill="auto"/>
          </w:tcPr>
          <w:p w14:paraId="0661C395" w14:textId="77777777" w:rsidR="00052799" w:rsidRPr="002D7AE6" w:rsidRDefault="00052799" w:rsidP="00871631">
            <w:pPr>
              <w:pStyle w:val="TableText"/>
            </w:pPr>
            <w:r w:rsidRPr="002D7AE6">
              <w:rPr>
                <w:b/>
                <w:bCs/>
              </w:rPr>
              <w:t>General</w:t>
            </w:r>
          </w:p>
        </w:tc>
        <w:tc>
          <w:tcPr>
            <w:tcW w:w="3227" w:type="pct"/>
            <w:tcBorders>
              <w:top w:val="single" w:sz="2" w:space="0" w:color="C0C0C0"/>
            </w:tcBorders>
            <w:shd w:val="clear" w:color="auto" w:fill="auto"/>
          </w:tcPr>
          <w:p w14:paraId="6F98F169" w14:textId="77777777" w:rsidR="00052799" w:rsidRPr="002D7AE6" w:rsidRDefault="00052799" w:rsidP="00871631">
            <w:pPr>
              <w:spacing w:before="100" w:after="100"/>
              <w:rPr>
                <w:sz w:val="18"/>
                <w:szCs w:val="18"/>
              </w:rPr>
            </w:pPr>
            <w:r w:rsidRPr="002D7AE6">
              <w:rPr>
                <w:sz w:val="18"/>
                <w:szCs w:val="18"/>
              </w:rPr>
              <w:t>Sporting Shooters Association of Australia*</w:t>
            </w:r>
          </w:p>
          <w:p w14:paraId="59723185" w14:textId="77777777" w:rsidR="00052799" w:rsidRPr="002D7AE6" w:rsidRDefault="00052799" w:rsidP="00871631">
            <w:pPr>
              <w:pStyle w:val="TableText"/>
            </w:pPr>
            <w:r w:rsidRPr="002D7AE6">
              <w:t>Firearm Safety Foundation*</w:t>
            </w:r>
          </w:p>
        </w:tc>
      </w:tr>
      <w:tr w:rsidR="00052799" w:rsidRPr="002D7AE6" w14:paraId="2521D365" w14:textId="77777777" w:rsidTr="00871631">
        <w:tc>
          <w:tcPr>
            <w:tcW w:w="1773" w:type="pct"/>
            <w:shd w:val="clear" w:color="auto" w:fill="auto"/>
          </w:tcPr>
          <w:p w14:paraId="6BA92F64" w14:textId="77777777" w:rsidR="00052799" w:rsidRPr="002D7AE6" w:rsidRDefault="00052799" w:rsidP="00871631">
            <w:pPr>
              <w:pStyle w:val="TableText"/>
            </w:pPr>
            <w:r w:rsidRPr="002D7AE6">
              <w:rPr>
                <w:b/>
                <w:bCs/>
              </w:rPr>
              <w:t>Licensed dealers</w:t>
            </w:r>
          </w:p>
        </w:tc>
        <w:tc>
          <w:tcPr>
            <w:tcW w:w="3227" w:type="pct"/>
            <w:shd w:val="clear" w:color="auto" w:fill="auto"/>
          </w:tcPr>
          <w:p w14:paraId="548BFBC0" w14:textId="77777777" w:rsidR="00052799" w:rsidRPr="002D7AE6" w:rsidRDefault="00052799" w:rsidP="00871631">
            <w:pPr>
              <w:spacing w:before="100" w:after="100"/>
              <w:rPr>
                <w:sz w:val="18"/>
                <w:szCs w:val="18"/>
              </w:rPr>
            </w:pPr>
            <w:r w:rsidRPr="002D7AE6">
              <w:rPr>
                <w:sz w:val="18"/>
                <w:szCs w:val="18"/>
              </w:rPr>
              <w:t>Shooting Industry Foundation of Australia*^</w:t>
            </w:r>
          </w:p>
          <w:p w14:paraId="1945C84C" w14:textId="77777777" w:rsidR="00052799" w:rsidRPr="002D7AE6" w:rsidRDefault="00052799" w:rsidP="00871631">
            <w:pPr>
              <w:spacing w:before="100" w:after="100"/>
              <w:rPr>
                <w:sz w:val="18"/>
                <w:szCs w:val="18"/>
              </w:rPr>
            </w:pPr>
            <w:r w:rsidRPr="002D7AE6">
              <w:rPr>
                <w:sz w:val="18"/>
                <w:szCs w:val="18"/>
              </w:rPr>
              <w:t>Firearm Traders Association of Victoria*</w:t>
            </w:r>
          </w:p>
        </w:tc>
      </w:tr>
      <w:tr w:rsidR="00052799" w:rsidRPr="002D7AE6" w14:paraId="2122D82B" w14:textId="77777777" w:rsidTr="00871631">
        <w:tc>
          <w:tcPr>
            <w:tcW w:w="1773" w:type="pct"/>
            <w:shd w:val="clear" w:color="auto" w:fill="auto"/>
          </w:tcPr>
          <w:p w14:paraId="1DB77D9E" w14:textId="77777777" w:rsidR="00052799" w:rsidRPr="002D7AE6" w:rsidRDefault="00052799" w:rsidP="00871631">
            <w:pPr>
              <w:pStyle w:val="TableText"/>
            </w:pPr>
            <w:r w:rsidRPr="002D7AE6">
              <w:rPr>
                <w:b/>
                <w:bCs/>
              </w:rPr>
              <w:t>Target shooters</w:t>
            </w:r>
          </w:p>
        </w:tc>
        <w:tc>
          <w:tcPr>
            <w:tcW w:w="3227" w:type="pct"/>
            <w:shd w:val="clear" w:color="auto" w:fill="auto"/>
          </w:tcPr>
          <w:p w14:paraId="235AEB85" w14:textId="77777777" w:rsidR="00052799" w:rsidRPr="002D7AE6" w:rsidRDefault="00052799" w:rsidP="00871631">
            <w:pPr>
              <w:spacing w:before="100" w:after="100"/>
              <w:rPr>
                <w:sz w:val="18"/>
                <w:szCs w:val="18"/>
              </w:rPr>
            </w:pPr>
            <w:r w:rsidRPr="002D7AE6">
              <w:rPr>
                <w:sz w:val="18"/>
                <w:szCs w:val="18"/>
              </w:rPr>
              <w:t>Victorian Amateur Pistol Association*</w:t>
            </w:r>
          </w:p>
          <w:p w14:paraId="720A0DFA" w14:textId="77777777" w:rsidR="00052799" w:rsidRPr="002D7AE6" w:rsidRDefault="00052799" w:rsidP="00871631">
            <w:pPr>
              <w:spacing w:before="100" w:after="100"/>
              <w:rPr>
                <w:sz w:val="18"/>
                <w:szCs w:val="18"/>
              </w:rPr>
            </w:pPr>
            <w:r w:rsidRPr="002D7AE6">
              <w:rPr>
                <w:sz w:val="18"/>
                <w:szCs w:val="18"/>
              </w:rPr>
              <w:t>Shooting Sports Council of Victoria*</w:t>
            </w:r>
          </w:p>
          <w:p w14:paraId="06C726A9" w14:textId="77777777" w:rsidR="00052799" w:rsidRPr="002D7AE6" w:rsidRDefault="00052799" w:rsidP="00871631">
            <w:pPr>
              <w:pStyle w:val="TableText"/>
            </w:pPr>
            <w:r w:rsidRPr="002D7AE6">
              <w:t>Victorian Clay Target Association</w:t>
            </w:r>
          </w:p>
        </w:tc>
      </w:tr>
      <w:tr w:rsidR="00052799" w:rsidRPr="002D7AE6" w14:paraId="486ED5FE" w14:textId="77777777" w:rsidTr="00871631">
        <w:tc>
          <w:tcPr>
            <w:tcW w:w="1773" w:type="pct"/>
            <w:shd w:val="clear" w:color="auto" w:fill="auto"/>
          </w:tcPr>
          <w:p w14:paraId="50CBBAFE" w14:textId="77777777" w:rsidR="00052799" w:rsidRPr="002D7AE6" w:rsidRDefault="00052799" w:rsidP="00871631">
            <w:pPr>
              <w:pStyle w:val="TableText"/>
            </w:pPr>
            <w:r w:rsidRPr="002D7AE6">
              <w:rPr>
                <w:b/>
                <w:bCs/>
              </w:rPr>
              <w:t>Hunters</w:t>
            </w:r>
          </w:p>
        </w:tc>
        <w:tc>
          <w:tcPr>
            <w:tcW w:w="3227" w:type="pct"/>
            <w:shd w:val="clear" w:color="auto" w:fill="auto"/>
          </w:tcPr>
          <w:p w14:paraId="32D18627" w14:textId="77777777" w:rsidR="00052799" w:rsidRPr="002D7AE6" w:rsidRDefault="00052799" w:rsidP="00871631">
            <w:pPr>
              <w:spacing w:before="100" w:after="100"/>
              <w:rPr>
                <w:sz w:val="18"/>
                <w:szCs w:val="18"/>
              </w:rPr>
            </w:pPr>
            <w:r w:rsidRPr="002D7AE6">
              <w:rPr>
                <w:sz w:val="18"/>
                <w:szCs w:val="18"/>
              </w:rPr>
              <w:t>Field &amp; Game Australia*</w:t>
            </w:r>
          </w:p>
          <w:p w14:paraId="2B1464E1" w14:textId="77777777" w:rsidR="00052799" w:rsidRPr="002D7AE6" w:rsidRDefault="00052799" w:rsidP="00871631">
            <w:pPr>
              <w:pStyle w:val="TableText"/>
            </w:pPr>
            <w:r w:rsidRPr="002D7AE6">
              <w:t>Australian Deer Association</w:t>
            </w:r>
          </w:p>
        </w:tc>
      </w:tr>
      <w:tr w:rsidR="00052799" w:rsidRPr="002D7AE6" w14:paraId="5EAE2D50" w14:textId="77777777" w:rsidTr="00871631">
        <w:tc>
          <w:tcPr>
            <w:tcW w:w="1773" w:type="pct"/>
            <w:shd w:val="clear" w:color="auto" w:fill="auto"/>
          </w:tcPr>
          <w:p w14:paraId="5F144B56" w14:textId="77777777" w:rsidR="00052799" w:rsidRPr="002D7AE6" w:rsidRDefault="00052799" w:rsidP="00871631">
            <w:pPr>
              <w:pStyle w:val="TableText"/>
            </w:pPr>
            <w:r w:rsidRPr="002D7AE6">
              <w:rPr>
                <w:b/>
                <w:bCs/>
              </w:rPr>
              <w:t>Security Industry</w:t>
            </w:r>
          </w:p>
        </w:tc>
        <w:tc>
          <w:tcPr>
            <w:tcW w:w="3227" w:type="pct"/>
            <w:shd w:val="clear" w:color="auto" w:fill="auto"/>
          </w:tcPr>
          <w:p w14:paraId="289B08D2" w14:textId="77777777" w:rsidR="00052799" w:rsidRPr="002D7AE6" w:rsidRDefault="00052799" w:rsidP="00871631">
            <w:pPr>
              <w:pStyle w:val="TableText"/>
            </w:pPr>
            <w:r w:rsidRPr="002D7AE6">
              <w:t>Australian Security Industry Association*</w:t>
            </w:r>
          </w:p>
        </w:tc>
      </w:tr>
      <w:tr w:rsidR="00052799" w:rsidRPr="002D7AE6" w14:paraId="0E379393" w14:textId="77777777" w:rsidTr="00871631">
        <w:tc>
          <w:tcPr>
            <w:tcW w:w="1773" w:type="pct"/>
            <w:shd w:val="clear" w:color="auto" w:fill="auto"/>
          </w:tcPr>
          <w:p w14:paraId="5B0D4BC6" w14:textId="77777777" w:rsidR="00052799" w:rsidRPr="002D7AE6" w:rsidRDefault="00052799" w:rsidP="00871631">
            <w:pPr>
              <w:pStyle w:val="TableText"/>
            </w:pPr>
            <w:r w:rsidRPr="002D7AE6">
              <w:rPr>
                <w:b/>
                <w:bCs/>
              </w:rPr>
              <w:t>Farmers</w:t>
            </w:r>
          </w:p>
        </w:tc>
        <w:tc>
          <w:tcPr>
            <w:tcW w:w="3227" w:type="pct"/>
            <w:shd w:val="clear" w:color="auto" w:fill="auto"/>
          </w:tcPr>
          <w:p w14:paraId="2820D27B" w14:textId="77777777" w:rsidR="00052799" w:rsidRPr="002D7AE6" w:rsidRDefault="00052799" w:rsidP="00871631">
            <w:pPr>
              <w:pStyle w:val="TableText"/>
            </w:pPr>
            <w:r w:rsidRPr="002D7AE6">
              <w:t>Victorian Farmers Federation</w:t>
            </w:r>
          </w:p>
        </w:tc>
      </w:tr>
      <w:tr w:rsidR="00052799" w:rsidRPr="002D7AE6" w14:paraId="425A2B0E" w14:textId="77777777" w:rsidTr="00871631">
        <w:tc>
          <w:tcPr>
            <w:tcW w:w="1773" w:type="pct"/>
            <w:shd w:val="clear" w:color="auto" w:fill="auto"/>
          </w:tcPr>
          <w:p w14:paraId="05252E8B" w14:textId="77777777" w:rsidR="00052799" w:rsidRPr="002D7AE6" w:rsidRDefault="00052799" w:rsidP="00871631">
            <w:pPr>
              <w:pStyle w:val="TableText"/>
            </w:pPr>
            <w:r w:rsidRPr="002D7AE6">
              <w:rPr>
                <w:b/>
                <w:bCs/>
              </w:rPr>
              <w:t>Collectors</w:t>
            </w:r>
          </w:p>
        </w:tc>
        <w:tc>
          <w:tcPr>
            <w:tcW w:w="3227" w:type="pct"/>
            <w:shd w:val="clear" w:color="auto" w:fill="auto"/>
          </w:tcPr>
          <w:p w14:paraId="7E77508D" w14:textId="77777777" w:rsidR="00052799" w:rsidRPr="002D7AE6" w:rsidRDefault="00052799" w:rsidP="00871631">
            <w:pPr>
              <w:pStyle w:val="TableText"/>
            </w:pPr>
            <w:r w:rsidRPr="002D7AE6">
              <w:t>Antique and Historical Arms Collectors Guild of Victoria Inc</w:t>
            </w:r>
          </w:p>
        </w:tc>
      </w:tr>
      <w:tr w:rsidR="00052799" w:rsidRPr="002D7AE6" w14:paraId="359A8D47" w14:textId="77777777" w:rsidTr="00871631">
        <w:tc>
          <w:tcPr>
            <w:tcW w:w="1773" w:type="pct"/>
            <w:shd w:val="clear" w:color="auto" w:fill="auto"/>
          </w:tcPr>
          <w:p w14:paraId="18329F6A" w14:textId="77777777" w:rsidR="00052799" w:rsidRPr="002D7AE6" w:rsidRDefault="00052799" w:rsidP="00871631">
            <w:pPr>
              <w:pStyle w:val="TableText"/>
            </w:pPr>
            <w:r w:rsidRPr="002D7AE6">
              <w:rPr>
                <w:b/>
                <w:bCs/>
              </w:rPr>
              <w:t>Paintball industry</w:t>
            </w:r>
          </w:p>
        </w:tc>
        <w:tc>
          <w:tcPr>
            <w:tcW w:w="3227" w:type="pct"/>
            <w:shd w:val="clear" w:color="auto" w:fill="auto"/>
          </w:tcPr>
          <w:p w14:paraId="691A6B7D" w14:textId="77777777" w:rsidR="00052799" w:rsidRPr="002D7AE6" w:rsidRDefault="00052799" w:rsidP="00871631">
            <w:pPr>
              <w:pStyle w:val="TableText"/>
            </w:pPr>
            <w:r w:rsidRPr="002D7AE6">
              <w:t>Australasian Paintball Association^</w:t>
            </w:r>
          </w:p>
        </w:tc>
      </w:tr>
    </w:tbl>
    <w:p w14:paraId="052AA1BB" w14:textId="77777777" w:rsidR="00052799" w:rsidRPr="00BD6998" w:rsidRDefault="00052799" w:rsidP="00052799">
      <w:pPr>
        <w:spacing w:before="120"/>
        <w:ind w:left="993"/>
        <w:rPr>
          <w:sz w:val="18"/>
          <w:szCs w:val="18"/>
        </w:rPr>
      </w:pPr>
      <w:r w:rsidRPr="00BD6998">
        <w:rPr>
          <w:sz w:val="18"/>
          <w:szCs w:val="18"/>
        </w:rPr>
        <w:t xml:space="preserve">* </w:t>
      </w:r>
      <w:r>
        <w:rPr>
          <w:sz w:val="18"/>
          <w:szCs w:val="18"/>
        </w:rPr>
        <w:t xml:space="preserve">also </w:t>
      </w:r>
      <w:r w:rsidRPr="00BD6998">
        <w:rPr>
          <w:sz w:val="18"/>
          <w:szCs w:val="18"/>
        </w:rPr>
        <w:t>represented on VFCC subcommittee</w:t>
      </w:r>
    </w:p>
    <w:p w14:paraId="4F8B3A9B" w14:textId="77777777" w:rsidR="00052799" w:rsidRPr="00BD6998" w:rsidRDefault="00052799" w:rsidP="00052799">
      <w:pPr>
        <w:ind w:left="993"/>
        <w:rPr>
          <w:sz w:val="18"/>
          <w:szCs w:val="18"/>
        </w:rPr>
      </w:pPr>
      <w:r w:rsidRPr="00BD6998">
        <w:rPr>
          <w:sz w:val="18"/>
          <w:szCs w:val="18"/>
        </w:rPr>
        <w:t>^ consulted by email/phone</w:t>
      </w:r>
    </w:p>
    <w:p w14:paraId="2B542493" w14:textId="77777777" w:rsidR="00052799" w:rsidRDefault="00052799" w:rsidP="00052799">
      <w:pPr>
        <w:pStyle w:val="BodyText"/>
      </w:pPr>
      <w:r>
        <w:t xml:space="preserve">Finally, the Department consulted with a number of licensed dealers. The dealers consulted included large and small businesses, those involved in import, those who maintain manual records and those with electronic systems, and both metropolitan and regional dealers. </w:t>
      </w:r>
    </w:p>
    <w:p w14:paraId="560BF431" w14:textId="3E8A53CC" w:rsidR="00052799" w:rsidRDefault="00052799" w:rsidP="00052799">
      <w:pPr>
        <w:pStyle w:val="BodyText"/>
      </w:pPr>
      <w:r w:rsidRPr="00A60C4C">
        <w:t>The Department also consulted with affected areas of government. This included consultation with enforcement agencies who utilise, in conjunction with Victoria Police, the search powers in section 153A of the Act: the Game Management Authority, the Department of Environment, Lan</w:t>
      </w:r>
      <w:r w:rsidR="001C7D77">
        <w:t>d, Water and Planning and</w:t>
      </w:r>
      <w:r w:rsidRPr="00A60C4C">
        <w:t xml:space="preserve"> Parks Victoria. The Department also consulted with the Infringement Management and Enforcement Services area of the Department in relation to proposed infringement notices, and with the Human Rights Unit regarding Charter rights engaged by the Regulations. Finally, the Department consulted with the Department of Treasury and Finance regarding proposed fees.</w:t>
      </w:r>
    </w:p>
    <w:p w14:paraId="23A3DF02" w14:textId="77777777" w:rsidR="00052799" w:rsidRPr="00176ADE" w:rsidRDefault="00052799" w:rsidP="00052799">
      <w:pPr>
        <w:pStyle w:val="Heading2"/>
      </w:pPr>
      <w:bookmarkStart w:id="223" w:name="_Toc498083126"/>
      <w:bookmarkStart w:id="224" w:name="_Toc500505493"/>
      <w:bookmarkStart w:id="225" w:name="_Toc501539188"/>
      <w:r>
        <w:t>Key messages from consultations</w:t>
      </w:r>
      <w:bookmarkEnd w:id="223"/>
      <w:bookmarkEnd w:id="224"/>
      <w:bookmarkEnd w:id="225"/>
    </w:p>
    <w:p w14:paraId="60AF1615" w14:textId="77777777" w:rsidR="00052799" w:rsidRDefault="00052799" w:rsidP="00052799">
      <w:pPr>
        <w:pStyle w:val="BodyText"/>
      </w:pPr>
      <w:r>
        <w:t xml:space="preserve">The Department had the opportunity to discuss key trends and issues in the shooting community with groups representing a number of occupations and recreational pursuits. </w:t>
      </w:r>
    </w:p>
    <w:p w14:paraId="37EF12F9" w14:textId="77777777" w:rsidR="00052799" w:rsidRDefault="00052799" w:rsidP="00052799">
      <w:pPr>
        <w:pStyle w:val="BodyText"/>
      </w:pPr>
      <w:r>
        <w:t>The essential message that emerged from consultations was that the shooting community supports and understands the need for regulation of firearms, given the risk they pose, but seeks that regulation be adapted to the ends it seeks to achieve. As noted above, few issues were raised with the Regulations themselves.</w:t>
      </w:r>
    </w:p>
    <w:p w14:paraId="69B7B126" w14:textId="77777777" w:rsidR="00052799" w:rsidRDefault="00052799" w:rsidP="00052799">
      <w:pPr>
        <w:pStyle w:val="BodyText"/>
      </w:pPr>
      <w:r>
        <w:t>A further key theme was the important role played by dealers in the interface between members of the firearms community and Victoria Police. Dealers, in a large number of cases, apply for permits to acquire on behalf of purchasers, and process transfers of firearms between users. They also assist in ensuring the accuracy of records maintained by Victoria Police, and assist in investigations by providing historical information. As a result, the relationship between Victoria Police and dealers is important to the good functioning of the regulatory framework for firearms.</w:t>
      </w:r>
    </w:p>
    <w:p w14:paraId="4713DEB6" w14:textId="2F44557A" w:rsidR="00052799" w:rsidRPr="00FB2D67" w:rsidRDefault="00052799" w:rsidP="00052799">
      <w:pPr>
        <w:pStyle w:val="BodyText"/>
      </w:pPr>
      <w:r>
        <w:t xml:space="preserve">A trend that has emerged during the lifetime of the Regulations has been a growth in online sales of firearms. The growth in popularity of websites that facilitate sales of firearms between licensees has </w:t>
      </w:r>
      <w:r w:rsidRPr="00FB2D67">
        <w:t>contributed to dealers processing a greatly increased number of transfers (transactions wher</w:t>
      </w:r>
      <w:r w:rsidRPr="00722354">
        <w:t xml:space="preserve">e the dealer acts as agent), as compared to sales. </w:t>
      </w:r>
      <w:r w:rsidRPr="000E03B6">
        <w:t>This fact was considered in connection with the maximum fee that can be charged by a dealer acting as agent.</w:t>
      </w:r>
      <w:r>
        <w:t xml:space="preserve"> The emergence of internet sales has made it significantly easier for would be buyers and sellers of firearms to locate each other without the use of a dealer as a brokering party. This means that dealers can expect a greater number of transactions where they act only as an agent in a transaction relative to those where they are selling a firearm from their own stock. This is significant from a profitability standpoint as the only source of revenue on an agent transaction is the fee charged, while a transaction involving the sale of a firearm includes the profit margin on the sold firearm, </w:t>
      </w:r>
      <w:r w:rsidR="00662EA7">
        <w:t xml:space="preserve">often </w:t>
      </w:r>
      <w:r>
        <w:t>as well as accoutrements and accessories (ammunition, carry cases, optics, cleaning kits etc.)</w:t>
      </w:r>
      <w:r w:rsidR="001C7D77">
        <w:t>.</w:t>
      </w:r>
      <w:r>
        <w:t xml:space="preserve"> Dealers regard an increase in the fee they can charge to act as an agent necessary to reflect the cost on their time and the fact that providing this valuable and legally necessary service to members of the shooting community represents</w:t>
      </w:r>
      <w:r w:rsidR="00662EA7">
        <w:t xml:space="preserve"> an</w:t>
      </w:r>
      <w:r>
        <w:t xml:space="preserve"> increasingly large share of their total business. </w:t>
      </w:r>
    </w:p>
    <w:p w14:paraId="6053D923" w14:textId="5287F05E" w:rsidR="00052799" w:rsidRPr="00FB2D67" w:rsidRDefault="00052799" w:rsidP="00052799">
      <w:pPr>
        <w:pStyle w:val="BodyText"/>
      </w:pPr>
      <w:r w:rsidRPr="00722354">
        <w:t xml:space="preserve">In relation to target shooting clubs, the Department heard that clubs vary greatly in their sophistication and resources, with some clubs receiving government grants to support their work. The Department was told there is a large amount of voluntary involvement in the running of clubs. Participation reporting was raised in a number of discussions. </w:t>
      </w:r>
      <w:r w:rsidRPr="000E03B6">
        <w:t xml:space="preserve">Participation reporting is required by the Act, which also sets out the details which are required to be reported. The feedback received is, however, reflected in the proposed amendment to require handgun model to be reported rather than the serial number, discussed at </w:t>
      </w:r>
      <w:r w:rsidR="001C7D77">
        <w:t>8.3.4</w:t>
      </w:r>
      <w:r w:rsidRPr="000E03B6">
        <w:t xml:space="preserve"> below.</w:t>
      </w:r>
      <w:r w:rsidRPr="00FB2D67">
        <w:t xml:space="preserve"> </w:t>
      </w:r>
    </w:p>
    <w:p w14:paraId="0BBDF892" w14:textId="77777777" w:rsidR="00052799" w:rsidRPr="00FB2D67" w:rsidRDefault="00052799" w:rsidP="00052799">
      <w:pPr>
        <w:pStyle w:val="BodyText"/>
      </w:pPr>
      <w:r w:rsidRPr="00722354">
        <w:t xml:space="preserve">The Department also spoke with farmers, who commented that firearms are essential tools on farms for environmental and animal welfare reasons. The Department was told that farmers are the ‘gatekeepers of the environment’, by virtue of their role in suppressing pest animals </w:t>
      </w:r>
      <w:r w:rsidRPr="000E03B6">
        <w:t>and that, for that reason, the primary production waiver should continue</w:t>
      </w:r>
      <w:r w:rsidRPr="00FB2D67">
        <w:t xml:space="preserve">. The importance of secure storage at unattended rural properties was also raised, </w:t>
      </w:r>
      <w:r w:rsidRPr="000E03B6">
        <w:t>with famers aware of the risk of burglary and theft if firearms are not adequately secured. Storage requirements are set out in the Act, not the Regulations</w:t>
      </w:r>
      <w:r w:rsidRPr="00FB2D67">
        <w:t>.</w:t>
      </w:r>
    </w:p>
    <w:p w14:paraId="11F5BF40" w14:textId="265FAB4B" w:rsidR="00052799" w:rsidRPr="00FB2D67" w:rsidRDefault="00052799" w:rsidP="00052799">
      <w:pPr>
        <w:pStyle w:val="BodyText"/>
      </w:pPr>
      <w:r w:rsidRPr="00722354">
        <w:t xml:space="preserve">Consultation with the security industry revealed that firearms (primarily handguns) are carried by armed guards and cash-in-transit guards, </w:t>
      </w:r>
      <w:r w:rsidR="001C7D77">
        <w:t>who</w:t>
      </w:r>
      <w:r w:rsidRPr="00722354">
        <w:t xml:space="preserve"> are employed by large and small security companies. Requalification and fingerprinting requirements were raised as key business expenses, and it was noted that cross-border issues can affect national security companies</w:t>
      </w:r>
      <w:r w:rsidRPr="008D6A22">
        <w:t xml:space="preserve">. </w:t>
      </w:r>
      <w:r w:rsidRPr="000E03B6">
        <w:t>However, these requirements are dealt with in the Act, and are not affected by the Regulations.</w:t>
      </w:r>
    </w:p>
    <w:p w14:paraId="1BB6B54C" w14:textId="77777777" w:rsidR="00052799" w:rsidRPr="00722354" w:rsidRDefault="00052799" w:rsidP="00052799">
      <w:pPr>
        <w:pStyle w:val="BodyText"/>
      </w:pPr>
      <w:r w:rsidRPr="00722354">
        <w:t>Representatives of the hunting community noted that hunting is considered an egalitarian pursuit in Australia, and more accessible than in other countries around the world. However, it was noted that the cost of licences is only one component of the costs associated with hunting activities.</w:t>
      </w:r>
    </w:p>
    <w:p w14:paraId="4B55DD2E" w14:textId="7C570146" w:rsidR="00052799" w:rsidRDefault="00052799" w:rsidP="00052799">
      <w:pPr>
        <w:pStyle w:val="BodyText"/>
      </w:pPr>
      <w:r w:rsidRPr="00722354">
        <w:t xml:space="preserve">Collectors spoke to the </w:t>
      </w:r>
      <w:r w:rsidR="000514BF">
        <w:t>D</w:t>
      </w:r>
      <w:r w:rsidRPr="00722354">
        <w:t>epartment about the obligations imposed on officers of collector’s clubs, and also raised the collector’s register. This feedback was taken into account in connection with the prescribed particulars required to be recorded on the collector’s register.</w:t>
      </w:r>
      <w:r w:rsidRPr="00FB2D67">
        <w:t xml:space="preserve"> </w:t>
      </w:r>
      <w:r w:rsidRPr="00722354">
        <w:t>The paintball industry raised</w:t>
      </w:r>
      <w:r>
        <w:t xml:space="preserve"> few issues, but queried whether paintball should be regulated by Victoria Police. </w:t>
      </w:r>
    </w:p>
    <w:p w14:paraId="38130CDF" w14:textId="77777777" w:rsidR="00052799" w:rsidRPr="00BD6998" w:rsidRDefault="00052799" w:rsidP="00052799">
      <w:pPr>
        <w:pStyle w:val="BodyText"/>
      </w:pPr>
      <w:r>
        <w:t>Reflective of their impact, noted above, many stakeholders consulted referred to licence and permit fees. The concern was raised that sports shooting, including hunting, should not become inaccessible to those of lesser means, such as juniors and those on low incomes, through large increases to licence fees.</w:t>
      </w:r>
    </w:p>
    <w:p w14:paraId="4DE194B6" w14:textId="77777777" w:rsidR="00052799" w:rsidRPr="00176ADE" w:rsidRDefault="00052799" w:rsidP="00052799">
      <w:pPr>
        <w:pStyle w:val="Heading2"/>
      </w:pPr>
      <w:bookmarkStart w:id="226" w:name="_Toc498083127"/>
      <w:bookmarkStart w:id="227" w:name="_Toc500505494"/>
      <w:bookmarkStart w:id="228" w:name="_Ref501043599"/>
      <w:bookmarkStart w:id="229" w:name="_Toc501539189"/>
      <w:r w:rsidRPr="00176ADE">
        <w:t>Options or ideas</w:t>
      </w:r>
      <w:r>
        <w:t xml:space="preserve"> for changes to the Regulations</w:t>
      </w:r>
      <w:r w:rsidRPr="00176ADE">
        <w:t xml:space="preserve"> suggested during consultation</w:t>
      </w:r>
      <w:bookmarkEnd w:id="226"/>
      <w:bookmarkEnd w:id="227"/>
      <w:bookmarkEnd w:id="228"/>
      <w:bookmarkEnd w:id="229"/>
    </w:p>
    <w:p w14:paraId="6212F1D1" w14:textId="77777777" w:rsidR="00052799" w:rsidRPr="00176ADE" w:rsidRDefault="00052799" w:rsidP="00052799">
      <w:pPr>
        <w:pStyle w:val="BodyText"/>
      </w:pPr>
      <w:r w:rsidRPr="00176ADE">
        <w:t xml:space="preserve">As part of the consultation process, stakeholders generated a number of ideas for potential changes to the proposed Regulations. Where these proposals have been deemed substantial, </w:t>
      </w:r>
      <w:r>
        <w:t>feasible</w:t>
      </w:r>
      <w:r w:rsidRPr="00176ADE">
        <w:t xml:space="preserve"> and well developed, they have been included elsewhere in this document as options or sub-options. </w:t>
      </w:r>
    </w:p>
    <w:p w14:paraId="0BD3C7C1" w14:textId="77777777" w:rsidR="00052799" w:rsidRDefault="00052799" w:rsidP="00052799">
      <w:pPr>
        <w:pStyle w:val="BodyText"/>
      </w:pPr>
      <w:r w:rsidRPr="00176ADE">
        <w:t xml:space="preserve">The remaining proposals have been included here, along with any information on further actions </w:t>
      </w:r>
      <w:r>
        <w:t xml:space="preserve">that the Department will take in </w:t>
      </w:r>
      <w:r w:rsidRPr="00176ADE">
        <w:t>relati</w:t>
      </w:r>
      <w:r>
        <w:t>o</w:t>
      </w:r>
      <w:r w:rsidRPr="00176ADE">
        <w:t>n to the</w:t>
      </w:r>
      <w:r>
        <w:t>se</w:t>
      </w:r>
      <w:r w:rsidRPr="00176ADE">
        <w:t xml:space="preserve"> proposals</w:t>
      </w:r>
      <w:r>
        <w:t>.</w:t>
      </w:r>
    </w:p>
    <w:p w14:paraId="56A2EF02" w14:textId="77777777" w:rsidR="00052799" w:rsidRPr="00176ADE" w:rsidRDefault="00052799" w:rsidP="00052799">
      <w:pPr>
        <w:pStyle w:val="BodyText"/>
      </w:pPr>
      <w:r>
        <w:t xml:space="preserve">A summary of all changes proposed to be made to the Regulations is contained in </w:t>
      </w:r>
      <w:r w:rsidRPr="008D6A22">
        <w:t xml:space="preserve">Appendix </w:t>
      </w:r>
      <w:r w:rsidRPr="000E03B6">
        <w:t>1</w:t>
      </w:r>
      <w:r w:rsidRPr="008D6A22">
        <w:t>.</w:t>
      </w:r>
    </w:p>
    <w:p w14:paraId="43B80CE6" w14:textId="77777777" w:rsidR="00052799" w:rsidRPr="00176ADE" w:rsidRDefault="00052799" w:rsidP="00052799">
      <w:pPr>
        <w:pStyle w:val="Heading3"/>
      </w:pPr>
      <w:bookmarkStart w:id="230" w:name="_Toc498083128"/>
      <w:bookmarkStart w:id="231" w:name="_Toc500505495"/>
      <w:bookmarkStart w:id="232" w:name="_Toc501539190"/>
      <w:r w:rsidRPr="00176ADE">
        <w:t>Presc</w:t>
      </w:r>
      <w:r>
        <w:t>ribing</w:t>
      </w:r>
      <w:r w:rsidRPr="00176ADE">
        <w:t xml:space="preserve"> additional bodies </w:t>
      </w:r>
      <w:r>
        <w:t>representing shooting organisations to nominate members of</w:t>
      </w:r>
      <w:r w:rsidRPr="00176ADE">
        <w:t xml:space="preserve"> the Firearms Appeals Committee</w:t>
      </w:r>
      <w:bookmarkEnd w:id="230"/>
      <w:bookmarkEnd w:id="231"/>
      <w:bookmarkEnd w:id="232"/>
    </w:p>
    <w:p w14:paraId="06D39FFC" w14:textId="77777777" w:rsidR="00052799" w:rsidRPr="00176ADE" w:rsidRDefault="00052799" w:rsidP="00052799">
      <w:pPr>
        <w:pStyle w:val="BodyText"/>
      </w:pPr>
      <w:r>
        <w:t>The Firearms Appeals Committee (FAC) is a 13-member body that hears applications for review of decisions made under the Act. There are three positions on the FAC occupied by nominees of prescribed bodies which are or represent shooting organisations. The Regulations</w:t>
      </w:r>
      <w:r w:rsidRPr="00176ADE">
        <w:t xml:space="preserve"> currently prescribe the Shooting Sports Council of Victoria Inc and the Victorian Amateur Pistol Association Inc. </w:t>
      </w:r>
    </w:p>
    <w:p w14:paraId="7FAD4482" w14:textId="77777777" w:rsidR="00052799" w:rsidRPr="000E03B6" w:rsidRDefault="00052799" w:rsidP="00052799">
      <w:pPr>
        <w:pStyle w:val="BodyText"/>
      </w:pPr>
      <w:r>
        <w:t xml:space="preserve">The VFCC subcommittee proposed that an additional body, Field &amp; Game Australia Inc, be made a prescribed body representing shooting organisations, capable of nominating potential members of the </w:t>
      </w:r>
      <w:r w:rsidRPr="008D6A22">
        <w:t xml:space="preserve">FAC. </w:t>
      </w:r>
      <w:r w:rsidRPr="000E03B6">
        <w:t xml:space="preserve">Field &amp; Game Australia represents over 17,000 members (including around 15,000 in Victoria), in relation to hunting and clay target shooting activities. Their inclusion as a prescribed body would allow for representation by a hunting-related body on the </w:t>
      </w:r>
      <w:r>
        <w:t>FAC</w:t>
      </w:r>
      <w:r w:rsidRPr="000E03B6">
        <w:t xml:space="preserve">. No other potential prescribed bodies were proposed during consultations, and the existing prescribed bodies supported the addition of Field &amp; Game Australia.  </w:t>
      </w:r>
    </w:p>
    <w:p w14:paraId="352A37BF" w14:textId="77777777" w:rsidR="00052799" w:rsidRPr="00176ADE" w:rsidRDefault="00052799" w:rsidP="00052799">
      <w:pPr>
        <w:pStyle w:val="BodyText"/>
      </w:pPr>
      <w:r w:rsidRPr="000E03B6">
        <w:t xml:space="preserve">The Department considers there are benefits to broadening the pool of nominees capable of appointment to the </w:t>
      </w:r>
      <w:r>
        <w:t>FAC</w:t>
      </w:r>
      <w:r w:rsidRPr="000E03B6">
        <w:t xml:space="preserve">. Field &amp; Game specifically represents the interests of clay target shooters and hunters, and has a large membership base, complementing existing prescribed bodies. Accordingly, this proposal is reflected in the exposure draft of the Regulations. </w:t>
      </w:r>
    </w:p>
    <w:p w14:paraId="2FA9726E" w14:textId="77777777" w:rsidR="00052799" w:rsidRPr="00176ADE" w:rsidRDefault="00052799" w:rsidP="00052799">
      <w:pPr>
        <w:pStyle w:val="Heading3"/>
      </w:pPr>
      <w:bookmarkStart w:id="233" w:name="_Toc500505496"/>
      <w:bookmarkStart w:id="234" w:name="_Toc501539191"/>
      <w:bookmarkStart w:id="235" w:name="_Toc498083129"/>
      <w:r w:rsidRPr="00176ADE">
        <w:t xml:space="preserve">Amending regulations </w:t>
      </w:r>
      <w:r>
        <w:t>applying to suppression of pest animals on primary production land</w:t>
      </w:r>
      <w:r w:rsidRPr="00176ADE">
        <w:t xml:space="preserve"> to take into account the direction of fire</w:t>
      </w:r>
      <w:bookmarkEnd w:id="233"/>
      <w:bookmarkEnd w:id="234"/>
      <w:r w:rsidRPr="00176ADE">
        <w:t xml:space="preserve"> </w:t>
      </w:r>
      <w:bookmarkEnd w:id="235"/>
    </w:p>
    <w:p w14:paraId="1297A9D9" w14:textId="77777777" w:rsidR="00052799" w:rsidRPr="00176ADE" w:rsidRDefault="00052799" w:rsidP="00052799">
      <w:pPr>
        <w:pStyle w:val="BodyText"/>
      </w:pPr>
      <w:r w:rsidRPr="00176ADE">
        <w:t xml:space="preserve">Firearms stakeholders </w:t>
      </w:r>
      <w:r>
        <w:t>queried</w:t>
      </w:r>
      <w:r w:rsidRPr="00176ADE">
        <w:t xml:space="preserve"> why the Regulations</w:t>
      </w:r>
      <w:r>
        <w:t xml:space="preserve"> </w:t>
      </w:r>
      <w:r w:rsidRPr="00176ADE">
        <w:t xml:space="preserve">prevented a </w:t>
      </w:r>
      <w:r>
        <w:t>category C longarm, when used to suppress pest animals on primary production land belonging to another licensee,</w:t>
      </w:r>
      <w:r w:rsidRPr="00176ADE">
        <w:t xml:space="preserve"> being discharged within 100 met</w:t>
      </w:r>
      <w:r>
        <w:t>re</w:t>
      </w:r>
      <w:r w:rsidRPr="00176ADE">
        <w:t xml:space="preserve">s of a public road, but made no </w:t>
      </w:r>
      <w:r>
        <w:t>reference</w:t>
      </w:r>
      <w:r w:rsidRPr="00176ADE">
        <w:t xml:space="preserve"> the direction of the shot. It was suggested that, for any given distance from a road, a shot fired directly away from it</w:t>
      </w:r>
      <w:r>
        <w:t>, even from within 100 metres,</w:t>
      </w:r>
      <w:r w:rsidRPr="00176ADE">
        <w:t xml:space="preserve"> would pose less risk of accidentally hitting passing traffic than a shot fired parallel to it or in its general direction</w:t>
      </w:r>
      <w:r>
        <w:t xml:space="preserve"> from greater than that distance</w:t>
      </w:r>
      <w:r w:rsidRPr="00176ADE">
        <w:t xml:space="preserve">. These stakeholders proposed </w:t>
      </w:r>
      <w:r>
        <w:t>amending the regulations so that they refer to the</w:t>
      </w:r>
      <w:r w:rsidRPr="00176ADE">
        <w:t xml:space="preserve"> direction </w:t>
      </w:r>
      <w:r>
        <w:t>in which the firearm is discharged</w:t>
      </w:r>
      <w:r w:rsidRPr="00176ADE">
        <w:t>.</w:t>
      </w:r>
    </w:p>
    <w:p w14:paraId="5F5BB309" w14:textId="77777777" w:rsidR="00052799" w:rsidRDefault="00052799" w:rsidP="00052799">
      <w:pPr>
        <w:pStyle w:val="BodyText"/>
      </w:pPr>
      <w:r w:rsidRPr="00176ADE">
        <w:t xml:space="preserve">Victoria Police </w:t>
      </w:r>
      <w:r>
        <w:t>recognised that it was not clear why the direction of shot was not included in this regulation</w:t>
      </w:r>
      <w:r w:rsidRPr="00176ADE">
        <w:t xml:space="preserve">. Victoria Police emphasised that the current legal approach places the onus on firearms users to apply a common sense approach to ensure that they do not discharge their firearms in an unsafe manner. </w:t>
      </w:r>
    </w:p>
    <w:p w14:paraId="5BF04BDD" w14:textId="77777777" w:rsidR="00052799" w:rsidRPr="00176ADE" w:rsidRDefault="00052799" w:rsidP="00052799">
      <w:pPr>
        <w:pStyle w:val="BodyText"/>
      </w:pPr>
      <w:r>
        <w:t xml:space="preserve">Stakeholders proposed that the regulation be amended by either replacing the distance requirement with one that relates to direction, or removing the requirement altogether. In the absence of clear agreement on the appropriate change, </w:t>
      </w:r>
      <w:r w:rsidRPr="000E03B6">
        <w:t>no specific change to this provision is included in the exposure draft of the Regulations. Further consultation and consideration is required in order to develop a specific proposal. Public comments are sought on what alternative requirements might be imposed regarding discharge of a category C longarm near a road.</w:t>
      </w:r>
    </w:p>
    <w:p w14:paraId="2C9B5732" w14:textId="77777777" w:rsidR="00052799" w:rsidRPr="00176ADE" w:rsidRDefault="00052799" w:rsidP="00052799">
      <w:pPr>
        <w:pStyle w:val="Heading3"/>
      </w:pPr>
      <w:bookmarkStart w:id="236" w:name="_Toc498083131"/>
      <w:bookmarkStart w:id="237" w:name="_Toc500505497"/>
      <w:bookmarkStart w:id="238" w:name="_Toc501539192"/>
      <w:r w:rsidRPr="00176ADE">
        <w:t>Waive firearms licen</w:t>
      </w:r>
      <w:r>
        <w:t>c</w:t>
      </w:r>
      <w:r w:rsidRPr="00176ADE">
        <w:t>e fees for firearm safety instructors</w:t>
      </w:r>
      <w:bookmarkEnd w:id="236"/>
      <w:bookmarkEnd w:id="237"/>
      <w:bookmarkEnd w:id="238"/>
    </w:p>
    <w:p w14:paraId="5E6CE0F2" w14:textId="77777777" w:rsidR="00052799" w:rsidRDefault="00052799" w:rsidP="00052799">
      <w:pPr>
        <w:pStyle w:val="BodyText"/>
      </w:pPr>
      <w:r w:rsidRPr="00176ADE">
        <w:t xml:space="preserve">A proposal was advanced during the consultation process to </w:t>
      </w:r>
      <w:r>
        <w:t>provide</w:t>
      </w:r>
      <w:r w:rsidRPr="00176ADE">
        <w:t xml:space="preserve"> firearm safety instructors </w:t>
      </w:r>
      <w:r>
        <w:t xml:space="preserve">with a waiver of their licence fee, </w:t>
      </w:r>
      <w:r w:rsidRPr="00176ADE">
        <w:t xml:space="preserve">on the grounds that these instructors, through their training activity, contribute to the safety objective of the Act. </w:t>
      </w:r>
      <w:r>
        <w:t>Firearms stakeholders noted that such a waiver could have merits through encouraging</w:t>
      </w:r>
      <w:r w:rsidRPr="00085B06">
        <w:t xml:space="preserve"> more people, particularly younger people</w:t>
      </w:r>
      <w:r>
        <w:t xml:space="preserve"> (who may be more attracted to a fee reduction),</w:t>
      </w:r>
      <w:r w:rsidRPr="00085B06">
        <w:t xml:space="preserve"> to act as firearm safety instructors, and to recognise their voluntary contribution</w:t>
      </w:r>
    </w:p>
    <w:p w14:paraId="11FE7E35" w14:textId="77777777" w:rsidR="00052799" w:rsidRPr="00176ADE" w:rsidRDefault="00052799" w:rsidP="00052799">
      <w:pPr>
        <w:pStyle w:val="BodyText"/>
      </w:pPr>
      <w:r>
        <w:t xml:space="preserve">The Department understands that the appointment of firearm safety instructors currently occurs on an </w:t>
      </w:r>
      <w:r w:rsidRPr="00F401E0">
        <w:t xml:space="preserve">ad hoc basis, and that formal processes and criteria are not in place. </w:t>
      </w:r>
      <w:r w:rsidRPr="000E03B6">
        <w:t>It is possible that licensees would seek to act as firearm safety instructors solely to access to fee waiver. It is also not possible to assess what level of involvement as a firearm safety instructor (i.e. the frequency and regularity of instruction) would be needed for a person to be eligible for the waiver. In addition, there would be administrative difficulty in identifying which licensees are eligible, in the absence of centralised accreditation. As a result, it would not be appropriate at this time for a waiver to be offered. No evidence has been provided that Victoria Police has difficulty identifying persons willing to provide instruction on a voluntary basis.</w:t>
      </w:r>
      <w:r w:rsidRPr="00F401E0">
        <w:t xml:space="preserve"> A waiver may be considered at a future time if more formal appointment procedures are put in place.</w:t>
      </w:r>
    </w:p>
    <w:p w14:paraId="6B3C6602" w14:textId="77777777" w:rsidR="00052799" w:rsidRPr="00176ADE" w:rsidRDefault="00052799" w:rsidP="00052799">
      <w:pPr>
        <w:pStyle w:val="Heading3"/>
      </w:pPr>
      <w:bookmarkStart w:id="239" w:name="_Toc498083132"/>
      <w:bookmarkStart w:id="240" w:name="_Ref499050495"/>
      <w:bookmarkStart w:id="241" w:name="_Toc500505498"/>
      <w:bookmarkStart w:id="242" w:name="_Toc501539193"/>
      <w:r w:rsidRPr="00176ADE">
        <w:t>Amending approved handgun target shooting club annual report form so that serial numbers need not be recorded</w:t>
      </w:r>
      <w:bookmarkEnd w:id="239"/>
      <w:bookmarkEnd w:id="240"/>
      <w:bookmarkEnd w:id="241"/>
      <w:bookmarkEnd w:id="242"/>
    </w:p>
    <w:p w14:paraId="072241C2" w14:textId="77777777" w:rsidR="00052799" w:rsidRDefault="00052799" w:rsidP="00052799">
      <w:pPr>
        <w:pStyle w:val="BodyText"/>
      </w:pPr>
      <w:r>
        <w:t xml:space="preserve">The current regulations </w:t>
      </w:r>
      <w:r w:rsidRPr="00176ADE">
        <w:t xml:space="preserve">provide forms to be used by approved handgun target shooting clubs for their annual reports. These forms currently require that, for each member, the date of all matches they participated in, the details of that match, and the police reference number or serial number of the firearm used. This requirement was viewed as onerous and unnecessary and a suggestion was raised that the model of the handgun be included instead. </w:t>
      </w:r>
      <w:r>
        <w:t>Under the Act, only the ‘details’ of each handgun used are required to be included in the participation report: section 123C.</w:t>
      </w:r>
    </w:p>
    <w:p w14:paraId="484159A9" w14:textId="77777777" w:rsidR="00052799" w:rsidRPr="00176ADE" w:rsidRDefault="00052799" w:rsidP="00052799">
      <w:pPr>
        <w:pStyle w:val="BodyText"/>
      </w:pPr>
      <w:r w:rsidRPr="000E03B6">
        <w:t>The purpose of annual participation reporting is to allow Victoria Police to ensure that holders of handgun licences for the purpose of sport or target shooting fulfil their participation requirements under the Act. These require that all such licensees participate in an appropriate number of shoots and matches each year, given the number of classes of handgun they own. The Act does not require that each particular handgun be used on any specific number of occasions, or at all. Accordingly, Victoria Police have no need to collect information on the serial number of the handgun used on each occasion a licensee participated. The information has no other utility to Victoria Police and, as such, there are no risks or downsides associated with not collecting it.</w:t>
      </w:r>
    </w:p>
    <w:p w14:paraId="0E198C5A" w14:textId="77777777" w:rsidR="00052799" w:rsidRPr="00176ADE" w:rsidRDefault="00052799" w:rsidP="00052799">
      <w:pPr>
        <w:pStyle w:val="BodyText"/>
      </w:pPr>
      <w:r>
        <w:t>The Department</w:t>
      </w:r>
      <w:r w:rsidRPr="00176ADE">
        <w:t xml:space="preserve"> support</w:t>
      </w:r>
      <w:r>
        <w:t>s</w:t>
      </w:r>
      <w:r w:rsidRPr="00176ADE">
        <w:t xml:space="preserve"> this change and it </w:t>
      </w:r>
      <w:r>
        <w:t>is reflected in the exposure draft of the regulations</w:t>
      </w:r>
      <w:r w:rsidRPr="00176ADE">
        <w:t>.</w:t>
      </w:r>
    </w:p>
    <w:p w14:paraId="052A1803" w14:textId="77777777" w:rsidR="00052799" w:rsidRPr="00176ADE" w:rsidRDefault="00052799" w:rsidP="00052799">
      <w:pPr>
        <w:pStyle w:val="Heading3"/>
      </w:pPr>
      <w:bookmarkStart w:id="243" w:name="_Toc498083133"/>
      <w:bookmarkStart w:id="244" w:name="_Toc500505499"/>
      <w:bookmarkStart w:id="245" w:name="_Toc501539194"/>
      <w:r w:rsidRPr="00176ADE">
        <w:t>Providing a bulk/volume discount to bodies corporate applying for a very large number of permits to acquire at the same time</w:t>
      </w:r>
      <w:bookmarkEnd w:id="243"/>
      <w:bookmarkEnd w:id="244"/>
      <w:bookmarkEnd w:id="245"/>
    </w:p>
    <w:p w14:paraId="3AE7F139" w14:textId="77777777" w:rsidR="00052799" w:rsidRPr="00176ADE" w:rsidRDefault="00052799" w:rsidP="00052799">
      <w:pPr>
        <w:pStyle w:val="BodyText"/>
      </w:pPr>
      <w:r w:rsidRPr="00176ADE">
        <w:t xml:space="preserve">This proposal would apply a fee discount for applicants applying to a very large number of permits to acquire (more than 20 was suggested) in one instance. Firearms stakeholders suggested that this would both reflect potential savings that flow from bulk processing, and reduce the costs incurred by companies undertaking major activities such as, for example, replacing their entire armouries at once. The private security industry in particular was noted as often undertaking quite extensive armoury updates. </w:t>
      </w:r>
    </w:p>
    <w:p w14:paraId="6F1DF225" w14:textId="0C0D9C83" w:rsidR="00052799" w:rsidRDefault="00052799" w:rsidP="00052799">
      <w:pPr>
        <w:pStyle w:val="BodyText"/>
      </w:pPr>
      <w:r w:rsidRPr="00176ADE">
        <w:t xml:space="preserve">Victoria Police </w:t>
      </w:r>
      <w:r>
        <w:t>advised that its</w:t>
      </w:r>
      <w:r w:rsidRPr="00176ADE">
        <w:t xml:space="preserve"> systems do not allo</w:t>
      </w:r>
      <w:r w:rsidR="001C7D77">
        <w:t>w for the bulk processing of permit</w:t>
      </w:r>
      <w:r w:rsidRPr="00176ADE">
        <w:t>s</w:t>
      </w:r>
      <w:r w:rsidR="001C7D77">
        <w:t xml:space="preserve"> to acquire</w:t>
      </w:r>
      <w:r w:rsidRPr="00176ADE">
        <w:t>, with each needing to be manually inputted into LRD</w:t>
      </w:r>
      <w:r>
        <w:t>’</w:t>
      </w:r>
      <w:r w:rsidRPr="00176ADE">
        <w:t xml:space="preserve">s systems. </w:t>
      </w:r>
      <w:r>
        <w:t>It also noted that it</w:t>
      </w:r>
      <w:r w:rsidRPr="00176ADE">
        <w:t xml:space="preserve"> rarely receives large volumes of permit to acquire applications at one time. Giv</w:t>
      </w:r>
      <w:r w:rsidR="001C7D77">
        <w:t>en this, Victoria Police considers</w:t>
      </w:r>
      <w:r w:rsidRPr="00176ADE">
        <w:t xml:space="preserve"> that accommodating bulk discounts would require significant changes to internal systems in order to accommodate a small </w:t>
      </w:r>
      <w:r w:rsidR="001C7D77">
        <w:t>number</w:t>
      </w:r>
      <w:r w:rsidRPr="00176ADE">
        <w:t xml:space="preserve"> of licensees. </w:t>
      </w:r>
    </w:p>
    <w:p w14:paraId="6ADF587F" w14:textId="77777777" w:rsidR="00052799" w:rsidRPr="00176ADE" w:rsidRDefault="00052799" w:rsidP="00052799">
      <w:pPr>
        <w:pStyle w:val="BodyText"/>
      </w:pPr>
      <w:r>
        <w:t xml:space="preserve">As a result, the Department considers that this change should not be progressed. </w:t>
      </w:r>
    </w:p>
    <w:p w14:paraId="1552DF13" w14:textId="77777777" w:rsidR="00052799" w:rsidRPr="00176ADE" w:rsidRDefault="00052799" w:rsidP="00052799">
      <w:pPr>
        <w:pStyle w:val="Heading3"/>
      </w:pPr>
      <w:bookmarkStart w:id="246" w:name="_Toc498083134"/>
      <w:bookmarkStart w:id="247" w:name="_Toc500505500"/>
      <w:bookmarkStart w:id="248" w:name="_Toc501539195"/>
      <w:r w:rsidRPr="00176ADE">
        <w:t xml:space="preserve">Amending the particulars required to be recorded in a firearms collectors register to remove the requirement to record from whom </w:t>
      </w:r>
      <w:r>
        <w:t xml:space="preserve">a firearm was </w:t>
      </w:r>
      <w:r w:rsidRPr="00176ADE">
        <w:t xml:space="preserve">acquired or </w:t>
      </w:r>
      <w:r>
        <w:t xml:space="preserve">to whom it was </w:t>
      </w:r>
      <w:r w:rsidRPr="00176ADE">
        <w:t>disposed of</w:t>
      </w:r>
      <w:bookmarkEnd w:id="246"/>
      <w:bookmarkEnd w:id="247"/>
      <w:bookmarkEnd w:id="248"/>
    </w:p>
    <w:p w14:paraId="274494C6" w14:textId="77777777" w:rsidR="00052799" w:rsidRDefault="00052799" w:rsidP="00052799">
      <w:pPr>
        <w:pStyle w:val="BodyText"/>
      </w:pPr>
      <w:r>
        <w:t xml:space="preserve">Under section 24 of the Act, the holder of a firearms collectors licence is required to maintain a register of the firearms kept under the licence. The Regulations set out the particulars that register must contain. </w:t>
      </w:r>
      <w:r w:rsidRPr="00176ADE">
        <w:t xml:space="preserve">A number of stakeholders </w:t>
      </w:r>
      <w:r>
        <w:t>proposed that</w:t>
      </w:r>
      <w:r w:rsidRPr="00176ADE">
        <w:t xml:space="preserve"> changes to the</w:t>
      </w:r>
      <w:r>
        <w:t>se</w:t>
      </w:r>
      <w:r w:rsidRPr="00176ADE">
        <w:t xml:space="preserve"> particulars be considered as part of the RIS process. The total cost associated with </w:t>
      </w:r>
      <w:r>
        <w:t>this current arrangement is</w:t>
      </w:r>
      <w:r w:rsidRPr="00176ADE">
        <w:t xml:space="preserve"> indicatively estimated at $6,000 per annum.</w:t>
      </w:r>
      <w:r w:rsidRPr="00176ADE">
        <w:rPr>
          <w:rStyle w:val="FootnoteReference"/>
        </w:rPr>
        <w:footnoteReference w:id="81"/>
      </w:r>
      <w:r>
        <w:t xml:space="preserve"> </w:t>
      </w:r>
    </w:p>
    <w:p w14:paraId="0D0C449A" w14:textId="77777777" w:rsidR="00052799" w:rsidRDefault="00052799" w:rsidP="00052799">
      <w:pPr>
        <w:pStyle w:val="BodyText"/>
      </w:pPr>
      <w:r>
        <w:t xml:space="preserve">In particular, it was suggested that the collector’s register no longer be required to contain details of the date on which a firearm was disposed of or acquired, or the name and address of the person to or from whom the firearm was disposed of or acquired. It was argued that, as this information is recorded by Victoria Police when it registers transfers of firearm ownership, there is no need for collectors to maintain a separate record of the information. Victoria Police supported a change to the Regulations that would remove the requirement to remove these particulars. </w:t>
      </w:r>
    </w:p>
    <w:p w14:paraId="2AB0852A" w14:textId="77777777" w:rsidR="00052799" w:rsidRDefault="00052799" w:rsidP="00052799">
      <w:pPr>
        <w:pStyle w:val="BodyText"/>
      </w:pPr>
      <w:r w:rsidRPr="000E03B6">
        <w:t xml:space="preserve">The Department considers that there is no need for the collector’s register to contain </w:t>
      </w:r>
      <w:r>
        <w:t xml:space="preserve">all of </w:t>
      </w:r>
      <w:r w:rsidRPr="000E03B6">
        <w:t>these details. The contents of the collector’s register were first prescribed in 1997,</w:t>
      </w:r>
      <w:r w:rsidRPr="000E03B6">
        <w:rPr>
          <w:rStyle w:val="FootnoteReference"/>
        </w:rPr>
        <w:footnoteReference w:id="82"/>
      </w:r>
      <w:r w:rsidRPr="000E03B6">
        <w:t xml:space="preserve"> and did not changed when the regulations were remade in 2008. However, in 1997 some collectible firearms</w:t>
      </w:r>
      <w:r w:rsidRPr="000E03B6">
        <w:rPr>
          <w:rStyle w:val="FootnoteReference"/>
        </w:rPr>
        <w:footnoteReference w:id="83"/>
      </w:r>
      <w:r w:rsidRPr="000E03B6">
        <w:t xml:space="preserve"> were not required to be registered, such that the acquisition and disposal of these firearms was not reported to Victoria Police. As a result, there was a need for collectors to maintain their own register of these transactions. Legislative amendments since that time</w:t>
      </w:r>
      <w:r w:rsidRPr="000E03B6">
        <w:rPr>
          <w:rStyle w:val="FootnoteReference"/>
        </w:rPr>
        <w:footnoteReference w:id="84"/>
      </w:r>
      <w:r w:rsidRPr="000E03B6">
        <w:t xml:space="preserve"> have meant that the collector’s register no longer has utility as a register of transactions. Instead, its function is to fulfil a collector’s obligation to maintain an accurate list of firearms in their collection. </w:t>
      </w:r>
    </w:p>
    <w:p w14:paraId="50F15F18" w14:textId="28AF61B4" w:rsidR="00052799" w:rsidRDefault="00052799" w:rsidP="00052799">
      <w:pPr>
        <w:pStyle w:val="BodyText"/>
      </w:pPr>
      <w:r>
        <w:t xml:space="preserve">It is proposed that, to reduce the burden on holders of collectors licences, the prescribed particulars include only the date on which each collectable firearm was acquired or disposed of. The Department considered also removing the date from the prescribed particulars; however, section 24 of the Act requires that at least some details of the dealing be recorded. The Department considered that, of all the transaction-related details, the date was the least burdensome. </w:t>
      </w:r>
      <w:r w:rsidRPr="000E03B6">
        <w:t xml:space="preserve">Victoria Police has not identified any risks associated with collectors ceasing to </w:t>
      </w:r>
      <w:r w:rsidR="001C7D77">
        <w:t xml:space="preserve">record </w:t>
      </w:r>
      <w:r>
        <w:t>details of sellers and purchasers</w:t>
      </w:r>
      <w:r w:rsidRPr="000E03B6">
        <w:t>. Accordingly, this change is reflected in the exposure draft</w:t>
      </w:r>
      <w:r w:rsidRPr="00F401E0">
        <w:t xml:space="preserve"> of the Regulations.</w:t>
      </w:r>
    </w:p>
    <w:p w14:paraId="56D9F675" w14:textId="77777777" w:rsidR="00052799" w:rsidRPr="00176ADE" w:rsidRDefault="00052799" w:rsidP="00052799">
      <w:pPr>
        <w:pStyle w:val="BodyText"/>
      </w:pPr>
      <w:r>
        <w:t>Some stakeholders proposed abolishing the requirement to maintain a register entirely. As this change would require an amendment to the Act, such a change is out of scope for the purposes of this document.</w:t>
      </w:r>
    </w:p>
    <w:p w14:paraId="02D0BF13" w14:textId="77777777" w:rsidR="00052799" w:rsidRPr="00176ADE" w:rsidRDefault="00052799" w:rsidP="00052799">
      <w:pPr>
        <w:pStyle w:val="Heading2"/>
      </w:pPr>
      <w:bookmarkStart w:id="249" w:name="_Toc500505501"/>
      <w:bookmarkStart w:id="250" w:name="_Toc501539196"/>
      <w:r>
        <w:t>Suggestions for legislative change arising from consultation</w:t>
      </w:r>
      <w:bookmarkEnd w:id="249"/>
      <w:bookmarkEnd w:id="250"/>
    </w:p>
    <w:p w14:paraId="1D3EE3D7" w14:textId="77777777" w:rsidR="00052799" w:rsidRPr="00F401E0" w:rsidRDefault="00052799" w:rsidP="00052799">
      <w:pPr>
        <w:pStyle w:val="BodyText"/>
      </w:pPr>
      <w:r w:rsidRPr="00F401E0">
        <w:t xml:space="preserve">During consultations, stakeholders raised a number of proposals for change that are beyond the scope of this review. </w:t>
      </w:r>
      <w:r w:rsidRPr="000E03B6">
        <w:t>They are beyond the scope of the review of the Regulations because the Act is, in all cases, prescriptive regarding what is required, such that implementing any of these proposals would require legislative amendment</w:t>
      </w:r>
      <w:r w:rsidRPr="00F401E0">
        <w:t>. The proposals raised included:</w:t>
      </w:r>
    </w:p>
    <w:p w14:paraId="10B781D5" w14:textId="77777777" w:rsidR="00052799" w:rsidRDefault="00052799" w:rsidP="00052799">
      <w:pPr>
        <w:pStyle w:val="BodyText"/>
        <w:numPr>
          <w:ilvl w:val="0"/>
          <w:numId w:val="79"/>
        </w:numPr>
      </w:pPr>
      <w:r w:rsidRPr="00F401E0">
        <w:t>amending the legislative scheme to provide for ‘endorsements’, so that a</w:t>
      </w:r>
      <w:r>
        <w:t xml:space="preserve"> licensee has their licence endorsed for the categories in which they are licensed, rather than holding multiple physical licences</w:t>
      </w:r>
    </w:p>
    <w:p w14:paraId="6AFC80DF" w14:textId="77777777" w:rsidR="00052799" w:rsidRDefault="00052799" w:rsidP="00052799">
      <w:pPr>
        <w:pStyle w:val="BodyText"/>
        <w:numPr>
          <w:ilvl w:val="0"/>
          <w:numId w:val="79"/>
        </w:numPr>
      </w:pPr>
      <w:r>
        <w:t>increasing the duration of firearms licences (so that they would require renewal, for example, once every 10 years – as opposed to the current approach which generally limits licences to durations of three or five years)</w:t>
      </w:r>
    </w:p>
    <w:p w14:paraId="73E8E990" w14:textId="77777777" w:rsidR="00052799" w:rsidRDefault="00052799" w:rsidP="00052799">
      <w:pPr>
        <w:pStyle w:val="BodyText"/>
        <w:numPr>
          <w:ilvl w:val="0"/>
          <w:numId w:val="79"/>
        </w:numPr>
      </w:pPr>
      <w:r>
        <w:t>greater oversight and regulation of online advertising of gun sales</w:t>
      </w:r>
    </w:p>
    <w:p w14:paraId="49553192" w14:textId="77777777" w:rsidR="00052799" w:rsidRDefault="00052799" w:rsidP="00052799">
      <w:pPr>
        <w:pStyle w:val="BodyText"/>
        <w:numPr>
          <w:ilvl w:val="0"/>
          <w:numId w:val="79"/>
        </w:numPr>
      </w:pPr>
      <w:r>
        <w:t>restrictions on the issuing of dealer licences to non-commercial properties (e.g. to limit licensed dealers operating out of residential premises)</w:t>
      </w:r>
    </w:p>
    <w:p w14:paraId="645B9C68" w14:textId="77777777" w:rsidR="00052799" w:rsidRDefault="00052799" w:rsidP="00052799">
      <w:pPr>
        <w:pStyle w:val="BodyText"/>
        <w:numPr>
          <w:ilvl w:val="0"/>
          <w:numId w:val="79"/>
        </w:numPr>
      </w:pPr>
      <w:r>
        <w:t>moving regulation of the paintball industry away from Victoria Police to another regulator</w:t>
      </w:r>
    </w:p>
    <w:p w14:paraId="298C30FA" w14:textId="77777777" w:rsidR="00052799" w:rsidRDefault="00052799" w:rsidP="00052799">
      <w:pPr>
        <w:pStyle w:val="BodyText"/>
        <w:numPr>
          <w:ilvl w:val="0"/>
          <w:numId w:val="79"/>
        </w:numPr>
      </w:pPr>
      <w:r>
        <w:t>removing the requirement for a holder of a handgun licence to provide their fingerprints</w:t>
      </w:r>
    </w:p>
    <w:p w14:paraId="023FAF94" w14:textId="6B440404" w:rsidR="00052799" w:rsidRDefault="00052799" w:rsidP="00052799">
      <w:pPr>
        <w:pStyle w:val="BodyText"/>
        <w:numPr>
          <w:ilvl w:val="0"/>
          <w:numId w:val="79"/>
        </w:numPr>
      </w:pPr>
      <w:r>
        <w:t>requiring that handgun target shooting participation reporting either be done on an ‘exception basis’ (so that only licence holders who do not meet minimum requirements are required to be reported</w:t>
      </w:r>
      <w:r w:rsidR="001C7D77">
        <w:t xml:space="preserve"> on</w:t>
      </w:r>
      <w:r>
        <w:t>) or amended so that reporting is not required once a person meets their minimum number of shoots</w:t>
      </w:r>
    </w:p>
    <w:p w14:paraId="603F828D" w14:textId="2B5AF9B0" w:rsidR="00052799" w:rsidRDefault="00052799" w:rsidP="00052799">
      <w:pPr>
        <w:pStyle w:val="BodyText"/>
        <w:numPr>
          <w:ilvl w:val="0"/>
          <w:numId w:val="79"/>
        </w:numPr>
      </w:pPr>
      <w:r>
        <w:t>increasing in the number of occasions on which a junior can receive instruction in the use of a handgun, and introducing an application-based exemption from the requirement to provide notice to Victoria Police</w:t>
      </w:r>
    </w:p>
    <w:p w14:paraId="7F80477E" w14:textId="77777777" w:rsidR="00052799" w:rsidRDefault="00052799" w:rsidP="00052799">
      <w:pPr>
        <w:pStyle w:val="BodyText"/>
        <w:numPr>
          <w:ilvl w:val="0"/>
          <w:numId w:val="79"/>
        </w:numPr>
      </w:pPr>
      <w:r>
        <w:t>reviewing the obligations imposed on ‘nominated officers’ of firearm collectors clubs</w:t>
      </w:r>
    </w:p>
    <w:p w14:paraId="7743AFAC" w14:textId="77777777" w:rsidR="00052799" w:rsidRDefault="00052799" w:rsidP="00052799">
      <w:pPr>
        <w:pStyle w:val="BodyText"/>
        <w:numPr>
          <w:ilvl w:val="0"/>
          <w:numId w:val="79"/>
        </w:numPr>
      </w:pPr>
      <w:r>
        <w:t>permitting fingerprints supplied to Victoria Police in connection with a private security licence application to be used in connection with a firearms licence application (so that fingerprints do not have to be supplied twice)</w:t>
      </w:r>
    </w:p>
    <w:p w14:paraId="7AB73FE8" w14:textId="77777777" w:rsidR="00052799" w:rsidRDefault="00052799" w:rsidP="00052799">
      <w:pPr>
        <w:pStyle w:val="BodyText"/>
        <w:numPr>
          <w:ilvl w:val="0"/>
          <w:numId w:val="79"/>
        </w:numPr>
      </w:pPr>
      <w:r>
        <w:t>allowing requalification training to be conducted by a Victorian-licensed instructor at an interstate range</w:t>
      </w:r>
    </w:p>
    <w:p w14:paraId="631BB32C" w14:textId="77777777" w:rsidR="00052799" w:rsidRDefault="00052799" w:rsidP="00052799">
      <w:pPr>
        <w:pStyle w:val="BodyText"/>
        <w:numPr>
          <w:ilvl w:val="0"/>
          <w:numId w:val="79"/>
        </w:numPr>
      </w:pPr>
      <w:r>
        <w:t>removing or amending registration requirements for antique multi-shot percussion pistols.</w:t>
      </w:r>
    </w:p>
    <w:p w14:paraId="38B57D9F" w14:textId="77777777" w:rsidR="00052799" w:rsidRDefault="00052799" w:rsidP="00243550">
      <w:pPr>
        <w:pStyle w:val="BodyText"/>
        <w:ind w:left="0"/>
      </w:pPr>
      <w:bookmarkStart w:id="251" w:name="_Toc498939108"/>
      <w:bookmarkStart w:id="252" w:name="_Toc498939380"/>
      <w:bookmarkStart w:id="253" w:name="_Toc498939109"/>
      <w:bookmarkStart w:id="254" w:name="_Toc498939381"/>
      <w:bookmarkStart w:id="255" w:name="_Toc498939110"/>
      <w:bookmarkStart w:id="256" w:name="_Toc498939382"/>
      <w:bookmarkStart w:id="257" w:name="_Toc498939111"/>
      <w:bookmarkStart w:id="258" w:name="_Toc498939383"/>
      <w:bookmarkStart w:id="259" w:name="_Toc498939112"/>
      <w:bookmarkStart w:id="260" w:name="_Toc498939384"/>
      <w:bookmarkStart w:id="261" w:name="_Toc498939113"/>
      <w:bookmarkStart w:id="262" w:name="_Toc498939385"/>
      <w:bookmarkStart w:id="263" w:name="_Toc498939114"/>
      <w:bookmarkStart w:id="264" w:name="_Toc498939386"/>
      <w:bookmarkStart w:id="265" w:name="_Toc498939115"/>
      <w:bookmarkStart w:id="266" w:name="_Toc498939387"/>
      <w:bookmarkStart w:id="267" w:name="_Toc498939116"/>
      <w:bookmarkStart w:id="268" w:name="_Toc498939388"/>
      <w:bookmarkStart w:id="269" w:name="_Toc498939117"/>
      <w:bookmarkStart w:id="270" w:name="_Toc498939389"/>
      <w:bookmarkStart w:id="271" w:name="_Toc498939118"/>
      <w:bookmarkStart w:id="272" w:name="_Toc498939390"/>
      <w:bookmarkStart w:id="273" w:name="_Toc498939119"/>
      <w:bookmarkStart w:id="274" w:name="_Toc498939391"/>
      <w:bookmarkStart w:id="275" w:name="_Toc498939120"/>
      <w:bookmarkStart w:id="276" w:name="_Toc498939392"/>
      <w:bookmarkStart w:id="277" w:name="_Toc498939121"/>
      <w:bookmarkStart w:id="278" w:name="_Toc498939393"/>
      <w:bookmarkStart w:id="279" w:name="_Toc498939122"/>
      <w:bookmarkStart w:id="280" w:name="_Toc498939394"/>
      <w:bookmarkStart w:id="281" w:name="_Toc498939123"/>
      <w:bookmarkStart w:id="282" w:name="_Toc498939395"/>
      <w:bookmarkStart w:id="283" w:name="_Toc498939124"/>
      <w:bookmarkStart w:id="284" w:name="_Toc498939396"/>
      <w:bookmarkStart w:id="285" w:name="_Toc498939125"/>
      <w:bookmarkStart w:id="286" w:name="_Toc498939397"/>
      <w:bookmarkStart w:id="287" w:name="_Toc498939126"/>
      <w:bookmarkStart w:id="288" w:name="_Toc498939398"/>
      <w:bookmarkStart w:id="289" w:name="_Toc498939142"/>
      <w:bookmarkStart w:id="290" w:name="_Toc498939414"/>
      <w:bookmarkStart w:id="291" w:name="_Toc498939143"/>
      <w:bookmarkStart w:id="292" w:name="_Toc498939415"/>
      <w:bookmarkStart w:id="293" w:name="_Toc498939144"/>
      <w:bookmarkStart w:id="294" w:name="_Toc498939416"/>
      <w:bookmarkStart w:id="295" w:name="_Toc498939145"/>
      <w:bookmarkStart w:id="296" w:name="_Toc498939417"/>
      <w:bookmarkStart w:id="297" w:name="_Toc498939146"/>
      <w:bookmarkStart w:id="298" w:name="_Toc498939418"/>
      <w:bookmarkStart w:id="299" w:name="_Toc498939147"/>
      <w:bookmarkStart w:id="300" w:name="_Toc498939419"/>
      <w:bookmarkStart w:id="301" w:name="_Toc498939148"/>
      <w:bookmarkStart w:id="302" w:name="_Toc498939420"/>
      <w:bookmarkStart w:id="303" w:name="_Toc498939149"/>
      <w:bookmarkStart w:id="304" w:name="_Toc498939421"/>
      <w:bookmarkStart w:id="305" w:name="_Toc498939150"/>
      <w:bookmarkStart w:id="306" w:name="_Toc498939422"/>
      <w:bookmarkStart w:id="307" w:name="_Toc498939151"/>
      <w:bookmarkStart w:id="308" w:name="_Toc498939423"/>
      <w:bookmarkStart w:id="309" w:name="_Toc498939152"/>
      <w:bookmarkStart w:id="310" w:name="_Toc498939424"/>
      <w:bookmarkStart w:id="311" w:name="_Toc498939153"/>
      <w:bookmarkStart w:id="312" w:name="_Toc498939425"/>
      <w:bookmarkStart w:id="313" w:name="_Toc498939154"/>
      <w:bookmarkStart w:id="314" w:name="_Toc498939426"/>
      <w:bookmarkStart w:id="315" w:name="_Toc498939155"/>
      <w:bookmarkStart w:id="316" w:name="_Toc498939427"/>
      <w:bookmarkStart w:id="317" w:name="_Toc498939156"/>
      <w:bookmarkStart w:id="318" w:name="_Toc498939428"/>
      <w:bookmarkStart w:id="319" w:name="_Toc498939157"/>
      <w:bookmarkStart w:id="320" w:name="_Toc498939429"/>
      <w:bookmarkStart w:id="321" w:name="_Toc498939158"/>
      <w:bookmarkStart w:id="322" w:name="_Toc498939430"/>
      <w:bookmarkStart w:id="323" w:name="_Toc498939159"/>
      <w:bookmarkStart w:id="324" w:name="_Toc498939431"/>
      <w:bookmarkStart w:id="325" w:name="_Toc498939160"/>
      <w:bookmarkStart w:id="326" w:name="_Toc498939432"/>
      <w:bookmarkStart w:id="327" w:name="_Toc498939161"/>
      <w:bookmarkStart w:id="328" w:name="_Toc498939433"/>
      <w:bookmarkStart w:id="329" w:name="_Toc498939162"/>
      <w:bookmarkStart w:id="330" w:name="_Toc498939434"/>
      <w:bookmarkStart w:id="331" w:name="_Toc498939163"/>
      <w:bookmarkStart w:id="332" w:name="_Toc498939435"/>
      <w:bookmarkStart w:id="333" w:name="_Toc498939164"/>
      <w:bookmarkStart w:id="334" w:name="_Toc498939436"/>
      <w:bookmarkStart w:id="335" w:name="_Toc498939165"/>
      <w:bookmarkStart w:id="336" w:name="_Toc498939437"/>
      <w:bookmarkStart w:id="337" w:name="_Toc498939166"/>
      <w:bookmarkStart w:id="338" w:name="_Toc498939438"/>
      <w:bookmarkStart w:id="339" w:name="_Toc498939167"/>
      <w:bookmarkStart w:id="340" w:name="_Toc498939439"/>
      <w:bookmarkStart w:id="341" w:name="_Toc498939168"/>
      <w:bookmarkStart w:id="342" w:name="_Toc498939440"/>
      <w:bookmarkStart w:id="343" w:name="_Toc498939169"/>
      <w:bookmarkStart w:id="344" w:name="_Toc498939441"/>
      <w:bookmarkStart w:id="345" w:name="_Toc498939170"/>
      <w:bookmarkStart w:id="346" w:name="_Toc498939442"/>
      <w:bookmarkStart w:id="347" w:name="_Toc498939171"/>
      <w:bookmarkStart w:id="348" w:name="_Toc498939443"/>
      <w:bookmarkStart w:id="349" w:name="_Toc498939172"/>
      <w:bookmarkStart w:id="350" w:name="_Toc498939444"/>
      <w:bookmarkStart w:id="351" w:name="_Toc498939173"/>
      <w:bookmarkStart w:id="352" w:name="_Toc498939445"/>
      <w:bookmarkStart w:id="353" w:name="_Toc498939174"/>
      <w:bookmarkStart w:id="354" w:name="_Toc498939446"/>
      <w:bookmarkStart w:id="355" w:name="_Toc498939175"/>
      <w:bookmarkStart w:id="356" w:name="_Toc498939447"/>
      <w:bookmarkStart w:id="357" w:name="_Toc498939204"/>
      <w:bookmarkStart w:id="358" w:name="_Toc498939476"/>
      <w:bookmarkStart w:id="359" w:name="_Toc498939205"/>
      <w:bookmarkStart w:id="360" w:name="_Toc498939477"/>
      <w:bookmarkStart w:id="361" w:name="_Toc498939206"/>
      <w:bookmarkStart w:id="362" w:name="_Toc498939478"/>
      <w:bookmarkStart w:id="363" w:name="_Toc498939207"/>
      <w:bookmarkStart w:id="364" w:name="_Toc498939479"/>
      <w:bookmarkStart w:id="365" w:name="_Toc498939208"/>
      <w:bookmarkStart w:id="366" w:name="_Toc498939480"/>
      <w:bookmarkStart w:id="367" w:name="_Toc498939209"/>
      <w:bookmarkStart w:id="368" w:name="_Toc498939481"/>
      <w:bookmarkStart w:id="369" w:name="_Toc498939210"/>
      <w:bookmarkStart w:id="370" w:name="_Toc498939482"/>
      <w:bookmarkStart w:id="371" w:name="_Toc498939211"/>
      <w:bookmarkStart w:id="372" w:name="_Toc498939483"/>
      <w:bookmarkStart w:id="373" w:name="_Toc498939212"/>
      <w:bookmarkStart w:id="374" w:name="_Toc498939484"/>
      <w:bookmarkStart w:id="375" w:name="_Toc498939213"/>
      <w:bookmarkStart w:id="376" w:name="_Toc498939485"/>
      <w:bookmarkStart w:id="377" w:name="_Toc498939214"/>
      <w:bookmarkStart w:id="378" w:name="_Toc498939486"/>
      <w:bookmarkStart w:id="379" w:name="_Toc498939215"/>
      <w:bookmarkStart w:id="380" w:name="_Toc498939487"/>
      <w:bookmarkStart w:id="381" w:name="_Toc498939216"/>
      <w:bookmarkStart w:id="382" w:name="_Toc498939488"/>
      <w:bookmarkStart w:id="383" w:name="_Toc498939217"/>
      <w:bookmarkStart w:id="384" w:name="_Toc498939489"/>
      <w:bookmarkStart w:id="385" w:name="_Toc498939218"/>
      <w:bookmarkStart w:id="386" w:name="_Toc498939490"/>
      <w:bookmarkStart w:id="387" w:name="_Toc498939219"/>
      <w:bookmarkStart w:id="388" w:name="_Toc498939491"/>
      <w:bookmarkStart w:id="389" w:name="_Toc498939220"/>
      <w:bookmarkStart w:id="390" w:name="_Toc498939492"/>
      <w:bookmarkStart w:id="391" w:name="_Toc498939221"/>
      <w:bookmarkStart w:id="392" w:name="_Toc498939493"/>
      <w:bookmarkStart w:id="393" w:name="_Toc498939222"/>
      <w:bookmarkStart w:id="394" w:name="_Toc498939494"/>
      <w:bookmarkStart w:id="395" w:name="_Toc498939223"/>
      <w:bookmarkStart w:id="396" w:name="_Toc498939495"/>
      <w:bookmarkStart w:id="397" w:name="_Toc498939252"/>
      <w:bookmarkStart w:id="398" w:name="_Toc498939524"/>
      <w:bookmarkStart w:id="399" w:name="_Toc498939253"/>
      <w:bookmarkStart w:id="400" w:name="_Toc498939525"/>
      <w:bookmarkStart w:id="401" w:name="_Toc498939254"/>
      <w:bookmarkStart w:id="402" w:name="_Toc498939526"/>
      <w:bookmarkStart w:id="403" w:name="_Toc498939255"/>
      <w:bookmarkStart w:id="404" w:name="_Toc498939527"/>
      <w:bookmarkStart w:id="405" w:name="_Toc498939256"/>
      <w:bookmarkStart w:id="406" w:name="_Toc498939528"/>
      <w:bookmarkStart w:id="407" w:name="_Toc498939257"/>
      <w:bookmarkStart w:id="408" w:name="_Toc498939529"/>
      <w:bookmarkStart w:id="409" w:name="_Toc498939258"/>
      <w:bookmarkStart w:id="410" w:name="_Toc498939530"/>
      <w:bookmarkStart w:id="411" w:name="_Toc498939259"/>
      <w:bookmarkStart w:id="412" w:name="_Toc498939531"/>
      <w:bookmarkStart w:id="413" w:name="_Toc498939260"/>
      <w:bookmarkStart w:id="414" w:name="_Toc498939532"/>
      <w:bookmarkStart w:id="415" w:name="_Toc498939261"/>
      <w:bookmarkStart w:id="416" w:name="_Toc498939533"/>
      <w:bookmarkStart w:id="417" w:name="_Toc498939262"/>
      <w:bookmarkStart w:id="418" w:name="_Toc498939534"/>
      <w:bookmarkStart w:id="419" w:name="_Toc498939263"/>
      <w:bookmarkStart w:id="420" w:name="_Toc498939535"/>
      <w:bookmarkStart w:id="421" w:name="_Toc498939264"/>
      <w:bookmarkStart w:id="422" w:name="_Toc498939536"/>
      <w:bookmarkStart w:id="423" w:name="_Toc498939265"/>
      <w:bookmarkStart w:id="424" w:name="_Toc498939537"/>
      <w:bookmarkStart w:id="425" w:name="_Toc498939266"/>
      <w:bookmarkStart w:id="426" w:name="_Toc498939538"/>
      <w:bookmarkStart w:id="427" w:name="_Toc498939295"/>
      <w:bookmarkStart w:id="428" w:name="_Toc498939567"/>
      <w:bookmarkStart w:id="429" w:name="_Toc498939296"/>
      <w:bookmarkStart w:id="430" w:name="_Toc498939568"/>
      <w:bookmarkStart w:id="431" w:name="_Toc498939297"/>
      <w:bookmarkStart w:id="432" w:name="_Toc498939569"/>
      <w:bookmarkStart w:id="433" w:name="_Toc498939298"/>
      <w:bookmarkStart w:id="434" w:name="_Toc498939570"/>
      <w:bookmarkStart w:id="435" w:name="_Toc498939299"/>
      <w:bookmarkStart w:id="436" w:name="_Toc498939571"/>
      <w:bookmarkStart w:id="437" w:name="_Toc498939300"/>
      <w:bookmarkStart w:id="438" w:name="_Toc498939572"/>
      <w:bookmarkStart w:id="439" w:name="_Toc498939301"/>
      <w:bookmarkStart w:id="440" w:name="_Toc498939573"/>
      <w:bookmarkStart w:id="441" w:name="_Toc498939302"/>
      <w:bookmarkStart w:id="442" w:name="_Toc498939574"/>
      <w:bookmarkStart w:id="443" w:name="_Toc498939328"/>
      <w:bookmarkStart w:id="444" w:name="_Toc498939600"/>
      <w:bookmarkEnd w:id="21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p>
    <w:p w14:paraId="25A1000D" w14:textId="5877D591" w:rsidR="00052799" w:rsidRDefault="001C7D77" w:rsidP="00052799">
      <w:pPr>
        <w:pStyle w:val="Appendixheader"/>
      </w:pPr>
      <w:bookmarkStart w:id="445" w:name="_Toc500505502"/>
      <w:bookmarkStart w:id="446" w:name="_Toc501539197"/>
      <w:r>
        <w:t>Minor and m</w:t>
      </w:r>
      <w:r w:rsidR="00052799">
        <w:t>achinery options considered</w:t>
      </w:r>
      <w:bookmarkEnd w:id="445"/>
      <w:bookmarkEnd w:id="446"/>
    </w:p>
    <w:p w14:paraId="2C8BAA8C" w14:textId="77777777" w:rsidR="00052799" w:rsidRPr="00BD6998" w:rsidRDefault="00052799" w:rsidP="00052799">
      <w:pPr>
        <w:pStyle w:val="Heading4"/>
      </w:pPr>
      <w:r w:rsidRPr="00BD6998">
        <w:t>Non-substantial proposed Regulations and other options considered and not progressed</w:t>
      </w:r>
    </w:p>
    <w:tbl>
      <w:tblPr>
        <w:tblW w:w="4388" w:type="pct"/>
        <w:tblInd w:w="907" w:type="dxa"/>
        <w:tblBorders>
          <w:top w:val="single" w:sz="4" w:space="0" w:color="666366"/>
          <w:bottom w:val="single" w:sz="4" w:space="0" w:color="666366"/>
          <w:insideH w:val="single" w:sz="2" w:space="0" w:color="C0C0C0"/>
        </w:tblBorders>
        <w:tblLayout w:type="fixed"/>
        <w:tblCellMar>
          <w:top w:w="57" w:type="dxa"/>
          <w:bottom w:w="57" w:type="dxa"/>
        </w:tblCellMar>
        <w:tblLook w:val="0000" w:firstRow="0" w:lastRow="0" w:firstColumn="0" w:lastColumn="0" w:noHBand="0" w:noVBand="0"/>
        <w:tblCaption w:val="Non-substantial proposed Regulations and other options considered and not progressed"/>
      </w:tblPr>
      <w:tblGrid>
        <w:gridCol w:w="3009"/>
        <w:gridCol w:w="5698"/>
      </w:tblGrid>
      <w:tr w:rsidR="00052799" w:rsidRPr="002D7AE6" w14:paraId="6E127E5B" w14:textId="77777777" w:rsidTr="00871631">
        <w:trPr>
          <w:trHeight w:val="286"/>
          <w:tblHeader/>
        </w:trPr>
        <w:tc>
          <w:tcPr>
            <w:tcW w:w="1728" w:type="pct"/>
            <w:tcBorders>
              <w:top w:val="single" w:sz="4" w:space="0" w:color="666366"/>
              <w:bottom w:val="single" w:sz="2" w:space="0" w:color="C0C0C0"/>
            </w:tcBorders>
            <w:shd w:val="clear" w:color="auto" w:fill="01356E"/>
            <w:vAlign w:val="center"/>
          </w:tcPr>
          <w:p w14:paraId="051A7CB4" w14:textId="77777777" w:rsidR="00052799" w:rsidRPr="002D7AE6" w:rsidRDefault="00052799" w:rsidP="00871631">
            <w:pPr>
              <w:pStyle w:val="TableHeader"/>
              <w:jc w:val="center"/>
              <w:rPr>
                <w:sz w:val="18"/>
                <w:szCs w:val="18"/>
              </w:rPr>
            </w:pPr>
            <w:r w:rsidRPr="002D7AE6">
              <w:rPr>
                <w:sz w:val="18"/>
                <w:szCs w:val="18"/>
              </w:rPr>
              <w:t>Option</w:t>
            </w:r>
          </w:p>
        </w:tc>
        <w:tc>
          <w:tcPr>
            <w:tcW w:w="3272" w:type="pct"/>
            <w:tcBorders>
              <w:top w:val="single" w:sz="4" w:space="0" w:color="666366"/>
              <w:bottom w:val="single" w:sz="2" w:space="0" w:color="C0C0C0"/>
            </w:tcBorders>
            <w:shd w:val="clear" w:color="auto" w:fill="01356E"/>
            <w:vAlign w:val="center"/>
          </w:tcPr>
          <w:p w14:paraId="642EAF93" w14:textId="77777777" w:rsidR="00052799" w:rsidRPr="002D7AE6" w:rsidRDefault="00052799" w:rsidP="00871631">
            <w:pPr>
              <w:pStyle w:val="TableHeader"/>
              <w:jc w:val="center"/>
              <w:rPr>
                <w:sz w:val="18"/>
                <w:szCs w:val="18"/>
              </w:rPr>
            </w:pPr>
            <w:r w:rsidRPr="002D7AE6">
              <w:rPr>
                <w:sz w:val="18"/>
                <w:szCs w:val="18"/>
              </w:rPr>
              <w:t>Rationale</w:t>
            </w:r>
          </w:p>
        </w:tc>
      </w:tr>
      <w:tr w:rsidR="00052799" w:rsidRPr="002D7AE6" w14:paraId="251CF3D3" w14:textId="77777777" w:rsidTr="00871631">
        <w:trPr>
          <w:trHeight w:val="1326"/>
        </w:trPr>
        <w:tc>
          <w:tcPr>
            <w:tcW w:w="1728" w:type="pct"/>
            <w:shd w:val="clear" w:color="auto" w:fill="auto"/>
          </w:tcPr>
          <w:p w14:paraId="56864EBC" w14:textId="77777777" w:rsidR="00052799" w:rsidRPr="002D7AE6" w:rsidRDefault="00052799" w:rsidP="00871631">
            <w:pPr>
              <w:pStyle w:val="TableText"/>
            </w:pPr>
            <w:r w:rsidRPr="002D7AE6">
              <w:t>Fee incentives be created to store firearms at a dealer during long absences of firearms owners from their homes</w:t>
            </w:r>
          </w:p>
        </w:tc>
        <w:tc>
          <w:tcPr>
            <w:tcW w:w="3272" w:type="pct"/>
            <w:shd w:val="clear" w:color="auto" w:fill="auto"/>
          </w:tcPr>
          <w:p w14:paraId="79876EDD" w14:textId="77777777" w:rsidR="00052799" w:rsidRPr="002D7AE6" w:rsidRDefault="00052799" w:rsidP="001C7D77">
            <w:pPr>
              <w:pStyle w:val="TableText"/>
              <w:spacing w:before="80" w:after="80"/>
            </w:pPr>
            <w:r w:rsidRPr="002D7AE6">
              <w:t>Some firearms owners and licence holders store firearms at premises from which they are frequently absent. For example, owners of ‘hobby farms’ whose primary residence is in a metropolitan area, may store firearms at the rural property, at which they are present infrequently. Unattended rural properties such as these can present an increased risk of theft or break-in, with associated risks to safety and public peace if firearms are stolen.</w:t>
            </w:r>
          </w:p>
          <w:p w14:paraId="4E022405" w14:textId="457661B9" w:rsidR="00052799" w:rsidRPr="002D7AE6" w:rsidRDefault="00052799" w:rsidP="001C7D77">
            <w:pPr>
              <w:pStyle w:val="TableText"/>
              <w:spacing w:before="80" w:after="80"/>
            </w:pPr>
            <w:r w:rsidRPr="002D7AE6">
              <w:t xml:space="preserve">This proposal would see firearms licensees being able to apply to have a discount applied to their licence fee if they stored their firearms at a dealer during periods of absence. The discount would be available for people who are absent from the property at which the firearms are stored for periods longer than four weeks. The discount is intended to incentivise firearms owners to store their firearms with a dealer during periods when they are absent from the property, reducing the risk </w:t>
            </w:r>
            <w:r w:rsidR="001C7D77">
              <w:t>of theft.</w:t>
            </w:r>
          </w:p>
          <w:p w14:paraId="432CB2FA" w14:textId="77777777" w:rsidR="00052799" w:rsidRPr="002D7AE6" w:rsidRDefault="00052799" w:rsidP="001C7D77">
            <w:pPr>
              <w:pStyle w:val="TableText"/>
              <w:spacing w:before="80" w:after="80"/>
            </w:pPr>
            <w:r w:rsidRPr="002D7AE6">
              <w:t>Stakeholders did not support this option, considering it unworkable for the following reasons:</w:t>
            </w:r>
          </w:p>
          <w:p w14:paraId="24DAEE86" w14:textId="77777777" w:rsidR="00052799" w:rsidRPr="002D7AE6" w:rsidRDefault="00052799" w:rsidP="00052799">
            <w:pPr>
              <w:pStyle w:val="TableText"/>
              <w:numPr>
                <w:ilvl w:val="0"/>
                <w:numId w:val="74"/>
              </w:numPr>
            </w:pPr>
            <w:r w:rsidRPr="002D7AE6">
              <w:t xml:space="preserve">Feedback from stakeholders consulted suggests that storage at a licensed firearms dealer is often expensive, and its cost would likely exceed the value of any discount provided. </w:t>
            </w:r>
          </w:p>
          <w:p w14:paraId="7DFD4C04" w14:textId="77777777" w:rsidR="00052799" w:rsidRPr="002D7AE6" w:rsidRDefault="00052799" w:rsidP="00052799">
            <w:pPr>
              <w:pStyle w:val="TableText"/>
              <w:numPr>
                <w:ilvl w:val="0"/>
                <w:numId w:val="74"/>
              </w:numPr>
            </w:pPr>
            <w:r w:rsidRPr="002D7AE6">
              <w:t>It was pointed out that many secure self-storage service providers now offer secure firearm storage facilities which may serve the same purpose as storage with a dealer, so that limiting the proposal to dealer storage would be inappropriate.</w:t>
            </w:r>
          </w:p>
          <w:p w14:paraId="795A1E46" w14:textId="77777777" w:rsidR="00052799" w:rsidRPr="002D7AE6" w:rsidRDefault="00052799" w:rsidP="00052799">
            <w:pPr>
              <w:pStyle w:val="TableText"/>
              <w:numPr>
                <w:ilvl w:val="0"/>
                <w:numId w:val="74"/>
              </w:numPr>
            </w:pPr>
            <w:r w:rsidRPr="002D7AE6">
              <w:t>The perception was noted that storage facilities at dealers differ greatly, and reliability is not consistent. As a result, owners may be reluctant to take up the incentive.</w:t>
            </w:r>
          </w:p>
          <w:p w14:paraId="11486822" w14:textId="77777777" w:rsidR="00052799" w:rsidRPr="002D7AE6" w:rsidRDefault="00052799" w:rsidP="00052799">
            <w:pPr>
              <w:pStyle w:val="TableText"/>
              <w:numPr>
                <w:ilvl w:val="0"/>
                <w:numId w:val="74"/>
              </w:numPr>
            </w:pPr>
            <w:r w:rsidRPr="002D7AE6">
              <w:t>It was also argued that few primary production licence holders would take up this discount. Farmers advised that, particularly where a farmer keeps livestock, their firearm is likely to be needed as soon as they arrive at the farm. Storing a firearm at a dealer and collecting it every time they arrive was considered inconvenient and unlikely to be attractive to people who are absent for long periods.</w:t>
            </w:r>
          </w:p>
          <w:p w14:paraId="21CF87D7" w14:textId="77777777" w:rsidR="00052799" w:rsidRPr="002D7AE6" w:rsidRDefault="00052799" w:rsidP="001C7D77">
            <w:pPr>
              <w:pStyle w:val="TableText"/>
              <w:spacing w:before="80" w:after="80"/>
            </w:pPr>
            <w:r w:rsidRPr="002D7AE6">
              <w:t>Victoria Police noted that aspects of the proposal could be difficult to enforce. In particular, it would be costly to monitor whether licensees are in fact storing their firearms with a dealer during periods of absence. In addition, the licensee would be required to report any periods of absence to Victoria Police. In the event the applicant’s circumstances changed, such that they were no longer absent for lengthy periods, Victoria Police would be required to recoup some portion of the discount offered. Finally, the threshold for a ‘long absence’, suggested to be four weeks, would be difficult to verify at the time an application was made.</w:t>
            </w:r>
          </w:p>
          <w:p w14:paraId="319B1261" w14:textId="77777777" w:rsidR="00052799" w:rsidRPr="002D7AE6" w:rsidRDefault="00052799" w:rsidP="001C7D77">
            <w:pPr>
              <w:pStyle w:val="TableText"/>
              <w:spacing w:before="80" w:after="80"/>
            </w:pPr>
            <w:r w:rsidRPr="002D7AE6">
              <w:t>In light of the small incentive provided and the administrative costs to Victoria Police of seeking proof of storage and processing a refund, it is not proposed that this change proceed.</w:t>
            </w:r>
          </w:p>
        </w:tc>
      </w:tr>
    </w:tbl>
    <w:p w14:paraId="62C29E4C" w14:textId="77777777" w:rsidR="00052799" w:rsidRDefault="00052799" w:rsidP="00052799">
      <w:pPr>
        <w:pStyle w:val="BodyText"/>
        <w:rPr>
          <w:highlight w:val="yellow"/>
        </w:rPr>
      </w:pPr>
      <w:bookmarkStart w:id="447" w:name="_Toc496711220"/>
      <w:bookmarkStart w:id="448" w:name="_Toc496783681"/>
      <w:bookmarkStart w:id="449" w:name="_Toc496784076"/>
      <w:bookmarkEnd w:id="447"/>
      <w:bookmarkEnd w:id="448"/>
      <w:bookmarkEnd w:id="449"/>
    </w:p>
    <w:p w14:paraId="5F3FAFBC" w14:textId="77777777" w:rsidR="00052799" w:rsidRPr="00655147" w:rsidRDefault="00052799" w:rsidP="001C7D77">
      <w:pPr>
        <w:pStyle w:val="Heading4"/>
        <w:rPr>
          <w:highlight w:val="yellow"/>
        </w:rPr>
      </w:pPr>
      <w:r>
        <w:t>Reconciliation of changes between the current and proposed Regulations, including rationale for minor changes</w:t>
      </w:r>
    </w:p>
    <w:tbl>
      <w:tblPr>
        <w:tblW w:w="8838"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1193"/>
        <w:gridCol w:w="1193"/>
        <w:gridCol w:w="2717"/>
        <w:gridCol w:w="3735"/>
      </w:tblGrid>
      <w:tr w:rsidR="00052799" w:rsidRPr="002D7AE6" w14:paraId="73FB971F" w14:textId="77777777" w:rsidTr="00871631">
        <w:trPr>
          <w:cantSplit/>
          <w:tblHeader/>
        </w:trPr>
        <w:tc>
          <w:tcPr>
            <w:tcW w:w="1193" w:type="dxa"/>
            <w:shd w:val="clear" w:color="auto" w:fill="002060"/>
          </w:tcPr>
          <w:p w14:paraId="2945AF3E" w14:textId="77777777" w:rsidR="00052799" w:rsidRPr="002D7AE6" w:rsidRDefault="00052799" w:rsidP="001C7D77">
            <w:pPr>
              <w:keepNext/>
              <w:spacing w:before="120" w:after="120"/>
              <w:jc w:val="center"/>
              <w:rPr>
                <w:b/>
                <w:sz w:val="18"/>
                <w:szCs w:val="18"/>
              </w:rPr>
            </w:pPr>
            <w:r w:rsidRPr="002D7AE6">
              <w:rPr>
                <w:b/>
                <w:sz w:val="18"/>
                <w:szCs w:val="18"/>
              </w:rPr>
              <w:t>Current regulation</w:t>
            </w:r>
          </w:p>
        </w:tc>
        <w:tc>
          <w:tcPr>
            <w:tcW w:w="1193" w:type="dxa"/>
            <w:shd w:val="clear" w:color="auto" w:fill="002060"/>
          </w:tcPr>
          <w:p w14:paraId="71609F3C" w14:textId="77777777" w:rsidR="00052799" w:rsidRPr="002D7AE6" w:rsidRDefault="00052799" w:rsidP="001C7D77">
            <w:pPr>
              <w:keepNext/>
              <w:spacing w:before="120" w:after="120"/>
              <w:jc w:val="center"/>
              <w:rPr>
                <w:b/>
                <w:sz w:val="18"/>
                <w:szCs w:val="18"/>
              </w:rPr>
            </w:pPr>
            <w:r w:rsidRPr="002D7AE6">
              <w:rPr>
                <w:b/>
                <w:sz w:val="18"/>
                <w:szCs w:val="18"/>
              </w:rPr>
              <w:t>Proposed regulation</w:t>
            </w:r>
          </w:p>
        </w:tc>
        <w:tc>
          <w:tcPr>
            <w:tcW w:w="2717" w:type="dxa"/>
            <w:shd w:val="clear" w:color="auto" w:fill="002060"/>
          </w:tcPr>
          <w:p w14:paraId="22C9A61A" w14:textId="77777777" w:rsidR="00052799" w:rsidRPr="002D7AE6" w:rsidRDefault="00052799" w:rsidP="001C7D77">
            <w:pPr>
              <w:keepNext/>
              <w:spacing w:before="120" w:after="120"/>
              <w:jc w:val="center"/>
              <w:rPr>
                <w:b/>
                <w:sz w:val="18"/>
                <w:szCs w:val="18"/>
              </w:rPr>
            </w:pPr>
            <w:r w:rsidRPr="002D7AE6">
              <w:rPr>
                <w:b/>
                <w:sz w:val="18"/>
                <w:szCs w:val="18"/>
              </w:rPr>
              <w:t>Heading</w:t>
            </w:r>
          </w:p>
        </w:tc>
        <w:tc>
          <w:tcPr>
            <w:tcW w:w="3735" w:type="dxa"/>
            <w:shd w:val="clear" w:color="auto" w:fill="002060"/>
          </w:tcPr>
          <w:p w14:paraId="2CF5FD1A" w14:textId="7EE0D788" w:rsidR="00052799" w:rsidRPr="002D7AE6" w:rsidRDefault="00052799" w:rsidP="001C7D77">
            <w:pPr>
              <w:keepNext/>
              <w:spacing w:before="120" w:after="120"/>
              <w:jc w:val="center"/>
              <w:rPr>
                <w:b/>
                <w:sz w:val="18"/>
                <w:szCs w:val="18"/>
              </w:rPr>
            </w:pPr>
            <w:r w:rsidRPr="002D7AE6">
              <w:rPr>
                <w:b/>
                <w:sz w:val="18"/>
                <w:szCs w:val="18"/>
              </w:rPr>
              <w:t>Changes in the exposure draft</w:t>
            </w:r>
            <w:r w:rsidR="002406E1">
              <w:rPr>
                <w:b/>
                <w:sz w:val="18"/>
                <w:szCs w:val="18"/>
              </w:rPr>
              <w:t xml:space="preserve"> (other than drafting changes)</w:t>
            </w:r>
          </w:p>
        </w:tc>
      </w:tr>
      <w:tr w:rsidR="00052799" w:rsidRPr="002D7AE6" w14:paraId="375CD337" w14:textId="77777777" w:rsidTr="00871631">
        <w:trPr>
          <w:cantSplit/>
        </w:trPr>
        <w:tc>
          <w:tcPr>
            <w:tcW w:w="1193" w:type="dxa"/>
            <w:shd w:val="clear" w:color="auto" w:fill="auto"/>
          </w:tcPr>
          <w:p w14:paraId="15E187CF" w14:textId="77777777" w:rsidR="00052799" w:rsidRPr="002D7AE6" w:rsidRDefault="00052799" w:rsidP="001C7D77">
            <w:pPr>
              <w:keepNext/>
              <w:spacing w:before="120" w:after="120"/>
              <w:jc w:val="center"/>
              <w:rPr>
                <w:sz w:val="18"/>
                <w:szCs w:val="18"/>
              </w:rPr>
            </w:pPr>
            <w:r w:rsidRPr="002D7AE6">
              <w:rPr>
                <w:sz w:val="18"/>
                <w:szCs w:val="18"/>
              </w:rPr>
              <w:t>1</w:t>
            </w:r>
          </w:p>
        </w:tc>
        <w:tc>
          <w:tcPr>
            <w:tcW w:w="1193" w:type="dxa"/>
            <w:shd w:val="clear" w:color="auto" w:fill="auto"/>
          </w:tcPr>
          <w:p w14:paraId="0823DA4F" w14:textId="77777777" w:rsidR="00052799" w:rsidRPr="002D7AE6" w:rsidRDefault="00052799" w:rsidP="001C7D77">
            <w:pPr>
              <w:keepNext/>
              <w:spacing w:before="120" w:after="120"/>
              <w:jc w:val="center"/>
              <w:rPr>
                <w:sz w:val="18"/>
                <w:szCs w:val="18"/>
              </w:rPr>
            </w:pPr>
            <w:r w:rsidRPr="002D7AE6">
              <w:rPr>
                <w:sz w:val="18"/>
                <w:szCs w:val="18"/>
              </w:rPr>
              <w:t>1</w:t>
            </w:r>
          </w:p>
        </w:tc>
        <w:tc>
          <w:tcPr>
            <w:tcW w:w="2717" w:type="dxa"/>
            <w:shd w:val="clear" w:color="auto" w:fill="auto"/>
          </w:tcPr>
          <w:p w14:paraId="627AAE76" w14:textId="77777777" w:rsidR="00052799" w:rsidRPr="002D7AE6" w:rsidRDefault="00052799" w:rsidP="001C7D77">
            <w:pPr>
              <w:keepNext/>
              <w:spacing w:before="120" w:after="120"/>
              <w:rPr>
                <w:sz w:val="18"/>
                <w:szCs w:val="18"/>
              </w:rPr>
            </w:pPr>
            <w:r w:rsidRPr="002D7AE6">
              <w:rPr>
                <w:sz w:val="18"/>
                <w:szCs w:val="18"/>
              </w:rPr>
              <w:t>Objectives</w:t>
            </w:r>
          </w:p>
        </w:tc>
        <w:tc>
          <w:tcPr>
            <w:tcW w:w="3735" w:type="dxa"/>
            <w:shd w:val="clear" w:color="auto" w:fill="auto"/>
          </w:tcPr>
          <w:p w14:paraId="1783D3B0" w14:textId="77777777" w:rsidR="00052799" w:rsidRPr="002D7AE6" w:rsidRDefault="00052799" w:rsidP="001C7D77">
            <w:pPr>
              <w:keepNext/>
              <w:spacing w:before="120" w:after="120"/>
              <w:rPr>
                <w:sz w:val="18"/>
                <w:szCs w:val="18"/>
              </w:rPr>
            </w:pPr>
            <w:r w:rsidRPr="002D7AE6">
              <w:rPr>
                <w:sz w:val="18"/>
                <w:szCs w:val="18"/>
              </w:rPr>
              <w:t>Updated to reflect new content of Regulations.</w:t>
            </w:r>
          </w:p>
        </w:tc>
      </w:tr>
      <w:tr w:rsidR="00052799" w:rsidRPr="002D7AE6" w14:paraId="7161C30A" w14:textId="77777777" w:rsidTr="00871631">
        <w:trPr>
          <w:cantSplit/>
        </w:trPr>
        <w:tc>
          <w:tcPr>
            <w:tcW w:w="1193" w:type="dxa"/>
            <w:shd w:val="clear" w:color="auto" w:fill="auto"/>
          </w:tcPr>
          <w:p w14:paraId="7F1FBB5F" w14:textId="77777777" w:rsidR="00052799" w:rsidRPr="002D7AE6" w:rsidRDefault="00052799" w:rsidP="00871631">
            <w:pPr>
              <w:spacing w:before="120" w:after="120"/>
              <w:jc w:val="center"/>
              <w:rPr>
                <w:sz w:val="18"/>
                <w:szCs w:val="18"/>
              </w:rPr>
            </w:pPr>
            <w:r w:rsidRPr="002D7AE6">
              <w:rPr>
                <w:sz w:val="18"/>
                <w:szCs w:val="18"/>
              </w:rPr>
              <w:t>2</w:t>
            </w:r>
          </w:p>
        </w:tc>
        <w:tc>
          <w:tcPr>
            <w:tcW w:w="1193" w:type="dxa"/>
            <w:shd w:val="clear" w:color="auto" w:fill="auto"/>
          </w:tcPr>
          <w:p w14:paraId="7F6415E8" w14:textId="77777777" w:rsidR="00052799" w:rsidRPr="002D7AE6" w:rsidRDefault="00052799" w:rsidP="00871631">
            <w:pPr>
              <w:spacing w:before="120" w:after="120"/>
              <w:jc w:val="center"/>
              <w:rPr>
                <w:sz w:val="18"/>
                <w:szCs w:val="18"/>
              </w:rPr>
            </w:pPr>
            <w:r w:rsidRPr="002D7AE6">
              <w:rPr>
                <w:sz w:val="18"/>
                <w:szCs w:val="18"/>
              </w:rPr>
              <w:t>2</w:t>
            </w:r>
          </w:p>
        </w:tc>
        <w:tc>
          <w:tcPr>
            <w:tcW w:w="2717" w:type="dxa"/>
            <w:shd w:val="clear" w:color="auto" w:fill="auto"/>
          </w:tcPr>
          <w:p w14:paraId="3DA962C9" w14:textId="77777777" w:rsidR="00052799" w:rsidRPr="002D7AE6" w:rsidRDefault="00052799" w:rsidP="00871631">
            <w:pPr>
              <w:spacing w:before="120" w:after="120"/>
              <w:rPr>
                <w:sz w:val="18"/>
                <w:szCs w:val="18"/>
              </w:rPr>
            </w:pPr>
            <w:r w:rsidRPr="002D7AE6">
              <w:rPr>
                <w:sz w:val="18"/>
                <w:szCs w:val="18"/>
              </w:rPr>
              <w:t>Authorising provisions</w:t>
            </w:r>
          </w:p>
        </w:tc>
        <w:tc>
          <w:tcPr>
            <w:tcW w:w="3735" w:type="dxa"/>
            <w:shd w:val="clear" w:color="auto" w:fill="auto"/>
          </w:tcPr>
          <w:p w14:paraId="263F9C74" w14:textId="77777777" w:rsidR="00052799" w:rsidRPr="002D7AE6" w:rsidRDefault="00052799" w:rsidP="00871631">
            <w:pPr>
              <w:spacing w:before="120" w:after="120"/>
              <w:rPr>
                <w:sz w:val="18"/>
                <w:szCs w:val="18"/>
              </w:rPr>
            </w:pPr>
            <w:r w:rsidRPr="002D7AE6">
              <w:rPr>
                <w:sz w:val="18"/>
                <w:szCs w:val="18"/>
              </w:rPr>
              <w:t>Updated in accordance with changes in drafting practice.</w:t>
            </w:r>
          </w:p>
        </w:tc>
      </w:tr>
      <w:tr w:rsidR="00052799" w:rsidRPr="002D7AE6" w14:paraId="395383B4" w14:textId="77777777" w:rsidTr="00871631">
        <w:trPr>
          <w:cantSplit/>
        </w:trPr>
        <w:tc>
          <w:tcPr>
            <w:tcW w:w="1193" w:type="dxa"/>
            <w:shd w:val="clear" w:color="auto" w:fill="auto"/>
          </w:tcPr>
          <w:p w14:paraId="4E84399D" w14:textId="77777777" w:rsidR="00052799" w:rsidRPr="002D7AE6" w:rsidRDefault="00052799" w:rsidP="00871631">
            <w:pPr>
              <w:spacing w:before="120" w:after="120"/>
              <w:jc w:val="center"/>
              <w:rPr>
                <w:sz w:val="18"/>
                <w:szCs w:val="18"/>
              </w:rPr>
            </w:pPr>
            <w:r w:rsidRPr="002D7AE6">
              <w:rPr>
                <w:sz w:val="18"/>
                <w:szCs w:val="18"/>
              </w:rPr>
              <w:t>3</w:t>
            </w:r>
          </w:p>
        </w:tc>
        <w:tc>
          <w:tcPr>
            <w:tcW w:w="1193" w:type="dxa"/>
            <w:shd w:val="clear" w:color="auto" w:fill="auto"/>
          </w:tcPr>
          <w:p w14:paraId="41A313ED" w14:textId="77777777" w:rsidR="00052799" w:rsidRPr="002D7AE6" w:rsidRDefault="00052799" w:rsidP="00871631">
            <w:pPr>
              <w:spacing w:before="120" w:after="120"/>
              <w:jc w:val="center"/>
              <w:rPr>
                <w:sz w:val="18"/>
                <w:szCs w:val="18"/>
              </w:rPr>
            </w:pPr>
            <w:r w:rsidRPr="002D7AE6">
              <w:rPr>
                <w:sz w:val="18"/>
                <w:szCs w:val="18"/>
              </w:rPr>
              <w:t>3</w:t>
            </w:r>
          </w:p>
        </w:tc>
        <w:tc>
          <w:tcPr>
            <w:tcW w:w="2717" w:type="dxa"/>
            <w:shd w:val="clear" w:color="auto" w:fill="auto"/>
          </w:tcPr>
          <w:p w14:paraId="28404769" w14:textId="77777777" w:rsidR="00052799" w:rsidRPr="002D7AE6" w:rsidRDefault="00052799" w:rsidP="00871631">
            <w:pPr>
              <w:spacing w:before="120" w:after="120"/>
              <w:rPr>
                <w:sz w:val="18"/>
                <w:szCs w:val="18"/>
              </w:rPr>
            </w:pPr>
            <w:r w:rsidRPr="002D7AE6">
              <w:rPr>
                <w:sz w:val="18"/>
                <w:szCs w:val="18"/>
              </w:rPr>
              <w:t xml:space="preserve">Commencement date </w:t>
            </w:r>
          </w:p>
        </w:tc>
        <w:tc>
          <w:tcPr>
            <w:tcW w:w="3735" w:type="dxa"/>
            <w:shd w:val="clear" w:color="auto" w:fill="auto"/>
          </w:tcPr>
          <w:p w14:paraId="45005897" w14:textId="77777777" w:rsidR="00052799" w:rsidRPr="002D7AE6" w:rsidRDefault="00052799" w:rsidP="00871631">
            <w:pPr>
              <w:spacing w:before="120" w:after="120"/>
              <w:rPr>
                <w:sz w:val="18"/>
                <w:szCs w:val="18"/>
              </w:rPr>
            </w:pPr>
            <w:r w:rsidRPr="002D7AE6">
              <w:rPr>
                <w:sz w:val="18"/>
                <w:szCs w:val="18"/>
              </w:rPr>
              <w:t>The commencement date will be updated in line with the sunsetting date of the existing regulations.</w:t>
            </w:r>
          </w:p>
        </w:tc>
      </w:tr>
      <w:tr w:rsidR="00052799" w:rsidRPr="002D7AE6" w14:paraId="11812FB5" w14:textId="77777777" w:rsidTr="00871631">
        <w:trPr>
          <w:cantSplit/>
        </w:trPr>
        <w:tc>
          <w:tcPr>
            <w:tcW w:w="1193" w:type="dxa"/>
            <w:shd w:val="clear" w:color="auto" w:fill="auto"/>
          </w:tcPr>
          <w:p w14:paraId="53F06AFA" w14:textId="77777777" w:rsidR="00052799" w:rsidRPr="002D7AE6" w:rsidRDefault="00052799" w:rsidP="00871631">
            <w:pPr>
              <w:spacing w:before="120" w:after="120"/>
              <w:jc w:val="center"/>
              <w:rPr>
                <w:sz w:val="18"/>
                <w:szCs w:val="18"/>
              </w:rPr>
            </w:pPr>
            <w:r w:rsidRPr="002D7AE6">
              <w:rPr>
                <w:sz w:val="18"/>
                <w:szCs w:val="18"/>
              </w:rPr>
              <w:t>4</w:t>
            </w:r>
          </w:p>
        </w:tc>
        <w:tc>
          <w:tcPr>
            <w:tcW w:w="1193" w:type="dxa"/>
            <w:shd w:val="clear" w:color="auto" w:fill="auto"/>
          </w:tcPr>
          <w:p w14:paraId="4944E9D0" w14:textId="77777777" w:rsidR="00052799" w:rsidRPr="002D7AE6" w:rsidRDefault="00052799" w:rsidP="00871631">
            <w:pPr>
              <w:spacing w:before="120" w:after="120"/>
              <w:jc w:val="center"/>
              <w:rPr>
                <w:sz w:val="18"/>
                <w:szCs w:val="18"/>
              </w:rPr>
            </w:pPr>
            <w:r w:rsidRPr="002D7AE6">
              <w:rPr>
                <w:sz w:val="18"/>
                <w:szCs w:val="18"/>
              </w:rPr>
              <w:t>4</w:t>
            </w:r>
          </w:p>
        </w:tc>
        <w:tc>
          <w:tcPr>
            <w:tcW w:w="2717" w:type="dxa"/>
            <w:shd w:val="clear" w:color="auto" w:fill="auto"/>
          </w:tcPr>
          <w:p w14:paraId="73CAA71A" w14:textId="77777777" w:rsidR="00052799" w:rsidRPr="002D7AE6" w:rsidRDefault="00052799" w:rsidP="00871631">
            <w:pPr>
              <w:spacing w:before="120" w:after="120"/>
              <w:rPr>
                <w:sz w:val="18"/>
                <w:szCs w:val="18"/>
              </w:rPr>
            </w:pPr>
            <w:r w:rsidRPr="002D7AE6">
              <w:rPr>
                <w:sz w:val="18"/>
                <w:szCs w:val="18"/>
              </w:rPr>
              <w:t>Definitions</w:t>
            </w:r>
          </w:p>
        </w:tc>
        <w:tc>
          <w:tcPr>
            <w:tcW w:w="3735" w:type="dxa"/>
            <w:shd w:val="clear" w:color="auto" w:fill="auto"/>
          </w:tcPr>
          <w:p w14:paraId="407988C8" w14:textId="02614682" w:rsidR="00052799" w:rsidRPr="002D7AE6" w:rsidRDefault="007727EA" w:rsidP="00871631">
            <w:pPr>
              <w:spacing w:before="120" w:after="120"/>
              <w:rPr>
                <w:sz w:val="18"/>
                <w:szCs w:val="18"/>
              </w:rPr>
            </w:pPr>
            <w:r>
              <w:rPr>
                <w:sz w:val="18"/>
                <w:szCs w:val="18"/>
              </w:rPr>
              <w:t>No</w:t>
            </w:r>
            <w:r w:rsidR="00052799" w:rsidRPr="002D7AE6">
              <w:rPr>
                <w:sz w:val="18"/>
                <w:szCs w:val="18"/>
              </w:rPr>
              <w:t xml:space="preserve"> change.</w:t>
            </w:r>
          </w:p>
        </w:tc>
      </w:tr>
      <w:tr w:rsidR="00052799" w:rsidRPr="002D7AE6" w14:paraId="40C0BE20" w14:textId="77777777" w:rsidTr="00871631">
        <w:trPr>
          <w:cantSplit/>
        </w:trPr>
        <w:tc>
          <w:tcPr>
            <w:tcW w:w="1193" w:type="dxa"/>
            <w:shd w:val="clear" w:color="auto" w:fill="auto"/>
          </w:tcPr>
          <w:p w14:paraId="240FFE6F" w14:textId="77777777" w:rsidR="00052799" w:rsidRPr="002D7AE6" w:rsidRDefault="00052799" w:rsidP="00871631">
            <w:pPr>
              <w:spacing w:before="120" w:after="120"/>
              <w:jc w:val="center"/>
              <w:rPr>
                <w:sz w:val="18"/>
                <w:szCs w:val="18"/>
              </w:rPr>
            </w:pPr>
            <w:r w:rsidRPr="002D7AE6">
              <w:rPr>
                <w:sz w:val="18"/>
                <w:szCs w:val="18"/>
              </w:rPr>
              <w:t>5</w:t>
            </w:r>
          </w:p>
        </w:tc>
        <w:tc>
          <w:tcPr>
            <w:tcW w:w="1193" w:type="dxa"/>
            <w:shd w:val="clear" w:color="auto" w:fill="auto"/>
          </w:tcPr>
          <w:p w14:paraId="14A0AD56" w14:textId="77777777" w:rsidR="00052799" w:rsidRPr="002D7AE6" w:rsidRDefault="00052799" w:rsidP="00871631">
            <w:pPr>
              <w:spacing w:before="120" w:after="120"/>
              <w:jc w:val="center"/>
              <w:rPr>
                <w:sz w:val="18"/>
                <w:szCs w:val="18"/>
              </w:rPr>
            </w:pPr>
            <w:r w:rsidRPr="002D7AE6">
              <w:rPr>
                <w:sz w:val="18"/>
                <w:szCs w:val="18"/>
              </w:rPr>
              <w:t>5</w:t>
            </w:r>
          </w:p>
        </w:tc>
        <w:tc>
          <w:tcPr>
            <w:tcW w:w="2717" w:type="dxa"/>
            <w:shd w:val="clear" w:color="auto" w:fill="auto"/>
          </w:tcPr>
          <w:p w14:paraId="73267AE1" w14:textId="77777777" w:rsidR="00052799" w:rsidRPr="002D7AE6" w:rsidRDefault="00052799" w:rsidP="00871631">
            <w:pPr>
              <w:spacing w:before="120" w:after="120"/>
              <w:rPr>
                <w:sz w:val="18"/>
                <w:szCs w:val="18"/>
              </w:rPr>
            </w:pPr>
            <w:r w:rsidRPr="002D7AE6">
              <w:rPr>
                <w:sz w:val="18"/>
                <w:szCs w:val="18"/>
              </w:rPr>
              <w:t>Revocations</w:t>
            </w:r>
          </w:p>
        </w:tc>
        <w:tc>
          <w:tcPr>
            <w:tcW w:w="3735" w:type="dxa"/>
            <w:shd w:val="clear" w:color="auto" w:fill="auto"/>
          </w:tcPr>
          <w:p w14:paraId="2645043F" w14:textId="77777777" w:rsidR="00052799" w:rsidRPr="002D7AE6" w:rsidRDefault="00052799" w:rsidP="00871631">
            <w:pPr>
              <w:spacing w:before="120" w:after="120"/>
              <w:rPr>
                <w:sz w:val="18"/>
                <w:szCs w:val="18"/>
              </w:rPr>
            </w:pPr>
            <w:r w:rsidRPr="002D7AE6">
              <w:rPr>
                <w:sz w:val="18"/>
                <w:szCs w:val="18"/>
              </w:rPr>
              <w:t>Updated to reflect regulations that will be revoked. No longer contained in a Schedule.</w:t>
            </w:r>
          </w:p>
        </w:tc>
      </w:tr>
      <w:tr w:rsidR="00052799" w:rsidRPr="002D7AE6" w14:paraId="61671B1D" w14:textId="77777777" w:rsidTr="00871631">
        <w:trPr>
          <w:cantSplit/>
        </w:trPr>
        <w:tc>
          <w:tcPr>
            <w:tcW w:w="1193" w:type="dxa"/>
            <w:shd w:val="clear" w:color="auto" w:fill="auto"/>
          </w:tcPr>
          <w:p w14:paraId="3D4AB847" w14:textId="77777777" w:rsidR="00052799" w:rsidRPr="002D7AE6" w:rsidRDefault="00052799" w:rsidP="00871631">
            <w:pPr>
              <w:spacing w:before="120" w:after="120"/>
              <w:jc w:val="center"/>
              <w:rPr>
                <w:sz w:val="18"/>
                <w:szCs w:val="18"/>
              </w:rPr>
            </w:pPr>
            <w:r w:rsidRPr="002D7AE6">
              <w:rPr>
                <w:sz w:val="18"/>
                <w:szCs w:val="18"/>
              </w:rPr>
              <w:t>20</w:t>
            </w:r>
          </w:p>
        </w:tc>
        <w:tc>
          <w:tcPr>
            <w:tcW w:w="1193" w:type="dxa"/>
            <w:shd w:val="clear" w:color="auto" w:fill="auto"/>
          </w:tcPr>
          <w:p w14:paraId="768C4FC9" w14:textId="77777777" w:rsidR="00052799" w:rsidRPr="002D7AE6" w:rsidRDefault="00052799" w:rsidP="00871631">
            <w:pPr>
              <w:spacing w:before="120" w:after="120"/>
              <w:jc w:val="center"/>
              <w:rPr>
                <w:sz w:val="18"/>
                <w:szCs w:val="18"/>
              </w:rPr>
            </w:pPr>
            <w:r w:rsidRPr="002D7AE6">
              <w:rPr>
                <w:sz w:val="18"/>
                <w:szCs w:val="18"/>
              </w:rPr>
              <w:t>6</w:t>
            </w:r>
          </w:p>
        </w:tc>
        <w:tc>
          <w:tcPr>
            <w:tcW w:w="2717" w:type="dxa"/>
            <w:shd w:val="clear" w:color="auto" w:fill="auto"/>
          </w:tcPr>
          <w:p w14:paraId="7FDDC39B" w14:textId="77777777" w:rsidR="00052799" w:rsidRPr="002D7AE6" w:rsidRDefault="00052799" w:rsidP="00871631">
            <w:pPr>
              <w:spacing w:before="120" w:after="120"/>
              <w:rPr>
                <w:sz w:val="18"/>
                <w:szCs w:val="18"/>
              </w:rPr>
            </w:pPr>
            <w:r w:rsidRPr="002D7AE6">
              <w:rPr>
                <w:sz w:val="18"/>
                <w:szCs w:val="18"/>
              </w:rPr>
              <w:t>Exempt devices</w:t>
            </w:r>
          </w:p>
        </w:tc>
        <w:tc>
          <w:tcPr>
            <w:tcW w:w="3735" w:type="dxa"/>
            <w:shd w:val="clear" w:color="auto" w:fill="auto"/>
          </w:tcPr>
          <w:p w14:paraId="79A61F98" w14:textId="77777777" w:rsidR="00052799" w:rsidRPr="002D7AE6" w:rsidRDefault="00052799" w:rsidP="00871631">
            <w:pPr>
              <w:spacing w:before="120" w:after="120"/>
              <w:rPr>
                <w:sz w:val="18"/>
                <w:szCs w:val="18"/>
              </w:rPr>
            </w:pPr>
            <w:r w:rsidRPr="002D7AE6">
              <w:rPr>
                <w:sz w:val="18"/>
                <w:szCs w:val="18"/>
              </w:rPr>
              <w:t>Updated to add the following devices:</w:t>
            </w:r>
          </w:p>
          <w:p w14:paraId="75170805" w14:textId="77777777" w:rsidR="00052799" w:rsidRPr="002D7AE6" w:rsidRDefault="00052799" w:rsidP="00052799">
            <w:pPr>
              <w:numPr>
                <w:ilvl w:val="0"/>
                <w:numId w:val="80"/>
              </w:numPr>
              <w:spacing w:before="120" w:after="120"/>
              <w:rPr>
                <w:sz w:val="18"/>
                <w:szCs w:val="18"/>
              </w:rPr>
            </w:pPr>
            <w:r w:rsidRPr="002D7AE6">
              <w:rPr>
                <w:sz w:val="18"/>
                <w:szCs w:val="18"/>
              </w:rPr>
              <w:t>arborist line launchers</w:t>
            </w:r>
          </w:p>
          <w:p w14:paraId="0F9BA71F" w14:textId="77777777" w:rsidR="00052799" w:rsidRPr="002D7AE6" w:rsidRDefault="00052799" w:rsidP="00052799">
            <w:pPr>
              <w:numPr>
                <w:ilvl w:val="0"/>
                <w:numId w:val="80"/>
              </w:numPr>
              <w:spacing w:before="120" w:after="120"/>
              <w:rPr>
                <w:sz w:val="18"/>
                <w:szCs w:val="18"/>
              </w:rPr>
            </w:pPr>
            <w:r w:rsidRPr="002D7AE6">
              <w:rPr>
                <w:sz w:val="18"/>
                <w:szCs w:val="18"/>
              </w:rPr>
              <w:t>dog-training devices</w:t>
            </w:r>
          </w:p>
        </w:tc>
      </w:tr>
      <w:tr w:rsidR="00052799" w:rsidRPr="002D7AE6" w14:paraId="7490C1C9" w14:textId="77777777" w:rsidTr="00871631">
        <w:trPr>
          <w:cantSplit/>
        </w:trPr>
        <w:tc>
          <w:tcPr>
            <w:tcW w:w="1193" w:type="dxa"/>
            <w:shd w:val="clear" w:color="auto" w:fill="auto"/>
          </w:tcPr>
          <w:p w14:paraId="4B8812FB" w14:textId="77777777" w:rsidR="00052799" w:rsidRPr="002D7AE6" w:rsidRDefault="00052799" w:rsidP="00871631">
            <w:pPr>
              <w:spacing w:before="120" w:after="120"/>
              <w:jc w:val="center"/>
              <w:rPr>
                <w:sz w:val="18"/>
                <w:szCs w:val="18"/>
              </w:rPr>
            </w:pPr>
            <w:r w:rsidRPr="002D7AE6">
              <w:rPr>
                <w:sz w:val="18"/>
                <w:szCs w:val="18"/>
              </w:rPr>
              <w:t>-</w:t>
            </w:r>
          </w:p>
        </w:tc>
        <w:tc>
          <w:tcPr>
            <w:tcW w:w="1193" w:type="dxa"/>
            <w:shd w:val="clear" w:color="auto" w:fill="auto"/>
          </w:tcPr>
          <w:p w14:paraId="3E4D1328" w14:textId="77777777" w:rsidR="00052799" w:rsidRPr="002D7AE6" w:rsidRDefault="00052799" w:rsidP="00871631">
            <w:pPr>
              <w:spacing w:before="120" w:after="120"/>
              <w:jc w:val="center"/>
              <w:rPr>
                <w:sz w:val="18"/>
                <w:szCs w:val="18"/>
              </w:rPr>
            </w:pPr>
            <w:r w:rsidRPr="002D7AE6">
              <w:rPr>
                <w:sz w:val="18"/>
                <w:szCs w:val="18"/>
              </w:rPr>
              <w:t>7</w:t>
            </w:r>
          </w:p>
        </w:tc>
        <w:tc>
          <w:tcPr>
            <w:tcW w:w="2717" w:type="dxa"/>
            <w:shd w:val="clear" w:color="auto" w:fill="auto"/>
          </w:tcPr>
          <w:p w14:paraId="2DE4B58E" w14:textId="77777777" w:rsidR="00052799" w:rsidRPr="002D7AE6" w:rsidRDefault="00052799" w:rsidP="00871631">
            <w:pPr>
              <w:spacing w:before="120" w:after="120"/>
              <w:rPr>
                <w:sz w:val="18"/>
                <w:szCs w:val="18"/>
              </w:rPr>
            </w:pPr>
            <w:r w:rsidRPr="002D7AE6">
              <w:rPr>
                <w:sz w:val="18"/>
                <w:szCs w:val="18"/>
              </w:rPr>
              <w:t>Prescribed items</w:t>
            </w:r>
          </w:p>
        </w:tc>
        <w:tc>
          <w:tcPr>
            <w:tcW w:w="3735" w:type="dxa"/>
            <w:shd w:val="clear" w:color="auto" w:fill="auto"/>
          </w:tcPr>
          <w:p w14:paraId="3A15E220" w14:textId="77777777" w:rsidR="00052799" w:rsidRPr="002D7AE6" w:rsidRDefault="00052799" w:rsidP="00871631">
            <w:pPr>
              <w:spacing w:before="120" w:after="120"/>
              <w:rPr>
                <w:sz w:val="18"/>
                <w:szCs w:val="18"/>
              </w:rPr>
            </w:pPr>
            <w:r w:rsidRPr="002D7AE6">
              <w:rPr>
                <w:sz w:val="18"/>
                <w:szCs w:val="18"/>
              </w:rPr>
              <w:t>New regulation: provides that handgun chassis or carbine conversion kits are prescribed items for various sections of the Act, meaning they require a permit.</w:t>
            </w:r>
          </w:p>
        </w:tc>
      </w:tr>
      <w:tr w:rsidR="00052799" w:rsidRPr="002D7AE6" w14:paraId="67C9D739" w14:textId="77777777" w:rsidTr="00871631">
        <w:trPr>
          <w:cantSplit/>
        </w:trPr>
        <w:tc>
          <w:tcPr>
            <w:tcW w:w="1193" w:type="dxa"/>
            <w:shd w:val="clear" w:color="auto" w:fill="auto"/>
          </w:tcPr>
          <w:p w14:paraId="706725E4" w14:textId="77777777" w:rsidR="00052799" w:rsidRPr="002D7AE6" w:rsidRDefault="00052799" w:rsidP="00871631">
            <w:pPr>
              <w:spacing w:before="120" w:after="120"/>
              <w:jc w:val="center"/>
              <w:rPr>
                <w:sz w:val="18"/>
                <w:szCs w:val="18"/>
              </w:rPr>
            </w:pPr>
            <w:r w:rsidRPr="002D7AE6">
              <w:rPr>
                <w:sz w:val="18"/>
                <w:szCs w:val="18"/>
              </w:rPr>
              <w:t>22</w:t>
            </w:r>
          </w:p>
        </w:tc>
        <w:tc>
          <w:tcPr>
            <w:tcW w:w="1193" w:type="dxa"/>
            <w:shd w:val="clear" w:color="auto" w:fill="auto"/>
          </w:tcPr>
          <w:p w14:paraId="40258EFE" w14:textId="77777777" w:rsidR="00052799" w:rsidRPr="002D7AE6" w:rsidRDefault="00052799" w:rsidP="00871631">
            <w:pPr>
              <w:spacing w:before="120" w:after="120"/>
              <w:jc w:val="center"/>
              <w:rPr>
                <w:sz w:val="18"/>
                <w:szCs w:val="18"/>
              </w:rPr>
            </w:pPr>
            <w:r w:rsidRPr="002D7AE6">
              <w:rPr>
                <w:sz w:val="18"/>
                <w:szCs w:val="18"/>
              </w:rPr>
              <w:t>8</w:t>
            </w:r>
          </w:p>
        </w:tc>
        <w:tc>
          <w:tcPr>
            <w:tcW w:w="2717" w:type="dxa"/>
            <w:shd w:val="clear" w:color="auto" w:fill="auto"/>
          </w:tcPr>
          <w:p w14:paraId="7BEB8727" w14:textId="77777777" w:rsidR="00052799" w:rsidRPr="002D7AE6" w:rsidRDefault="00052799" w:rsidP="00871631">
            <w:pPr>
              <w:spacing w:before="120" w:after="120"/>
              <w:rPr>
                <w:sz w:val="18"/>
                <w:szCs w:val="18"/>
              </w:rPr>
            </w:pPr>
            <w:r w:rsidRPr="002D7AE6">
              <w:rPr>
                <w:sz w:val="18"/>
                <w:szCs w:val="18"/>
              </w:rPr>
              <w:t>Conduct of sport or target shooting activity on private property other than an approved shooting range</w:t>
            </w:r>
          </w:p>
        </w:tc>
        <w:tc>
          <w:tcPr>
            <w:tcW w:w="3735" w:type="dxa"/>
            <w:shd w:val="clear" w:color="auto" w:fill="auto"/>
          </w:tcPr>
          <w:p w14:paraId="15ACDE0E" w14:textId="77777777" w:rsidR="00052799" w:rsidRPr="002D7AE6" w:rsidRDefault="00052799" w:rsidP="00871631">
            <w:pPr>
              <w:spacing w:before="120" w:after="120"/>
              <w:rPr>
                <w:sz w:val="18"/>
                <w:szCs w:val="18"/>
              </w:rPr>
            </w:pPr>
            <w:r w:rsidRPr="002D7AE6">
              <w:rPr>
                <w:sz w:val="18"/>
                <w:szCs w:val="18"/>
              </w:rPr>
              <w:t>Amended to provide that, where police notification is required, the notification must be made at least 48 hours ahead of the event.</w:t>
            </w:r>
          </w:p>
          <w:p w14:paraId="23CF6E5E" w14:textId="77777777" w:rsidR="00052799" w:rsidRPr="002D7AE6" w:rsidRDefault="00052799" w:rsidP="00871631">
            <w:pPr>
              <w:spacing w:before="120" w:after="120"/>
              <w:rPr>
                <w:sz w:val="18"/>
                <w:szCs w:val="18"/>
              </w:rPr>
            </w:pPr>
            <w:r w:rsidRPr="002D7AE6">
              <w:rPr>
                <w:sz w:val="18"/>
                <w:szCs w:val="18"/>
              </w:rPr>
              <w:t>Updated terminology, including a clearer reference to ‘road’.</w:t>
            </w:r>
          </w:p>
        </w:tc>
      </w:tr>
      <w:tr w:rsidR="00052799" w:rsidRPr="002D7AE6" w14:paraId="10702FD0" w14:textId="77777777" w:rsidTr="00871631">
        <w:trPr>
          <w:cantSplit/>
        </w:trPr>
        <w:tc>
          <w:tcPr>
            <w:tcW w:w="1193" w:type="dxa"/>
            <w:shd w:val="clear" w:color="auto" w:fill="auto"/>
          </w:tcPr>
          <w:p w14:paraId="4552A60F" w14:textId="77777777" w:rsidR="00052799" w:rsidRPr="002D7AE6" w:rsidRDefault="00052799" w:rsidP="00871631">
            <w:pPr>
              <w:spacing w:before="120" w:after="120"/>
              <w:jc w:val="center"/>
              <w:rPr>
                <w:sz w:val="18"/>
                <w:szCs w:val="18"/>
              </w:rPr>
            </w:pPr>
            <w:r w:rsidRPr="002D7AE6">
              <w:rPr>
                <w:sz w:val="18"/>
                <w:szCs w:val="18"/>
              </w:rPr>
              <w:t>6</w:t>
            </w:r>
          </w:p>
        </w:tc>
        <w:tc>
          <w:tcPr>
            <w:tcW w:w="1193" w:type="dxa"/>
            <w:shd w:val="clear" w:color="auto" w:fill="auto"/>
          </w:tcPr>
          <w:p w14:paraId="0EB96D10" w14:textId="77777777" w:rsidR="00052799" w:rsidRPr="002D7AE6" w:rsidRDefault="00052799" w:rsidP="00871631">
            <w:pPr>
              <w:spacing w:before="120" w:after="120"/>
              <w:jc w:val="center"/>
              <w:rPr>
                <w:sz w:val="18"/>
                <w:szCs w:val="18"/>
              </w:rPr>
            </w:pPr>
            <w:r w:rsidRPr="002D7AE6">
              <w:rPr>
                <w:sz w:val="18"/>
                <w:szCs w:val="18"/>
              </w:rPr>
              <w:t>9</w:t>
            </w:r>
          </w:p>
        </w:tc>
        <w:tc>
          <w:tcPr>
            <w:tcW w:w="2717" w:type="dxa"/>
            <w:shd w:val="clear" w:color="auto" w:fill="auto"/>
          </w:tcPr>
          <w:p w14:paraId="7A99A998" w14:textId="77777777" w:rsidR="00052799" w:rsidRPr="002D7AE6" w:rsidRDefault="00052799" w:rsidP="00871631">
            <w:pPr>
              <w:spacing w:before="120" w:after="120"/>
              <w:rPr>
                <w:sz w:val="18"/>
                <w:szCs w:val="18"/>
              </w:rPr>
            </w:pPr>
            <w:r w:rsidRPr="002D7AE6">
              <w:rPr>
                <w:sz w:val="18"/>
                <w:szCs w:val="18"/>
              </w:rPr>
              <w:t>Requirements for activities for the suppression of pest animals if category C longarms are used</w:t>
            </w:r>
          </w:p>
        </w:tc>
        <w:tc>
          <w:tcPr>
            <w:tcW w:w="3735" w:type="dxa"/>
            <w:shd w:val="clear" w:color="auto" w:fill="auto"/>
          </w:tcPr>
          <w:p w14:paraId="740C218E" w14:textId="77777777" w:rsidR="00052799" w:rsidRPr="002D7AE6" w:rsidRDefault="00052799" w:rsidP="00871631">
            <w:pPr>
              <w:spacing w:before="120" w:after="120"/>
              <w:rPr>
                <w:sz w:val="18"/>
                <w:szCs w:val="18"/>
              </w:rPr>
            </w:pPr>
            <w:r w:rsidRPr="002D7AE6">
              <w:rPr>
                <w:sz w:val="18"/>
                <w:szCs w:val="18"/>
              </w:rPr>
              <w:t>Updated terminology, including a clearer reference to ‘road’.</w:t>
            </w:r>
          </w:p>
        </w:tc>
      </w:tr>
      <w:tr w:rsidR="00052799" w:rsidRPr="002D7AE6" w14:paraId="69E3A593" w14:textId="77777777" w:rsidTr="00871631">
        <w:trPr>
          <w:cantSplit/>
        </w:trPr>
        <w:tc>
          <w:tcPr>
            <w:tcW w:w="1193" w:type="dxa"/>
            <w:shd w:val="clear" w:color="auto" w:fill="auto"/>
          </w:tcPr>
          <w:p w14:paraId="3AE6EF57" w14:textId="77777777" w:rsidR="00052799" w:rsidRPr="002D7AE6" w:rsidRDefault="00052799" w:rsidP="00871631">
            <w:pPr>
              <w:spacing w:before="120" w:after="120"/>
              <w:jc w:val="center"/>
              <w:rPr>
                <w:sz w:val="18"/>
                <w:szCs w:val="18"/>
              </w:rPr>
            </w:pPr>
            <w:r w:rsidRPr="002D7AE6">
              <w:rPr>
                <w:sz w:val="18"/>
                <w:szCs w:val="18"/>
              </w:rPr>
              <w:t>7</w:t>
            </w:r>
          </w:p>
        </w:tc>
        <w:tc>
          <w:tcPr>
            <w:tcW w:w="1193" w:type="dxa"/>
            <w:shd w:val="clear" w:color="auto" w:fill="auto"/>
          </w:tcPr>
          <w:p w14:paraId="4878BFF6" w14:textId="77777777" w:rsidR="00052799" w:rsidRPr="002D7AE6" w:rsidRDefault="00052799" w:rsidP="00871631">
            <w:pPr>
              <w:spacing w:before="120" w:after="120"/>
              <w:jc w:val="center"/>
              <w:rPr>
                <w:sz w:val="18"/>
                <w:szCs w:val="18"/>
              </w:rPr>
            </w:pPr>
            <w:r w:rsidRPr="002D7AE6">
              <w:rPr>
                <w:sz w:val="18"/>
                <w:szCs w:val="18"/>
              </w:rPr>
              <w:t>10</w:t>
            </w:r>
          </w:p>
        </w:tc>
        <w:tc>
          <w:tcPr>
            <w:tcW w:w="2717" w:type="dxa"/>
            <w:shd w:val="clear" w:color="auto" w:fill="auto"/>
          </w:tcPr>
          <w:p w14:paraId="5B6914A9" w14:textId="77777777" w:rsidR="00052799" w:rsidRPr="002D7AE6" w:rsidRDefault="00052799" w:rsidP="00871631">
            <w:pPr>
              <w:spacing w:before="120" w:after="120"/>
              <w:rPr>
                <w:sz w:val="18"/>
                <w:szCs w:val="18"/>
              </w:rPr>
            </w:pPr>
            <w:r w:rsidRPr="002D7AE6">
              <w:rPr>
                <w:sz w:val="18"/>
                <w:szCs w:val="18"/>
              </w:rPr>
              <w:t>Particulars to be entered on firearms dealers register</w:t>
            </w:r>
          </w:p>
        </w:tc>
        <w:tc>
          <w:tcPr>
            <w:tcW w:w="3735" w:type="dxa"/>
            <w:shd w:val="clear" w:color="auto" w:fill="auto"/>
          </w:tcPr>
          <w:p w14:paraId="694A7E7E" w14:textId="68DA968E" w:rsidR="00052799" w:rsidRPr="002D7AE6" w:rsidRDefault="007727EA" w:rsidP="00871631">
            <w:pPr>
              <w:spacing w:before="120" w:after="120"/>
              <w:rPr>
                <w:sz w:val="18"/>
                <w:szCs w:val="18"/>
              </w:rPr>
            </w:pPr>
            <w:r>
              <w:rPr>
                <w:sz w:val="18"/>
                <w:szCs w:val="18"/>
              </w:rPr>
              <w:t>No</w:t>
            </w:r>
            <w:r w:rsidR="00052799" w:rsidRPr="002D7AE6">
              <w:rPr>
                <w:sz w:val="18"/>
                <w:szCs w:val="18"/>
              </w:rPr>
              <w:t xml:space="preserve"> change.</w:t>
            </w:r>
          </w:p>
        </w:tc>
      </w:tr>
      <w:tr w:rsidR="00052799" w:rsidRPr="002D7AE6" w14:paraId="2D9DB272" w14:textId="77777777" w:rsidTr="00871631">
        <w:trPr>
          <w:cantSplit/>
        </w:trPr>
        <w:tc>
          <w:tcPr>
            <w:tcW w:w="1193" w:type="dxa"/>
            <w:shd w:val="clear" w:color="auto" w:fill="auto"/>
          </w:tcPr>
          <w:p w14:paraId="5D53F7A1" w14:textId="77777777" w:rsidR="00052799" w:rsidRPr="002D7AE6" w:rsidRDefault="00052799" w:rsidP="00871631">
            <w:pPr>
              <w:spacing w:before="120" w:after="120"/>
              <w:jc w:val="center"/>
              <w:rPr>
                <w:sz w:val="18"/>
                <w:szCs w:val="18"/>
              </w:rPr>
            </w:pPr>
            <w:r w:rsidRPr="002D7AE6">
              <w:rPr>
                <w:sz w:val="18"/>
                <w:szCs w:val="18"/>
              </w:rPr>
              <w:t>14</w:t>
            </w:r>
          </w:p>
        </w:tc>
        <w:tc>
          <w:tcPr>
            <w:tcW w:w="1193" w:type="dxa"/>
            <w:shd w:val="clear" w:color="auto" w:fill="auto"/>
          </w:tcPr>
          <w:p w14:paraId="794FC5A9" w14:textId="77777777" w:rsidR="00052799" w:rsidRPr="002D7AE6" w:rsidRDefault="00052799" w:rsidP="00871631">
            <w:pPr>
              <w:spacing w:before="120" w:after="120"/>
              <w:jc w:val="center"/>
              <w:rPr>
                <w:sz w:val="18"/>
                <w:szCs w:val="18"/>
              </w:rPr>
            </w:pPr>
            <w:r w:rsidRPr="002D7AE6">
              <w:rPr>
                <w:sz w:val="18"/>
                <w:szCs w:val="18"/>
              </w:rPr>
              <w:t>11</w:t>
            </w:r>
          </w:p>
        </w:tc>
        <w:tc>
          <w:tcPr>
            <w:tcW w:w="2717" w:type="dxa"/>
            <w:shd w:val="clear" w:color="auto" w:fill="auto"/>
          </w:tcPr>
          <w:p w14:paraId="045ECD00" w14:textId="77777777" w:rsidR="00052799" w:rsidRPr="002D7AE6" w:rsidRDefault="00052799" w:rsidP="00871631">
            <w:pPr>
              <w:spacing w:before="120" w:after="120"/>
              <w:rPr>
                <w:sz w:val="18"/>
                <w:szCs w:val="18"/>
              </w:rPr>
            </w:pPr>
            <w:r w:rsidRPr="002D7AE6">
              <w:rPr>
                <w:sz w:val="18"/>
                <w:szCs w:val="18"/>
              </w:rPr>
              <w:t>Maximum fee for licensed firearms dealer acting as agent</w:t>
            </w:r>
          </w:p>
        </w:tc>
        <w:tc>
          <w:tcPr>
            <w:tcW w:w="3735" w:type="dxa"/>
            <w:shd w:val="clear" w:color="auto" w:fill="auto"/>
          </w:tcPr>
          <w:p w14:paraId="43EB1BFE" w14:textId="24CEC1AC" w:rsidR="00052799" w:rsidRPr="002D7AE6" w:rsidRDefault="007727EA" w:rsidP="007727EA">
            <w:pPr>
              <w:spacing w:before="120" w:after="120"/>
              <w:rPr>
                <w:sz w:val="18"/>
                <w:szCs w:val="18"/>
              </w:rPr>
            </w:pPr>
            <w:r>
              <w:rPr>
                <w:sz w:val="18"/>
                <w:szCs w:val="18"/>
              </w:rPr>
              <w:t>M</w:t>
            </w:r>
            <w:r w:rsidR="00052799" w:rsidRPr="002D7AE6">
              <w:rPr>
                <w:sz w:val="18"/>
                <w:szCs w:val="18"/>
              </w:rPr>
              <w:t xml:space="preserve">aximum dealer transaction fee </w:t>
            </w:r>
            <w:r>
              <w:rPr>
                <w:sz w:val="18"/>
                <w:szCs w:val="18"/>
              </w:rPr>
              <w:t xml:space="preserve">set </w:t>
            </w:r>
            <w:r w:rsidR="00052799" w:rsidRPr="002D7AE6">
              <w:rPr>
                <w:sz w:val="18"/>
                <w:szCs w:val="18"/>
              </w:rPr>
              <w:t>at three fee units</w:t>
            </w:r>
          </w:p>
        </w:tc>
      </w:tr>
      <w:tr w:rsidR="00052799" w:rsidRPr="002D7AE6" w14:paraId="6F7D3E0C" w14:textId="77777777" w:rsidTr="00871631">
        <w:trPr>
          <w:cantSplit/>
        </w:trPr>
        <w:tc>
          <w:tcPr>
            <w:tcW w:w="1193" w:type="dxa"/>
            <w:shd w:val="clear" w:color="auto" w:fill="auto"/>
          </w:tcPr>
          <w:p w14:paraId="15D38AB8" w14:textId="77777777" w:rsidR="00052799" w:rsidRPr="002D7AE6" w:rsidRDefault="00052799" w:rsidP="00871631">
            <w:pPr>
              <w:spacing w:before="120" w:after="120"/>
              <w:jc w:val="center"/>
              <w:rPr>
                <w:sz w:val="18"/>
                <w:szCs w:val="18"/>
              </w:rPr>
            </w:pPr>
            <w:r w:rsidRPr="002D7AE6">
              <w:rPr>
                <w:sz w:val="18"/>
                <w:szCs w:val="18"/>
              </w:rPr>
              <w:t>8</w:t>
            </w:r>
          </w:p>
        </w:tc>
        <w:tc>
          <w:tcPr>
            <w:tcW w:w="1193" w:type="dxa"/>
            <w:shd w:val="clear" w:color="auto" w:fill="auto"/>
          </w:tcPr>
          <w:p w14:paraId="6F7D7D5F" w14:textId="77777777" w:rsidR="00052799" w:rsidRPr="002D7AE6" w:rsidRDefault="00052799" w:rsidP="00871631">
            <w:pPr>
              <w:spacing w:before="120" w:after="120"/>
              <w:jc w:val="center"/>
              <w:rPr>
                <w:sz w:val="18"/>
                <w:szCs w:val="18"/>
              </w:rPr>
            </w:pPr>
            <w:r w:rsidRPr="002D7AE6">
              <w:rPr>
                <w:sz w:val="18"/>
                <w:szCs w:val="18"/>
              </w:rPr>
              <w:t>12</w:t>
            </w:r>
          </w:p>
        </w:tc>
        <w:tc>
          <w:tcPr>
            <w:tcW w:w="2717" w:type="dxa"/>
            <w:shd w:val="clear" w:color="auto" w:fill="auto"/>
          </w:tcPr>
          <w:p w14:paraId="3C3F9F1F" w14:textId="77777777" w:rsidR="00052799" w:rsidRPr="002D7AE6" w:rsidRDefault="00052799" w:rsidP="00871631">
            <w:pPr>
              <w:spacing w:before="120" w:after="120"/>
              <w:rPr>
                <w:sz w:val="18"/>
                <w:szCs w:val="18"/>
              </w:rPr>
            </w:pPr>
            <w:r w:rsidRPr="002D7AE6">
              <w:rPr>
                <w:sz w:val="18"/>
                <w:szCs w:val="18"/>
              </w:rPr>
              <w:t>Particulars to be entered on firearms collectors register</w:t>
            </w:r>
          </w:p>
        </w:tc>
        <w:tc>
          <w:tcPr>
            <w:tcW w:w="3735" w:type="dxa"/>
            <w:shd w:val="clear" w:color="auto" w:fill="auto"/>
          </w:tcPr>
          <w:p w14:paraId="6FC83A9B" w14:textId="2AE8A62C" w:rsidR="00052799" w:rsidRPr="002D7AE6" w:rsidRDefault="007727EA" w:rsidP="00871631">
            <w:pPr>
              <w:spacing w:before="120" w:after="120"/>
              <w:rPr>
                <w:sz w:val="18"/>
                <w:szCs w:val="18"/>
              </w:rPr>
            </w:pPr>
            <w:r>
              <w:rPr>
                <w:sz w:val="18"/>
                <w:szCs w:val="18"/>
              </w:rPr>
              <w:t>No</w:t>
            </w:r>
            <w:r w:rsidR="00052799" w:rsidRPr="002D7AE6">
              <w:rPr>
                <w:sz w:val="18"/>
                <w:szCs w:val="18"/>
              </w:rPr>
              <w:t xml:space="preserve"> substantial change, save for removing the need to record details of the person from whom a firearm was acquired or to whom a firearm was disposed of.</w:t>
            </w:r>
          </w:p>
        </w:tc>
      </w:tr>
      <w:tr w:rsidR="00052799" w:rsidRPr="002D7AE6" w14:paraId="580B8C5A" w14:textId="77777777" w:rsidTr="00871631">
        <w:trPr>
          <w:cantSplit/>
        </w:trPr>
        <w:tc>
          <w:tcPr>
            <w:tcW w:w="1193" w:type="dxa"/>
            <w:shd w:val="clear" w:color="auto" w:fill="auto"/>
          </w:tcPr>
          <w:p w14:paraId="32C2485F" w14:textId="77777777" w:rsidR="00052799" w:rsidRPr="002D7AE6" w:rsidRDefault="00052799" w:rsidP="00871631">
            <w:pPr>
              <w:spacing w:before="120" w:after="120"/>
              <w:jc w:val="center"/>
              <w:rPr>
                <w:sz w:val="18"/>
                <w:szCs w:val="18"/>
              </w:rPr>
            </w:pPr>
            <w:r w:rsidRPr="002D7AE6">
              <w:rPr>
                <w:sz w:val="18"/>
                <w:szCs w:val="18"/>
              </w:rPr>
              <w:t>9(1)</w:t>
            </w:r>
          </w:p>
        </w:tc>
        <w:tc>
          <w:tcPr>
            <w:tcW w:w="1193" w:type="dxa"/>
            <w:shd w:val="clear" w:color="auto" w:fill="auto"/>
          </w:tcPr>
          <w:p w14:paraId="625F41A5" w14:textId="77777777" w:rsidR="00052799" w:rsidRPr="002D7AE6" w:rsidRDefault="00052799" w:rsidP="00871631">
            <w:pPr>
              <w:spacing w:before="120" w:after="120"/>
              <w:jc w:val="center"/>
              <w:rPr>
                <w:sz w:val="18"/>
                <w:szCs w:val="18"/>
              </w:rPr>
            </w:pPr>
            <w:r w:rsidRPr="002D7AE6">
              <w:rPr>
                <w:sz w:val="18"/>
                <w:szCs w:val="18"/>
              </w:rPr>
              <w:t>13</w:t>
            </w:r>
          </w:p>
        </w:tc>
        <w:tc>
          <w:tcPr>
            <w:tcW w:w="2717" w:type="dxa"/>
            <w:shd w:val="clear" w:color="auto" w:fill="auto"/>
          </w:tcPr>
          <w:p w14:paraId="7B664EAC" w14:textId="77777777" w:rsidR="00052799" w:rsidRPr="002D7AE6" w:rsidRDefault="00052799" w:rsidP="00871631">
            <w:pPr>
              <w:spacing w:before="120" w:after="120"/>
              <w:rPr>
                <w:sz w:val="18"/>
                <w:szCs w:val="18"/>
              </w:rPr>
            </w:pPr>
            <w:r w:rsidRPr="002D7AE6">
              <w:rPr>
                <w:sz w:val="18"/>
                <w:szCs w:val="18"/>
              </w:rPr>
              <w:t>Fees for licences held by natural persons</w:t>
            </w:r>
          </w:p>
        </w:tc>
        <w:tc>
          <w:tcPr>
            <w:tcW w:w="3735" w:type="dxa"/>
            <w:shd w:val="clear" w:color="auto" w:fill="auto"/>
          </w:tcPr>
          <w:p w14:paraId="1EE526BB" w14:textId="1F46A9D4" w:rsidR="00052799" w:rsidRPr="002D7AE6" w:rsidRDefault="007727EA" w:rsidP="007727EA">
            <w:pPr>
              <w:spacing w:before="120" w:after="120"/>
              <w:rPr>
                <w:sz w:val="18"/>
                <w:szCs w:val="18"/>
              </w:rPr>
            </w:pPr>
            <w:r>
              <w:rPr>
                <w:sz w:val="18"/>
                <w:szCs w:val="18"/>
              </w:rPr>
              <w:t>C</w:t>
            </w:r>
            <w:r w:rsidR="00052799" w:rsidRPr="002D7AE6">
              <w:rPr>
                <w:sz w:val="18"/>
                <w:szCs w:val="18"/>
              </w:rPr>
              <w:t xml:space="preserve">onsequential changes </w:t>
            </w:r>
            <w:r>
              <w:rPr>
                <w:sz w:val="18"/>
                <w:szCs w:val="18"/>
              </w:rPr>
              <w:t xml:space="preserve">made </w:t>
            </w:r>
            <w:r w:rsidR="00052799" w:rsidRPr="002D7AE6">
              <w:rPr>
                <w:sz w:val="18"/>
                <w:szCs w:val="18"/>
              </w:rPr>
              <w:t xml:space="preserve">and </w:t>
            </w:r>
            <w:r>
              <w:rPr>
                <w:sz w:val="18"/>
                <w:szCs w:val="18"/>
              </w:rPr>
              <w:t xml:space="preserve">changes </w:t>
            </w:r>
            <w:r w:rsidR="00052799" w:rsidRPr="002D7AE6">
              <w:rPr>
                <w:sz w:val="18"/>
                <w:szCs w:val="18"/>
              </w:rPr>
              <w:t>to reflect introduction of an application fee. Specific provision added to explain how the junior licence fee is calculated.</w:t>
            </w:r>
          </w:p>
        </w:tc>
      </w:tr>
      <w:tr w:rsidR="00052799" w:rsidRPr="002D7AE6" w14:paraId="343A6CDB" w14:textId="77777777" w:rsidTr="00871631">
        <w:trPr>
          <w:cantSplit/>
        </w:trPr>
        <w:tc>
          <w:tcPr>
            <w:tcW w:w="1193" w:type="dxa"/>
            <w:shd w:val="clear" w:color="auto" w:fill="auto"/>
          </w:tcPr>
          <w:p w14:paraId="4E145048" w14:textId="77777777" w:rsidR="00052799" w:rsidRPr="002D7AE6" w:rsidRDefault="00052799" w:rsidP="00871631">
            <w:pPr>
              <w:spacing w:before="120" w:after="120"/>
              <w:jc w:val="center"/>
              <w:rPr>
                <w:sz w:val="18"/>
                <w:szCs w:val="18"/>
              </w:rPr>
            </w:pPr>
            <w:r w:rsidRPr="002D7AE6">
              <w:rPr>
                <w:sz w:val="18"/>
                <w:szCs w:val="18"/>
              </w:rPr>
              <w:t>9(2)</w:t>
            </w:r>
          </w:p>
        </w:tc>
        <w:tc>
          <w:tcPr>
            <w:tcW w:w="1193" w:type="dxa"/>
            <w:shd w:val="clear" w:color="auto" w:fill="auto"/>
          </w:tcPr>
          <w:p w14:paraId="7C58B018" w14:textId="77777777" w:rsidR="00052799" w:rsidRPr="002D7AE6" w:rsidRDefault="00052799" w:rsidP="00871631">
            <w:pPr>
              <w:spacing w:before="120" w:after="120"/>
              <w:jc w:val="center"/>
              <w:rPr>
                <w:sz w:val="18"/>
                <w:szCs w:val="18"/>
              </w:rPr>
            </w:pPr>
            <w:r w:rsidRPr="002D7AE6">
              <w:rPr>
                <w:sz w:val="18"/>
                <w:szCs w:val="18"/>
              </w:rPr>
              <w:t>14</w:t>
            </w:r>
          </w:p>
        </w:tc>
        <w:tc>
          <w:tcPr>
            <w:tcW w:w="2717" w:type="dxa"/>
            <w:shd w:val="clear" w:color="auto" w:fill="auto"/>
          </w:tcPr>
          <w:p w14:paraId="71689608" w14:textId="77777777" w:rsidR="00052799" w:rsidRPr="002D7AE6" w:rsidRDefault="00052799" w:rsidP="00871631">
            <w:pPr>
              <w:spacing w:before="120" w:after="120"/>
              <w:rPr>
                <w:sz w:val="18"/>
                <w:szCs w:val="18"/>
              </w:rPr>
            </w:pPr>
            <w:r w:rsidRPr="002D7AE6">
              <w:rPr>
                <w:sz w:val="18"/>
                <w:szCs w:val="18"/>
              </w:rPr>
              <w:t>Fees for licences held by bodies corporate</w:t>
            </w:r>
          </w:p>
        </w:tc>
        <w:tc>
          <w:tcPr>
            <w:tcW w:w="3735" w:type="dxa"/>
            <w:shd w:val="clear" w:color="auto" w:fill="auto"/>
          </w:tcPr>
          <w:p w14:paraId="5450A0EC" w14:textId="683F4F70" w:rsidR="00052799" w:rsidRPr="002D7AE6" w:rsidRDefault="007727EA" w:rsidP="00871631">
            <w:pPr>
              <w:spacing w:before="120" w:after="120"/>
              <w:rPr>
                <w:sz w:val="18"/>
                <w:szCs w:val="18"/>
              </w:rPr>
            </w:pPr>
            <w:r>
              <w:rPr>
                <w:sz w:val="18"/>
                <w:szCs w:val="18"/>
              </w:rPr>
              <w:t>C</w:t>
            </w:r>
            <w:r w:rsidR="00052799" w:rsidRPr="002D7AE6">
              <w:rPr>
                <w:sz w:val="18"/>
                <w:szCs w:val="18"/>
              </w:rPr>
              <w:t xml:space="preserve">onsequential changes </w:t>
            </w:r>
            <w:r>
              <w:rPr>
                <w:sz w:val="18"/>
                <w:szCs w:val="18"/>
              </w:rPr>
              <w:t xml:space="preserve">made </w:t>
            </w:r>
            <w:r w:rsidR="00052799" w:rsidRPr="002D7AE6">
              <w:rPr>
                <w:sz w:val="18"/>
                <w:szCs w:val="18"/>
              </w:rPr>
              <w:t xml:space="preserve">and </w:t>
            </w:r>
            <w:r>
              <w:rPr>
                <w:sz w:val="18"/>
                <w:szCs w:val="18"/>
              </w:rPr>
              <w:t xml:space="preserve">changes </w:t>
            </w:r>
            <w:r w:rsidR="00052799" w:rsidRPr="002D7AE6">
              <w:rPr>
                <w:sz w:val="18"/>
                <w:szCs w:val="18"/>
              </w:rPr>
              <w:t>to reflect introduction of an application fee.</w:t>
            </w:r>
          </w:p>
        </w:tc>
      </w:tr>
      <w:tr w:rsidR="00052799" w:rsidRPr="002D7AE6" w14:paraId="3A0B3586" w14:textId="77777777" w:rsidTr="00871631">
        <w:trPr>
          <w:cantSplit/>
        </w:trPr>
        <w:tc>
          <w:tcPr>
            <w:tcW w:w="1193" w:type="dxa"/>
            <w:shd w:val="clear" w:color="auto" w:fill="auto"/>
          </w:tcPr>
          <w:p w14:paraId="406ECF59" w14:textId="77777777" w:rsidR="00052799" w:rsidRPr="002D7AE6" w:rsidRDefault="00052799" w:rsidP="00871631">
            <w:pPr>
              <w:spacing w:before="120" w:after="120"/>
              <w:jc w:val="center"/>
              <w:rPr>
                <w:sz w:val="18"/>
                <w:szCs w:val="18"/>
              </w:rPr>
            </w:pPr>
            <w:r w:rsidRPr="002D7AE6">
              <w:rPr>
                <w:sz w:val="18"/>
                <w:szCs w:val="18"/>
              </w:rPr>
              <w:t>9(8)</w:t>
            </w:r>
          </w:p>
        </w:tc>
        <w:tc>
          <w:tcPr>
            <w:tcW w:w="1193" w:type="dxa"/>
            <w:shd w:val="clear" w:color="auto" w:fill="auto"/>
          </w:tcPr>
          <w:p w14:paraId="76154F3D" w14:textId="77777777" w:rsidR="00052799" w:rsidRPr="002D7AE6" w:rsidRDefault="00052799" w:rsidP="00871631">
            <w:pPr>
              <w:spacing w:before="120" w:after="120"/>
              <w:jc w:val="center"/>
              <w:rPr>
                <w:sz w:val="18"/>
                <w:szCs w:val="18"/>
              </w:rPr>
            </w:pPr>
            <w:r w:rsidRPr="002D7AE6">
              <w:rPr>
                <w:sz w:val="18"/>
                <w:szCs w:val="18"/>
              </w:rPr>
              <w:t>15</w:t>
            </w:r>
          </w:p>
        </w:tc>
        <w:tc>
          <w:tcPr>
            <w:tcW w:w="2717" w:type="dxa"/>
            <w:shd w:val="clear" w:color="auto" w:fill="auto"/>
          </w:tcPr>
          <w:p w14:paraId="2A8DC30F" w14:textId="77777777" w:rsidR="00052799" w:rsidRPr="002D7AE6" w:rsidRDefault="00052799" w:rsidP="00871631">
            <w:pPr>
              <w:spacing w:before="120" w:after="120"/>
              <w:rPr>
                <w:sz w:val="18"/>
                <w:szCs w:val="18"/>
              </w:rPr>
            </w:pPr>
            <w:r w:rsidRPr="002D7AE6">
              <w:rPr>
                <w:sz w:val="18"/>
                <w:szCs w:val="18"/>
              </w:rPr>
              <w:t>Fees for provisional licences</w:t>
            </w:r>
          </w:p>
        </w:tc>
        <w:tc>
          <w:tcPr>
            <w:tcW w:w="3735" w:type="dxa"/>
            <w:shd w:val="clear" w:color="auto" w:fill="auto"/>
          </w:tcPr>
          <w:p w14:paraId="1B80DF82" w14:textId="5FD76CE7" w:rsidR="00052799" w:rsidRPr="002D7AE6" w:rsidRDefault="007727EA" w:rsidP="007727EA">
            <w:pPr>
              <w:spacing w:before="120" w:after="120"/>
              <w:rPr>
                <w:sz w:val="18"/>
                <w:szCs w:val="18"/>
              </w:rPr>
            </w:pPr>
            <w:r>
              <w:rPr>
                <w:sz w:val="18"/>
                <w:szCs w:val="18"/>
              </w:rPr>
              <w:t>C</w:t>
            </w:r>
            <w:r w:rsidR="00052799" w:rsidRPr="002D7AE6">
              <w:rPr>
                <w:sz w:val="18"/>
                <w:szCs w:val="18"/>
              </w:rPr>
              <w:t xml:space="preserve">onsequential changes </w:t>
            </w:r>
            <w:r>
              <w:rPr>
                <w:sz w:val="18"/>
                <w:szCs w:val="18"/>
              </w:rPr>
              <w:t xml:space="preserve">made </w:t>
            </w:r>
            <w:r w:rsidR="00052799" w:rsidRPr="002D7AE6">
              <w:rPr>
                <w:sz w:val="18"/>
                <w:szCs w:val="18"/>
              </w:rPr>
              <w:t xml:space="preserve">and </w:t>
            </w:r>
            <w:r>
              <w:rPr>
                <w:sz w:val="18"/>
                <w:szCs w:val="18"/>
              </w:rPr>
              <w:t xml:space="preserve">changes </w:t>
            </w:r>
            <w:r w:rsidR="00052799" w:rsidRPr="002D7AE6">
              <w:rPr>
                <w:sz w:val="18"/>
                <w:szCs w:val="18"/>
              </w:rPr>
              <w:t>to reflect introduction of an application fee.</w:t>
            </w:r>
          </w:p>
        </w:tc>
      </w:tr>
      <w:tr w:rsidR="00052799" w:rsidRPr="002D7AE6" w14:paraId="3AF07CE0" w14:textId="77777777" w:rsidTr="00871631">
        <w:trPr>
          <w:cantSplit/>
        </w:trPr>
        <w:tc>
          <w:tcPr>
            <w:tcW w:w="1193" w:type="dxa"/>
            <w:shd w:val="clear" w:color="auto" w:fill="auto"/>
          </w:tcPr>
          <w:p w14:paraId="5B113177" w14:textId="77777777" w:rsidR="00052799" w:rsidRPr="002D7AE6" w:rsidRDefault="00052799" w:rsidP="00871631">
            <w:pPr>
              <w:spacing w:before="120" w:after="120"/>
              <w:jc w:val="center"/>
              <w:rPr>
                <w:sz w:val="18"/>
                <w:szCs w:val="18"/>
              </w:rPr>
            </w:pPr>
            <w:r w:rsidRPr="002D7AE6">
              <w:rPr>
                <w:sz w:val="18"/>
                <w:szCs w:val="18"/>
              </w:rPr>
              <w:t>12</w:t>
            </w:r>
          </w:p>
        </w:tc>
        <w:tc>
          <w:tcPr>
            <w:tcW w:w="1193" w:type="dxa"/>
            <w:shd w:val="clear" w:color="auto" w:fill="auto"/>
          </w:tcPr>
          <w:p w14:paraId="3DA38FA0" w14:textId="77777777" w:rsidR="00052799" w:rsidRPr="002D7AE6" w:rsidRDefault="00052799" w:rsidP="00871631">
            <w:pPr>
              <w:spacing w:before="120" w:after="120"/>
              <w:jc w:val="center"/>
              <w:rPr>
                <w:sz w:val="18"/>
                <w:szCs w:val="18"/>
              </w:rPr>
            </w:pPr>
            <w:r w:rsidRPr="002D7AE6">
              <w:rPr>
                <w:sz w:val="18"/>
                <w:szCs w:val="18"/>
              </w:rPr>
              <w:t>16</w:t>
            </w:r>
          </w:p>
        </w:tc>
        <w:tc>
          <w:tcPr>
            <w:tcW w:w="2717" w:type="dxa"/>
            <w:shd w:val="clear" w:color="auto" w:fill="auto"/>
          </w:tcPr>
          <w:p w14:paraId="46C9CE75" w14:textId="77777777" w:rsidR="00052799" w:rsidRPr="002D7AE6" w:rsidRDefault="00052799" w:rsidP="00871631">
            <w:pPr>
              <w:spacing w:before="120" w:after="120"/>
              <w:rPr>
                <w:sz w:val="18"/>
                <w:szCs w:val="18"/>
              </w:rPr>
            </w:pPr>
            <w:r w:rsidRPr="002D7AE6">
              <w:rPr>
                <w:sz w:val="18"/>
                <w:szCs w:val="18"/>
              </w:rPr>
              <w:t>Fees for permits</w:t>
            </w:r>
          </w:p>
        </w:tc>
        <w:tc>
          <w:tcPr>
            <w:tcW w:w="3735" w:type="dxa"/>
            <w:shd w:val="clear" w:color="auto" w:fill="auto"/>
          </w:tcPr>
          <w:p w14:paraId="47023678" w14:textId="6679C55D" w:rsidR="00052799" w:rsidRPr="002D7AE6" w:rsidRDefault="007727EA" w:rsidP="00871631">
            <w:pPr>
              <w:spacing w:before="120" w:after="120"/>
              <w:rPr>
                <w:sz w:val="18"/>
                <w:szCs w:val="18"/>
              </w:rPr>
            </w:pPr>
            <w:r>
              <w:rPr>
                <w:sz w:val="18"/>
                <w:szCs w:val="18"/>
              </w:rPr>
              <w:t>No</w:t>
            </w:r>
            <w:r w:rsidR="00052799" w:rsidRPr="002D7AE6">
              <w:rPr>
                <w:sz w:val="18"/>
                <w:szCs w:val="18"/>
              </w:rPr>
              <w:t xml:space="preserve"> change.</w:t>
            </w:r>
          </w:p>
        </w:tc>
      </w:tr>
      <w:tr w:rsidR="00052799" w:rsidRPr="002D7AE6" w14:paraId="498344FA" w14:textId="77777777" w:rsidTr="00871631">
        <w:trPr>
          <w:cantSplit/>
        </w:trPr>
        <w:tc>
          <w:tcPr>
            <w:tcW w:w="1193" w:type="dxa"/>
            <w:shd w:val="clear" w:color="auto" w:fill="auto"/>
          </w:tcPr>
          <w:p w14:paraId="36F36AB4" w14:textId="77777777" w:rsidR="00052799" w:rsidRPr="002D7AE6" w:rsidRDefault="00052799" w:rsidP="00871631">
            <w:pPr>
              <w:spacing w:before="120" w:after="120"/>
              <w:jc w:val="center"/>
              <w:rPr>
                <w:sz w:val="18"/>
                <w:szCs w:val="18"/>
              </w:rPr>
            </w:pPr>
            <w:r w:rsidRPr="002D7AE6">
              <w:rPr>
                <w:sz w:val="18"/>
                <w:szCs w:val="18"/>
              </w:rPr>
              <w:t>18</w:t>
            </w:r>
          </w:p>
        </w:tc>
        <w:tc>
          <w:tcPr>
            <w:tcW w:w="1193" w:type="dxa"/>
            <w:shd w:val="clear" w:color="auto" w:fill="auto"/>
          </w:tcPr>
          <w:p w14:paraId="33514040" w14:textId="77777777" w:rsidR="00052799" w:rsidRPr="002D7AE6" w:rsidRDefault="00052799" w:rsidP="00871631">
            <w:pPr>
              <w:spacing w:before="120" w:after="120"/>
              <w:jc w:val="center"/>
              <w:rPr>
                <w:sz w:val="18"/>
                <w:szCs w:val="18"/>
              </w:rPr>
            </w:pPr>
            <w:r w:rsidRPr="002D7AE6">
              <w:rPr>
                <w:sz w:val="18"/>
                <w:szCs w:val="18"/>
              </w:rPr>
              <w:t>17</w:t>
            </w:r>
          </w:p>
        </w:tc>
        <w:tc>
          <w:tcPr>
            <w:tcW w:w="2717" w:type="dxa"/>
            <w:shd w:val="clear" w:color="auto" w:fill="auto"/>
          </w:tcPr>
          <w:p w14:paraId="4F1AAE51" w14:textId="77777777" w:rsidR="00052799" w:rsidRPr="002D7AE6" w:rsidRDefault="00052799" w:rsidP="00871631">
            <w:pPr>
              <w:spacing w:before="120" w:after="120"/>
              <w:rPr>
                <w:sz w:val="18"/>
                <w:szCs w:val="18"/>
              </w:rPr>
            </w:pPr>
            <w:r w:rsidRPr="002D7AE6">
              <w:rPr>
                <w:sz w:val="18"/>
                <w:szCs w:val="18"/>
              </w:rPr>
              <w:t>Fees for approvals</w:t>
            </w:r>
          </w:p>
        </w:tc>
        <w:tc>
          <w:tcPr>
            <w:tcW w:w="3735" w:type="dxa"/>
            <w:shd w:val="clear" w:color="auto" w:fill="auto"/>
          </w:tcPr>
          <w:p w14:paraId="4D9E35D0" w14:textId="68956CC1" w:rsidR="00052799" w:rsidRPr="002D7AE6" w:rsidRDefault="007727EA" w:rsidP="00871631">
            <w:pPr>
              <w:spacing w:before="120" w:after="120"/>
              <w:rPr>
                <w:sz w:val="18"/>
                <w:szCs w:val="18"/>
              </w:rPr>
            </w:pPr>
            <w:r>
              <w:rPr>
                <w:sz w:val="18"/>
                <w:szCs w:val="18"/>
              </w:rPr>
              <w:t>No</w:t>
            </w:r>
            <w:r w:rsidR="00052799" w:rsidRPr="002D7AE6">
              <w:rPr>
                <w:sz w:val="18"/>
                <w:szCs w:val="18"/>
              </w:rPr>
              <w:t xml:space="preserve"> change.</w:t>
            </w:r>
          </w:p>
        </w:tc>
      </w:tr>
      <w:tr w:rsidR="00052799" w:rsidRPr="002D7AE6" w14:paraId="7502CF23" w14:textId="77777777" w:rsidTr="00871631">
        <w:trPr>
          <w:cantSplit/>
        </w:trPr>
        <w:tc>
          <w:tcPr>
            <w:tcW w:w="1193" w:type="dxa"/>
            <w:shd w:val="clear" w:color="auto" w:fill="auto"/>
          </w:tcPr>
          <w:p w14:paraId="4BFA118C" w14:textId="77777777" w:rsidR="00052799" w:rsidRPr="002D7AE6" w:rsidRDefault="00052799" w:rsidP="00871631">
            <w:pPr>
              <w:spacing w:before="120" w:after="120"/>
              <w:jc w:val="center"/>
              <w:rPr>
                <w:sz w:val="18"/>
                <w:szCs w:val="18"/>
              </w:rPr>
            </w:pPr>
            <w:r w:rsidRPr="002D7AE6">
              <w:rPr>
                <w:sz w:val="18"/>
                <w:szCs w:val="18"/>
              </w:rPr>
              <w:t>11 &amp; 15</w:t>
            </w:r>
          </w:p>
        </w:tc>
        <w:tc>
          <w:tcPr>
            <w:tcW w:w="1193" w:type="dxa"/>
            <w:shd w:val="clear" w:color="auto" w:fill="auto"/>
          </w:tcPr>
          <w:p w14:paraId="538002D2" w14:textId="77777777" w:rsidR="00052799" w:rsidRPr="002D7AE6" w:rsidRDefault="00052799" w:rsidP="00871631">
            <w:pPr>
              <w:spacing w:before="120" w:after="120"/>
              <w:jc w:val="center"/>
              <w:rPr>
                <w:sz w:val="18"/>
                <w:szCs w:val="18"/>
              </w:rPr>
            </w:pPr>
            <w:r w:rsidRPr="002D7AE6">
              <w:rPr>
                <w:sz w:val="18"/>
                <w:szCs w:val="18"/>
              </w:rPr>
              <w:t>18</w:t>
            </w:r>
          </w:p>
        </w:tc>
        <w:tc>
          <w:tcPr>
            <w:tcW w:w="2717" w:type="dxa"/>
            <w:shd w:val="clear" w:color="auto" w:fill="auto"/>
          </w:tcPr>
          <w:p w14:paraId="70F91FC2" w14:textId="77777777" w:rsidR="00052799" w:rsidRPr="002D7AE6" w:rsidRDefault="00052799" w:rsidP="00871631">
            <w:pPr>
              <w:spacing w:before="120" w:after="120"/>
              <w:rPr>
                <w:sz w:val="18"/>
                <w:szCs w:val="18"/>
              </w:rPr>
            </w:pPr>
            <w:r w:rsidRPr="002D7AE6">
              <w:rPr>
                <w:sz w:val="18"/>
                <w:szCs w:val="18"/>
              </w:rPr>
              <w:t>Miscellaneous fees</w:t>
            </w:r>
          </w:p>
        </w:tc>
        <w:tc>
          <w:tcPr>
            <w:tcW w:w="3735" w:type="dxa"/>
            <w:shd w:val="clear" w:color="auto" w:fill="auto"/>
          </w:tcPr>
          <w:p w14:paraId="20443DC7" w14:textId="477A1E80" w:rsidR="00052799" w:rsidRPr="002D7AE6" w:rsidRDefault="007727EA" w:rsidP="00871631">
            <w:pPr>
              <w:spacing w:before="120" w:after="120"/>
              <w:rPr>
                <w:sz w:val="18"/>
                <w:szCs w:val="18"/>
              </w:rPr>
            </w:pPr>
            <w:r>
              <w:rPr>
                <w:sz w:val="18"/>
                <w:szCs w:val="18"/>
              </w:rPr>
              <w:t>No</w:t>
            </w:r>
            <w:r w:rsidR="00052799" w:rsidRPr="002D7AE6">
              <w:rPr>
                <w:sz w:val="18"/>
                <w:szCs w:val="18"/>
              </w:rPr>
              <w:t xml:space="preserve"> change.</w:t>
            </w:r>
          </w:p>
        </w:tc>
      </w:tr>
      <w:tr w:rsidR="00052799" w:rsidRPr="002D7AE6" w14:paraId="2B3FF560" w14:textId="77777777" w:rsidTr="00871631">
        <w:trPr>
          <w:cantSplit/>
        </w:trPr>
        <w:tc>
          <w:tcPr>
            <w:tcW w:w="1193" w:type="dxa"/>
            <w:shd w:val="clear" w:color="auto" w:fill="auto"/>
          </w:tcPr>
          <w:p w14:paraId="07D15560" w14:textId="77777777" w:rsidR="00052799" w:rsidRPr="002D7AE6" w:rsidRDefault="00052799" w:rsidP="00871631">
            <w:pPr>
              <w:spacing w:before="120" w:after="120"/>
              <w:jc w:val="center"/>
              <w:rPr>
                <w:sz w:val="18"/>
                <w:szCs w:val="18"/>
              </w:rPr>
            </w:pPr>
            <w:r w:rsidRPr="002D7AE6">
              <w:rPr>
                <w:sz w:val="18"/>
                <w:szCs w:val="18"/>
              </w:rPr>
              <w:t>-</w:t>
            </w:r>
          </w:p>
        </w:tc>
        <w:tc>
          <w:tcPr>
            <w:tcW w:w="1193" w:type="dxa"/>
            <w:shd w:val="clear" w:color="auto" w:fill="auto"/>
          </w:tcPr>
          <w:p w14:paraId="04C4E778" w14:textId="77777777" w:rsidR="00052799" w:rsidRPr="002D7AE6" w:rsidRDefault="00052799" w:rsidP="00871631">
            <w:pPr>
              <w:spacing w:before="120" w:after="120"/>
              <w:jc w:val="center"/>
              <w:rPr>
                <w:sz w:val="18"/>
                <w:szCs w:val="18"/>
              </w:rPr>
            </w:pPr>
            <w:r w:rsidRPr="002D7AE6">
              <w:rPr>
                <w:sz w:val="18"/>
                <w:szCs w:val="18"/>
              </w:rPr>
              <w:t>19</w:t>
            </w:r>
          </w:p>
        </w:tc>
        <w:tc>
          <w:tcPr>
            <w:tcW w:w="2717" w:type="dxa"/>
            <w:shd w:val="clear" w:color="auto" w:fill="auto"/>
          </w:tcPr>
          <w:p w14:paraId="10F0A4CA" w14:textId="77777777" w:rsidR="00052799" w:rsidRPr="002D7AE6" w:rsidRDefault="00052799" w:rsidP="00871631">
            <w:pPr>
              <w:spacing w:before="120" w:after="120"/>
              <w:rPr>
                <w:sz w:val="18"/>
                <w:szCs w:val="18"/>
              </w:rPr>
            </w:pPr>
            <w:r w:rsidRPr="002D7AE6">
              <w:rPr>
                <w:sz w:val="18"/>
                <w:szCs w:val="18"/>
              </w:rPr>
              <w:t>Time at which fee is paid</w:t>
            </w:r>
          </w:p>
        </w:tc>
        <w:tc>
          <w:tcPr>
            <w:tcW w:w="3735" w:type="dxa"/>
            <w:shd w:val="clear" w:color="auto" w:fill="auto"/>
          </w:tcPr>
          <w:p w14:paraId="7AEE83B7" w14:textId="77777777" w:rsidR="00052799" w:rsidRPr="002D7AE6" w:rsidRDefault="00052799" w:rsidP="00871631">
            <w:pPr>
              <w:spacing w:before="120" w:after="120"/>
              <w:rPr>
                <w:sz w:val="18"/>
                <w:szCs w:val="18"/>
              </w:rPr>
            </w:pPr>
            <w:r w:rsidRPr="002D7AE6">
              <w:rPr>
                <w:sz w:val="18"/>
                <w:szCs w:val="18"/>
              </w:rPr>
              <w:t>New regulation: consequential on the introduction of an application fee, provides that the application fee and the fee for issue or renewal may be requested when the application is filed and, if such a request is made, the issue or renewal fee must be refunded should the application not succeed.</w:t>
            </w:r>
          </w:p>
        </w:tc>
      </w:tr>
      <w:tr w:rsidR="00052799" w:rsidRPr="002D7AE6" w14:paraId="55FCD6D5" w14:textId="77777777" w:rsidTr="00871631">
        <w:trPr>
          <w:cantSplit/>
        </w:trPr>
        <w:tc>
          <w:tcPr>
            <w:tcW w:w="1193" w:type="dxa"/>
            <w:shd w:val="clear" w:color="auto" w:fill="auto"/>
          </w:tcPr>
          <w:p w14:paraId="4FB51AF2" w14:textId="77777777" w:rsidR="00052799" w:rsidRPr="002D7AE6" w:rsidRDefault="00052799" w:rsidP="00871631">
            <w:pPr>
              <w:spacing w:before="120" w:after="120"/>
              <w:jc w:val="center"/>
              <w:rPr>
                <w:sz w:val="18"/>
                <w:szCs w:val="18"/>
              </w:rPr>
            </w:pPr>
            <w:r w:rsidRPr="002D7AE6">
              <w:rPr>
                <w:sz w:val="18"/>
                <w:szCs w:val="18"/>
              </w:rPr>
              <w:t>-</w:t>
            </w:r>
          </w:p>
        </w:tc>
        <w:tc>
          <w:tcPr>
            <w:tcW w:w="1193" w:type="dxa"/>
            <w:shd w:val="clear" w:color="auto" w:fill="auto"/>
          </w:tcPr>
          <w:p w14:paraId="71D7A328" w14:textId="77777777" w:rsidR="00052799" w:rsidRPr="002D7AE6" w:rsidRDefault="00052799" w:rsidP="00871631">
            <w:pPr>
              <w:spacing w:before="120" w:after="120"/>
              <w:jc w:val="center"/>
              <w:rPr>
                <w:sz w:val="18"/>
                <w:szCs w:val="18"/>
              </w:rPr>
            </w:pPr>
            <w:r w:rsidRPr="002D7AE6">
              <w:rPr>
                <w:sz w:val="18"/>
                <w:szCs w:val="18"/>
              </w:rPr>
              <w:t>20</w:t>
            </w:r>
          </w:p>
        </w:tc>
        <w:tc>
          <w:tcPr>
            <w:tcW w:w="2717" w:type="dxa"/>
            <w:shd w:val="clear" w:color="auto" w:fill="auto"/>
          </w:tcPr>
          <w:p w14:paraId="789B2F49" w14:textId="77777777" w:rsidR="00052799" w:rsidRPr="002D7AE6" w:rsidRDefault="00052799" w:rsidP="00871631">
            <w:pPr>
              <w:spacing w:before="120" w:after="120"/>
              <w:rPr>
                <w:sz w:val="18"/>
                <w:szCs w:val="18"/>
              </w:rPr>
            </w:pPr>
            <w:r w:rsidRPr="002D7AE6">
              <w:rPr>
                <w:sz w:val="18"/>
                <w:szCs w:val="18"/>
              </w:rPr>
              <w:t xml:space="preserve">Refund of fees for unexpired portion of licence </w:t>
            </w:r>
          </w:p>
        </w:tc>
        <w:tc>
          <w:tcPr>
            <w:tcW w:w="3735" w:type="dxa"/>
            <w:shd w:val="clear" w:color="auto" w:fill="auto"/>
          </w:tcPr>
          <w:p w14:paraId="74720A2A" w14:textId="77777777" w:rsidR="00052799" w:rsidRPr="002D7AE6" w:rsidRDefault="00052799" w:rsidP="00871631">
            <w:pPr>
              <w:spacing w:before="120" w:after="120"/>
              <w:rPr>
                <w:sz w:val="18"/>
                <w:szCs w:val="18"/>
              </w:rPr>
            </w:pPr>
            <w:r w:rsidRPr="002D7AE6">
              <w:rPr>
                <w:sz w:val="18"/>
                <w:szCs w:val="18"/>
              </w:rPr>
              <w:t>New regulation: provides that if a licence is surrendered before its expiry date, the fee paid for the issue or renewal of the licence must be refunded on a pro rata basis.</w:t>
            </w:r>
          </w:p>
        </w:tc>
      </w:tr>
      <w:tr w:rsidR="00052799" w:rsidRPr="002D7AE6" w14:paraId="311B3CBE" w14:textId="77777777" w:rsidTr="00871631">
        <w:trPr>
          <w:cantSplit/>
        </w:trPr>
        <w:tc>
          <w:tcPr>
            <w:tcW w:w="1193" w:type="dxa"/>
            <w:shd w:val="clear" w:color="auto" w:fill="auto"/>
          </w:tcPr>
          <w:p w14:paraId="5FCA80AB" w14:textId="77777777" w:rsidR="00052799" w:rsidRPr="002D7AE6" w:rsidRDefault="00052799" w:rsidP="00871631">
            <w:pPr>
              <w:spacing w:before="120" w:after="120"/>
              <w:jc w:val="center"/>
              <w:rPr>
                <w:sz w:val="18"/>
                <w:szCs w:val="18"/>
              </w:rPr>
            </w:pPr>
            <w:r w:rsidRPr="002D7AE6">
              <w:rPr>
                <w:sz w:val="18"/>
                <w:szCs w:val="18"/>
              </w:rPr>
              <w:t>9(3)–(6) &amp; 10(1)–(2)</w:t>
            </w:r>
          </w:p>
        </w:tc>
        <w:tc>
          <w:tcPr>
            <w:tcW w:w="1193" w:type="dxa"/>
            <w:shd w:val="clear" w:color="auto" w:fill="auto"/>
          </w:tcPr>
          <w:p w14:paraId="76B71169" w14:textId="77777777" w:rsidR="00052799" w:rsidRPr="002D7AE6" w:rsidRDefault="00052799" w:rsidP="00871631">
            <w:pPr>
              <w:spacing w:before="120" w:after="120"/>
              <w:jc w:val="center"/>
              <w:rPr>
                <w:sz w:val="18"/>
                <w:szCs w:val="18"/>
              </w:rPr>
            </w:pPr>
            <w:r w:rsidRPr="002D7AE6">
              <w:rPr>
                <w:sz w:val="18"/>
                <w:szCs w:val="18"/>
              </w:rPr>
              <w:t>21</w:t>
            </w:r>
          </w:p>
        </w:tc>
        <w:tc>
          <w:tcPr>
            <w:tcW w:w="2717" w:type="dxa"/>
            <w:shd w:val="clear" w:color="auto" w:fill="auto"/>
          </w:tcPr>
          <w:p w14:paraId="6823DB8F" w14:textId="77777777" w:rsidR="00052799" w:rsidRPr="002D7AE6" w:rsidRDefault="00052799" w:rsidP="00871631">
            <w:pPr>
              <w:spacing w:before="120" w:after="120"/>
              <w:rPr>
                <w:sz w:val="18"/>
                <w:szCs w:val="18"/>
              </w:rPr>
            </w:pPr>
            <w:r w:rsidRPr="002D7AE6">
              <w:rPr>
                <w:sz w:val="18"/>
                <w:szCs w:val="18"/>
              </w:rPr>
              <w:t>Licence fees—holders of category A, B or C longarm licences</w:t>
            </w:r>
          </w:p>
        </w:tc>
        <w:tc>
          <w:tcPr>
            <w:tcW w:w="3735" w:type="dxa"/>
            <w:shd w:val="clear" w:color="auto" w:fill="auto"/>
          </w:tcPr>
          <w:p w14:paraId="42AAE4E0" w14:textId="12B96755" w:rsidR="00052799" w:rsidRPr="002D7AE6" w:rsidRDefault="00052799" w:rsidP="00871631">
            <w:pPr>
              <w:spacing w:before="120" w:after="120"/>
              <w:rPr>
                <w:sz w:val="18"/>
                <w:szCs w:val="18"/>
              </w:rPr>
            </w:pPr>
            <w:r w:rsidRPr="002D7AE6">
              <w:rPr>
                <w:sz w:val="18"/>
                <w:szCs w:val="18"/>
              </w:rPr>
              <w:t>Redrafted to clarify the fee waivers applied where a person seeks or holds more than one of the following licences: category A longarm licence, category B longarm licence and category C longarm licence. Further clarifies that this waiver cannot be obtained in addition a waiver for the reason of primary production (under present arrangements, it is</w:t>
            </w:r>
            <w:r w:rsidR="002406E1">
              <w:rPr>
                <w:sz w:val="18"/>
                <w:szCs w:val="18"/>
              </w:rPr>
              <w:t xml:space="preserve"> potentially</w:t>
            </w:r>
            <w:r w:rsidRPr="002D7AE6">
              <w:rPr>
                <w:sz w:val="18"/>
                <w:szCs w:val="18"/>
              </w:rPr>
              <w:t xml:space="preserve"> arguable that applicants could first obtain a category C licence, fee waived for reasons of primary production, and then obtain a second category A or B licence for non-primary production reasons and still receive a waiver on the second licence, despite the lack of a policy rationale for them receiving one).</w:t>
            </w:r>
          </w:p>
        </w:tc>
      </w:tr>
      <w:tr w:rsidR="00052799" w:rsidRPr="002D7AE6" w14:paraId="6F353F02" w14:textId="77777777" w:rsidTr="00871631">
        <w:trPr>
          <w:cantSplit/>
        </w:trPr>
        <w:tc>
          <w:tcPr>
            <w:tcW w:w="1193" w:type="dxa"/>
            <w:shd w:val="clear" w:color="auto" w:fill="auto"/>
          </w:tcPr>
          <w:p w14:paraId="7CF616EB" w14:textId="77777777" w:rsidR="00052799" w:rsidRPr="002D7AE6" w:rsidRDefault="00052799" w:rsidP="00871631">
            <w:pPr>
              <w:spacing w:before="120" w:after="120"/>
              <w:jc w:val="center"/>
              <w:rPr>
                <w:sz w:val="18"/>
                <w:szCs w:val="18"/>
              </w:rPr>
            </w:pPr>
            <w:r w:rsidRPr="002D7AE6">
              <w:rPr>
                <w:sz w:val="18"/>
                <w:szCs w:val="18"/>
              </w:rPr>
              <w:t>9(7)</w:t>
            </w:r>
          </w:p>
        </w:tc>
        <w:tc>
          <w:tcPr>
            <w:tcW w:w="1193" w:type="dxa"/>
            <w:shd w:val="clear" w:color="auto" w:fill="auto"/>
          </w:tcPr>
          <w:p w14:paraId="07DA23AB" w14:textId="77777777" w:rsidR="00052799" w:rsidRPr="002D7AE6" w:rsidRDefault="00052799" w:rsidP="00871631">
            <w:pPr>
              <w:spacing w:before="120" w:after="120"/>
              <w:jc w:val="center"/>
              <w:rPr>
                <w:sz w:val="18"/>
                <w:szCs w:val="18"/>
              </w:rPr>
            </w:pPr>
            <w:r w:rsidRPr="002D7AE6">
              <w:rPr>
                <w:sz w:val="18"/>
                <w:szCs w:val="18"/>
              </w:rPr>
              <w:t>22</w:t>
            </w:r>
          </w:p>
        </w:tc>
        <w:tc>
          <w:tcPr>
            <w:tcW w:w="2717" w:type="dxa"/>
            <w:shd w:val="clear" w:color="auto" w:fill="auto"/>
          </w:tcPr>
          <w:p w14:paraId="569718FB" w14:textId="77777777" w:rsidR="00052799" w:rsidRPr="002D7AE6" w:rsidRDefault="00052799" w:rsidP="00871631">
            <w:pPr>
              <w:spacing w:before="120" w:after="120"/>
              <w:rPr>
                <w:sz w:val="18"/>
                <w:szCs w:val="18"/>
              </w:rPr>
            </w:pPr>
            <w:r w:rsidRPr="002D7AE6">
              <w:rPr>
                <w:sz w:val="18"/>
                <w:szCs w:val="18"/>
              </w:rPr>
              <w:t>Licence fees—holders of firearms dealers licences in multiple classes</w:t>
            </w:r>
          </w:p>
        </w:tc>
        <w:tc>
          <w:tcPr>
            <w:tcW w:w="3735" w:type="dxa"/>
            <w:shd w:val="clear" w:color="auto" w:fill="auto"/>
          </w:tcPr>
          <w:p w14:paraId="7DA6486B" w14:textId="77777777" w:rsidR="00052799" w:rsidRPr="002D7AE6" w:rsidRDefault="00052799" w:rsidP="00871631">
            <w:pPr>
              <w:spacing w:before="120" w:after="120"/>
              <w:rPr>
                <w:sz w:val="18"/>
                <w:szCs w:val="18"/>
              </w:rPr>
            </w:pPr>
            <w:r w:rsidRPr="002D7AE6">
              <w:rPr>
                <w:sz w:val="18"/>
                <w:szCs w:val="18"/>
              </w:rPr>
              <w:t>Redrafted for clarity and amended to account for the introduction of an application fee.</w:t>
            </w:r>
          </w:p>
        </w:tc>
      </w:tr>
      <w:tr w:rsidR="00052799" w:rsidRPr="002D7AE6" w14:paraId="33C81BC4" w14:textId="77777777" w:rsidTr="00871631">
        <w:trPr>
          <w:cantSplit/>
        </w:trPr>
        <w:tc>
          <w:tcPr>
            <w:tcW w:w="1193" w:type="dxa"/>
            <w:shd w:val="clear" w:color="auto" w:fill="auto"/>
          </w:tcPr>
          <w:p w14:paraId="68BF1F98" w14:textId="77777777" w:rsidR="00052799" w:rsidRPr="002D7AE6" w:rsidRDefault="00052799" w:rsidP="00871631">
            <w:pPr>
              <w:spacing w:before="120" w:after="120"/>
              <w:jc w:val="center"/>
              <w:rPr>
                <w:sz w:val="18"/>
                <w:szCs w:val="18"/>
              </w:rPr>
            </w:pPr>
            <w:r w:rsidRPr="002D7AE6">
              <w:rPr>
                <w:sz w:val="18"/>
                <w:szCs w:val="18"/>
              </w:rPr>
              <w:t>10(3)</w:t>
            </w:r>
          </w:p>
        </w:tc>
        <w:tc>
          <w:tcPr>
            <w:tcW w:w="1193" w:type="dxa"/>
            <w:shd w:val="clear" w:color="auto" w:fill="auto"/>
          </w:tcPr>
          <w:p w14:paraId="072BEB68" w14:textId="77777777" w:rsidR="00052799" w:rsidRPr="002D7AE6" w:rsidRDefault="00052799" w:rsidP="00871631">
            <w:pPr>
              <w:spacing w:before="120" w:after="120"/>
              <w:jc w:val="center"/>
              <w:rPr>
                <w:sz w:val="18"/>
                <w:szCs w:val="18"/>
              </w:rPr>
            </w:pPr>
            <w:r w:rsidRPr="002D7AE6">
              <w:rPr>
                <w:sz w:val="18"/>
                <w:szCs w:val="18"/>
              </w:rPr>
              <w:t>23</w:t>
            </w:r>
          </w:p>
        </w:tc>
        <w:tc>
          <w:tcPr>
            <w:tcW w:w="2717" w:type="dxa"/>
            <w:shd w:val="clear" w:color="auto" w:fill="auto"/>
          </w:tcPr>
          <w:p w14:paraId="3AF29873" w14:textId="77777777" w:rsidR="00052799" w:rsidRPr="002D7AE6" w:rsidRDefault="00052799" w:rsidP="00871631">
            <w:pPr>
              <w:spacing w:before="120" w:after="120"/>
              <w:rPr>
                <w:sz w:val="18"/>
                <w:szCs w:val="18"/>
              </w:rPr>
            </w:pPr>
            <w:r w:rsidRPr="002D7AE6">
              <w:rPr>
                <w:sz w:val="18"/>
                <w:szCs w:val="18"/>
              </w:rPr>
              <w:t>Longarm licence for the reason of primary production</w:t>
            </w:r>
          </w:p>
        </w:tc>
        <w:tc>
          <w:tcPr>
            <w:tcW w:w="3735" w:type="dxa"/>
            <w:shd w:val="clear" w:color="auto" w:fill="auto"/>
          </w:tcPr>
          <w:p w14:paraId="07CF38F1" w14:textId="77777777" w:rsidR="00052799" w:rsidRPr="002D7AE6" w:rsidRDefault="00052799" w:rsidP="00871631">
            <w:pPr>
              <w:spacing w:before="120" w:after="120"/>
              <w:rPr>
                <w:sz w:val="18"/>
                <w:szCs w:val="18"/>
              </w:rPr>
            </w:pPr>
            <w:r w:rsidRPr="002D7AE6">
              <w:rPr>
                <w:sz w:val="18"/>
                <w:szCs w:val="18"/>
              </w:rPr>
              <w:t>Redrafted for clarity, and also to make clear that the waiver is only available where a licence is held for the sole purpose of primary production.</w:t>
            </w:r>
          </w:p>
        </w:tc>
      </w:tr>
      <w:tr w:rsidR="00052799" w:rsidRPr="002D7AE6" w14:paraId="66D8D20B" w14:textId="77777777" w:rsidTr="00871631">
        <w:trPr>
          <w:cantSplit/>
        </w:trPr>
        <w:tc>
          <w:tcPr>
            <w:tcW w:w="1193" w:type="dxa"/>
            <w:shd w:val="clear" w:color="auto" w:fill="auto"/>
          </w:tcPr>
          <w:p w14:paraId="1EDDFA1C" w14:textId="77777777" w:rsidR="00052799" w:rsidRPr="002D7AE6" w:rsidRDefault="00052799" w:rsidP="00871631">
            <w:pPr>
              <w:spacing w:before="120" w:after="120"/>
              <w:jc w:val="center"/>
              <w:rPr>
                <w:sz w:val="18"/>
                <w:szCs w:val="18"/>
              </w:rPr>
            </w:pPr>
            <w:r w:rsidRPr="002D7AE6">
              <w:rPr>
                <w:sz w:val="18"/>
                <w:szCs w:val="18"/>
              </w:rPr>
              <w:t>-</w:t>
            </w:r>
          </w:p>
        </w:tc>
        <w:tc>
          <w:tcPr>
            <w:tcW w:w="1193" w:type="dxa"/>
            <w:shd w:val="clear" w:color="auto" w:fill="auto"/>
          </w:tcPr>
          <w:p w14:paraId="44D0B7B9" w14:textId="77777777" w:rsidR="00052799" w:rsidRPr="002D7AE6" w:rsidRDefault="00052799" w:rsidP="00871631">
            <w:pPr>
              <w:spacing w:before="120" w:after="120"/>
              <w:jc w:val="center"/>
              <w:rPr>
                <w:sz w:val="18"/>
                <w:szCs w:val="18"/>
              </w:rPr>
            </w:pPr>
            <w:r w:rsidRPr="002D7AE6">
              <w:rPr>
                <w:sz w:val="18"/>
                <w:szCs w:val="18"/>
              </w:rPr>
              <w:t>24</w:t>
            </w:r>
          </w:p>
        </w:tc>
        <w:tc>
          <w:tcPr>
            <w:tcW w:w="2717" w:type="dxa"/>
            <w:shd w:val="clear" w:color="auto" w:fill="auto"/>
          </w:tcPr>
          <w:p w14:paraId="16250CDA" w14:textId="77777777" w:rsidR="00052799" w:rsidRPr="002D7AE6" w:rsidRDefault="00052799" w:rsidP="00871631">
            <w:pPr>
              <w:spacing w:before="120" w:after="120"/>
              <w:rPr>
                <w:sz w:val="18"/>
                <w:szCs w:val="18"/>
              </w:rPr>
            </w:pPr>
            <w:r w:rsidRPr="002D7AE6">
              <w:rPr>
                <w:sz w:val="18"/>
                <w:szCs w:val="18"/>
              </w:rPr>
              <w:t>Fee reductions for certain licence holders</w:t>
            </w:r>
          </w:p>
        </w:tc>
        <w:tc>
          <w:tcPr>
            <w:tcW w:w="3735" w:type="dxa"/>
            <w:shd w:val="clear" w:color="auto" w:fill="auto"/>
          </w:tcPr>
          <w:p w14:paraId="266AB61A" w14:textId="77777777" w:rsidR="00052799" w:rsidRPr="002D7AE6" w:rsidRDefault="00052799" w:rsidP="00871631">
            <w:pPr>
              <w:spacing w:before="120" w:after="120"/>
              <w:rPr>
                <w:sz w:val="18"/>
                <w:szCs w:val="18"/>
              </w:rPr>
            </w:pPr>
            <w:r w:rsidRPr="002D7AE6">
              <w:rPr>
                <w:sz w:val="18"/>
                <w:szCs w:val="18"/>
              </w:rPr>
              <w:t>New regulation: provides for fee reductions</w:t>
            </w:r>
            <w:r w:rsidR="00F0523E" w:rsidRPr="002D7AE6">
              <w:rPr>
                <w:sz w:val="18"/>
                <w:szCs w:val="18"/>
              </w:rPr>
              <w:t xml:space="preserve"> to 75 per cent of the full fee</w:t>
            </w:r>
            <w:r w:rsidRPr="002D7AE6">
              <w:rPr>
                <w:sz w:val="18"/>
                <w:szCs w:val="18"/>
              </w:rPr>
              <w:t xml:space="preserve"> if an applicant for certain licences is aged over 70 or is an ‘eligible recipient’ within the meaning of the </w:t>
            </w:r>
            <w:r w:rsidRPr="002D7AE6">
              <w:rPr>
                <w:i/>
                <w:sz w:val="18"/>
                <w:szCs w:val="18"/>
              </w:rPr>
              <w:t>State Concessions Act 2004</w:t>
            </w:r>
            <w:r w:rsidRPr="002D7AE6">
              <w:rPr>
                <w:sz w:val="18"/>
                <w:szCs w:val="18"/>
              </w:rPr>
              <w:t>. Further provides that the reduction cannot be claimed in addition to other waivers.</w:t>
            </w:r>
          </w:p>
        </w:tc>
      </w:tr>
      <w:tr w:rsidR="00052799" w:rsidRPr="002D7AE6" w14:paraId="5B55399F" w14:textId="77777777" w:rsidTr="00871631">
        <w:trPr>
          <w:cantSplit/>
        </w:trPr>
        <w:tc>
          <w:tcPr>
            <w:tcW w:w="1193" w:type="dxa"/>
            <w:shd w:val="clear" w:color="auto" w:fill="auto"/>
          </w:tcPr>
          <w:p w14:paraId="26FEDE98" w14:textId="77777777" w:rsidR="00052799" w:rsidRPr="002D7AE6" w:rsidRDefault="00052799" w:rsidP="00871631">
            <w:pPr>
              <w:spacing w:before="120" w:after="120"/>
              <w:jc w:val="center"/>
              <w:rPr>
                <w:sz w:val="18"/>
                <w:szCs w:val="18"/>
              </w:rPr>
            </w:pPr>
            <w:r w:rsidRPr="002D7AE6">
              <w:rPr>
                <w:sz w:val="18"/>
                <w:szCs w:val="18"/>
              </w:rPr>
              <w:t>16</w:t>
            </w:r>
          </w:p>
        </w:tc>
        <w:tc>
          <w:tcPr>
            <w:tcW w:w="1193" w:type="dxa"/>
            <w:shd w:val="clear" w:color="auto" w:fill="auto"/>
          </w:tcPr>
          <w:p w14:paraId="1AAE2498" w14:textId="77777777" w:rsidR="00052799" w:rsidRPr="002D7AE6" w:rsidRDefault="00052799" w:rsidP="00871631">
            <w:pPr>
              <w:spacing w:before="120" w:after="120"/>
              <w:jc w:val="center"/>
              <w:rPr>
                <w:sz w:val="18"/>
                <w:szCs w:val="18"/>
              </w:rPr>
            </w:pPr>
            <w:r w:rsidRPr="002D7AE6">
              <w:rPr>
                <w:sz w:val="18"/>
                <w:szCs w:val="18"/>
              </w:rPr>
              <w:t>25</w:t>
            </w:r>
          </w:p>
        </w:tc>
        <w:tc>
          <w:tcPr>
            <w:tcW w:w="2717" w:type="dxa"/>
            <w:shd w:val="clear" w:color="auto" w:fill="auto"/>
          </w:tcPr>
          <w:p w14:paraId="25BE979D" w14:textId="77777777" w:rsidR="00052799" w:rsidRPr="002D7AE6" w:rsidRDefault="00052799" w:rsidP="00871631">
            <w:pPr>
              <w:spacing w:before="120" w:after="120"/>
              <w:rPr>
                <w:sz w:val="18"/>
                <w:szCs w:val="18"/>
              </w:rPr>
            </w:pPr>
            <w:r w:rsidRPr="002D7AE6">
              <w:rPr>
                <w:sz w:val="18"/>
                <w:szCs w:val="18"/>
              </w:rPr>
              <w:t>Manner of conducting searches</w:t>
            </w:r>
          </w:p>
        </w:tc>
        <w:tc>
          <w:tcPr>
            <w:tcW w:w="3735" w:type="dxa"/>
            <w:shd w:val="clear" w:color="auto" w:fill="auto"/>
          </w:tcPr>
          <w:p w14:paraId="1BCB24F3" w14:textId="77777777" w:rsidR="00052799" w:rsidRPr="002D7AE6" w:rsidRDefault="00052799" w:rsidP="00871631">
            <w:pPr>
              <w:spacing w:before="120" w:after="120"/>
              <w:rPr>
                <w:sz w:val="18"/>
                <w:szCs w:val="18"/>
              </w:rPr>
            </w:pPr>
            <w:r w:rsidRPr="002D7AE6">
              <w:rPr>
                <w:sz w:val="18"/>
                <w:szCs w:val="18"/>
              </w:rPr>
              <w:t xml:space="preserve">Amended to incorporate a technology neutral description of a ‘metal detector’. Amended to provide that, if a garment requested to be removed is believed to be worn for religious or cultural reasons, that it should be permitted to be removed out of public view. Further amended to better reflect transgender and gender diverse people. Also some redrafting for clarity, and to reflect changes in terminology brought about by the </w:t>
            </w:r>
            <w:r w:rsidRPr="002D7AE6">
              <w:rPr>
                <w:i/>
                <w:sz w:val="18"/>
                <w:szCs w:val="18"/>
              </w:rPr>
              <w:t>Victoria Police Act 2013</w:t>
            </w:r>
            <w:r w:rsidRPr="002D7AE6">
              <w:rPr>
                <w:sz w:val="18"/>
                <w:szCs w:val="18"/>
              </w:rPr>
              <w:t>.</w:t>
            </w:r>
          </w:p>
        </w:tc>
      </w:tr>
      <w:tr w:rsidR="00052799" w:rsidRPr="002D7AE6" w14:paraId="5C7105A3" w14:textId="77777777" w:rsidTr="00871631">
        <w:trPr>
          <w:cantSplit/>
        </w:trPr>
        <w:tc>
          <w:tcPr>
            <w:tcW w:w="1193" w:type="dxa"/>
            <w:shd w:val="clear" w:color="auto" w:fill="auto"/>
          </w:tcPr>
          <w:p w14:paraId="6F905D34" w14:textId="77777777" w:rsidR="00052799" w:rsidRPr="002D7AE6" w:rsidRDefault="00052799" w:rsidP="00871631">
            <w:pPr>
              <w:spacing w:before="120" w:after="120"/>
              <w:jc w:val="center"/>
              <w:rPr>
                <w:sz w:val="18"/>
                <w:szCs w:val="18"/>
              </w:rPr>
            </w:pPr>
            <w:r w:rsidRPr="002D7AE6">
              <w:rPr>
                <w:sz w:val="18"/>
                <w:szCs w:val="18"/>
              </w:rPr>
              <w:t>17</w:t>
            </w:r>
          </w:p>
        </w:tc>
        <w:tc>
          <w:tcPr>
            <w:tcW w:w="1193" w:type="dxa"/>
            <w:shd w:val="clear" w:color="auto" w:fill="auto"/>
          </w:tcPr>
          <w:p w14:paraId="105488EF" w14:textId="77777777" w:rsidR="00052799" w:rsidRPr="002D7AE6" w:rsidRDefault="00052799" w:rsidP="00871631">
            <w:pPr>
              <w:spacing w:before="120" w:after="120"/>
              <w:jc w:val="center"/>
              <w:rPr>
                <w:sz w:val="18"/>
                <w:szCs w:val="18"/>
              </w:rPr>
            </w:pPr>
            <w:r w:rsidRPr="002D7AE6">
              <w:rPr>
                <w:sz w:val="18"/>
                <w:szCs w:val="18"/>
              </w:rPr>
              <w:t>26</w:t>
            </w:r>
          </w:p>
        </w:tc>
        <w:tc>
          <w:tcPr>
            <w:tcW w:w="2717" w:type="dxa"/>
            <w:shd w:val="clear" w:color="auto" w:fill="auto"/>
          </w:tcPr>
          <w:p w14:paraId="1615E1D0" w14:textId="77777777" w:rsidR="00052799" w:rsidRPr="002D7AE6" w:rsidRDefault="00052799" w:rsidP="00871631">
            <w:pPr>
              <w:spacing w:before="120" w:after="120"/>
              <w:rPr>
                <w:sz w:val="18"/>
                <w:szCs w:val="18"/>
              </w:rPr>
            </w:pPr>
            <w:r w:rsidRPr="002D7AE6">
              <w:rPr>
                <w:sz w:val="18"/>
                <w:szCs w:val="18"/>
              </w:rPr>
              <w:t>Searching students at schools</w:t>
            </w:r>
          </w:p>
        </w:tc>
        <w:tc>
          <w:tcPr>
            <w:tcW w:w="3735" w:type="dxa"/>
            <w:shd w:val="clear" w:color="auto" w:fill="auto"/>
          </w:tcPr>
          <w:p w14:paraId="6084A9C0" w14:textId="32F0EE0A" w:rsidR="00052799" w:rsidRPr="002D7AE6" w:rsidRDefault="007727EA" w:rsidP="00871631">
            <w:pPr>
              <w:spacing w:before="120" w:after="120"/>
              <w:rPr>
                <w:sz w:val="18"/>
                <w:szCs w:val="18"/>
              </w:rPr>
            </w:pPr>
            <w:r>
              <w:rPr>
                <w:sz w:val="18"/>
                <w:szCs w:val="18"/>
              </w:rPr>
              <w:t>No</w:t>
            </w:r>
            <w:r w:rsidR="00052799" w:rsidRPr="002D7AE6">
              <w:rPr>
                <w:sz w:val="18"/>
                <w:szCs w:val="18"/>
              </w:rPr>
              <w:t xml:space="preserve"> change, besides to reflect changes in terminology brought about by the </w:t>
            </w:r>
            <w:r w:rsidR="00052799" w:rsidRPr="002D7AE6">
              <w:rPr>
                <w:i/>
                <w:sz w:val="18"/>
                <w:szCs w:val="18"/>
              </w:rPr>
              <w:t>Victoria Police Act 2013</w:t>
            </w:r>
            <w:r w:rsidR="00052799" w:rsidRPr="002D7AE6">
              <w:rPr>
                <w:sz w:val="18"/>
                <w:szCs w:val="18"/>
              </w:rPr>
              <w:t>.</w:t>
            </w:r>
          </w:p>
        </w:tc>
      </w:tr>
      <w:tr w:rsidR="00052799" w:rsidRPr="002D7AE6" w14:paraId="4ADC2B87" w14:textId="77777777" w:rsidTr="00871631">
        <w:trPr>
          <w:cantSplit/>
        </w:trPr>
        <w:tc>
          <w:tcPr>
            <w:tcW w:w="1193" w:type="dxa"/>
            <w:shd w:val="clear" w:color="auto" w:fill="auto"/>
          </w:tcPr>
          <w:p w14:paraId="76F224B7" w14:textId="77777777" w:rsidR="00052799" w:rsidRPr="002D7AE6" w:rsidRDefault="00052799" w:rsidP="00871631">
            <w:pPr>
              <w:spacing w:before="120" w:after="120"/>
              <w:jc w:val="center"/>
              <w:rPr>
                <w:sz w:val="18"/>
                <w:szCs w:val="18"/>
              </w:rPr>
            </w:pPr>
            <w:r w:rsidRPr="002D7AE6">
              <w:rPr>
                <w:sz w:val="18"/>
                <w:szCs w:val="18"/>
              </w:rPr>
              <w:t>18</w:t>
            </w:r>
          </w:p>
        </w:tc>
        <w:tc>
          <w:tcPr>
            <w:tcW w:w="1193" w:type="dxa"/>
            <w:shd w:val="clear" w:color="auto" w:fill="auto"/>
          </w:tcPr>
          <w:p w14:paraId="42776CE7" w14:textId="77777777" w:rsidR="00052799" w:rsidRPr="002D7AE6" w:rsidRDefault="00052799" w:rsidP="00871631">
            <w:pPr>
              <w:spacing w:before="120" w:after="120"/>
              <w:jc w:val="center"/>
              <w:rPr>
                <w:sz w:val="18"/>
                <w:szCs w:val="18"/>
              </w:rPr>
            </w:pPr>
            <w:r w:rsidRPr="002D7AE6">
              <w:rPr>
                <w:sz w:val="18"/>
                <w:szCs w:val="18"/>
              </w:rPr>
              <w:t>27</w:t>
            </w:r>
          </w:p>
        </w:tc>
        <w:tc>
          <w:tcPr>
            <w:tcW w:w="2717" w:type="dxa"/>
            <w:shd w:val="clear" w:color="auto" w:fill="auto"/>
          </w:tcPr>
          <w:p w14:paraId="7A99AD76" w14:textId="77777777" w:rsidR="00052799" w:rsidRPr="002D7AE6" w:rsidRDefault="00052799" w:rsidP="00871631">
            <w:pPr>
              <w:spacing w:before="120" w:after="120"/>
              <w:rPr>
                <w:sz w:val="18"/>
                <w:szCs w:val="18"/>
              </w:rPr>
            </w:pPr>
            <w:r w:rsidRPr="002D7AE6">
              <w:rPr>
                <w:sz w:val="18"/>
                <w:szCs w:val="18"/>
              </w:rPr>
              <w:t>Search records</w:t>
            </w:r>
          </w:p>
        </w:tc>
        <w:tc>
          <w:tcPr>
            <w:tcW w:w="3735" w:type="dxa"/>
            <w:shd w:val="clear" w:color="auto" w:fill="auto"/>
          </w:tcPr>
          <w:p w14:paraId="74A07602" w14:textId="5FE8D1CB" w:rsidR="00052799" w:rsidRPr="002D7AE6" w:rsidRDefault="007727EA" w:rsidP="00871631">
            <w:pPr>
              <w:spacing w:before="120" w:after="120"/>
              <w:rPr>
                <w:sz w:val="18"/>
                <w:szCs w:val="18"/>
              </w:rPr>
            </w:pPr>
            <w:r>
              <w:rPr>
                <w:sz w:val="18"/>
                <w:szCs w:val="18"/>
              </w:rPr>
              <w:t>No</w:t>
            </w:r>
            <w:r w:rsidR="00052799" w:rsidRPr="002D7AE6">
              <w:rPr>
                <w:sz w:val="18"/>
                <w:szCs w:val="18"/>
              </w:rPr>
              <w:t xml:space="preserve"> change, besides to reflect changes in terminology brought about by the </w:t>
            </w:r>
            <w:r w:rsidR="00052799" w:rsidRPr="002D7AE6">
              <w:rPr>
                <w:i/>
                <w:sz w:val="18"/>
                <w:szCs w:val="18"/>
              </w:rPr>
              <w:t>Victoria Police Act 2013</w:t>
            </w:r>
            <w:r w:rsidR="00052799" w:rsidRPr="002D7AE6">
              <w:rPr>
                <w:sz w:val="18"/>
                <w:szCs w:val="18"/>
              </w:rPr>
              <w:t>.</w:t>
            </w:r>
          </w:p>
        </w:tc>
      </w:tr>
      <w:tr w:rsidR="00052799" w:rsidRPr="002D7AE6" w14:paraId="1CDA3DBF" w14:textId="77777777" w:rsidTr="00871631">
        <w:trPr>
          <w:cantSplit/>
        </w:trPr>
        <w:tc>
          <w:tcPr>
            <w:tcW w:w="1193" w:type="dxa"/>
            <w:shd w:val="clear" w:color="auto" w:fill="auto"/>
          </w:tcPr>
          <w:p w14:paraId="7B7EBD2B" w14:textId="77777777" w:rsidR="00052799" w:rsidRPr="002D7AE6" w:rsidRDefault="00052799" w:rsidP="00871631">
            <w:pPr>
              <w:spacing w:before="120" w:after="120"/>
              <w:jc w:val="center"/>
              <w:rPr>
                <w:sz w:val="18"/>
                <w:szCs w:val="18"/>
              </w:rPr>
            </w:pPr>
            <w:r w:rsidRPr="002D7AE6">
              <w:rPr>
                <w:sz w:val="18"/>
                <w:szCs w:val="18"/>
              </w:rPr>
              <w:t>19</w:t>
            </w:r>
          </w:p>
        </w:tc>
        <w:tc>
          <w:tcPr>
            <w:tcW w:w="1193" w:type="dxa"/>
            <w:shd w:val="clear" w:color="auto" w:fill="auto"/>
          </w:tcPr>
          <w:p w14:paraId="482C26BD" w14:textId="77777777" w:rsidR="00052799" w:rsidRPr="002D7AE6" w:rsidRDefault="00052799" w:rsidP="00871631">
            <w:pPr>
              <w:spacing w:before="120" w:after="120"/>
              <w:jc w:val="center"/>
              <w:rPr>
                <w:sz w:val="18"/>
                <w:szCs w:val="18"/>
              </w:rPr>
            </w:pPr>
            <w:r w:rsidRPr="002D7AE6">
              <w:rPr>
                <w:sz w:val="18"/>
                <w:szCs w:val="18"/>
              </w:rPr>
              <w:t>29</w:t>
            </w:r>
          </w:p>
        </w:tc>
        <w:tc>
          <w:tcPr>
            <w:tcW w:w="2717" w:type="dxa"/>
            <w:shd w:val="clear" w:color="auto" w:fill="auto"/>
          </w:tcPr>
          <w:p w14:paraId="60D6EDE9" w14:textId="77777777" w:rsidR="00052799" w:rsidRPr="002D7AE6" w:rsidRDefault="00052799" w:rsidP="00871631">
            <w:pPr>
              <w:spacing w:before="120" w:after="120"/>
              <w:rPr>
                <w:sz w:val="18"/>
                <w:szCs w:val="18"/>
              </w:rPr>
            </w:pPr>
            <w:r w:rsidRPr="002D7AE6">
              <w:rPr>
                <w:sz w:val="18"/>
                <w:szCs w:val="18"/>
              </w:rPr>
              <w:t>Infringement penalty for prescribed offences</w:t>
            </w:r>
          </w:p>
        </w:tc>
        <w:tc>
          <w:tcPr>
            <w:tcW w:w="3735" w:type="dxa"/>
            <w:shd w:val="clear" w:color="auto" w:fill="auto"/>
          </w:tcPr>
          <w:p w14:paraId="3071E7E6" w14:textId="2AC88741" w:rsidR="00052799" w:rsidRPr="002D7AE6" w:rsidRDefault="00052799" w:rsidP="007727EA">
            <w:pPr>
              <w:spacing w:before="120" w:after="120"/>
              <w:rPr>
                <w:sz w:val="18"/>
                <w:szCs w:val="18"/>
              </w:rPr>
            </w:pPr>
            <w:r w:rsidRPr="002D7AE6">
              <w:rPr>
                <w:sz w:val="18"/>
                <w:szCs w:val="18"/>
              </w:rPr>
              <w:t xml:space="preserve">Subregulations (1) and (2) </w:t>
            </w:r>
            <w:r w:rsidR="007727EA">
              <w:rPr>
                <w:sz w:val="18"/>
                <w:szCs w:val="18"/>
              </w:rPr>
              <w:t>un</w:t>
            </w:r>
            <w:r w:rsidRPr="002D7AE6">
              <w:rPr>
                <w:sz w:val="18"/>
                <w:szCs w:val="18"/>
              </w:rPr>
              <w:t>change</w:t>
            </w:r>
            <w:r w:rsidR="007727EA">
              <w:rPr>
                <w:sz w:val="18"/>
                <w:szCs w:val="18"/>
              </w:rPr>
              <w:t>d</w:t>
            </w:r>
            <w:r w:rsidRPr="002D7AE6">
              <w:rPr>
                <w:sz w:val="18"/>
                <w:szCs w:val="18"/>
              </w:rPr>
              <w:t>. Subregulation (3) removed, consequential on amendments to Schedule</w:t>
            </w:r>
            <w:r w:rsidR="002406E1">
              <w:rPr>
                <w:sz w:val="18"/>
                <w:szCs w:val="18"/>
              </w:rPr>
              <w:t> </w:t>
            </w:r>
            <w:r w:rsidRPr="002D7AE6">
              <w:rPr>
                <w:sz w:val="18"/>
                <w:szCs w:val="18"/>
              </w:rPr>
              <w:t>7.</w:t>
            </w:r>
          </w:p>
        </w:tc>
      </w:tr>
      <w:tr w:rsidR="00052799" w:rsidRPr="002D7AE6" w14:paraId="0EDD28B8" w14:textId="77777777" w:rsidTr="00871631">
        <w:trPr>
          <w:cantSplit/>
        </w:trPr>
        <w:tc>
          <w:tcPr>
            <w:tcW w:w="1193" w:type="dxa"/>
            <w:shd w:val="clear" w:color="auto" w:fill="auto"/>
          </w:tcPr>
          <w:p w14:paraId="7B7F7E08" w14:textId="77777777" w:rsidR="00052799" w:rsidRPr="002D7AE6" w:rsidRDefault="00052799" w:rsidP="00871631">
            <w:pPr>
              <w:spacing w:before="120" w:after="120"/>
              <w:jc w:val="center"/>
              <w:rPr>
                <w:sz w:val="18"/>
                <w:szCs w:val="18"/>
              </w:rPr>
            </w:pPr>
            <w:r w:rsidRPr="002D7AE6">
              <w:rPr>
                <w:sz w:val="18"/>
                <w:szCs w:val="18"/>
              </w:rPr>
              <w:t>23</w:t>
            </w:r>
          </w:p>
        </w:tc>
        <w:tc>
          <w:tcPr>
            <w:tcW w:w="1193" w:type="dxa"/>
            <w:shd w:val="clear" w:color="auto" w:fill="auto"/>
          </w:tcPr>
          <w:p w14:paraId="6512FB34" w14:textId="77777777" w:rsidR="00052799" w:rsidRPr="002D7AE6" w:rsidRDefault="00052799" w:rsidP="00871631">
            <w:pPr>
              <w:spacing w:before="120" w:after="120"/>
              <w:jc w:val="center"/>
              <w:rPr>
                <w:sz w:val="18"/>
                <w:szCs w:val="18"/>
              </w:rPr>
            </w:pPr>
            <w:r w:rsidRPr="002D7AE6">
              <w:rPr>
                <w:sz w:val="18"/>
                <w:szCs w:val="18"/>
              </w:rPr>
              <w:t>30</w:t>
            </w:r>
          </w:p>
        </w:tc>
        <w:tc>
          <w:tcPr>
            <w:tcW w:w="2717" w:type="dxa"/>
            <w:shd w:val="clear" w:color="auto" w:fill="auto"/>
          </w:tcPr>
          <w:p w14:paraId="243BF54D" w14:textId="77777777" w:rsidR="00052799" w:rsidRPr="002D7AE6" w:rsidRDefault="00052799" w:rsidP="00871631">
            <w:pPr>
              <w:spacing w:before="120" w:after="120"/>
              <w:rPr>
                <w:sz w:val="18"/>
                <w:szCs w:val="18"/>
              </w:rPr>
            </w:pPr>
            <w:r w:rsidRPr="002D7AE6">
              <w:rPr>
                <w:sz w:val="18"/>
                <w:szCs w:val="18"/>
              </w:rPr>
              <w:t>Prescribed States for interstate permit to acquire</w:t>
            </w:r>
          </w:p>
        </w:tc>
        <w:tc>
          <w:tcPr>
            <w:tcW w:w="3735" w:type="dxa"/>
            <w:shd w:val="clear" w:color="auto" w:fill="auto"/>
          </w:tcPr>
          <w:p w14:paraId="2B3E44AB" w14:textId="69F98AEA" w:rsidR="00052799" w:rsidRPr="002D7AE6" w:rsidRDefault="007727EA" w:rsidP="00871631">
            <w:pPr>
              <w:spacing w:before="120" w:after="120"/>
              <w:rPr>
                <w:sz w:val="18"/>
                <w:szCs w:val="18"/>
              </w:rPr>
            </w:pPr>
            <w:r>
              <w:rPr>
                <w:sz w:val="18"/>
                <w:szCs w:val="18"/>
              </w:rPr>
              <w:t>No</w:t>
            </w:r>
            <w:r w:rsidR="00052799" w:rsidRPr="002D7AE6">
              <w:rPr>
                <w:sz w:val="18"/>
                <w:szCs w:val="18"/>
              </w:rPr>
              <w:t xml:space="preserve"> change.</w:t>
            </w:r>
          </w:p>
        </w:tc>
      </w:tr>
      <w:tr w:rsidR="00052799" w:rsidRPr="002D7AE6" w14:paraId="751DDE5E" w14:textId="77777777" w:rsidTr="00871631">
        <w:trPr>
          <w:cantSplit/>
        </w:trPr>
        <w:tc>
          <w:tcPr>
            <w:tcW w:w="1193" w:type="dxa"/>
            <w:shd w:val="clear" w:color="auto" w:fill="auto"/>
          </w:tcPr>
          <w:p w14:paraId="556FD117" w14:textId="77777777" w:rsidR="00052799" w:rsidRPr="002D7AE6" w:rsidRDefault="00052799" w:rsidP="00871631">
            <w:pPr>
              <w:spacing w:before="120" w:after="120"/>
              <w:jc w:val="center"/>
              <w:rPr>
                <w:sz w:val="18"/>
                <w:szCs w:val="18"/>
              </w:rPr>
            </w:pPr>
            <w:r w:rsidRPr="002D7AE6">
              <w:rPr>
                <w:sz w:val="18"/>
                <w:szCs w:val="18"/>
              </w:rPr>
              <w:t>24</w:t>
            </w:r>
          </w:p>
        </w:tc>
        <w:tc>
          <w:tcPr>
            <w:tcW w:w="1193" w:type="dxa"/>
            <w:shd w:val="clear" w:color="auto" w:fill="auto"/>
          </w:tcPr>
          <w:p w14:paraId="3DB54CAD" w14:textId="77777777" w:rsidR="00052799" w:rsidRPr="002D7AE6" w:rsidRDefault="00052799" w:rsidP="00871631">
            <w:pPr>
              <w:spacing w:before="120" w:after="120"/>
              <w:jc w:val="center"/>
              <w:rPr>
                <w:sz w:val="18"/>
                <w:szCs w:val="18"/>
              </w:rPr>
            </w:pPr>
            <w:r w:rsidRPr="002D7AE6">
              <w:rPr>
                <w:sz w:val="18"/>
                <w:szCs w:val="18"/>
              </w:rPr>
              <w:t>31</w:t>
            </w:r>
          </w:p>
        </w:tc>
        <w:tc>
          <w:tcPr>
            <w:tcW w:w="2717" w:type="dxa"/>
            <w:shd w:val="clear" w:color="auto" w:fill="auto"/>
          </w:tcPr>
          <w:p w14:paraId="6F4B6335" w14:textId="77777777" w:rsidR="00052799" w:rsidRPr="002D7AE6" w:rsidRDefault="00052799" w:rsidP="00871631">
            <w:pPr>
              <w:spacing w:before="120" w:after="120"/>
              <w:rPr>
                <w:sz w:val="18"/>
                <w:szCs w:val="18"/>
              </w:rPr>
            </w:pPr>
            <w:r w:rsidRPr="002D7AE6">
              <w:rPr>
                <w:sz w:val="18"/>
                <w:szCs w:val="18"/>
              </w:rPr>
              <w:t>Prescribed purposes for applying for longarm and general category handgun licences</w:t>
            </w:r>
          </w:p>
        </w:tc>
        <w:tc>
          <w:tcPr>
            <w:tcW w:w="3735" w:type="dxa"/>
            <w:shd w:val="clear" w:color="auto" w:fill="auto"/>
          </w:tcPr>
          <w:p w14:paraId="3A29EAB4" w14:textId="25531A73" w:rsidR="00052799" w:rsidRPr="002D7AE6" w:rsidRDefault="007727EA" w:rsidP="00871631">
            <w:pPr>
              <w:spacing w:before="120" w:after="120"/>
              <w:rPr>
                <w:sz w:val="18"/>
                <w:szCs w:val="18"/>
              </w:rPr>
            </w:pPr>
            <w:r>
              <w:rPr>
                <w:sz w:val="18"/>
                <w:szCs w:val="18"/>
              </w:rPr>
              <w:t>No</w:t>
            </w:r>
            <w:r w:rsidR="00052799" w:rsidRPr="002D7AE6">
              <w:rPr>
                <w:sz w:val="18"/>
                <w:szCs w:val="18"/>
              </w:rPr>
              <w:t xml:space="preserve"> change.</w:t>
            </w:r>
          </w:p>
        </w:tc>
      </w:tr>
      <w:tr w:rsidR="00052799" w:rsidRPr="002D7AE6" w14:paraId="1C679337" w14:textId="77777777" w:rsidTr="00871631">
        <w:trPr>
          <w:cantSplit/>
        </w:trPr>
        <w:tc>
          <w:tcPr>
            <w:tcW w:w="1193" w:type="dxa"/>
            <w:shd w:val="clear" w:color="auto" w:fill="auto"/>
          </w:tcPr>
          <w:p w14:paraId="15E8BA55" w14:textId="77777777" w:rsidR="00052799" w:rsidRPr="002D7AE6" w:rsidRDefault="00052799" w:rsidP="00871631">
            <w:pPr>
              <w:spacing w:before="120" w:after="120"/>
              <w:jc w:val="center"/>
              <w:rPr>
                <w:sz w:val="18"/>
                <w:szCs w:val="18"/>
              </w:rPr>
            </w:pPr>
            <w:r w:rsidRPr="002D7AE6">
              <w:rPr>
                <w:sz w:val="18"/>
                <w:szCs w:val="18"/>
              </w:rPr>
              <w:t>28</w:t>
            </w:r>
          </w:p>
        </w:tc>
        <w:tc>
          <w:tcPr>
            <w:tcW w:w="1193" w:type="dxa"/>
            <w:shd w:val="clear" w:color="auto" w:fill="auto"/>
          </w:tcPr>
          <w:p w14:paraId="1C40FDDD" w14:textId="77777777" w:rsidR="00052799" w:rsidRPr="002D7AE6" w:rsidRDefault="00052799" w:rsidP="00871631">
            <w:pPr>
              <w:spacing w:before="120" w:after="120"/>
              <w:jc w:val="center"/>
              <w:rPr>
                <w:sz w:val="18"/>
                <w:szCs w:val="18"/>
              </w:rPr>
            </w:pPr>
            <w:r w:rsidRPr="002D7AE6">
              <w:rPr>
                <w:sz w:val="18"/>
                <w:szCs w:val="18"/>
              </w:rPr>
              <w:t>32</w:t>
            </w:r>
          </w:p>
        </w:tc>
        <w:tc>
          <w:tcPr>
            <w:tcW w:w="2717" w:type="dxa"/>
            <w:shd w:val="clear" w:color="auto" w:fill="auto"/>
          </w:tcPr>
          <w:p w14:paraId="0457B67E" w14:textId="77777777" w:rsidR="00052799" w:rsidRPr="002D7AE6" w:rsidRDefault="00052799" w:rsidP="00871631">
            <w:pPr>
              <w:spacing w:before="120" w:after="120"/>
              <w:rPr>
                <w:sz w:val="18"/>
                <w:szCs w:val="18"/>
              </w:rPr>
            </w:pPr>
            <w:r w:rsidRPr="002D7AE6">
              <w:rPr>
                <w:sz w:val="18"/>
                <w:szCs w:val="18"/>
              </w:rPr>
              <w:t>Specified classes of general category handguns</w:t>
            </w:r>
          </w:p>
        </w:tc>
        <w:tc>
          <w:tcPr>
            <w:tcW w:w="3735" w:type="dxa"/>
            <w:shd w:val="clear" w:color="auto" w:fill="auto"/>
          </w:tcPr>
          <w:p w14:paraId="3400C3E2" w14:textId="002A6B13" w:rsidR="00052799" w:rsidRPr="002D7AE6" w:rsidRDefault="007727EA" w:rsidP="00871631">
            <w:pPr>
              <w:spacing w:before="120" w:after="120"/>
              <w:rPr>
                <w:sz w:val="18"/>
                <w:szCs w:val="18"/>
              </w:rPr>
            </w:pPr>
            <w:r>
              <w:rPr>
                <w:sz w:val="18"/>
                <w:szCs w:val="18"/>
              </w:rPr>
              <w:t>No</w:t>
            </w:r>
            <w:r w:rsidR="00052799" w:rsidRPr="002D7AE6">
              <w:rPr>
                <w:sz w:val="18"/>
                <w:szCs w:val="18"/>
              </w:rPr>
              <w:t xml:space="preserve"> change.</w:t>
            </w:r>
          </w:p>
        </w:tc>
      </w:tr>
      <w:tr w:rsidR="00052799" w:rsidRPr="002D7AE6" w14:paraId="2DC73A2C" w14:textId="77777777" w:rsidTr="00871631">
        <w:trPr>
          <w:cantSplit/>
        </w:trPr>
        <w:tc>
          <w:tcPr>
            <w:tcW w:w="1193" w:type="dxa"/>
            <w:shd w:val="clear" w:color="auto" w:fill="auto"/>
          </w:tcPr>
          <w:p w14:paraId="4C875DDA" w14:textId="77777777" w:rsidR="00052799" w:rsidRPr="002D7AE6" w:rsidRDefault="00052799" w:rsidP="00871631">
            <w:pPr>
              <w:spacing w:before="120" w:after="120"/>
              <w:jc w:val="center"/>
              <w:rPr>
                <w:sz w:val="18"/>
                <w:szCs w:val="18"/>
              </w:rPr>
            </w:pPr>
            <w:r w:rsidRPr="002D7AE6">
              <w:rPr>
                <w:sz w:val="18"/>
                <w:szCs w:val="18"/>
              </w:rPr>
              <w:t>27</w:t>
            </w:r>
          </w:p>
        </w:tc>
        <w:tc>
          <w:tcPr>
            <w:tcW w:w="1193" w:type="dxa"/>
            <w:shd w:val="clear" w:color="auto" w:fill="auto"/>
          </w:tcPr>
          <w:p w14:paraId="002848DE" w14:textId="77777777" w:rsidR="00052799" w:rsidRPr="002D7AE6" w:rsidRDefault="00052799" w:rsidP="00871631">
            <w:pPr>
              <w:spacing w:before="120" w:after="120"/>
              <w:jc w:val="center"/>
              <w:rPr>
                <w:sz w:val="18"/>
                <w:szCs w:val="18"/>
              </w:rPr>
            </w:pPr>
            <w:r w:rsidRPr="002D7AE6">
              <w:rPr>
                <w:sz w:val="18"/>
                <w:szCs w:val="18"/>
              </w:rPr>
              <w:t>33</w:t>
            </w:r>
          </w:p>
        </w:tc>
        <w:tc>
          <w:tcPr>
            <w:tcW w:w="2717" w:type="dxa"/>
            <w:shd w:val="clear" w:color="auto" w:fill="auto"/>
          </w:tcPr>
          <w:p w14:paraId="248029DE" w14:textId="77777777" w:rsidR="00052799" w:rsidRPr="002D7AE6" w:rsidRDefault="00052799" w:rsidP="00871631">
            <w:pPr>
              <w:spacing w:before="120" w:after="120"/>
              <w:rPr>
                <w:sz w:val="18"/>
                <w:szCs w:val="18"/>
              </w:rPr>
            </w:pPr>
            <w:r w:rsidRPr="002D7AE6">
              <w:rPr>
                <w:sz w:val="18"/>
                <w:szCs w:val="18"/>
              </w:rPr>
              <w:t>Approved handgun target shooting clubs—prescribed form of report</w:t>
            </w:r>
          </w:p>
        </w:tc>
        <w:tc>
          <w:tcPr>
            <w:tcW w:w="3735" w:type="dxa"/>
            <w:shd w:val="clear" w:color="auto" w:fill="auto"/>
          </w:tcPr>
          <w:p w14:paraId="63D2EC7C" w14:textId="765A5B57" w:rsidR="00052799" w:rsidRPr="002D7AE6" w:rsidRDefault="007727EA" w:rsidP="00871631">
            <w:pPr>
              <w:spacing w:before="120" w:after="120"/>
              <w:rPr>
                <w:sz w:val="18"/>
                <w:szCs w:val="18"/>
              </w:rPr>
            </w:pPr>
            <w:r>
              <w:rPr>
                <w:sz w:val="18"/>
                <w:szCs w:val="18"/>
              </w:rPr>
              <w:t>No</w:t>
            </w:r>
            <w:r w:rsidR="00052799" w:rsidRPr="002D7AE6">
              <w:rPr>
                <w:sz w:val="18"/>
                <w:szCs w:val="18"/>
              </w:rPr>
              <w:t xml:space="preserve"> change.</w:t>
            </w:r>
          </w:p>
        </w:tc>
      </w:tr>
      <w:tr w:rsidR="00052799" w:rsidRPr="002D7AE6" w14:paraId="7D04AE24" w14:textId="77777777" w:rsidTr="00871631">
        <w:trPr>
          <w:cantSplit/>
        </w:trPr>
        <w:tc>
          <w:tcPr>
            <w:tcW w:w="1193" w:type="dxa"/>
            <w:shd w:val="clear" w:color="auto" w:fill="auto"/>
          </w:tcPr>
          <w:p w14:paraId="4F0F7DC1" w14:textId="77777777" w:rsidR="00052799" w:rsidRPr="002D7AE6" w:rsidRDefault="00052799" w:rsidP="00871631">
            <w:pPr>
              <w:spacing w:before="120" w:after="120"/>
              <w:jc w:val="center"/>
              <w:rPr>
                <w:sz w:val="18"/>
                <w:szCs w:val="18"/>
              </w:rPr>
            </w:pPr>
            <w:r w:rsidRPr="002D7AE6">
              <w:rPr>
                <w:sz w:val="18"/>
                <w:szCs w:val="18"/>
              </w:rPr>
              <w:t>21</w:t>
            </w:r>
          </w:p>
        </w:tc>
        <w:tc>
          <w:tcPr>
            <w:tcW w:w="1193" w:type="dxa"/>
            <w:shd w:val="clear" w:color="auto" w:fill="auto"/>
          </w:tcPr>
          <w:p w14:paraId="205831CD" w14:textId="77777777" w:rsidR="00052799" w:rsidRPr="002D7AE6" w:rsidRDefault="00052799" w:rsidP="00871631">
            <w:pPr>
              <w:spacing w:before="120" w:after="120"/>
              <w:jc w:val="center"/>
              <w:rPr>
                <w:sz w:val="18"/>
                <w:szCs w:val="18"/>
              </w:rPr>
            </w:pPr>
            <w:r w:rsidRPr="002D7AE6">
              <w:rPr>
                <w:sz w:val="18"/>
                <w:szCs w:val="18"/>
              </w:rPr>
              <w:t>34</w:t>
            </w:r>
          </w:p>
        </w:tc>
        <w:tc>
          <w:tcPr>
            <w:tcW w:w="2717" w:type="dxa"/>
            <w:shd w:val="clear" w:color="auto" w:fill="auto"/>
          </w:tcPr>
          <w:p w14:paraId="727B5365" w14:textId="77777777" w:rsidR="00052799" w:rsidRPr="002D7AE6" w:rsidRDefault="00052799" w:rsidP="00871631">
            <w:pPr>
              <w:spacing w:before="120" w:after="120"/>
              <w:rPr>
                <w:sz w:val="18"/>
                <w:szCs w:val="18"/>
              </w:rPr>
            </w:pPr>
            <w:r w:rsidRPr="002D7AE6">
              <w:rPr>
                <w:sz w:val="18"/>
                <w:szCs w:val="18"/>
              </w:rPr>
              <w:t>Prescribed bodies representing shooting organisations on the Firearms Appeals Committee</w:t>
            </w:r>
          </w:p>
        </w:tc>
        <w:tc>
          <w:tcPr>
            <w:tcW w:w="3735" w:type="dxa"/>
            <w:shd w:val="clear" w:color="auto" w:fill="auto"/>
          </w:tcPr>
          <w:p w14:paraId="003B464D" w14:textId="036F1597" w:rsidR="00052799" w:rsidRPr="002D7AE6" w:rsidRDefault="00052799" w:rsidP="00871631">
            <w:pPr>
              <w:spacing w:before="120" w:after="120"/>
              <w:rPr>
                <w:sz w:val="18"/>
                <w:szCs w:val="18"/>
              </w:rPr>
            </w:pPr>
            <w:r w:rsidRPr="002D7AE6">
              <w:rPr>
                <w:sz w:val="18"/>
                <w:szCs w:val="18"/>
              </w:rPr>
              <w:t xml:space="preserve">Field &amp; Game Australia </w:t>
            </w:r>
            <w:r w:rsidR="007727EA">
              <w:rPr>
                <w:sz w:val="18"/>
                <w:szCs w:val="18"/>
              </w:rPr>
              <w:t xml:space="preserve">added </w:t>
            </w:r>
            <w:r w:rsidRPr="002D7AE6">
              <w:rPr>
                <w:sz w:val="18"/>
                <w:szCs w:val="18"/>
              </w:rPr>
              <w:t>as a new prescribed body.</w:t>
            </w:r>
          </w:p>
        </w:tc>
      </w:tr>
      <w:tr w:rsidR="00052799" w:rsidRPr="002D7AE6" w14:paraId="6B5EB208" w14:textId="77777777" w:rsidTr="00871631">
        <w:trPr>
          <w:cantSplit/>
        </w:trPr>
        <w:tc>
          <w:tcPr>
            <w:tcW w:w="1193" w:type="dxa"/>
            <w:shd w:val="clear" w:color="auto" w:fill="auto"/>
          </w:tcPr>
          <w:p w14:paraId="3799A7CC" w14:textId="77777777" w:rsidR="00052799" w:rsidRPr="002D7AE6" w:rsidRDefault="00052799" w:rsidP="00871631">
            <w:pPr>
              <w:spacing w:before="120" w:after="120"/>
              <w:jc w:val="center"/>
              <w:rPr>
                <w:sz w:val="18"/>
                <w:szCs w:val="18"/>
              </w:rPr>
            </w:pPr>
            <w:r w:rsidRPr="002D7AE6">
              <w:rPr>
                <w:sz w:val="18"/>
                <w:szCs w:val="18"/>
              </w:rPr>
              <w:t>26</w:t>
            </w:r>
          </w:p>
        </w:tc>
        <w:tc>
          <w:tcPr>
            <w:tcW w:w="1193" w:type="dxa"/>
            <w:shd w:val="clear" w:color="auto" w:fill="auto"/>
          </w:tcPr>
          <w:p w14:paraId="1CC7039F" w14:textId="77777777" w:rsidR="00052799" w:rsidRPr="002D7AE6" w:rsidRDefault="00052799" w:rsidP="00871631">
            <w:pPr>
              <w:spacing w:before="120" w:after="120"/>
              <w:jc w:val="center"/>
              <w:rPr>
                <w:sz w:val="18"/>
                <w:szCs w:val="18"/>
              </w:rPr>
            </w:pPr>
            <w:r w:rsidRPr="002D7AE6">
              <w:rPr>
                <w:sz w:val="18"/>
                <w:szCs w:val="18"/>
              </w:rPr>
              <w:t>35</w:t>
            </w:r>
          </w:p>
        </w:tc>
        <w:tc>
          <w:tcPr>
            <w:tcW w:w="2717" w:type="dxa"/>
            <w:shd w:val="clear" w:color="auto" w:fill="auto"/>
          </w:tcPr>
          <w:p w14:paraId="19E29B51" w14:textId="77777777" w:rsidR="00052799" w:rsidRPr="002D7AE6" w:rsidRDefault="00052799" w:rsidP="00871631">
            <w:pPr>
              <w:spacing w:before="120" w:after="120"/>
              <w:rPr>
                <w:sz w:val="18"/>
                <w:szCs w:val="18"/>
              </w:rPr>
            </w:pPr>
            <w:r w:rsidRPr="002D7AE6">
              <w:rPr>
                <w:sz w:val="18"/>
                <w:szCs w:val="18"/>
              </w:rPr>
              <w:t>Prescribed class of social worker</w:t>
            </w:r>
          </w:p>
        </w:tc>
        <w:tc>
          <w:tcPr>
            <w:tcW w:w="3735" w:type="dxa"/>
            <w:shd w:val="clear" w:color="auto" w:fill="auto"/>
          </w:tcPr>
          <w:p w14:paraId="256D40E1" w14:textId="579C02D1" w:rsidR="00052799" w:rsidRPr="002D7AE6" w:rsidRDefault="007727EA" w:rsidP="00871631">
            <w:pPr>
              <w:spacing w:before="120" w:after="120"/>
              <w:rPr>
                <w:sz w:val="18"/>
                <w:szCs w:val="18"/>
              </w:rPr>
            </w:pPr>
            <w:r>
              <w:rPr>
                <w:sz w:val="18"/>
                <w:szCs w:val="18"/>
              </w:rPr>
              <w:t>No</w:t>
            </w:r>
            <w:r w:rsidR="00052799" w:rsidRPr="002D7AE6">
              <w:rPr>
                <w:sz w:val="18"/>
                <w:szCs w:val="18"/>
              </w:rPr>
              <w:t xml:space="preserve"> change.</w:t>
            </w:r>
          </w:p>
        </w:tc>
      </w:tr>
      <w:tr w:rsidR="00052799" w:rsidRPr="002D7AE6" w14:paraId="5FC4F39C" w14:textId="77777777" w:rsidTr="00871631">
        <w:trPr>
          <w:cantSplit/>
        </w:trPr>
        <w:tc>
          <w:tcPr>
            <w:tcW w:w="1193" w:type="dxa"/>
            <w:shd w:val="clear" w:color="auto" w:fill="auto"/>
          </w:tcPr>
          <w:p w14:paraId="2AE0C2E3" w14:textId="77777777" w:rsidR="00052799" w:rsidRPr="002D7AE6" w:rsidRDefault="00052799" w:rsidP="00871631">
            <w:pPr>
              <w:spacing w:before="120" w:after="120"/>
              <w:jc w:val="center"/>
              <w:rPr>
                <w:sz w:val="18"/>
                <w:szCs w:val="18"/>
              </w:rPr>
            </w:pPr>
            <w:r w:rsidRPr="002D7AE6">
              <w:rPr>
                <w:sz w:val="18"/>
                <w:szCs w:val="18"/>
              </w:rPr>
              <w:t>25</w:t>
            </w:r>
          </w:p>
        </w:tc>
        <w:tc>
          <w:tcPr>
            <w:tcW w:w="1193" w:type="dxa"/>
            <w:shd w:val="clear" w:color="auto" w:fill="auto"/>
          </w:tcPr>
          <w:p w14:paraId="0BA13A30" w14:textId="77777777" w:rsidR="00052799" w:rsidRPr="002D7AE6" w:rsidRDefault="00052799" w:rsidP="00871631">
            <w:pPr>
              <w:spacing w:before="120" w:after="120"/>
              <w:jc w:val="center"/>
              <w:rPr>
                <w:sz w:val="18"/>
                <w:szCs w:val="18"/>
              </w:rPr>
            </w:pPr>
            <w:r w:rsidRPr="002D7AE6">
              <w:rPr>
                <w:sz w:val="18"/>
                <w:szCs w:val="18"/>
              </w:rPr>
              <w:t>36</w:t>
            </w:r>
          </w:p>
        </w:tc>
        <w:tc>
          <w:tcPr>
            <w:tcW w:w="2717" w:type="dxa"/>
            <w:shd w:val="clear" w:color="auto" w:fill="auto"/>
          </w:tcPr>
          <w:p w14:paraId="4341EDFF" w14:textId="77777777" w:rsidR="00052799" w:rsidRPr="002D7AE6" w:rsidRDefault="00052799" w:rsidP="00871631">
            <w:pPr>
              <w:spacing w:before="120" w:after="120"/>
              <w:rPr>
                <w:sz w:val="18"/>
                <w:szCs w:val="18"/>
              </w:rPr>
            </w:pPr>
            <w:r w:rsidRPr="002D7AE6">
              <w:rPr>
                <w:sz w:val="18"/>
                <w:szCs w:val="18"/>
              </w:rPr>
              <w:t>Exemption for international visitors</w:t>
            </w:r>
          </w:p>
        </w:tc>
        <w:tc>
          <w:tcPr>
            <w:tcW w:w="3735" w:type="dxa"/>
            <w:shd w:val="clear" w:color="auto" w:fill="auto"/>
          </w:tcPr>
          <w:p w14:paraId="53543012" w14:textId="1724F846" w:rsidR="00052799" w:rsidRPr="002D7AE6" w:rsidRDefault="007727EA" w:rsidP="00871631">
            <w:pPr>
              <w:spacing w:before="120" w:after="120"/>
              <w:rPr>
                <w:sz w:val="18"/>
                <w:szCs w:val="18"/>
              </w:rPr>
            </w:pPr>
            <w:r>
              <w:rPr>
                <w:sz w:val="18"/>
                <w:szCs w:val="18"/>
              </w:rPr>
              <w:t>No</w:t>
            </w:r>
            <w:r w:rsidR="00052799" w:rsidRPr="002D7AE6">
              <w:rPr>
                <w:sz w:val="18"/>
                <w:szCs w:val="18"/>
              </w:rPr>
              <w:t xml:space="preserve"> change.</w:t>
            </w:r>
          </w:p>
        </w:tc>
      </w:tr>
      <w:tr w:rsidR="00052799" w:rsidRPr="002D7AE6" w14:paraId="6A50C85C" w14:textId="77777777" w:rsidTr="00871631">
        <w:trPr>
          <w:cantSplit/>
        </w:trPr>
        <w:tc>
          <w:tcPr>
            <w:tcW w:w="1193" w:type="dxa"/>
            <w:shd w:val="clear" w:color="auto" w:fill="auto"/>
          </w:tcPr>
          <w:p w14:paraId="21C2960B" w14:textId="77777777" w:rsidR="00052799" w:rsidRPr="002D7AE6" w:rsidRDefault="00052799" w:rsidP="00871631">
            <w:pPr>
              <w:spacing w:before="120" w:after="120"/>
              <w:jc w:val="center"/>
              <w:rPr>
                <w:sz w:val="18"/>
                <w:szCs w:val="18"/>
              </w:rPr>
            </w:pPr>
            <w:r w:rsidRPr="002D7AE6">
              <w:rPr>
                <w:sz w:val="18"/>
                <w:szCs w:val="18"/>
              </w:rPr>
              <w:t>Sch 2</w:t>
            </w:r>
          </w:p>
        </w:tc>
        <w:tc>
          <w:tcPr>
            <w:tcW w:w="1193" w:type="dxa"/>
            <w:shd w:val="clear" w:color="auto" w:fill="auto"/>
          </w:tcPr>
          <w:p w14:paraId="4102ECD4" w14:textId="77777777" w:rsidR="00052799" w:rsidRPr="002D7AE6" w:rsidRDefault="00052799" w:rsidP="00871631">
            <w:pPr>
              <w:spacing w:before="120" w:after="120"/>
              <w:jc w:val="center"/>
              <w:rPr>
                <w:sz w:val="18"/>
                <w:szCs w:val="18"/>
              </w:rPr>
            </w:pPr>
            <w:r w:rsidRPr="002D7AE6">
              <w:rPr>
                <w:sz w:val="18"/>
                <w:szCs w:val="18"/>
              </w:rPr>
              <w:t>Sch 1</w:t>
            </w:r>
          </w:p>
        </w:tc>
        <w:tc>
          <w:tcPr>
            <w:tcW w:w="2717" w:type="dxa"/>
            <w:shd w:val="clear" w:color="auto" w:fill="auto"/>
          </w:tcPr>
          <w:p w14:paraId="284449C6" w14:textId="77777777" w:rsidR="00052799" w:rsidRPr="002D7AE6" w:rsidRDefault="00052799" w:rsidP="00871631">
            <w:pPr>
              <w:spacing w:before="120" w:after="120"/>
              <w:rPr>
                <w:sz w:val="18"/>
                <w:szCs w:val="18"/>
              </w:rPr>
            </w:pPr>
            <w:r w:rsidRPr="002D7AE6">
              <w:rPr>
                <w:sz w:val="18"/>
                <w:szCs w:val="18"/>
              </w:rPr>
              <w:t>Particulars to be entered on firearms dealers register of transactions</w:t>
            </w:r>
          </w:p>
        </w:tc>
        <w:tc>
          <w:tcPr>
            <w:tcW w:w="3735" w:type="dxa"/>
            <w:shd w:val="clear" w:color="auto" w:fill="auto"/>
          </w:tcPr>
          <w:p w14:paraId="5ECEF2B7" w14:textId="005561F0" w:rsidR="00052799" w:rsidRPr="002D7AE6" w:rsidRDefault="007727EA" w:rsidP="00871631">
            <w:pPr>
              <w:spacing w:before="120" w:after="120"/>
              <w:rPr>
                <w:sz w:val="18"/>
                <w:szCs w:val="18"/>
              </w:rPr>
            </w:pPr>
            <w:r>
              <w:rPr>
                <w:sz w:val="18"/>
                <w:szCs w:val="18"/>
              </w:rPr>
              <w:t>M</w:t>
            </w:r>
            <w:r w:rsidR="00052799" w:rsidRPr="002D7AE6">
              <w:rPr>
                <w:sz w:val="18"/>
                <w:szCs w:val="18"/>
              </w:rPr>
              <w:t xml:space="preserve">inor changes: </w:t>
            </w:r>
          </w:p>
          <w:p w14:paraId="444242C0" w14:textId="77777777" w:rsidR="00052799" w:rsidRPr="002D7AE6" w:rsidRDefault="00052799" w:rsidP="00052799">
            <w:pPr>
              <w:numPr>
                <w:ilvl w:val="0"/>
                <w:numId w:val="81"/>
              </w:numPr>
              <w:spacing w:before="120" w:after="120"/>
              <w:rPr>
                <w:sz w:val="18"/>
                <w:szCs w:val="18"/>
              </w:rPr>
            </w:pPr>
            <w:r w:rsidRPr="002D7AE6">
              <w:rPr>
                <w:sz w:val="18"/>
                <w:szCs w:val="18"/>
              </w:rPr>
              <w:t>inventory/stock number included as prescribed particulars for transactions where dealer acts as agent (which reflects current practice)</w:t>
            </w:r>
          </w:p>
          <w:p w14:paraId="3D07ABA6" w14:textId="77777777" w:rsidR="00052799" w:rsidRPr="002D7AE6" w:rsidRDefault="00052799" w:rsidP="00052799">
            <w:pPr>
              <w:numPr>
                <w:ilvl w:val="0"/>
                <w:numId w:val="81"/>
              </w:numPr>
              <w:spacing w:before="120" w:after="120"/>
              <w:rPr>
                <w:sz w:val="18"/>
                <w:szCs w:val="18"/>
              </w:rPr>
            </w:pPr>
            <w:r w:rsidRPr="002D7AE6">
              <w:rPr>
                <w:sz w:val="18"/>
                <w:szCs w:val="18"/>
              </w:rPr>
              <w:t>item 1 amended to clarify that it applies where a firearm is received for storage.</w:t>
            </w:r>
          </w:p>
        </w:tc>
      </w:tr>
      <w:tr w:rsidR="00052799" w:rsidRPr="002D7AE6" w14:paraId="575D19AA" w14:textId="77777777" w:rsidTr="00871631">
        <w:trPr>
          <w:cantSplit/>
        </w:trPr>
        <w:tc>
          <w:tcPr>
            <w:tcW w:w="1193" w:type="dxa"/>
            <w:shd w:val="clear" w:color="auto" w:fill="auto"/>
          </w:tcPr>
          <w:p w14:paraId="38234F15" w14:textId="77777777" w:rsidR="00052799" w:rsidRPr="002D7AE6" w:rsidRDefault="00052799" w:rsidP="00871631">
            <w:pPr>
              <w:spacing w:before="120" w:after="120"/>
              <w:jc w:val="center"/>
              <w:rPr>
                <w:sz w:val="18"/>
                <w:szCs w:val="18"/>
              </w:rPr>
            </w:pPr>
            <w:r w:rsidRPr="002D7AE6">
              <w:rPr>
                <w:sz w:val="18"/>
                <w:szCs w:val="18"/>
              </w:rPr>
              <w:t>Sch 3</w:t>
            </w:r>
          </w:p>
        </w:tc>
        <w:tc>
          <w:tcPr>
            <w:tcW w:w="1193" w:type="dxa"/>
            <w:shd w:val="clear" w:color="auto" w:fill="auto"/>
          </w:tcPr>
          <w:p w14:paraId="3D9DB46B" w14:textId="77777777" w:rsidR="00052799" w:rsidRPr="002D7AE6" w:rsidRDefault="00052799" w:rsidP="00871631">
            <w:pPr>
              <w:spacing w:before="120" w:after="120"/>
              <w:jc w:val="center"/>
              <w:rPr>
                <w:sz w:val="18"/>
                <w:szCs w:val="18"/>
              </w:rPr>
            </w:pPr>
            <w:r w:rsidRPr="002D7AE6">
              <w:rPr>
                <w:sz w:val="18"/>
                <w:szCs w:val="18"/>
              </w:rPr>
              <w:t>Sch 2</w:t>
            </w:r>
          </w:p>
        </w:tc>
        <w:tc>
          <w:tcPr>
            <w:tcW w:w="2717" w:type="dxa"/>
            <w:shd w:val="clear" w:color="auto" w:fill="auto"/>
          </w:tcPr>
          <w:p w14:paraId="661F33E7" w14:textId="77777777" w:rsidR="00052799" w:rsidRPr="002D7AE6" w:rsidRDefault="00052799" w:rsidP="00871631">
            <w:pPr>
              <w:spacing w:before="120" w:after="120"/>
              <w:rPr>
                <w:sz w:val="18"/>
                <w:szCs w:val="18"/>
              </w:rPr>
            </w:pPr>
            <w:r w:rsidRPr="002D7AE6">
              <w:rPr>
                <w:sz w:val="18"/>
                <w:szCs w:val="18"/>
              </w:rPr>
              <w:t>Particulars to be entered on firearms collectors register</w:t>
            </w:r>
          </w:p>
        </w:tc>
        <w:tc>
          <w:tcPr>
            <w:tcW w:w="3735" w:type="dxa"/>
            <w:shd w:val="clear" w:color="auto" w:fill="auto"/>
          </w:tcPr>
          <w:p w14:paraId="56170640" w14:textId="77777777" w:rsidR="00052799" w:rsidRPr="002D7AE6" w:rsidRDefault="00052799" w:rsidP="00871631">
            <w:pPr>
              <w:spacing w:before="120" w:after="120"/>
              <w:rPr>
                <w:sz w:val="18"/>
                <w:szCs w:val="18"/>
              </w:rPr>
            </w:pPr>
            <w:r w:rsidRPr="002D7AE6">
              <w:rPr>
                <w:sz w:val="18"/>
                <w:szCs w:val="18"/>
              </w:rPr>
              <w:t>Amended so that, in the case of firearms coming into or going out of the possession of the holder of a collector’s licence, the following particulars no longer need to be entered:</w:t>
            </w:r>
          </w:p>
          <w:p w14:paraId="4C579D37" w14:textId="77777777" w:rsidR="00052799" w:rsidRPr="002D7AE6" w:rsidRDefault="00052799" w:rsidP="00052799">
            <w:pPr>
              <w:numPr>
                <w:ilvl w:val="0"/>
                <w:numId w:val="82"/>
              </w:numPr>
              <w:spacing w:before="120" w:after="120"/>
              <w:rPr>
                <w:sz w:val="18"/>
                <w:szCs w:val="18"/>
              </w:rPr>
            </w:pPr>
            <w:r w:rsidRPr="002D7AE6">
              <w:rPr>
                <w:sz w:val="18"/>
                <w:szCs w:val="18"/>
              </w:rPr>
              <w:t>name and address of the dealer acquired from/disposed of to or who witnessed transfer</w:t>
            </w:r>
          </w:p>
          <w:p w14:paraId="58372A42" w14:textId="77777777" w:rsidR="00052799" w:rsidRPr="002D7AE6" w:rsidRDefault="00052799" w:rsidP="00052799">
            <w:pPr>
              <w:numPr>
                <w:ilvl w:val="0"/>
                <w:numId w:val="82"/>
              </w:numPr>
              <w:spacing w:before="120" w:after="120"/>
              <w:rPr>
                <w:sz w:val="18"/>
                <w:szCs w:val="18"/>
              </w:rPr>
            </w:pPr>
            <w:r w:rsidRPr="002D7AE6">
              <w:rPr>
                <w:sz w:val="18"/>
                <w:szCs w:val="18"/>
              </w:rPr>
              <w:t>name and address of the person from/to whom the firearm was acquired/disposed of (where dealer acted as agent)</w:t>
            </w:r>
          </w:p>
        </w:tc>
      </w:tr>
      <w:tr w:rsidR="00052799" w:rsidRPr="002D7AE6" w14:paraId="6B3AAF1D" w14:textId="77777777" w:rsidTr="00871631">
        <w:trPr>
          <w:cantSplit/>
        </w:trPr>
        <w:tc>
          <w:tcPr>
            <w:tcW w:w="1193" w:type="dxa"/>
            <w:shd w:val="clear" w:color="auto" w:fill="auto"/>
          </w:tcPr>
          <w:p w14:paraId="29AE79FB" w14:textId="77777777" w:rsidR="00052799" w:rsidRPr="002D7AE6" w:rsidRDefault="00052799" w:rsidP="00871631">
            <w:pPr>
              <w:spacing w:before="120" w:after="120"/>
              <w:jc w:val="center"/>
              <w:rPr>
                <w:sz w:val="18"/>
                <w:szCs w:val="18"/>
              </w:rPr>
            </w:pPr>
            <w:r w:rsidRPr="002D7AE6">
              <w:rPr>
                <w:sz w:val="18"/>
                <w:szCs w:val="18"/>
              </w:rPr>
              <w:t>Sch 4</w:t>
            </w:r>
          </w:p>
        </w:tc>
        <w:tc>
          <w:tcPr>
            <w:tcW w:w="1193" w:type="dxa"/>
            <w:shd w:val="clear" w:color="auto" w:fill="auto"/>
          </w:tcPr>
          <w:p w14:paraId="258A6941" w14:textId="77777777" w:rsidR="00052799" w:rsidRPr="002D7AE6" w:rsidRDefault="00052799" w:rsidP="00871631">
            <w:pPr>
              <w:spacing w:before="120" w:after="120"/>
              <w:jc w:val="center"/>
              <w:rPr>
                <w:sz w:val="18"/>
                <w:szCs w:val="18"/>
              </w:rPr>
            </w:pPr>
            <w:r w:rsidRPr="002D7AE6">
              <w:rPr>
                <w:sz w:val="18"/>
                <w:szCs w:val="18"/>
              </w:rPr>
              <w:t>Sch 3</w:t>
            </w:r>
          </w:p>
        </w:tc>
        <w:tc>
          <w:tcPr>
            <w:tcW w:w="2717" w:type="dxa"/>
            <w:shd w:val="clear" w:color="auto" w:fill="auto"/>
          </w:tcPr>
          <w:p w14:paraId="49F498A3" w14:textId="6304FFFC" w:rsidR="00052799" w:rsidRPr="002D7AE6" w:rsidRDefault="00474BAF" w:rsidP="00871631">
            <w:pPr>
              <w:spacing w:before="120" w:after="120"/>
              <w:rPr>
                <w:sz w:val="18"/>
                <w:szCs w:val="18"/>
              </w:rPr>
            </w:pPr>
            <w:r>
              <w:rPr>
                <w:sz w:val="18"/>
                <w:szCs w:val="18"/>
              </w:rPr>
              <w:t>Licence fees</w:t>
            </w:r>
          </w:p>
        </w:tc>
        <w:tc>
          <w:tcPr>
            <w:tcW w:w="3735" w:type="dxa"/>
            <w:shd w:val="clear" w:color="auto" w:fill="auto"/>
          </w:tcPr>
          <w:p w14:paraId="47907DA1" w14:textId="77777777" w:rsidR="00052799" w:rsidRPr="002D7AE6" w:rsidRDefault="00052799" w:rsidP="00871631">
            <w:pPr>
              <w:spacing w:before="120" w:after="120"/>
              <w:rPr>
                <w:sz w:val="18"/>
                <w:szCs w:val="18"/>
              </w:rPr>
            </w:pPr>
            <w:r w:rsidRPr="002D7AE6">
              <w:rPr>
                <w:sz w:val="18"/>
                <w:szCs w:val="18"/>
              </w:rPr>
              <w:t>Fee levels altered.</w:t>
            </w:r>
          </w:p>
          <w:p w14:paraId="0D307038" w14:textId="77777777" w:rsidR="00052799" w:rsidRPr="002D7AE6" w:rsidRDefault="00052799" w:rsidP="00871631">
            <w:pPr>
              <w:spacing w:before="120" w:after="120"/>
              <w:rPr>
                <w:sz w:val="18"/>
                <w:szCs w:val="18"/>
              </w:rPr>
            </w:pPr>
            <w:r w:rsidRPr="002D7AE6">
              <w:rPr>
                <w:sz w:val="18"/>
                <w:szCs w:val="18"/>
              </w:rPr>
              <w:t xml:space="preserve">Amended to reflect the introduction of an application fee, including by separating the Table into two (for natural persons and bodies corporate). </w:t>
            </w:r>
          </w:p>
          <w:p w14:paraId="164DC8F2" w14:textId="28BFF648" w:rsidR="00052799" w:rsidRPr="002D7AE6" w:rsidRDefault="00052799" w:rsidP="00871631">
            <w:pPr>
              <w:spacing w:before="120" w:after="120"/>
              <w:rPr>
                <w:sz w:val="18"/>
                <w:szCs w:val="18"/>
              </w:rPr>
            </w:pPr>
            <w:r w:rsidRPr="002D7AE6">
              <w:rPr>
                <w:sz w:val="18"/>
                <w:szCs w:val="18"/>
              </w:rPr>
              <w:t>Differential fees for general category handgun licences for the purpose of private security based on number of handguns removed</w:t>
            </w:r>
            <w:r w:rsidR="002406E1">
              <w:rPr>
                <w:sz w:val="18"/>
                <w:szCs w:val="18"/>
              </w:rPr>
              <w:t>, as there is no difference in regulatory effort</w:t>
            </w:r>
            <w:r w:rsidRPr="002D7AE6">
              <w:rPr>
                <w:sz w:val="18"/>
                <w:szCs w:val="18"/>
              </w:rPr>
              <w:t xml:space="preserve">. </w:t>
            </w:r>
          </w:p>
          <w:p w14:paraId="4122B305" w14:textId="77777777" w:rsidR="00052799" w:rsidRPr="002D7AE6" w:rsidRDefault="00052799" w:rsidP="00871631">
            <w:pPr>
              <w:spacing w:before="120" w:after="120"/>
              <w:rPr>
                <w:sz w:val="18"/>
                <w:szCs w:val="18"/>
              </w:rPr>
            </w:pPr>
            <w:r w:rsidRPr="002D7AE6">
              <w:rPr>
                <w:sz w:val="18"/>
                <w:szCs w:val="18"/>
              </w:rPr>
              <w:t>Scope of a class 2 dealer licence amended to permit dealing in category C longarms.</w:t>
            </w:r>
          </w:p>
        </w:tc>
      </w:tr>
      <w:tr w:rsidR="00052799" w:rsidRPr="002D7AE6" w14:paraId="1F6E89BA" w14:textId="77777777" w:rsidTr="00871631">
        <w:trPr>
          <w:cantSplit/>
        </w:trPr>
        <w:tc>
          <w:tcPr>
            <w:tcW w:w="1193" w:type="dxa"/>
            <w:shd w:val="clear" w:color="auto" w:fill="auto"/>
          </w:tcPr>
          <w:p w14:paraId="455CE5BE" w14:textId="77777777" w:rsidR="00052799" w:rsidRPr="002D7AE6" w:rsidRDefault="00052799" w:rsidP="00871631">
            <w:pPr>
              <w:spacing w:before="120" w:after="120"/>
              <w:jc w:val="center"/>
              <w:rPr>
                <w:sz w:val="18"/>
                <w:szCs w:val="18"/>
              </w:rPr>
            </w:pPr>
            <w:r w:rsidRPr="002D7AE6">
              <w:rPr>
                <w:sz w:val="18"/>
                <w:szCs w:val="18"/>
              </w:rPr>
              <w:t>Sch 5</w:t>
            </w:r>
          </w:p>
        </w:tc>
        <w:tc>
          <w:tcPr>
            <w:tcW w:w="1193" w:type="dxa"/>
            <w:shd w:val="clear" w:color="auto" w:fill="auto"/>
          </w:tcPr>
          <w:p w14:paraId="17E68DC1" w14:textId="77777777" w:rsidR="00052799" w:rsidRPr="002D7AE6" w:rsidRDefault="00052799" w:rsidP="00871631">
            <w:pPr>
              <w:spacing w:before="120" w:after="120"/>
              <w:jc w:val="center"/>
              <w:rPr>
                <w:sz w:val="18"/>
                <w:szCs w:val="18"/>
              </w:rPr>
            </w:pPr>
            <w:r w:rsidRPr="002D7AE6">
              <w:rPr>
                <w:sz w:val="18"/>
                <w:szCs w:val="18"/>
              </w:rPr>
              <w:t>Sch 4</w:t>
            </w:r>
          </w:p>
        </w:tc>
        <w:tc>
          <w:tcPr>
            <w:tcW w:w="2717" w:type="dxa"/>
            <w:shd w:val="clear" w:color="auto" w:fill="auto"/>
          </w:tcPr>
          <w:p w14:paraId="02D8F5E4" w14:textId="32A808DC" w:rsidR="00052799" w:rsidRPr="002D7AE6" w:rsidRDefault="00474BAF" w:rsidP="00871631">
            <w:pPr>
              <w:spacing w:before="120" w:after="120"/>
              <w:rPr>
                <w:sz w:val="18"/>
                <w:szCs w:val="18"/>
              </w:rPr>
            </w:pPr>
            <w:r>
              <w:rPr>
                <w:sz w:val="18"/>
                <w:szCs w:val="18"/>
              </w:rPr>
              <w:t>Permit fees</w:t>
            </w:r>
          </w:p>
        </w:tc>
        <w:tc>
          <w:tcPr>
            <w:tcW w:w="3735" w:type="dxa"/>
            <w:shd w:val="clear" w:color="auto" w:fill="auto"/>
          </w:tcPr>
          <w:p w14:paraId="585DD7F6" w14:textId="77777777" w:rsidR="00052799" w:rsidRPr="002D7AE6" w:rsidRDefault="00052799" w:rsidP="00871631">
            <w:pPr>
              <w:spacing w:before="120" w:after="120"/>
              <w:rPr>
                <w:sz w:val="18"/>
                <w:szCs w:val="18"/>
              </w:rPr>
            </w:pPr>
            <w:r w:rsidRPr="002D7AE6">
              <w:rPr>
                <w:sz w:val="18"/>
                <w:szCs w:val="18"/>
              </w:rPr>
              <w:t>Fee levels altered.</w:t>
            </w:r>
          </w:p>
          <w:p w14:paraId="2332D1B0" w14:textId="77777777" w:rsidR="00052799" w:rsidRPr="002D7AE6" w:rsidRDefault="00052799" w:rsidP="00871631">
            <w:pPr>
              <w:spacing w:before="120" w:after="120"/>
              <w:rPr>
                <w:sz w:val="18"/>
                <w:szCs w:val="18"/>
              </w:rPr>
            </w:pPr>
            <w:r w:rsidRPr="002D7AE6">
              <w:rPr>
                <w:sz w:val="18"/>
                <w:szCs w:val="18"/>
              </w:rPr>
              <w:t>Display permits for dealers under section 91 and theatrical armourer permits under section 92A separately listed, not combined, but still carrying the same fee.</w:t>
            </w:r>
          </w:p>
          <w:p w14:paraId="6FA304D5" w14:textId="77777777" w:rsidR="00052799" w:rsidRPr="002D7AE6" w:rsidRDefault="00052799" w:rsidP="00871631">
            <w:pPr>
              <w:spacing w:before="120" w:after="120"/>
              <w:rPr>
                <w:sz w:val="18"/>
                <w:szCs w:val="18"/>
              </w:rPr>
            </w:pPr>
            <w:r w:rsidRPr="002D7AE6">
              <w:rPr>
                <w:sz w:val="18"/>
                <w:szCs w:val="18"/>
              </w:rPr>
              <w:t>Fee prescribed for permits to acquire category D longarms and category E longarms.</w:t>
            </w:r>
          </w:p>
          <w:p w14:paraId="5BFD4C8C" w14:textId="77777777" w:rsidR="00052799" w:rsidRPr="002D7AE6" w:rsidRDefault="00052799" w:rsidP="00871631">
            <w:pPr>
              <w:spacing w:before="120" w:after="120"/>
              <w:rPr>
                <w:sz w:val="18"/>
                <w:szCs w:val="18"/>
              </w:rPr>
            </w:pPr>
            <w:r w:rsidRPr="002D7AE6">
              <w:rPr>
                <w:sz w:val="18"/>
                <w:szCs w:val="18"/>
              </w:rPr>
              <w:t>Fee prescribed for permit to carry or use firearms in certain places under section 130 of the Act.</w:t>
            </w:r>
          </w:p>
        </w:tc>
      </w:tr>
      <w:tr w:rsidR="00052799" w:rsidRPr="002D7AE6" w14:paraId="01B97ED4" w14:textId="77777777" w:rsidTr="00871631">
        <w:trPr>
          <w:cantSplit/>
        </w:trPr>
        <w:tc>
          <w:tcPr>
            <w:tcW w:w="1193" w:type="dxa"/>
            <w:shd w:val="clear" w:color="auto" w:fill="auto"/>
          </w:tcPr>
          <w:p w14:paraId="6EA66980" w14:textId="77777777" w:rsidR="00052799" w:rsidRPr="002D7AE6" w:rsidRDefault="00052799" w:rsidP="00871631">
            <w:pPr>
              <w:spacing w:before="120" w:after="120"/>
              <w:jc w:val="center"/>
              <w:rPr>
                <w:sz w:val="18"/>
                <w:szCs w:val="18"/>
              </w:rPr>
            </w:pPr>
            <w:r w:rsidRPr="002D7AE6">
              <w:rPr>
                <w:sz w:val="18"/>
                <w:szCs w:val="18"/>
              </w:rPr>
              <w:t>Sch 6</w:t>
            </w:r>
          </w:p>
        </w:tc>
        <w:tc>
          <w:tcPr>
            <w:tcW w:w="1193" w:type="dxa"/>
            <w:shd w:val="clear" w:color="auto" w:fill="auto"/>
          </w:tcPr>
          <w:p w14:paraId="012A57E7" w14:textId="77777777" w:rsidR="00052799" w:rsidRPr="002D7AE6" w:rsidRDefault="00052799" w:rsidP="00871631">
            <w:pPr>
              <w:spacing w:before="120" w:after="120"/>
              <w:jc w:val="center"/>
              <w:rPr>
                <w:sz w:val="18"/>
                <w:szCs w:val="18"/>
              </w:rPr>
            </w:pPr>
            <w:r w:rsidRPr="002D7AE6">
              <w:rPr>
                <w:sz w:val="18"/>
                <w:szCs w:val="18"/>
              </w:rPr>
              <w:t>Sch 5</w:t>
            </w:r>
          </w:p>
        </w:tc>
        <w:tc>
          <w:tcPr>
            <w:tcW w:w="2717" w:type="dxa"/>
            <w:shd w:val="clear" w:color="auto" w:fill="auto"/>
          </w:tcPr>
          <w:p w14:paraId="507AEAE5" w14:textId="105865CC" w:rsidR="00052799" w:rsidRPr="002D7AE6" w:rsidRDefault="00474BAF" w:rsidP="00871631">
            <w:pPr>
              <w:spacing w:before="120" w:after="120"/>
              <w:rPr>
                <w:sz w:val="18"/>
                <w:szCs w:val="18"/>
              </w:rPr>
            </w:pPr>
            <w:r>
              <w:rPr>
                <w:sz w:val="18"/>
                <w:szCs w:val="18"/>
              </w:rPr>
              <w:t>Approval fees</w:t>
            </w:r>
          </w:p>
        </w:tc>
        <w:tc>
          <w:tcPr>
            <w:tcW w:w="3735" w:type="dxa"/>
            <w:shd w:val="clear" w:color="auto" w:fill="auto"/>
          </w:tcPr>
          <w:p w14:paraId="169232F4" w14:textId="77777777" w:rsidR="00052799" w:rsidRPr="002D7AE6" w:rsidRDefault="00052799" w:rsidP="00871631">
            <w:pPr>
              <w:spacing w:before="120" w:after="120"/>
              <w:rPr>
                <w:sz w:val="18"/>
                <w:szCs w:val="18"/>
              </w:rPr>
            </w:pPr>
            <w:r w:rsidRPr="002D7AE6">
              <w:rPr>
                <w:sz w:val="18"/>
                <w:szCs w:val="18"/>
              </w:rPr>
              <w:t xml:space="preserve">Fee levels altered. </w:t>
            </w:r>
          </w:p>
        </w:tc>
      </w:tr>
      <w:tr w:rsidR="00052799" w:rsidRPr="002D7AE6" w14:paraId="68CE3359" w14:textId="77777777" w:rsidTr="00871631">
        <w:trPr>
          <w:cantSplit/>
        </w:trPr>
        <w:tc>
          <w:tcPr>
            <w:tcW w:w="1193" w:type="dxa"/>
            <w:shd w:val="clear" w:color="auto" w:fill="auto"/>
          </w:tcPr>
          <w:p w14:paraId="444349BB" w14:textId="77777777" w:rsidR="00052799" w:rsidRPr="002D7AE6" w:rsidRDefault="00052799" w:rsidP="00871631">
            <w:pPr>
              <w:spacing w:before="120" w:after="120"/>
              <w:jc w:val="center"/>
              <w:rPr>
                <w:sz w:val="18"/>
                <w:szCs w:val="18"/>
              </w:rPr>
            </w:pPr>
            <w:r w:rsidRPr="002D7AE6">
              <w:rPr>
                <w:sz w:val="18"/>
                <w:szCs w:val="18"/>
              </w:rPr>
              <w:t>-</w:t>
            </w:r>
          </w:p>
        </w:tc>
        <w:tc>
          <w:tcPr>
            <w:tcW w:w="1193" w:type="dxa"/>
            <w:shd w:val="clear" w:color="auto" w:fill="auto"/>
          </w:tcPr>
          <w:p w14:paraId="6470660C" w14:textId="77777777" w:rsidR="00052799" w:rsidRPr="002D7AE6" w:rsidRDefault="00052799" w:rsidP="00871631">
            <w:pPr>
              <w:spacing w:before="120" w:after="120"/>
              <w:jc w:val="center"/>
              <w:rPr>
                <w:sz w:val="18"/>
                <w:szCs w:val="18"/>
              </w:rPr>
            </w:pPr>
            <w:r w:rsidRPr="002D7AE6">
              <w:rPr>
                <w:sz w:val="18"/>
                <w:szCs w:val="18"/>
              </w:rPr>
              <w:t>Sch 6</w:t>
            </w:r>
          </w:p>
        </w:tc>
        <w:tc>
          <w:tcPr>
            <w:tcW w:w="2717" w:type="dxa"/>
            <w:shd w:val="clear" w:color="auto" w:fill="auto"/>
          </w:tcPr>
          <w:p w14:paraId="4707C668" w14:textId="57DB3821" w:rsidR="00052799" w:rsidRPr="002D7AE6" w:rsidRDefault="00474BAF" w:rsidP="00871631">
            <w:pPr>
              <w:spacing w:before="120" w:after="120"/>
              <w:rPr>
                <w:sz w:val="18"/>
                <w:szCs w:val="18"/>
              </w:rPr>
            </w:pPr>
            <w:r>
              <w:rPr>
                <w:sz w:val="18"/>
                <w:szCs w:val="18"/>
              </w:rPr>
              <w:t>Composite fees</w:t>
            </w:r>
          </w:p>
        </w:tc>
        <w:tc>
          <w:tcPr>
            <w:tcW w:w="3735" w:type="dxa"/>
            <w:shd w:val="clear" w:color="auto" w:fill="auto"/>
          </w:tcPr>
          <w:p w14:paraId="10535AC7" w14:textId="6757FB1A" w:rsidR="00052799" w:rsidRPr="002D7AE6" w:rsidRDefault="00052799" w:rsidP="00871631">
            <w:pPr>
              <w:spacing w:before="120" w:after="120"/>
              <w:rPr>
                <w:sz w:val="18"/>
                <w:szCs w:val="18"/>
              </w:rPr>
            </w:pPr>
            <w:r w:rsidRPr="002D7AE6">
              <w:rPr>
                <w:sz w:val="18"/>
                <w:szCs w:val="18"/>
              </w:rPr>
              <w:t>New Schedule. Sets out fees payable where a person holds or seeks a combination of category A, B and C longarms</w:t>
            </w:r>
            <w:r w:rsidR="002406E1">
              <w:rPr>
                <w:sz w:val="18"/>
                <w:szCs w:val="18"/>
              </w:rPr>
              <w:t xml:space="preserve"> licences</w:t>
            </w:r>
            <w:r w:rsidRPr="002D7AE6">
              <w:rPr>
                <w:sz w:val="18"/>
                <w:szCs w:val="18"/>
              </w:rPr>
              <w:t>.</w:t>
            </w:r>
          </w:p>
        </w:tc>
      </w:tr>
      <w:tr w:rsidR="00052799" w:rsidRPr="002D7AE6" w14:paraId="21C7B806" w14:textId="77777777" w:rsidTr="00871631">
        <w:trPr>
          <w:cantSplit/>
        </w:trPr>
        <w:tc>
          <w:tcPr>
            <w:tcW w:w="1193" w:type="dxa"/>
            <w:shd w:val="clear" w:color="auto" w:fill="auto"/>
          </w:tcPr>
          <w:p w14:paraId="4994B9DE" w14:textId="77777777" w:rsidR="00052799" w:rsidRPr="002D7AE6" w:rsidRDefault="00052799" w:rsidP="00871631">
            <w:pPr>
              <w:spacing w:before="120" w:after="120"/>
              <w:jc w:val="center"/>
              <w:rPr>
                <w:sz w:val="18"/>
                <w:szCs w:val="18"/>
              </w:rPr>
            </w:pPr>
            <w:r w:rsidRPr="002D7AE6">
              <w:rPr>
                <w:sz w:val="18"/>
                <w:szCs w:val="18"/>
              </w:rPr>
              <w:t>Sch 7</w:t>
            </w:r>
          </w:p>
        </w:tc>
        <w:tc>
          <w:tcPr>
            <w:tcW w:w="1193" w:type="dxa"/>
            <w:shd w:val="clear" w:color="auto" w:fill="auto"/>
          </w:tcPr>
          <w:p w14:paraId="69AB6000" w14:textId="77777777" w:rsidR="00052799" w:rsidRPr="002D7AE6" w:rsidRDefault="00052799" w:rsidP="00871631">
            <w:pPr>
              <w:spacing w:before="120" w:after="120"/>
              <w:jc w:val="center"/>
              <w:rPr>
                <w:sz w:val="18"/>
                <w:szCs w:val="18"/>
              </w:rPr>
            </w:pPr>
            <w:r w:rsidRPr="002D7AE6">
              <w:rPr>
                <w:sz w:val="18"/>
                <w:szCs w:val="18"/>
              </w:rPr>
              <w:t>Sch 7</w:t>
            </w:r>
          </w:p>
        </w:tc>
        <w:tc>
          <w:tcPr>
            <w:tcW w:w="2717" w:type="dxa"/>
            <w:shd w:val="clear" w:color="auto" w:fill="auto"/>
          </w:tcPr>
          <w:p w14:paraId="6E8EBE7B" w14:textId="33A066A2" w:rsidR="00052799" w:rsidRPr="002D7AE6" w:rsidRDefault="00474BAF" w:rsidP="00871631">
            <w:pPr>
              <w:spacing w:before="120" w:after="120"/>
              <w:rPr>
                <w:sz w:val="18"/>
                <w:szCs w:val="18"/>
              </w:rPr>
            </w:pPr>
            <w:r>
              <w:rPr>
                <w:sz w:val="18"/>
                <w:szCs w:val="18"/>
              </w:rPr>
              <w:t>Infringement offences</w:t>
            </w:r>
          </w:p>
        </w:tc>
        <w:tc>
          <w:tcPr>
            <w:tcW w:w="3735" w:type="dxa"/>
            <w:shd w:val="clear" w:color="auto" w:fill="auto"/>
          </w:tcPr>
          <w:p w14:paraId="752E76C2" w14:textId="77777777" w:rsidR="00052799" w:rsidRPr="002D7AE6" w:rsidRDefault="00052799" w:rsidP="00871631">
            <w:pPr>
              <w:spacing w:before="120" w:after="120"/>
              <w:rPr>
                <w:sz w:val="18"/>
                <w:szCs w:val="18"/>
              </w:rPr>
            </w:pPr>
            <w:r w:rsidRPr="002D7AE6">
              <w:rPr>
                <w:sz w:val="18"/>
                <w:szCs w:val="18"/>
              </w:rPr>
              <w:t>Additional offences prescribed, namely those contrary to:</w:t>
            </w:r>
          </w:p>
          <w:p w14:paraId="128ED6E8" w14:textId="77777777" w:rsidR="00052799" w:rsidRPr="002D7AE6" w:rsidRDefault="00052799" w:rsidP="00052799">
            <w:pPr>
              <w:numPr>
                <w:ilvl w:val="0"/>
                <w:numId w:val="83"/>
              </w:numPr>
              <w:spacing w:before="120" w:after="120"/>
              <w:rPr>
                <w:sz w:val="18"/>
                <w:szCs w:val="18"/>
              </w:rPr>
            </w:pPr>
            <w:r w:rsidRPr="002D7AE6">
              <w:rPr>
                <w:sz w:val="18"/>
                <w:szCs w:val="18"/>
              </w:rPr>
              <w:t>section 87(2)</w:t>
            </w:r>
          </w:p>
          <w:p w14:paraId="0CD74173" w14:textId="3548F135" w:rsidR="00052799" w:rsidRPr="002D7AE6" w:rsidRDefault="00052799" w:rsidP="00052799">
            <w:pPr>
              <w:numPr>
                <w:ilvl w:val="0"/>
                <w:numId w:val="83"/>
              </w:numPr>
              <w:spacing w:before="120" w:after="120"/>
              <w:rPr>
                <w:sz w:val="18"/>
                <w:szCs w:val="18"/>
              </w:rPr>
            </w:pPr>
            <w:r w:rsidRPr="002D7AE6">
              <w:rPr>
                <w:sz w:val="18"/>
                <w:szCs w:val="18"/>
              </w:rPr>
              <w:t>section 121(1)</w:t>
            </w:r>
            <w:r w:rsidR="002406E1">
              <w:rPr>
                <w:sz w:val="18"/>
                <w:szCs w:val="18"/>
              </w:rPr>
              <w:t>, and</w:t>
            </w:r>
          </w:p>
          <w:p w14:paraId="38F690F9" w14:textId="4A5A5326" w:rsidR="00052799" w:rsidRPr="002D7AE6" w:rsidRDefault="00052799" w:rsidP="00052799">
            <w:pPr>
              <w:numPr>
                <w:ilvl w:val="0"/>
                <w:numId w:val="83"/>
              </w:numPr>
              <w:spacing w:before="120" w:after="120"/>
              <w:rPr>
                <w:sz w:val="18"/>
                <w:szCs w:val="18"/>
              </w:rPr>
            </w:pPr>
            <w:r w:rsidRPr="002D7AE6">
              <w:rPr>
                <w:sz w:val="18"/>
                <w:szCs w:val="18"/>
              </w:rPr>
              <w:t>section 121(1A)</w:t>
            </w:r>
            <w:r w:rsidR="002406E1">
              <w:rPr>
                <w:sz w:val="18"/>
                <w:szCs w:val="18"/>
              </w:rPr>
              <w:t>.</w:t>
            </w:r>
          </w:p>
          <w:p w14:paraId="66248323" w14:textId="77777777" w:rsidR="00052799" w:rsidRPr="002D7AE6" w:rsidRDefault="00052799" w:rsidP="00871631">
            <w:pPr>
              <w:spacing w:before="120" w:after="120"/>
              <w:rPr>
                <w:sz w:val="18"/>
                <w:szCs w:val="18"/>
              </w:rPr>
            </w:pPr>
            <w:r w:rsidRPr="002D7AE6">
              <w:rPr>
                <w:sz w:val="18"/>
                <w:szCs w:val="18"/>
              </w:rPr>
              <w:t>Offence descriptions removed as unnecessary.</w:t>
            </w:r>
          </w:p>
        </w:tc>
      </w:tr>
      <w:tr w:rsidR="00052799" w:rsidRPr="002D7AE6" w14:paraId="1DCD4BE5" w14:textId="77777777" w:rsidTr="00871631">
        <w:trPr>
          <w:cantSplit/>
        </w:trPr>
        <w:tc>
          <w:tcPr>
            <w:tcW w:w="1193" w:type="dxa"/>
            <w:shd w:val="clear" w:color="auto" w:fill="auto"/>
          </w:tcPr>
          <w:p w14:paraId="05EB7DA6" w14:textId="77777777" w:rsidR="00052799" w:rsidRPr="002D7AE6" w:rsidRDefault="00052799" w:rsidP="00871631">
            <w:pPr>
              <w:spacing w:before="120" w:after="120"/>
              <w:jc w:val="center"/>
              <w:rPr>
                <w:sz w:val="18"/>
                <w:szCs w:val="18"/>
              </w:rPr>
            </w:pPr>
            <w:r w:rsidRPr="002D7AE6">
              <w:rPr>
                <w:sz w:val="18"/>
                <w:szCs w:val="18"/>
              </w:rPr>
              <w:t>Sch 9</w:t>
            </w:r>
          </w:p>
        </w:tc>
        <w:tc>
          <w:tcPr>
            <w:tcW w:w="1193" w:type="dxa"/>
            <w:shd w:val="clear" w:color="auto" w:fill="auto"/>
          </w:tcPr>
          <w:p w14:paraId="363FF703" w14:textId="77777777" w:rsidR="00052799" w:rsidRPr="002D7AE6" w:rsidRDefault="00052799" w:rsidP="00871631">
            <w:pPr>
              <w:spacing w:before="120" w:after="120"/>
              <w:jc w:val="center"/>
              <w:rPr>
                <w:sz w:val="18"/>
                <w:szCs w:val="18"/>
              </w:rPr>
            </w:pPr>
            <w:r w:rsidRPr="002D7AE6">
              <w:rPr>
                <w:sz w:val="18"/>
                <w:szCs w:val="18"/>
              </w:rPr>
              <w:t>Sch 8</w:t>
            </w:r>
          </w:p>
        </w:tc>
        <w:tc>
          <w:tcPr>
            <w:tcW w:w="2717" w:type="dxa"/>
            <w:shd w:val="clear" w:color="auto" w:fill="auto"/>
          </w:tcPr>
          <w:p w14:paraId="4EF40049" w14:textId="77777777" w:rsidR="00052799" w:rsidRPr="002D7AE6" w:rsidRDefault="00052799" w:rsidP="00871631">
            <w:pPr>
              <w:spacing w:before="120" w:after="120"/>
              <w:rPr>
                <w:sz w:val="18"/>
                <w:szCs w:val="18"/>
              </w:rPr>
            </w:pPr>
            <w:r w:rsidRPr="002D7AE6">
              <w:rPr>
                <w:sz w:val="18"/>
                <w:szCs w:val="18"/>
              </w:rPr>
              <w:t>Prescribed classes of general category handgun</w:t>
            </w:r>
          </w:p>
        </w:tc>
        <w:tc>
          <w:tcPr>
            <w:tcW w:w="3735" w:type="dxa"/>
            <w:shd w:val="clear" w:color="auto" w:fill="auto"/>
          </w:tcPr>
          <w:p w14:paraId="01BBD454" w14:textId="669AD2C2" w:rsidR="00052799" w:rsidRPr="002D7AE6" w:rsidRDefault="007727EA" w:rsidP="00871631">
            <w:pPr>
              <w:spacing w:before="120" w:after="120"/>
              <w:rPr>
                <w:sz w:val="18"/>
                <w:szCs w:val="18"/>
              </w:rPr>
            </w:pPr>
            <w:r>
              <w:rPr>
                <w:sz w:val="18"/>
                <w:szCs w:val="18"/>
              </w:rPr>
              <w:t>No</w:t>
            </w:r>
            <w:r w:rsidR="00052799" w:rsidRPr="002D7AE6">
              <w:rPr>
                <w:sz w:val="18"/>
                <w:szCs w:val="18"/>
              </w:rPr>
              <w:t xml:space="preserve"> change.</w:t>
            </w:r>
          </w:p>
        </w:tc>
      </w:tr>
      <w:tr w:rsidR="00052799" w:rsidRPr="002D7AE6" w14:paraId="43AC8E06" w14:textId="77777777" w:rsidTr="00871631">
        <w:trPr>
          <w:cantSplit/>
        </w:trPr>
        <w:tc>
          <w:tcPr>
            <w:tcW w:w="1193" w:type="dxa"/>
            <w:shd w:val="clear" w:color="auto" w:fill="auto"/>
          </w:tcPr>
          <w:p w14:paraId="67E55E91" w14:textId="77777777" w:rsidR="00052799" w:rsidRPr="002D7AE6" w:rsidRDefault="00052799" w:rsidP="00871631">
            <w:pPr>
              <w:spacing w:before="120" w:after="120"/>
              <w:jc w:val="center"/>
              <w:rPr>
                <w:sz w:val="18"/>
                <w:szCs w:val="18"/>
              </w:rPr>
            </w:pPr>
            <w:r w:rsidRPr="002D7AE6">
              <w:rPr>
                <w:sz w:val="18"/>
                <w:szCs w:val="18"/>
              </w:rPr>
              <w:t>Sch 8</w:t>
            </w:r>
          </w:p>
        </w:tc>
        <w:tc>
          <w:tcPr>
            <w:tcW w:w="1193" w:type="dxa"/>
            <w:shd w:val="clear" w:color="auto" w:fill="auto"/>
          </w:tcPr>
          <w:p w14:paraId="6569D15E" w14:textId="77777777" w:rsidR="00052799" w:rsidRPr="002D7AE6" w:rsidRDefault="00052799" w:rsidP="00871631">
            <w:pPr>
              <w:spacing w:before="120" w:after="120"/>
              <w:jc w:val="center"/>
              <w:rPr>
                <w:sz w:val="18"/>
                <w:szCs w:val="18"/>
              </w:rPr>
            </w:pPr>
            <w:r w:rsidRPr="002D7AE6">
              <w:rPr>
                <w:sz w:val="18"/>
                <w:szCs w:val="18"/>
              </w:rPr>
              <w:t>Sch 9</w:t>
            </w:r>
          </w:p>
        </w:tc>
        <w:tc>
          <w:tcPr>
            <w:tcW w:w="2717" w:type="dxa"/>
            <w:shd w:val="clear" w:color="auto" w:fill="auto"/>
          </w:tcPr>
          <w:p w14:paraId="2791E42F" w14:textId="5C2EEC36" w:rsidR="00052799" w:rsidRPr="002D7AE6" w:rsidRDefault="00474BAF" w:rsidP="00871631">
            <w:pPr>
              <w:spacing w:before="120" w:after="120"/>
              <w:rPr>
                <w:sz w:val="18"/>
                <w:szCs w:val="18"/>
              </w:rPr>
            </w:pPr>
            <w:r>
              <w:rPr>
                <w:sz w:val="18"/>
                <w:szCs w:val="18"/>
              </w:rPr>
              <w:t>S</w:t>
            </w:r>
            <w:r w:rsidR="00052799" w:rsidRPr="002D7AE6">
              <w:rPr>
                <w:sz w:val="18"/>
                <w:szCs w:val="18"/>
              </w:rPr>
              <w:t>ection 123C of the Act</w:t>
            </w:r>
          </w:p>
        </w:tc>
        <w:tc>
          <w:tcPr>
            <w:tcW w:w="3735" w:type="dxa"/>
            <w:shd w:val="clear" w:color="auto" w:fill="auto"/>
          </w:tcPr>
          <w:p w14:paraId="22EB9B2B" w14:textId="77777777" w:rsidR="00052799" w:rsidRPr="002D7AE6" w:rsidRDefault="00052799" w:rsidP="00871631">
            <w:pPr>
              <w:spacing w:before="120" w:after="120"/>
              <w:rPr>
                <w:sz w:val="18"/>
                <w:szCs w:val="18"/>
              </w:rPr>
            </w:pPr>
            <w:r w:rsidRPr="002D7AE6">
              <w:rPr>
                <w:sz w:val="18"/>
                <w:szCs w:val="18"/>
              </w:rPr>
              <w:t>Amended so that the club participation record for each member is not required to include the serial number of the handgun used in each match or shoot, Instead, the handgun model must be included.</w:t>
            </w:r>
          </w:p>
        </w:tc>
      </w:tr>
    </w:tbl>
    <w:p w14:paraId="4DD14802" w14:textId="77777777" w:rsidR="00052799" w:rsidRDefault="00052799" w:rsidP="00052799">
      <w:pPr>
        <w:pStyle w:val="BodyText"/>
        <w:rPr>
          <w:highlight w:val="yellow"/>
        </w:rPr>
        <w:sectPr w:rsidR="00052799" w:rsidSect="00560703">
          <w:headerReference w:type="even" r:id="rId15"/>
          <w:headerReference w:type="default" r:id="rId16"/>
          <w:footerReference w:type="default" r:id="rId17"/>
          <w:headerReference w:type="first" r:id="rId18"/>
          <w:pgSz w:w="11906" w:h="16838" w:code="9"/>
          <w:pgMar w:top="1134" w:right="851" w:bottom="567" w:left="1134" w:header="284" w:footer="284" w:gutter="0"/>
          <w:cols w:space="708"/>
          <w:docGrid w:linePitch="360"/>
        </w:sectPr>
      </w:pPr>
    </w:p>
    <w:p w14:paraId="70C447AB" w14:textId="77777777" w:rsidR="00052799" w:rsidRPr="00610D49" w:rsidRDefault="00052799" w:rsidP="00052799">
      <w:pPr>
        <w:pStyle w:val="Appendixheader"/>
        <w:ind w:left="1134"/>
      </w:pPr>
      <w:bookmarkStart w:id="450" w:name="_Ref497132666"/>
      <w:bookmarkStart w:id="451" w:name="_Toc497493025"/>
      <w:bookmarkStart w:id="452" w:name="_Toc500505503"/>
      <w:bookmarkStart w:id="453" w:name="_Toc501539198"/>
      <w:r w:rsidRPr="00610D49">
        <w:t>Detailed fees table</w:t>
      </w:r>
      <w:bookmarkEnd w:id="450"/>
      <w:bookmarkEnd w:id="451"/>
      <w:bookmarkEnd w:id="452"/>
      <w:bookmarkEnd w:id="453"/>
    </w:p>
    <w:p w14:paraId="34FE6E3F" w14:textId="5C943A83" w:rsidR="00052799" w:rsidRDefault="00052799" w:rsidP="00052799">
      <w:pPr>
        <w:pStyle w:val="Body"/>
        <w:rPr>
          <w:noProof/>
          <w:lang w:eastAsia="en-AU"/>
        </w:rPr>
      </w:pPr>
      <w:r>
        <w:rPr>
          <w:noProof/>
          <w:lang w:eastAsia="en-AU"/>
        </w:rPr>
        <w:t>The table below outlines the total fee payable for each of the licences, permits and approvals under each of the options for remaking the Regulations</w:t>
      </w:r>
      <w:r w:rsidR="002406E1">
        <w:rPr>
          <w:noProof/>
          <w:lang w:eastAsia="en-AU"/>
        </w:rPr>
        <w:t>,</w:t>
      </w:r>
      <w:r>
        <w:rPr>
          <w:noProof/>
          <w:lang w:eastAsia="en-AU"/>
        </w:rPr>
        <w:t xml:space="preserve"> as discussed in this RIS. It is important to note that under Option 2 (the preferred option), the proposed Regulations will introduce an application fee </w:t>
      </w:r>
      <w:r w:rsidR="002406E1">
        <w:rPr>
          <w:noProof/>
          <w:lang w:eastAsia="en-AU"/>
        </w:rPr>
        <w:t xml:space="preserve">for some fee categories </w:t>
      </w:r>
      <w:r>
        <w:rPr>
          <w:noProof/>
          <w:lang w:eastAsia="en-AU"/>
        </w:rPr>
        <w:t xml:space="preserve">which will mean that half of the total fee will be payable on application, while the second half of the fee would be payable </w:t>
      </w:r>
      <w:r w:rsidR="002406E1">
        <w:rPr>
          <w:noProof/>
          <w:lang w:eastAsia="en-AU"/>
        </w:rPr>
        <w:t>for the issue or renewal of the licence (discussed further below)</w:t>
      </w:r>
      <w:r>
        <w:rPr>
          <w:noProof/>
          <w:lang w:eastAsia="en-AU"/>
        </w:rPr>
        <w:t>.</w:t>
      </w:r>
    </w:p>
    <w:p w14:paraId="1FD83BEF" w14:textId="3D959A3E" w:rsidR="00F0523E" w:rsidRDefault="00F0523E" w:rsidP="00F0523E">
      <w:pPr>
        <w:pStyle w:val="BodyText"/>
      </w:pPr>
      <w:r>
        <w:t>Note that the Regulations prescribe fees in fee units, which increase each year by the Treasurer’s annual rate. For simplicity, this table compares current fees to the 2017</w:t>
      </w:r>
      <w:r w:rsidR="002406E1">
        <w:t>–</w:t>
      </w:r>
      <w:r>
        <w:t xml:space="preserve">18 dollar value of the fee units that would be set under Options 1 or 2. </w:t>
      </w:r>
    </w:p>
    <w:p w14:paraId="457FF985" w14:textId="2F4B1085" w:rsidR="00F0523E" w:rsidRPr="00F0523E" w:rsidRDefault="00F0523E" w:rsidP="00F0523E">
      <w:pPr>
        <w:pStyle w:val="BodyText"/>
        <w:rPr>
          <w:szCs w:val="20"/>
        </w:rPr>
      </w:pPr>
      <w:r>
        <w:t xml:space="preserve">Note also that in some cases the proposed regulations prescribe fees by breaking them into ‘application fees’ and ‘licence fees’. For instance, Regulation 13 states that for licences for individuals listed in Schedule 3 Table 1 of the proposed regulations, the fee payable is the application fee, plus the licence fee multiplied by the number of years for which the licence is issued or renewed. </w:t>
      </w:r>
      <w:r w:rsidR="002406E1">
        <w:t>To illustrate,</w:t>
      </w:r>
      <w:r>
        <w:t xml:space="preserve"> Schedule 3 Table 1 states the application fee and licence fee for an individual licence for a category A longarm are as 8.2 fee units and 1.64 fee units, respectively. Because a category A longarm licence has a duration of five years, the total fee for a category A longarm licence is 8.2 + (1.64 × 5) = 16.4 fee units, which at the current value of a fee unit of $14.22 is worth 16.4 × $14.22 = $233.20.</w:t>
      </w:r>
    </w:p>
    <w:tbl>
      <w:tblPr>
        <w:tblW w:w="14620" w:type="dxa"/>
        <w:tblInd w:w="704" w:type="dxa"/>
        <w:tblLook w:val="04A0" w:firstRow="1" w:lastRow="0" w:firstColumn="1" w:lastColumn="0" w:noHBand="0" w:noVBand="1"/>
        <w:tblCaption w:val="Detailed fees table"/>
      </w:tblPr>
      <w:tblGrid>
        <w:gridCol w:w="3681"/>
        <w:gridCol w:w="1220"/>
        <w:gridCol w:w="1255"/>
        <w:gridCol w:w="927"/>
        <w:gridCol w:w="877"/>
        <w:gridCol w:w="1418"/>
        <w:gridCol w:w="1276"/>
        <w:gridCol w:w="925"/>
        <w:gridCol w:w="877"/>
        <w:gridCol w:w="1255"/>
        <w:gridCol w:w="1027"/>
      </w:tblGrid>
      <w:tr w:rsidR="00052799" w:rsidRPr="002D7AE6" w14:paraId="0FFA7087" w14:textId="77777777" w:rsidTr="00871631">
        <w:trPr>
          <w:trHeight w:val="360"/>
          <w:tblHeader/>
        </w:trPr>
        <w:tc>
          <w:tcPr>
            <w:tcW w:w="3681" w:type="dxa"/>
            <w:tcBorders>
              <w:top w:val="single" w:sz="4" w:space="0" w:color="FFFFFF"/>
              <w:left w:val="single" w:sz="4" w:space="0" w:color="FFFFFF"/>
              <w:bottom w:val="single" w:sz="4" w:space="0" w:color="FFFFFF"/>
              <w:right w:val="nil"/>
            </w:tcBorders>
            <w:shd w:val="clear" w:color="000000" w:fill="A6A6A6"/>
            <w:hideMark/>
          </w:tcPr>
          <w:p w14:paraId="599437E9" w14:textId="77777777" w:rsidR="00052799" w:rsidRPr="002D7AE6" w:rsidRDefault="00052799" w:rsidP="00871631">
            <w:pPr>
              <w:jc w:val="center"/>
              <w:rPr>
                <w:b/>
                <w:bCs/>
                <w:color w:val="FFFFFF"/>
                <w:sz w:val="18"/>
                <w:szCs w:val="18"/>
                <w:lang w:eastAsia="en-AU"/>
              </w:rPr>
            </w:pPr>
            <w:r w:rsidRPr="002D7AE6">
              <w:rPr>
                <w:b/>
                <w:bCs/>
                <w:color w:val="FFFFFF"/>
                <w:sz w:val="18"/>
                <w:szCs w:val="18"/>
                <w:lang w:eastAsia="en-AU"/>
              </w:rPr>
              <w:t> </w:t>
            </w:r>
          </w:p>
        </w:tc>
        <w:tc>
          <w:tcPr>
            <w:tcW w:w="2475" w:type="dxa"/>
            <w:gridSpan w:val="2"/>
            <w:tcBorders>
              <w:top w:val="single" w:sz="4" w:space="0" w:color="auto"/>
              <w:left w:val="single" w:sz="4" w:space="0" w:color="auto"/>
              <w:bottom w:val="single" w:sz="4" w:space="0" w:color="FFFFFF"/>
              <w:right w:val="single" w:sz="4" w:space="0" w:color="000000"/>
            </w:tcBorders>
            <w:shd w:val="clear" w:color="000000" w:fill="305496"/>
            <w:noWrap/>
            <w:hideMark/>
          </w:tcPr>
          <w:p w14:paraId="2631C242" w14:textId="77777777" w:rsidR="00052799" w:rsidRPr="002D7AE6" w:rsidRDefault="00052799" w:rsidP="00871631">
            <w:pPr>
              <w:jc w:val="center"/>
              <w:rPr>
                <w:b/>
                <w:bCs/>
                <w:color w:val="FFFFFF"/>
                <w:sz w:val="18"/>
                <w:szCs w:val="18"/>
                <w:lang w:eastAsia="en-AU"/>
              </w:rPr>
            </w:pPr>
            <w:r w:rsidRPr="002D7AE6">
              <w:rPr>
                <w:b/>
                <w:bCs/>
                <w:color w:val="FFFFFF"/>
                <w:sz w:val="18"/>
                <w:szCs w:val="18"/>
                <w:lang w:eastAsia="en-AU"/>
              </w:rPr>
              <w:t>Current fee structure</w:t>
            </w:r>
          </w:p>
        </w:tc>
        <w:tc>
          <w:tcPr>
            <w:tcW w:w="4471" w:type="dxa"/>
            <w:gridSpan w:val="4"/>
            <w:tcBorders>
              <w:top w:val="single" w:sz="4" w:space="0" w:color="auto"/>
              <w:left w:val="nil"/>
              <w:bottom w:val="single" w:sz="4" w:space="0" w:color="FFFFFF"/>
              <w:right w:val="single" w:sz="4" w:space="0" w:color="000000"/>
            </w:tcBorders>
            <w:shd w:val="clear" w:color="000000" w:fill="305496"/>
            <w:noWrap/>
            <w:hideMark/>
          </w:tcPr>
          <w:p w14:paraId="5DF624EF" w14:textId="77777777" w:rsidR="00052799" w:rsidRPr="002D7AE6" w:rsidRDefault="00052799" w:rsidP="00871631">
            <w:pPr>
              <w:jc w:val="center"/>
              <w:rPr>
                <w:b/>
                <w:bCs/>
                <w:color w:val="FFFFFF"/>
                <w:sz w:val="18"/>
                <w:szCs w:val="18"/>
                <w:lang w:eastAsia="en-AU"/>
              </w:rPr>
            </w:pPr>
            <w:r w:rsidRPr="002D7AE6">
              <w:rPr>
                <w:b/>
                <w:bCs/>
                <w:color w:val="FFFFFF"/>
                <w:sz w:val="18"/>
                <w:szCs w:val="18"/>
                <w:lang w:eastAsia="en-AU"/>
              </w:rPr>
              <w:t>Option 1: Full cost recovery</w:t>
            </w:r>
          </w:p>
        </w:tc>
        <w:tc>
          <w:tcPr>
            <w:tcW w:w="3993" w:type="dxa"/>
            <w:gridSpan w:val="4"/>
            <w:tcBorders>
              <w:top w:val="single" w:sz="4" w:space="0" w:color="auto"/>
              <w:left w:val="nil"/>
              <w:bottom w:val="single" w:sz="4" w:space="0" w:color="FFFFFF"/>
              <w:right w:val="single" w:sz="4" w:space="0" w:color="000000"/>
            </w:tcBorders>
            <w:shd w:val="clear" w:color="000000" w:fill="305496"/>
            <w:noWrap/>
            <w:hideMark/>
          </w:tcPr>
          <w:p w14:paraId="46F3BF30" w14:textId="77777777" w:rsidR="00052799" w:rsidRPr="002D7AE6" w:rsidRDefault="00052799" w:rsidP="00871631">
            <w:pPr>
              <w:jc w:val="center"/>
              <w:rPr>
                <w:b/>
                <w:bCs/>
                <w:color w:val="FFFFFF"/>
                <w:sz w:val="18"/>
                <w:szCs w:val="18"/>
                <w:lang w:eastAsia="en-AU"/>
              </w:rPr>
            </w:pPr>
            <w:r w:rsidRPr="002D7AE6">
              <w:rPr>
                <w:b/>
                <w:bCs/>
                <w:color w:val="FFFFFF"/>
                <w:sz w:val="18"/>
                <w:szCs w:val="18"/>
                <w:lang w:eastAsia="en-AU"/>
              </w:rPr>
              <w:t>Option 2: Partial cost recovery</w:t>
            </w:r>
          </w:p>
        </w:tc>
      </w:tr>
      <w:tr w:rsidR="00052799" w:rsidRPr="002D7AE6" w14:paraId="6AE4220B" w14:textId="77777777" w:rsidTr="00871631">
        <w:trPr>
          <w:trHeight w:val="636"/>
          <w:tblHeader/>
        </w:trPr>
        <w:tc>
          <w:tcPr>
            <w:tcW w:w="3681" w:type="dxa"/>
            <w:tcBorders>
              <w:top w:val="nil"/>
              <w:left w:val="single" w:sz="4" w:space="0" w:color="FFFFFF"/>
              <w:bottom w:val="single" w:sz="4" w:space="0" w:color="FFFFFF"/>
              <w:right w:val="nil"/>
            </w:tcBorders>
            <w:shd w:val="clear" w:color="000000" w:fill="A6A6A6"/>
            <w:hideMark/>
          </w:tcPr>
          <w:p w14:paraId="15BBA797" w14:textId="77777777" w:rsidR="00052799" w:rsidRPr="002D7AE6" w:rsidRDefault="00052799" w:rsidP="00871631">
            <w:pPr>
              <w:jc w:val="center"/>
              <w:rPr>
                <w:b/>
                <w:bCs/>
                <w:color w:val="FFFFFF"/>
                <w:sz w:val="18"/>
                <w:szCs w:val="18"/>
                <w:lang w:eastAsia="en-AU"/>
              </w:rPr>
            </w:pPr>
            <w:r w:rsidRPr="002D7AE6">
              <w:rPr>
                <w:b/>
                <w:bCs/>
                <w:color w:val="FFFFFF"/>
                <w:sz w:val="18"/>
                <w:szCs w:val="18"/>
                <w:lang w:eastAsia="en-AU"/>
              </w:rPr>
              <w:t>Fee category</w:t>
            </w:r>
          </w:p>
        </w:tc>
        <w:tc>
          <w:tcPr>
            <w:tcW w:w="1220" w:type="dxa"/>
            <w:tcBorders>
              <w:top w:val="nil"/>
              <w:left w:val="single" w:sz="4" w:space="0" w:color="auto"/>
              <w:bottom w:val="single" w:sz="4" w:space="0" w:color="FFFFFF"/>
              <w:right w:val="single" w:sz="4" w:space="0" w:color="FFFFFF"/>
            </w:tcBorders>
            <w:shd w:val="clear" w:color="000000" w:fill="305496"/>
            <w:hideMark/>
          </w:tcPr>
          <w:p w14:paraId="5B18F657" w14:textId="77777777" w:rsidR="00052799" w:rsidRPr="002D7AE6" w:rsidRDefault="00052799" w:rsidP="00871631">
            <w:pPr>
              <w:jc w:val="center"/>
              <w:rPr>
                <w:b/>
                <w:bCs/>
                <w:color w:val="FFFFFF"/>
                <w:sz w:val="18"/>
                <w:szCs w:val="18"/>
                <w:lang w:eastAsia="en-AU"/>
              </w:rPr>
            </w:pPr>
            <w:r w:rsidRPr="002D7AE6">
              <w:rPr>
                <w:b/>
                <w:bCs/>
                <w:color w:val="FFFFFF"/>
                <w:sz w:val="18"/>
                <w:szCs w:val="18"/>
                <w:lang w:eastAsia="en-AU"/>
              </w:rPr>
              <w:t>Fee</w:t>
            </w:r>
          </w:p>
        </w:tc>
        <w:tc>
          <w:tcPr>
            <w:tcW w:w="1255" w:type="dxa"/>
            <w:tcBorders>
              <w:top w:val="nil"/>
              <w:left w:val="nil"/>
              <w:bottom w:val="single" w:sz="4" w:space="0" w:color="FFFFFF"/>
              <w:right w:val="single" w:sz="4" w:space="0" w:color="auto"/>
            </w:tcBorders>
            <w:shd w:val="clear" w:color="000000" w:fill="305496"/>
            <w:hideMark/>
          </w:tcPr>
          <w:p w14:paraId="67AF4111" w14:textId="77777777" w:rsidR="00052799" w:rsidRPr="002D7AE6" w:rsidRDefault="00052799" w:rsidP="00871631">
            <w:pPr>
              <w:jc w:val="center"/>
              <w:rPr>
                <w:b/>
                <w:bCs/>
                <w:color w:val="FFFFFF"/>
                <w:sz w:val="18"/>
                <w:szCs w:val="18"/>
                <w:lang w:eastAsia="en-AU"/>
              </w:rPr>
            </w:pPr>
            <w:r w:rsidRPr="002D7AE6">
              <w:rPr>
                <w:b/>
                <w:bCs/>
                <w:color w:val="FFFFFF"/>
                <w:sz w:val="18"/>
                <w:szCs w:val="18"/>
                <w:lang w:eastAsia="en-AU"/>
              </w:rPr>
              <w:t>Total Recovery</w:t>
            </w:r>
          </w:p>
        </w:tc>
        <w:tc>
          <w:tcPr>
            <w:tcW w:w="927" w:type="dxa"/>
            <w:tcBorders>
              <w:top w:val="nil"/>
              <w:left w:val="nil"/>
              <w:bottom w:val="single" w:sz="4" w:space="0" w:color="FFFFFF"/>
              <w:right w:val="single" w:sz="4" w:space="0" w:color="FFFFFF"/>
            </w:tcBorders>
            <w:shd w:val="clear" w:color="000000" w:fill="305496"/>
            <w:hideMark/>
          </w:tcPr>
          <w:p w14:paraId="496024BB" w14:textId="77777777" w:rsidR="00052799" w:rsidRPr="002D7AE6" w:rsidRDefault="00052799" w:rsidP="00871631">
            <w:pPr>
              <w:jc w:val="center"/>
              <w:rPr>
                <w:b/>
                <w:bCs/>
                <w:color w:val="FFFFFF"/>
                <w:sz w:val="18"/>
                <w:szCs w:val="18"/>
                <w:lang w:eastAsia="en-AU"/>
              </w:rPr>
            </w:pPr>
            <w:r w:rsidRPr="002D7AE6">
              <w:rPr>
                <w:b/>
                <w:bCs/>
                <w:color w:val="FFFFFF"/>
                <w:sz w:val="18"/>
                <w:szCs w:val="18"/>
                <w:lang w:eastAsia="en-AU"/>
              </w:rPr>
              <w:t xml:space="preserve">Fee </w:t>
            </w:r>
          </w:p>
        </w:tc>
        <w:tc>
          <w:tcPr>
            <w:tcW w:w="850" w:type="dxa"/>
            <w:tcBorders>
              <w:top w:val="nil"/>
              <w:left w:val="nil"/>
              <w:bottom w:val="single" w:sz="4" w:space="0" w:color="FFFFFF"/>
              <w:right w:val="single" w:sz="4" w:space="0" w:color="FFFFFF"/>
            </w:tcBorders>
            <w:shd w:val="clear" w:color="000000" w:fill="305496"/>
            <w:hideMark/>
          </w:tcPr>
          <w:p w14:paraId="086E07EF" w14:textId="77777777" w:rsidR="00052799" w:rsidRPr="002D7AE6" w:rsidRDefault="00052799" w:rsidP="00871631">
            <w:pPr>
              <w:jc w:val="center"/>
              <w:rPr>
                <w:b/>
                <w:bCs/>
                <w:color w:val="FFFFFF"/>
                <w:sz w:val="18"/>
                <w:szCs w:val="18"/>
                <w:lang w:eastAsia="en-AU"/>
              </w:rPr>
            </w:pPr>
            <w:r w:rsidRPr="002D7AE6">
              <w:rPr>
                <w:b/>
                <w:bCs/>
                <w:color w:val="FFFFFF"/>
                <w:sz w:val="18"/>
                <w:szCs w:val="18"/>
                <w:lang w:eastAsia="en-AU"/>
              </w:rPr>
              <w:t xml:space="preserve">Fee Change </w:t>
            </w:r>
          </w:p>
        </w:tc>
        <w:tc>
          <w:tcPr>
            <w:tcW w:w="1418" w:type="dxa"/>
            <w:tcBorders>
              <w:top w:val="nil"/>
              <w:left w:val="nil"/>
              <w:bottom w:val="single" w:sz="4" w:space="0" w:color="FFFFFF"/>
              <w:right w:val="single" w:sz="4" w:space="0" w:color="FFFFFF"/>
            </w:tcBorders>
            <w:shd w:val="clear" w:color="000000" w:fill="305496"/>
            <w:hideMark/>
          </w:tcPr>
          <w:p w14:paraId="003301D1" w14:textId="77777777" w:rsidR="00052799" w:rsidRPr="002D7AE6" w:rsidRDefault="00052799" w:rsidP="00871631">
            <w:pPr>
              <w:jc w:val="center"/>
              <w:rPr>
                <w:b/>
                <w:bCs/>
                <w:color w:val="FFFFFF"/>
                <w:sz w:val="18"/>
                <w:szCs w:val="18"/>
                <w:lang w:eastAsia="en-AU"/>
              </w:rPr>
            </w:pPr>
            <w:r w:rsidRPr="002D7AE6">
              <w:rPr>
                <w:b/>
                <w:bCs/>
                <w:color w:val="FFFFFF"/>
                <w:sz w:val="18"/>
                <w:szCs w:val="18"/>
                <w:lang w:eastAsia="en-AU"/>
              </w:rPr>
              <w:t xml:space="preserve"> Total Recovery</w:t>
            </w:r>
          </w:p>
        </w:tc>
        <w:tc>
          <w:tcPr>
            <w:tcW w:w="1276" w:type="dxa"/>
            <w:tcBorders>
              <w:top w:val="nil"/>
              <w:left w:val="nil"/>
              <w:bottom w:val="single" w:sz="4" w:space="0" w:color="FFFFFF"/>
              <w:right w:val="single" w:sz="4" w:space="0" w:color="auto"/>
            </w:tcBorders>
            <w:shd w:val="clear" w:color="000000" w:fill="305496"/>
            <w:hideMark/>
          </w:tcPr>
          <w:p w14:paraId="3FD965EC" w14:textId="77777777" w:rsidR="00052799" w:rsidRPr="002D7AE6" w:rsidRDefault="00052799" w:rsidP="00871631">
            <w:pPr>
              <w:jc w:val="center"/>
              <w:rPr>
                <w:b/>
                <w:bCs/>
                <w:color w:val="FFFFFF"/>
                <w:sz w:val="18"/>
                <w:szCs w:val="18"/>
                <w:lang w:eastAsia="en-AU"/>
              </w:rPr>
            </w:pPr>
            <w:r w:rsidRPr="002D7AE6">
              <w:rPr>
                <w:b/>
                <w:bCs/>
                <w:color w:val="FFFFFF"/>
                <w:sz w:val="18"/>
                <w:szCs w:val="18"/>
                <w:lang w:eastAsia="en-AU"/>
              </w:rPr>
              <w:t>Recovery Change</w:t>
            </w:r>
          </w:p>
        </w:tc>
        <w:tc>
          <w:tcPr>
            <w:tcW w:w="925" w:type="dxa"/>
            <w:tcBorders>
              <w:top w:val="nil"/>
              <w:left w:val="nil"/>
              <w:bottom w:val="single" w:sz="4" w:space="0" w:color="FFFFFF"/>
              <w:right w:val="single" w:sz="4" w:space="0" w:color="FFFFFF"/>
            </w:tcBorders>
            <w:shd w:val="clear" w:color="000000" w:fill="305496"/>
            <w:hideMark/>
          </w:tcPr>
          <w:p w14:paraId="1227F504" w14:textId="77777777" w:rsidR="00052799" w:rsidRPr="002D7AE6" w:rsidRDefault="00052799" w:rsidP="00871631">
            <w:pPr>
              <w:jc w:val="center"/>
              <w:rPr>
                <w:b/>
                <w:bCs/>
                <w:color w:val="FFFFFF"/>
                <w:sz w:val="18"/>
                <w:szCs w:val="18"/>
                <w:lang w:eastAsia="en-AU"/>
              </w:rPr>
            </w:pPr>
            <w:r w:rsidRPr="002D7AE6">
              <w:rPr>
                <w:b/>
                <w:bCs/>
                <w:color w:val="FFFFFF"/>
                <w:sz w:val="18"/>
                <w:szCs w:val="18"/>
                <w:lang w:eastAsia="en-AU"/>
              </w:rPr>
              <w:t xml:space="preserve"> Fee</w:t>
            </w:r>
          </w:p>
        </w:tc>
        <w:tc>
          <w:tcPr>
            <w:tcW w:w="831" w:type="dxa"/>
            <w:tcBorders>
              <w:top w:val="nil"/>
              <w:left w:val="nil"/>
              <w:bottom w:val="single" w:sz="4" w:space="0" w:color="FFFFFF"/>
              <w:right w:val="single" w:sz="4" w:space="0" w:color="FFFFFF"/>
            </w:tcBorders>
            <w:shd w:val="clear" w:color="000000" w:fill="305496"/>
            <w:hideMark/>
          </w:tcPr>
          <w:p w14:paraId="21EF59FF" w14:textId="77777777" w:rsidR="00052799" w:rsidRPr="002D7AE6" w:rsidRDefault="00052799" w:rsidP="00871631">
            <w:pPr>
              <w:jc w:val="center"/>
              <w:rPr>
                <w:b/>
                <w:bCs/>
                <w:color w:val="FFFFFF"/>
                <w:sz w:val="18"/>
                <w:szCs w:val="18"/>
                <w:lang w:eastAsia="en-AU"/>
              </w:rPr>
            </w:pPr>
            <w:r w:rsidRPr="002D7AE6">
              <w:rPr>
                <w:b/>
                <w:bCs/>
                <w:color w:val="FFFFFF"/>
                <w:sz w:val="18"/>
                <w:szCs w:val="18"/>
                <w:lang w:eastAsia="en-AU"/>
              </w:rPr>
              <w:t>Fee Change</w:t>
            </w:r>
          </w:p>
        </w:tc>
        <w:tc>
          <w:tcPr>
            <w:tcW w:w="1255" w:type="dxa"/>
            <w:tcBorders>
              <w:top w:val="nil"/>
              <w:left w:val="nil"/>
              <w:bottom w:val="single" w:sz="4" w:space="0" w:color="FFFFFF"/>
              <w:right w:val="single" w:sz="4" w:space="0" w:color="FFFFFF"/>
            </w:tcBorders>
            <w:shd w:val="clear" w:color="000000" w:fill="305496"/>
            <w:hideMark/>
          </w:tcPr>
          <w:p w14:paraId="765C404F" w14:textId="77777777" w:rsidR="00052799" w:rsidRPr="002D7AE6" w:rsidRDefault="00052799" w:rsidP="00871631">
            <w:pPr>
              <w:jc w:val="center"/>
              <w:rPr>
                <w:b/>
                <w:bCs/>
                <w:color w:val="FFFFFF"/>
                <w:sz w:val="18"/>
                <w:szCs w:val="18"/>
                <w:lang w:eastAsia="en-AU"/>
              </w:rPr>
            </w:pPr>
            <w:r w:rsidRPr="002D7AE6">
              <w:rPr>
                <w:b/>
                <w:bCs/>
                <w:color w:val="FFFFFF"/>
                <w:sz w:val="18"/>
                <w:szCs w:val="18"/>
                <w:lang w:eastAsia="en-AU"/>
              </w:rPr>
              <w:t xml:space="preserve"> Total Recovery </w:t>
            </w:r>
          </w:p>
        </w:tc>
        <w:tc>
          <w:tcPr>
            <w:tcW w:w="982" w:type="dxa"/>
            <w:tcBorders>
              <w:top w:val="nil"/>
              <w:left w:val="nil"/>
              <w:bottom w:val="single" w:sz="4" w:space="0" w:color="FFFFFF"/>
              <w:right w:val="single" w:sz="4" w:space="0" w:color="auto"/>
            </w:tcBorders>
            <w:shd w:val="clear" w:color="000000" w:fill="305496"/>
            <w:hideMark/>
          </w:tcPr>
          <w:p w14:paraId="4C1C0B23" w14:textId="77777777" w:rsidR="00052799" w:rsidRPr="002D7AE6" w:rsidRDefault="00052799" w:rsidP="00871631">
            <w:pPr>
              <w:jc w:val="center"/>
              <w:rPr>
                <w:b/>
                <w:bCs/>
                <w:color w:val="FFFFFF"/>
                <w:sz w:val="18"/>
                <w:szCs w:val="18"/>
                <w:lang w:eastAsia="en-AU"/>
              </w:rPr>
            </w:pPr>
            <w:r w:rsidRPr="002D7AE6">
              <w:rPr>
                <w:b/>
                <w:bCs/>
                <w:color w:val="FFFFFF"/>
                <w:sz w:val="18"/>
                <w:szCs w:val="18"/>
                <w:lang w:eastAsia="en-AU"/>
              </w:rPr>
              <w:t xml:space="preserve">Recovery Change </w:t>
            </w:r>
          </w:p>
        </w:tc>
      </w:tr>
      <w:tr w:rsidR="00052799" w:rsidRPr="002D7AE6" w14:paraId="1B8078B7"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4CFAE227" w14:textId="77777777" w:rsidR="00052799" w:rsidRPr="002D7AE6" w:rsidRDefault="00052799" w:rsidP="00871631">
            <w:pPr>
              <w:rPr>
                <w:color w:val="000000"/>
                <w:sz w:val="18"/>
                <w:szCs w:val="18"/>
                <w:lang w:eastAsia="en-AU"/>
              </w:rPr>
            </w:pPr>
            <w:r w:rsidRPr="002D7AE6">
              <w:rPr>
                <w:color w:val="000000"/>
                <w:sz w:val="18"/>
                <w:szCs w:val="18"/>
                <w:lang w:eastAsia="en-AU"/>
              </w:rPr>
              <w:t>Longarm category A individual</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4FC2CA35" w14:textId="77777777" w:rsidR="00052799" w:rsidRPr="002D7AE6" w:rsidRDefault="00052799" w:rsidP="00871631">
            <w:pPr>
              <w:rPr>
                <w:color w:val="000000"/>
                <w:sz w:val="18"/>
                <w:szCs w:val="18"/>
                <w:lang w:eastAsia="en-AU"/>
              </w:rPr>
            </w:pPr>
            <w:r w:rsidRPr="002D7AE6">
              <w:rPr>
                <w:color w:val="000000"/>
                <w:sz w:val="18"/>
                <w:szCs w:val="18"/>
                <w:lang w:eastAsia="en-AU"/>
              </w:rPr>
              <w:t>$233.2</w:t>
            </w:r>
          </w:p>
        </w:tc>
        <w:tc>
          <w:tcPr>
            <w:tcW w:w="1255"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7ED43D80" w14:textId="77777777" w:rsidR="00052799" w:rsidRPr="002D7AE6" w:rsidRDefault="00052799" w:rsidP="00871631">
            <w:pPr>
              <w:jc w:val="center"/>
              <w:rPr>
                <w:color w:val="000000"/>
                <w:sz w:val="18"/>
                <w:szCs w:val="18"/>
                <w:lang w:eastAsia="en-AU"/>
              </w:rPr>
            </w:pPr>
            <w:r w:rsidRPr="002D7AE6">
              <w:rPr>
                <w:color w:val="000000"/>
                <w:sz w:val="18"/>
                <w:szCs w:val="18"/>
                <w:lang w:eastAsia="en-AU"/>
              </w:rPr>
              <w:t>$10,715,991</w:t>
            </w:r>
          </w:p>
        </w:tc>
        <w:tc>
          <w:tcPr>
            <w:tcW w:w="927" w:type="dxa"/>
            <w:tcBorders>
              <w:top w:val="nil"/>
              <w:left w:val="nil"/>
              <w:bottom w:val="single" w:sz="4" w:space="0" w:color="FFFFFF"/>
              <w:right w:val="single" w:sz="4" w:space="0" w:color="FFFFFF"/>
            </w:tcBorders>
            <w:shd w:val="clear" w:color="000000" w:fill="D9E1F2"/>
            <w:vAlign w:val="bottom"/>
            <w:hideMark/>
          </w:tcPr>
          <w:p w14:paraId="2F484712" w14:textId="77777777" w:rsidR="00052799" w:rsidRPr="002D7AE6" w:rsidRDefault="00052799" w:rsidP="00871631">
            <w:pPr>
              <w:rPr>
                <w:color w:val="000000"/>
                <w:sz w:val="18"/>
                <w:szCs w:val="18"/>
                <w:lang w:eastAsia="en-AU"/>
              </w:rPr>
            </w:pPr>
            <w:r w:rsidRPr="002D7AE6">
              <w:rPr>
                <w:color w:val="000000"/>
                <w:sz w:val="18"/>
                <w:szCs w:val="18"/>
                <w:lang w:eastAsia="en-AU"/>
              </w:rPr>
              <w:t>$231.3</w:t>
            </w:r>
          </w:p>
        </w:tc>
        <w:tc>
          <w:tcPr>
            <w:tcW w:w="850" w:type="dxa"/>
            <w:tcBorders>
              <w:top w:val="nil"/>
              <w:left w:val="nil"/>
              <w:bottom w:val="single" w:sz="4" w:space="0" w:color="FFFFFF"/>
              <w:right w:val="single" w:sz="4" w:space="0" w:color="FFFFFF"/>
            </w:tcBorders>
            <w:shd w:val="clear" w:color="000000" w:fill="D9E1F2"/>
            <w:vAlign w:val="bottom"/>
            <w:hideMark/>
          </w:tcPr>
          <w:p w14:paraId="02DB42DA" w14:textId="77777777" w:rsidR="00052799" w:rsidRPr="002D7AE6" w:rsidRDefault="00052799" w:rsidP="00871631">
            <w:pPr>
              <w:jc w:val="right"/>
              <w:rPr>
                <w:color w:val="000000"/>
                <w:sz w:val="18"/>
                <w:szCs w:val="18"/>
                <w:lang w:eastAsia="en-AU"/>
              </w:rPr>
            </w:pPr>
            <w:r w:rsidRPr="002D7AE6">
              <w:rPr>
                <w:color w:val="000000"/>
                <w:sz w:val="18"/>
                <w:szCs w:val="18"/>
                <w:lang w:eastAsia="en-AU"/>
              </w:rPr>
              <w:t>-1%</w:t>
            </w:r>
          </w:p>
        </w:tc>
        <w:tc>
          <w:tcPr>
            <w:tcW w:w="1418" w:type="dxa"/>
            <w:vMerge w:val="restart"/>
            <w:tcBorders>
              <w:top w:val="nil"/>
              <w:left w:val="single" w:sz="4" w:space="0" w:color="FFFFFF"/>
              <w:bottom w:val="single" w:sz="4" w:space="0" w:color="FFFFFF"/>
              <w:right w:val="single" w:sz="4" w:space="0" w:color="FFFFFF"/>
            </w:tcBorders>
            <w:shd w:val="clear" w:color="000000" w:fill="D9E1F2"/>
            <w:vAlign w:val="bottom"/>
            <w:hideMark/>
          </w:tcPr>
          <w:p w14:paraId="30A05959" w14:textId="77777777" w:rsidR="00052799" w:rsidRPr="002D7AE6" w:rsidRDefault="00052799" w:rsidP="00871631">
            <w:pPr>
              <w:jc w:val="center"/>
              <w:rPr>
                <w:color w:val="000000"/>
                <w:sz w:val="18"/>
                <w:szCs w:val="18"/>
                <w:lang w:eastAsia="en-AU"/>
              </w:rPr>
            </w:pPr>
            <w:r w:rsidRPr="002D7AE6">
              <w:rPr>
                <w:color w:val="000000"/>
                <w:sz w:val="18"/>
                <w:szCs w:val="18"/>
                <w:lang w:eastAsia="en-AU"/>
              </w:rPr>
              <w:t>$9,439,389</w:t>
            </w:r>
          </w:p>
        </w:tc>
        <w:tc>
          <w:tcPr>
            <w:tcW w:w="1276"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12906EFF" w14:textId="77777777" w:rsidR="00052799" w:rsidRPr="002D7AE6" w:rsidRDefault="00052799" w:rsidP="00871631">
            <w:pPr>
              <w:jc w:val="center"/>
              <w:rPr>
                <w:color w:val="000000"/>
                <w:sz w:val="18"/>
                <w:szCs w:val="18"/>
                <w:lang w:eastAsia="en-AU"/>
              </w:rPr>
            </w:pPr>
            <w:r w:rsidRPr="002D7AE6">
              <w:rPr>
                <w:color w:val="000000"/>
                <w:sz w:val="18"/>
                <w:szCs w:val="18"/>
                <w:lang w:eastAsia="en-AU"/>
              </w:rPr>
              <w:t>$(1,276,602)</w:t>
            </w:r>
          </w:p>
        </w:tc>
        <w:tc>
          <w:tcPr>
            <w:tcW w:w="925" w:type="dxa"/>
            <w:tcBorders>
              <w:top w:val="nil"/>
              <w:left w:val="nil"/>
              <w:bottom w:val="single" w:sz="4" w:space="0" w:color="FFFFFF"/>
              <w:right w:val="single" w:sz="4" w:space="0" w:color="FFFFFF"/>
            </w:tcBorders>
            <w:shd w:val="clear" w:color="000000" w:fill="D9E1F2"/>
            <w:vAlign w:val="bottom"/>
            <w:hideMark/>
          </w:tcPr>
          <w:p w14:paraId="49FEF7F0" w14:textId="77777777" w:rsidR="00052799" w:rsidRPr="002D7AE6" w:rsidRDefault="00052799" w:rsidP="00871631">
            <w:pPr>
              <w:rPr>
                <w:color w:val="000000"/>
                <w:sz w:val="18"/>
                <w:szCs w:val="18"/>
                <w:lang w:eastAsia="en-AU"/>
              </w:rPr>
            </w:pPr>
            <w:r w:rsidRPr="002D7AE6">
              <w:rPr>
                <w:color w:val="000000"/>
                <w:sz w:val="18"/>
                <w:szCs w:val="18"/>
                <w:lang w:eastAsia="en-AU"/>
              </w:rPr>
              <w:t>$233.2</w:t>
            </w:r>
          </w:p>
        </w:tc>
        <w:tc>
          <w:tcPr>
            <w:tcW w:w="831" w:type="dxa"/>
            <w:tcBorders>
              <w:top w:val="nil"/>
              <w:left w:val="nil"/>
              <w:bottom w:val="single" w:sz="4" w:space="0" w:color="FFFFFF"/>
              <w:right w:val="single" w:sz="4" w:space="0" w:color="FFFFFF"/>
            </w:tcBorders>
            <w:shd w:val="clear" w:color="000000" w:fill="D9E1F2"/>
            <w:vAlign w:val="bottom"/>
            <w:hideMark/>
          </w:tcPr>
          <w:p w14:paraId="557AA115" w14:textId="77777777" w:rsidR="00052799" w:rsidRPr="002D7AE6" w:rsidRDefault="00052799" w:rsidP="00871631">
            <w:pPr>
              <w:jc w:val="right"/>
              <w:rPr>
                <w:color w:val="000000"/>
                <w:sz w:val="18"/>
                <w:szCs w:val="18"/>
                <w:lang w:eastAsia="en-AU"/>
              </w:rPr>
            </w:pPr>
            <w:r w:rsidRPr="002D7AE6">
              <w:rPr>
                <w:color w:val="000000"/>
                <w:sz w:val="18"/>
                <w:szCs w:val="18"/>
                <w:lang w:eastAsia="en-AU"/>
              </w:rPr>
              <w:t>0%</w:t>
            </w:r>
          </w:p>
        </w:tc>
        <w:tc>
          <w:tcPr>
            <w:tcW w:w="1255" w:type="dxa"/>
            <w:vMerge w:val="restart"/>
            <w:tcBorders>
              <w:top w:val="nil"/>
              <w:left w:val="single" w:sz="4" w:space="0" w:color="FFFFFF"/>
              <w:bottom w:val="single" w:sz="4" w:space="0" w:color="FFFFFF"/>
              <w:right w:val="single" w:sz="4" w:space="0" w:color="FFFFFF"/>
            </w:tcBorders>
            <w:shd w:val="clear" w:color="000000" w:fill="D9E1F2"/>
            <w:vAlign w:val="bottom"/>
            <w:hideMark/>
          </w:tcPr>
          <w:p w14:paraId="5C8275DF" w14:textId="77777777" w:rsidR="00052799" w:rsidRPr="002D7AE6" w:rsidRDefault="00052799" w:rsidP="00871631">
            <w:pPr>
              <w:jc w:val="center"/>
              <w:rPr>
                <w:color w:val="000000"/>
                <w:sz w:val="18"/>
                <w:szCs w:val="18"/>
                <w:lang w:eastAsia="en-AU"/>
              </w:rPr>
            </w:pPr>
            <w:r w:rsidRPr="002D7AE6">
              <w:rPr>
                <w:color w:val="000000"/>
                <w:sz w:val="18"/>
                <w:szCs w:val="18"/>
                <w:lang w:eastAsia="en-AU"/>
              </w:rPr>
              <w:t>$10,716,061</w:t>
            </w:r>
          </w:p>
        </w:tc>
        <w:tc>
          <w:tcPr>
            <w:tcW w:w="982"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13F0E4A6" w14:textId="77777777" w:rsidR="00052799" w:rsidRPr="002D7AE6" w:rsidRDefault="00052799" w:rsidP="00871631">
            <w:pPr>
              <w:jc w:val="center"/>
              <w:rPr>
                <w:color w:val="000000"/>
                <w:sz w:val="18"/>
                <w:szCs w:val="18"/>
                <w:lang w:eastAsia="en-AU"/>
              </w:rPr>
            </w:pPr>
            <w:r w:rsidRPr="002D7AE6">
              <w:rPr>
                <w:color w:val="000000"/>
                <w:sz w:val="18"/>
                <w:szCs w:val="18"/>
                <w:lang w:eastAsia="en-AU"/>
              </w:rPr>
              <w:t>$71</w:t>
            </w:r>
          </w:p>
        </w:tc>
      </w:tr>
      <w:tr w:rsidR="00052799" w:rsidRPr="002D7AE6" w14:paraId="3D3F1E12"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2AA3D81A" w14:textId="77777777" w:rsidR="00052799" w:rsidRPr="002D7AE6" w:rsidRDefault="00052799" w:rsidP="00871631">
            <w:pPr>
              <w:rPr>
                <w:color w:val="000000"/>
                <w:sz w:val="18"/>
                <w:szCs w:val="18"/>
                <w:lang w:eastAsia="en-AU"/>
              </w:rPr>
            </w:pPr>
            <w:r w:rsidRPr="002D7AE6">
              <w:rPr>
                <w:color w:val="000000"/>
                <w:sz w:val="18"/>
                <w:szCs w:val="18"/>
                <w:lang w:eastAsia="en-AU"/>
              </w:rPr>
              <w:t>Longarm category B individual</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6AA62C31" w14:textId="77777777" w:rsidR="00052799" w:rsidRPr="002D7AE6" w:rsidRDefault="00052799" w:rsidP="00871631">
            <w:pPr>
              <w:rPr>
                <w:color w:val="000000"/>
                <w:sz w:val="18"/>
                <w:szCs w:val="18"/>
                <w:lang w:eastAsia="en-AU"/>
              </w:rPr>
            </w:pPr>
            <w:r w:rsidRPr="002D7AE6">
              <w:rPr>
                <w:color w:val="000000"/>
                <w:sz w:val="18"/>
                <w:szCs w:val="18"/>
                <w:lang w:eastAsia="en-AU"/>
              </w:rPr>
              <w:t>$269.5</w:t>
            </w:r>
          </w:p>
        </w:tc>
        <w:tc>
          <w:tcPr>
            <w:tcW w:w="1255" w:type="dxa"/>
            <w:vMerge/>
            <w:tcBorders>
              <w:top w:val="nil"/>
              <w:left w:val="single" w:sz="4" w:space="0" w:color="FFFFFF"/>
              <w:bottom w:val="single" w:sz="4" w:space="0" w:color="FFFFFF"/>
              <w:right w:val="single" w:sz="4" w:space="0" w:color="auto"/>
            </w:tcBorders>
            <w:vAlign w:val="center"/>
            <w:hideMark/>
          </w:tcPr>
          <w:p w14:paraId="03FA5056"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34E8A260" w14:textId="77777777" w:rsidR="00052799" w:rsidRPr="002D7AE6" w:rsidRDefault="00052799" w:rsidP="00871631">
            <w:pPr>
              <w:rPr>
                <w:color w:val="000000"/>
                <w:sz w:val="18"/>
                <w:szCs w:val="18"/>
                <w:lang w:eastAsia="en-AU"/>
              </w:rPr>
            </w:pPr>
            <w:r w:rsidRPr="002D7AE6">
              <w:rPr>
                <w:color w:val="000000"/>
                <w:sz w:val="18"/>
                <w:szCs w:val="18"/>
                <w:lang w:eastAsia="en-AU"/>
              </w:rPr>
              <w:t>$233.8</w:t>
            </w:r>
          </w:p>
        </w:tc>
        <w:tc>
          <w:tcPr>
            <w:tcW w:w="850" w:type="dxa"/>
            <w:tcBorders>
              <w:top w:val="nil"/>
              <w:left w:val="nil"/>
              <w:bottom w:val="single" w:sz="4" w:space="0" w:color="FFFFFF"/>
              <w:right w:val="single" w:sz="4" w:space="0" w:color="FFFFFF"/>
            </w:tcBorders>
            <w:shd w:val="clear" w:color="000000" w:fill="D9E1F2"/>
            <w:vAlign w:val="bottom"/>
            <w:hideMark/>
          </w:tcPr>
          <w:p w14:paraId="5BA9FA04" w14:textId="77777777" w:rsidR="00052799" w:rsidRPr="002D7AE6" w:rsidRDefault="00052799" w:rsidP="00871631">
            <w:pPr>
              <w:jc w:val="right"/>
              <w:rPr>
                <w:color w:val="000000"/>
                <w:sz w:val="18"/>
                <w:szCs w:val="18"/>
                <w:lang w:eastAsia="en-AU"/>
              </w:rPr>
            </w:pPr>
            <w:r w:rsidRPr="002D7AE6">
              <w:rPr>
                <w:color w:val="000000"/>
                <w:sz w:val="18"/>
                <w:szCs w:val="18"/>
                <w:lang w:eastAsia="en-AU"/>
              </w:rPr>
              <w:t>-13%</w:t>
            </w:r>
          </w:p>
        </w:tc>
        <w:tc>
          <w:tcPr>
            <w:tcW w:w="1418" w:type="dxa"/>
            <w:vMerge/>
            <w:tcBorders>
              <w:top w:val="nil"/>
              <w:left w:val="single" w:sz="4" w:space="0" w:color="FFFFFF"/>
              <w:bottom w:val="single" w:sz="4" w:space="0" w:color="FFFFFF"/>
              <w:right w:val="single" w:sz="4" w:space="0" w:color="FFFFFF"/>
            </w:tcBorders>
            <w:vAlign w:val="center"/>
            <w:hideMark/>
          </w:tcPr>
          <w:p w14:paraId="22E94DB0"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6B56116E"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5FE7A783" w14:textId="77777777" w:rsidR="00052799" w:rsidRPr="002D7AE6" w:rsidRDefault="00052799" w:rsidP="00871631">
            <w:pPr>
              <w:rPr>
                <w:color w:val="000000"/>
                <w:sz w:val="18"/>
                <w:szCs w:val="18"/>
                <w:lang w:eastAsia="en-AU"/>
              </w:rPr>
            </w:pPr>
            <w:r w:rsidRPr="002D7AE6">
              <w:rPr>
                <w:color w:val="000000"/>
                <w:sz w:val="18"/>
                <w:szCs w:val="18"/>
                <w:lang w:eastAsia="en-AU"/>
              </w:rPr>
              <w:t>$269.5</w:t>
            </w:r>
          </w:p>
        </w:tc>
        <w:tc>
          <w:tcPr>
            <w:tcW w:w="831" w:type="dxa"/>
            <w:tcBorders>
              <w:top w:val="nil"/>
              <w:left w:val="nil"/>
              <w:bottom w:val="single" w:sz="4" w:space="0" w:color="FFFFFF"/>
              <w:right w:val="single" w:sz="4" w:space="0" w:color="FFFFFF"/>
            </w:tcBorders>
            <w:shd w:val="clear" w:color="000000" w:fill="D9E1F2"/>
            <w:vAlign w:val="bottom"/>
            <w:hideMark/>
          </w:tcPr>
          <w:p w14:paraId="551244D9" w14:textId="77777777" w:rsidR="00052799" w:rsidRPr="002D7AE6" w:rsidRDefault="00052799" w:rsidP="00871631">
            <w:pPr>
              <w:jc w:val="right"/>
              <w:rPr>
                <w:color w:val="000000"/>
                <w:sz w:val="18"/>
                <w:szCs w:val="18"/>
                <w:lang w:eastAsia="en-AU"/>
              </w:rPr>
            </w:pPr>
            <w:r w:rsidRPr="002D7AE6">
              <w:rPr>
                <w:color w:val="000000"/>
                <w:sz w:val="18"/>
                <w:szCs w:val="18"/>
                <w:lang w:eastAsia="en-AU"/>
              </w:rPr>
              <w:t>0%</w:t>
            </w:r>
          </w:p>
        </w:tc>
        <w:tc>
          <w:tcPr>
            <w:tcW w:w="1255" w:type="dxa"/>
            <w:vMerge/>
            <w:tcBorders>
              <w:top w:val="nil"/>
              <w:left w:val="single" w:sz="4" w:space="0" w:color="FFFFFF"/>
              <w:bottom w:val="single" w:sz="4" w:space="0" w:color="FFFFFF"/>
              <w:right w:val="single" w:sz="4" w:space="0" w:color="FFFFFF"/>
            </w:tcBorders>
            <w:vAlign w:val="center"/>
            <w:hideMark/>
          </w:tcPr>
          <w:p w14:paraId="38E82721"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3D31DEDA" w14:textId="77777777" w:rsidR="00052799" w:rsidRPr="002D7AE6" w:rsidRDefault="00052799" w:rsidP="00871631">
            <w:pPr>
              <w:rPr>
                <w:color w:val="000000"/>
                <w:sz w:val="18"/>
                <w:szCs w:val="18"/>
                <w:lang w:eastAsia="en-AU"/>
              </w:rPr>
            </w:pPr>
          </w:p>
        </w:tc>
      </w:tr>
      <w:tr w:rsidR="00052799" w:rsidRPr="002D7AE6" w14:paraId="47A51375"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39718051" w14:textId="77777777" w:rsidR="00052799" w:rsidRPr="002D7AE6" w:rsidRDefault="00052799" w:rsidP="00871631">
            <w:pPr>
              <w:rPr>
                <w:color w:val="000000"/>
                <w:sz w:val="18"/>
                <w:szCs w:val="18"/>
                <w:lang w:eastAsia="en-AU"/>
              </w:rPr>
            </w:pPr>
            <w:r w:rsidRPr="002D7AE6">
              <w:rPr>
                <w:color w:val="000000"/>
                <w:sz w:val="18"/>
                <w:szCs w:val="18"/>
                <w:lang w:eastAsia="en-AU"/>
              </w:rPr>
              <w:t>Longarm category A business</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52546CDB" w14:textId="77777777" w:rsidR="00052799" w:rsidRPr="002D7AE6" w:rsidRDefault="00052799" w:rsidP="00871631">
            <w:pPr>
              <w:rPr>
                <w:color w:val="000000"/>
                <w:sz w:val="18"/>
                <w:szCs w:val="18"/>
                <w:lang w:eastAsia="en-AU"/>
              </w:rPr>
            </w:pPr>
            <w:r w:rsidRPr="002D7AE6">
              <w:rPr>
                <w:color w:val="000000"/>
                <w:sz w:val="18"/>
                <w:szCs w:val="18"/>
                <w:lang w:eastAsia="en-AU"/>
              </w:rPr>
              <w:t>$422.3</w:t>
            </w:r>
          </w:p>
        </w:tc>
        <w:tc>
          <w:tcPr>
            <w:tcW w:w="1255" w:type="dxa"/>
            <w:vMerge/>
            <w:tcBorders>
              <w:top w:val="nil"/>
              <w:left w:val="single" w:sz="4" w:space="0" w:color="FFFFFF"/>
              <w:bottom w:val="single" w:sz="4" w:space="0" w:color="FFFFFF"/>
              <w:right w:val="single" w:sz="4" w:space="0" w:color="auto"/>
            </w:tcBorders>
            <w:vAlign w:val="center"/>
            <w:hideMark/>
          </w:tcPr>
          <w:p w14:paraId="0BE0E7B3"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4E258535" w14:textId="77777777" w:rsidR="00052799" w:rsidRPr="002D7AE6" w:rsidRDefault="00052799" w:rsidP="00871631">
            <w:pPr>
              <w:rPr>
                <w:color w:val="000000"/>
                <w:sz w:val="18"/>
                <w:szCs w:val="18"/>
                <w:lang w:eastAsia="en-AU"/>
              </w:rPr>
            </w:pPr>
            <w:r w:rsidRPr="002D7AE6">
              <w:rPr>
                <w:color w:val="000000"/>
                <w:sz w:val="18"/>
                <w:szCs w:val="18"/>
                <w:lang w:eastAsia="en-AU"/>
              </w:rPr>
              <w:t>$430.2</w:t>
            </w:r>
          </w:p>
        </w:tc>
        <w:tc>
          <w:tcPr>
            <w:tcW w:w="850" w:type="dxa"/>
            <w:tcBorders>
              <w:top w:val="nil"/>
              <w:left w:val="nil"/>
              <w:bottom w:val="single" w:sz="4" w:space="0" w:color="FFFFFF"/>
              <w:right w:val="single" w:sz="4" w:space="0" w:color="FFFFFF"/>
            </w:tcBorders>
            <w:shd w:val="clear" w:color="000000" w:fill="D9E1F2"/>
            <w:vAlign w:val="bottom"/>
            <w:hideMark/>
          </w:tcPr>
          <w:p w14:paraId="10743187" w14:textId="77777777" w:rsidR="00052799" w:rsidRPr="002D7AE6" w:rsidRDefault="00052799" w:rsidP="00871631">
            <w:pPr>
              <w:jc w:val="right"/>
              <w:rPr>
                <w:color w:val="000000"/>
                <w:sz w:val="18"/>
                <w:szCs w:val="18"/>
                <w:lang w:eastAsia="en-AU"/>
              </w:rPr>
            </w:pPr>
            <w:r w:rsidRPr="002D7AE6">
              <w:rPr>
                <w:color w:val="000000"/>
                <w:sz w:val="18"/>
                <w:szCs w:val="18"/>
                <w:lang w:eastAsia="en-AU"/>
              </w:rPr>
              <w:t>2%</w:t>
            </w:r>
          </w:p>
        </w:tc>
        <w:tc>
          <w:tcPr>
            <w:tcW w:w="1418" w:type="dxa"/>
            <w:vMerge/>
            <w:tcBorders>
              <w:top w:val="nil"/>
              <w:left w:val="single" w:sz="4" w:space="0" w:color="FFFFFF"/>
              <w:bottom w:val="single" w:sz="4" w:space="0" w:color="FFFFFF"/>
              <w:right w:val="single" w:sz="4" w:space="0" w:color="FFFFFF"/>
            </w:tcBorders>
            <w:vAlign w:val="center"/>
            <w:hideMark/>
          </w:tcPr>
          <w:p w14:paraId="549CB167"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1A4EA073"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556E220F" w14:textId="77777777" w:rsidR="00052799" w:rsidRPr="002D7AE6" w:rsidRDefault="00052799" w:rsidP="00871631">
            <w:pPr>
              <w:rPr>
                <w:color w:val="000000"/>
                <w:sz w:val="18"/>
                <w:szCs w:val="18"/>
                <w:lang w:eastAsia="en-AU"/>
              </w:rPr>
            </w:pPr>
            <w:r w:rsidRPr="002D7AE6">
              <w:rPr>
                <w:color w:val="000000"/>
                <w:sz w:val="18"/>
                <w:szCs w:val="18"/>
                <w:lang w:eastAsia="en-AU"/>
              </w:rPr>
              <w:t>$426.3</w:t>
            </w:r>
          </w:p>
        </w:tc>
        <w:tc>
          <w:tcPr>
            <w:tcW w:w="831" w:type="dxa"/>
            <w:tcBorders>
              <w:top w:val="nil"/>
              <w:left w:val="nil"/>
              <w:bottom w:val="single" w:sz="4" w:space="0" w:color="FFFFFF"/>
              <w:right w:val="single" w:sz="4" w:space="0" w:color="FFFFFF"/>
            </w:tcBorders>
            <w:shd w:val="clear" w:color="000000" w:fill="D9E1F2"/>
            <w:vAlign w:val="bottom"/>
            <w:hideMark/>
          </w:tcPr>
          <w:p w14:paraId="7D1D81D2" w14:textId="77777777" w:rsidR="00052799" w:rsidRPr="002D7AE6" w:rsidRDefault="00052799" w:rsidP="00871631">
            <w:pPr>
              <w:jc w:val="right"/>
              <w:rPr>
                <w:color w:val="000000"/>
                <w:sz w:val="18"/>
                <w:szCs w:val="18"/>
                <w:lang w:eastAsia="en-AU"/>
              </w:rPr>
            </w:pPr>
            <w:r w:rsidRPr="002D7AE6">
              <w:rPr>
                <w:color w:val="000000"/>
                <w:sz w:val="18"/>
                <w:szCs w:val="18"/>
                <w:lang w:eastAsia="en-AU"/>
              </w:rPr>
              <w:t>1%</w:t>
            </w:r>
          </w:p>
        </w:tc>
        <w:tc>
          <w:tcPr>
            <w:tcW w:w="1255" w:type="dxa"/>
            <w:vMerge/>
            <w:tcBorders>
              <w:top w:val="nil"/>
              <w:left w:val="single" w:sz="4" w:space="0" w:color="FFFFFF"/>
              <w:bottom w:val="single" w:sz="4" w:space="0" w:color="FFFFFF"/>
              <w:right w:val="single" w:sz="4" w:space="0" w:color="FFFFFF"/>
            </w:tcBorders>
            <w:vAlign w:val="center"/>
            <w:hideMark/>
          </w:tcPr>
          <w:p w14:paraId="700A5676"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57A3F2C3" w14:textId="77777777" w:rsidR="00052799" w:rsidRPr="002D7AE6" w:rsidRDefault="00052799" w:rsidP="00871631">
            <w:pPr>
              <w:rPr>
                <w:color w:val="000000"/>
                <w:sz w:val="18"/>
                <w:szCs w:val="18"/>
                <w:lang w:eastAsia="en-AU"/>
              </w:rPr>
            </w:pPr>
          </w:p>
        </w:tc>
      </w:tr>
      <w:tr w:rsidR="00052799" w:rsidRPr="002D7AE6" w14:paraId="34C1D5F2" w14:textId="77777777" w:rsidTr="00871631">
        <w:trPr>
          <w:trHeight w:val="324"/>
        </w:trPr>
        <w:tc>
          <w:tcPr>
            <w:tcW w:w="3681" w:type="dxa"/>
            <w:tcBorders>
              <w:top w:val="nil"/>
              <w:left w:val="nil"/>
              <w:bottom w:val="single" w:sz="4" w:space="0" w:color="FFFFFF"/>
              <w:right w:val="nil"/>
            </w:tcBorders>
            <w:shd w:val="clear" w:color="000000" w:fill="D9D9D9"/>
            <w:vAlign w:val="bottom"/>
            <w:hideMark/>
          </w:tcPr>
          <w:p w14:paraId="22E84992" w14:textId="77777777" w:rsidR="00052799" w:rsidRPr="002D7AE6" w:rsidRDefault="00052799" w:rsidP="00871631">
            <w:pPr>
              <w:rPr>
                <w:color w:val="000000"/>
                <w:sz w:val="18"/>
                <w:szCs w:val="18"/>
                <w:lang w:eastAsia="en-AU"/>
              </w:rPr>
            </w:pPr>
            <w:r w:rsidRPr="002D7AE6">
              <w:rPr>
                <w:color w:val="000000"/>
                <w:sz w:val="18"/>
                <w:szCs w:val="18"/>
                <w:lang w:eastAsia="en-AU"/>
              </w:rPr>
              <w:t>Longarm category B business</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445B2641" w14:textId="77777777" w:rsidR="00052799" w:rsidRPr="002D7AE6" w:rsidRDefault="00052799" w:rsidP="00871631">
            <w:pPr>
              <w:rPr>
                <w:color w:val="000000"/>
                <w:sz w:val="18"/>
                <w:szCs w:val="18"/>
                <w:lang w:eastAsia="en-AU"/>
              </w:rPr>
            </w:pPr>
            <w:r w:rsidRPr="002D7AE6">
              <w:rPr>
                <w:color w:val="000000"/>
                <w:sz w:val="18"/>
                <w:szCs w:val="18"/>
                <w:lang w:eastAsia="en-AU"/>
              </w:rPr>
              <w:t>$422.3</w:t>
            </w:r>
          </w:p>
        </w:tc>
        <w:tc>
          <w:tcPr>
            <w:tcW w:w="1255" w:type="dxa"/>
            <w:vMerge/>
            <w:tcBorders>
              <w:top w:val="nil"/>
              <w:left w:val="single" w:sz="4" w:space="0" w:color="FFFFFF"/>
              <w:bottom w:val="single" w:sz="4" w:space="0" w:color="FFFFFF"/>
              <w:right w:val="single" w:sz="4" w:space="0" w:color="auto"/>
            </w:tcBorders>
            <w:vAlign w:val="center"/>
            <w:hideMark/>
          </w:tcPr>
          <w:p w14:paraId="77D758A3"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1B705AEE" w14:textId="77777777" w:rsidR="00052799" w:rsidRPr="002D7AE6" w:rsidRDefault="00052799" w:rsidP="00871631">
            <w:pPr>
              <w:rPr>
                <w:color w:val="000000"/>
                <w:sz w:val="18"/>
                <w:szCs w:val="18"/>
                <w:lang w:eastAsia="en-AU"/>
              </w:rPr>
            </w:pPr>
            <w:r w:rsidRPr="002D7AE6">
              <w:rPr>
                <w:color w:val="000000"/>
                <w:sz w:val="18"/>
                <w:szCs w:val="18"/>
                <w:lang w:eastAsia="en-AU"/>
              </w:rPr>
              <w:t>$430.2</w:t>
            </w:r>
          </w:p>
        </w:tc>
        <w:tc>
          <w:tcPr>
            <w:tcW w:w="850" w:type="dxa"/>
            <w:tcBorders>
              <w:top w:val="nil"/>
              <w:left w:val="nil"/>
              <w:bottom w:val="single" w:sz="4" w:space="0" w:color="FFFFFF"/>
              <w:right w:val="single" w:sz="4" w:space="0" w:color="FFFFFF"/>
            </w:tcBorders>
            <w:shd w:val="clear" w:color="000000" w:fill="D9E1F2"/>
            <w:vAlign w:val="bottom"/>
            <w:hideMark/>
          </w:tcPr>
          <w:p w14:paraId="405D1DB9" w14:textId="77777777" w:rsidR="00052799" w:rsidRPr="002D7AE6" w:rsidRDefault="00052799" w:rsidP="00871631">
            <w:pPr>
              <w:jc w:val="right"/>
              <w:rPr>
                <w:color w:val="000000"/>
                <w:sz w:val="18"/>
                <w:szCs w:val="18"/>
                <w:lang w:eastAsia="en-AU"/>
              </w:rPr>
            </w:pPr>
            <w:r w:rsidRPr="002D7AE6">
              <w:rPr>
                <w:color w:val="000000"/>
                <w:sz w:val="18"/>
                <w:szCs w:val="18"/>
                <w:lang w:eastAsia="en-AU"/>
              </w:rPr>
              <w:t>2%</w:t>
            </w:r>
          </w:p>
        </w:tc>
        <w:tc>
          <w:tcPr>
            <w:tcW w:w="1418" w:type="dxa"/>
            <w:vMerge/>
            <w:tcBorders>
              <w:top w:val="nil"/>
              <w:left w:val="single" w:sz="4" w:space="0" w:color="FFFFFF"/>
              <w:bottom w:val="single" w:sz="4" w:space="0" w:color="FFFFFF"/>
              <w:right w:val="single" w:sz="4" w:space="0" w:color="FFFFFF"/>
            </w:tcBorders>
            <w:vAlign w:val="center"/>
            <w:hideMark/>
          </w:tcPr>
          <w:p w14:paraId="4F4A2410"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6A565C31"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0E1BB09A" w14:textId="77777777" w:rsidR="00052799" w:rsidRPr="002D7AE6" w:rsidRDefault="00052799" w:rsidP="00871631">
            <w:pPr>
              <w:rPr>
                <w:color w:val="000000"/>
                <w:sz w:val="18"/>
                <w:szCs w:val="18"/>
                <w:lang w:eastAsia="en-AU"/>
              </w:rPr>
            </w:pPr>
            <w:r w:rsidRPr="002D7AE6">
              <w:rPr>
                <w:color w:val="000000"/>
                <w:sz w:val="18"/>
                <w:szCs w:val="18"/>
                <w:lang w:eastAsia="en-AU"/>
              </w:rPr>
              <w:t>$426.3</w:t>
            </w:r>
          </w:p>
        </w:tc>
        <w:tc>
          <w:tcPr>
            <w:tcW w:w="831" w:type="dxa"/>
            <w:tcBorders>
              <w:top w:val="nil"/>
              <w:left w:val="nil"/>
              <w:bottom w:val="single" w:sz="4" w:space="0" w:color="FFFFFF"/>
              <w:right w:val="single" w:sz="4" w:space="0" w:color="FFFFFF"/>
            </w:tcBorders>
            <w:shd w:val="clear" w:color="000000" w:fill="D9E1F2"/>
            <w:vAlign w:val="bottom"/>
            <w:hideMark/>
          </w:tcPr>
          <w:p w14:paraId="5752AD88" w14:textId="77777777" w:rsidR="00052799" w:rsidRPr="002D7AE6" w:rsidRDefault="00052799" w:rsidP="00871631">
            <w:pPr>
              <w:jc w:val="right"/>
              <w:rPr>
                <w:color w:val="000000"/>
                <w:sz w:val="18"/>
                <w:szCs w:val="18"/>
                <w:lang w:eastAsia="en-AU"/>
              </w:rPr>
            </w:pPr>
            <w:r w:rsidRPr="002D7AE6">
              <w:rPr>
                <w:color w:val="000000"/>
                <w:sz w:val="18"/>
                <w:szCs w:val="18"/>
                <w:lang w:eastAsia="en-AU"/>
              </w:rPr>
              <w:t>1%</w:t>
            </w:r>
          </w:p>
        </w:tc>
        <w:tc>
          <w:tcPr>
            <w:tcW w:w="1255" w:type="dxa"/>
            <w:vMerge/>
            <w:tcBorders>
              <w:top w:val="nil"/>
              <w:left w:val="single" w:sz="4" w:space="0" w:color="FFFFFF"/>
              <w:bottom w:val="single" w:sz="4" w:space="0" w:color="FFFFFF"/>
              <w:right w:val="single" w:sz="4" w:space="0" w:color="FFFFFF"/>
            </w:tcBorders>
            <w:vAlign w:val="center"/>
            <w:hideMark/>
          </w:tcPr>
          <w:p w14:paraId="19D80CFB"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1076B31B" w14:textId="77777777" w:rsidR="00052799" w:rsidRPr="002D7AE6" w:rsidRDefault="00052799" w:rsidP="00871631">
            <w:pPr>
              <w:rPr>
                <w:color w:val="000000"/>
                <w:sz w:val="18"/>
                <w:szCs w:val="18"/>
                <w:lang w:eastAsia="en-AU"/>
              </w:rPr>
            </w:pPr>
          </w:p>
        </w:tc>
      </w:tr>
      <w:tr w:rsidR="00052799" w:rsidRPr="002D7AE6" w14:paraId="7C1D1CD0" w14:textId="77777777" w:rsidTr="00871631">
        <w:trPr>
          <w:trHeight w:val="288"/>
        </w:trPr>
        <w:tc>
          <w:tcPr>
            <w:tcW w:w="3681" w:type="dxa"/>
            <w:tcBorders>
              <w:top w:val="nil"/>
              <w:left w:val="nil"/>
              <w:bottom w:val="single" w:sz="4" w:space="0" w:color="FFFFFF"/>
              <w:right w:val="nil"/>
            </w:tcBorders>
            <w:shd w:val="clear" w:color="000000" w:fill="D9D9D9"/>
            <w:vAlign w:val="bottom"/>
            <w:hideMark/>
          </w:tcPr>
          <w:p w14:paraId="0B39752A" w14:textId="77777777" w:rsidR="00052799" w:rsidRPr="002D7AE6" w:rsidRDefault="00052799" w:rsidP="00871631">
            <w:pPr>
              <w:rPr>
                <w:color w:val="000000"/>
                <w:sz w:val="18"/>
                <w:szCs w:val="18"/>
                <w:lang w:eastAsia="en-AU"/>
              </w:rPr>
            </w:pPr>
            <w:r w:rsidRPr="002D7AE6">
              <w:rPr>
                <w:color w:val="000000"/>
                <w:sz w:val="18"/>
                <w:szCs w:val="18"/>
                <w:lang w:eastAsia="en-AU"/>
              </w:rPr>
              <w:t>Longarm category C individual</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36509457" w14:textId="77777777" w:rsidR="00052799" w:rsidRPr="002D7AE6" w:rsidRDefault="00052799" w:rsidP="00871631">
            <w:pPr>
              <w:rPr>
                <w:color w:val="000000"/>
                <w:sz w:val="18"/>
                <w:szCs w:val="18"/>
                <w:lang w:eastAsia="en-AU"/>
              </w:rPr>
            </w:pPr>
            <w:r w:rsidRPr="002D7AE6">
              <w:rPr>
                <w:color w:val="000000"/>
                <w:sz w:val="18"/>
                <w:szCs w:val="18"/>
                <w:lang w:eastAsia="en-AU"/>
              </w:rPr>
              <w:t>$161.7</w:t>
            </w:r>
          </w:p>
        </w:tc>
        <w:tc>
          <w:tcPr>
            <w:tcW w:w="1255"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4C579D67" w14:textId="77777777" w:rsidR="00052799" w:rsidRPr="002D7AE6" w:rsidRDefault="00052799" w:rsidP="00871631">
            <w:pPr>
              <w:jc w:val="center"/>
              <w:rPr>
                <w:color w:val="000000"/>
                <w:sz w:val="18"/>
                <w:szCs w:val="18"/>
                <w:lang w:eastAsia="en-AU"/>
              </w:rPr>
            </w:pPr>
            <w:r w:rsidRPr="002D7AE6">
              <w:rPr>
                <w:color w:val="000000"/>
                <w:sz w:val="18"/>
                <w:szCs w:val="18"/>
                <w:lang w:eastAsia="en-AU"/>
              </w:rPr>
              <w:t>$768,375</w:t>
            </w:r>
          </w:p>
        </w:tc>
        <w:tc>
          <w:tcPr>
            <w:tcW w:w="927" w:type="dxa"/>
            <w:tcBorders>
              <w:top w:val="nil"/>
              <w:left w:val="nil"/>
              <w:bottom w:val="single" w:sz="4" w:space="0" w:color="FFFFFF"/>
              <w:right w:val="single" w:sz="4" w:space="0" w:color="FFFFFF"/>
            </w:tcBorders>
            <w:shd w:val="clear" w:color="000000" w:fill="D9E1F2"/>
            <w:vAlign w:val="bottom"/>
            <w:hideMark/>
          </w:tcPr>
          <w:p w14:paraId="583E636A" w14:textId="77777777" w:rsidR="00052799" w:rsidRPr="002D7AE6" w:rsidRDefault="00052799" w:rsidP="00871631">
            <w:pPr>
              <w:rPr>
                <w:color w:val="000000"/>
                <w:sz w:val="18"/>
                <w:szCs w:val="18"/>
                <w:lang w:eastAsia="en-AU"/>
              </w:rPr>
            </w:pPr>
            <w:r w:rsidRPr="002D7AE6">
              <w:rPr>
                <w:color w:val="000000"/>
                <w:sz w:val="18"/>
                <w:szCs w:val="18"/>
                <w:lang w:eastAsia="en-AU"/>
              </w:rPr>
              <w:t>$353.4</w:t>
            </w:r>
          </w:p>
        </w:tc>
        <w:tc>
          <w:tcPr>
            <w:tcW w:w="850" w:type="dxa"/>
            <w:tcBorders>
              <w:top w:val="nil"/>
              <w:left w:val="nil"/>
              <w:bottom w:val="single" w:sz="4" w:space="0" w:color="FFFFFF"/>
              <w:right w:val="single" w:sz="4" w:space="0" w:color="FFFFFF"/>
            </w:tcBorders>
            <w:shd w:val="clear" w:color="000000" w:fill="D9E1F2"/>
            <w:vAlign w:val="bottom"/>
            <w:hideMark/>
          </w:tcPr>
          <w:p w14:paraId="6C78C208" w14:textId="77777777" w:rsidR="00052799" w:rsidRPr="002D7AE6" w:rsidRDefault="00052799" w:rsidP="00871631">
            <w:pPr>
              <w:jc w:val="right"/>
              <w:rPr>
                <w:color w:val="000000"/>
                <w:sz w:val="18"/>
                <w:szCs w:val="18"/>
                <w:lang w:eastAsia="en-AU"/>
              </w:rPr>
            </w:pPr>
            <w:r w:rsidRPr="002D7AE6">
              <w:rPr>
                <w:color w:val="000000"/>
                <w:sz w:val="18"/>
                <w:szCs w:val="18"/>
                <w:lang w:eastAsia="en-AU"/>
              </w:rPr>
              <w:t>119%</w:t>
            </w:r>
          </w:p>
        </w:tc>
        <w:tc>
          <w:tcPr>
            <w:tcW w:w="1418" w:type="dxa"/>
            <w:vMerge w:val="restart"/>
            <w:tcBorders>
              <w:top w:val="nil"/>
              <w:left w:val="single" w:sz="4" w:space="0" w:color="FFFFFF"/>
              <w:bottom w:val="single" w:sz="4" w:space="0" w:color="FFFFFF"/>
              <w:right w:val="single" w:sz="4" w:space="0" w:color="FFFFFF"/>
            </w:tcBorders>
            <w:shd w:val="clear" w:color="000000" w:fill="D9E1F2"/>
            <w:vAlign w:val="bottom"/>
            <w:hideMark/>
          </w:tcPr>
          <w:p w14:paraId="6FB895A7" w14:textId="77777777" w:rsidR="00052799" w:rsidRPr="002D7AE6" w:rsidRDefault="00052799" w:rsidP="00871631">
            <w:pPr>
              <w:jc w:val="center"/>
              <w:rPr>
                <w:color w:val="000000"/>
                <w:sz w:val="18"/>
                <w:szCs w:val="18"/>
                <w:lang w:eastAsia="en-AU"/>
              </w:rPr>
            </w:pPr>
            <w:r w:rsidRPr="002D7AE6">
              <w:rPr>
                <w:color w:val="000000"/>
                <w:sz w:val="18"/>
                <w:szCs w:val="18"/>
                <w:lang w:eastAsia="en-AU"/>
              </w:rPr>
              <w:t>$1,215,244.78</w:t>
            </w:r>
          </w:p>
        </w:tc>
        <w:tc>
          <w:tcPr>
            <w:tcW w:w="1276"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1752257A" w14:textId="77777777" w:rsidR="00052799" w:rsidRPr="002D7AE6" w:rsidRDefault="00052799" w:rsidP="00871631">
            <w:pPr>
              <w:jc w:val="center"/>
              <w:rPr>
                <w:color w:val="000000"/>
                <w:sz w:val="18"/>
                <w:szCs w:val="18"/>
                <w:lang w:eastAsia="en-AU"/>
              </w:rPr>
            </w:pPr>
            <w:r w:rsidRPr="002D7AE6">
              <w:rPr>
                <w:color w:val="000000"/>
                <w:sz w:val="18"/>
                <w:szCs w:val="18"/>
                <w:lang w:eastAsia="en-AU"/>
              </w:rPr>
              <w:t>$446,869</w:t>
            </w:r>
          </w:p>
        </w:tc>
        <w:tc>
          <w:tcPr>
            <w:tcW w:w="925" w:type="dxa"/>
            <w:tcBorders>
              <w:top w:val="nil"/>
              <w:left w:val="nil"/>
              <w:bottom w:val="single" w:sz="4" w:space="0" w:color="FFFFFF"/>
              <w:right w:val="single" w:sz="4" w:space="0" w:color="FFFFFF"/>
            </w:tcBorders>
            <w:shd w:val="clear" w:color="000000" w:fill="D9E1F2"/>
            <w:vAlign w:val="bottom"/>
            <w:hideMark/>
          </w:tcPr>
          <w:p w14:paraId="45746BE6" w14:textId="77777777" w:rsidR="00052799" w:rsidRPr="002D7AE6" w:rsidRDefault="00052799" w:rsidP="00871631">
            <w:pPr>
              <w:rPr>
                <w:color w:val="000000"/>
                <w:sz w:val="18"/>
                <w:szCs w:val="18"/>
                <w:lang w:eastAsia="en-AU"/>
              </w:rPr>
            </w:pPr>
            <w:r w:rsidRPr="002D7AE6">
              <w:rPr>
                <w:color w:val="000000"/>
                <w:sz w:val="18"/>
                <w:szCs w:val="18"/>
                <w:lang w:eastAsia="en-AU"/>
              </w:rPr>
              <w:t>$257.5</w:t>
            </w:r>
          </w:p>
        </w:tc>
        <w:tc>
          <w:tcPr>
            <w:tcW w:w="831" w:type="dxa"/>
            <w:tcBorders>
              <w:top w:val="nil"/>
              <w:left w:val="nil"/>
              <w:bottom w:val="single" w:sz="4" w:space="0" w:color="FFFFFF"/>
              <w:right w:val="single" w:sz="4" w:space="0" w:color="FFFFFF"/>
            </w:tcBorders>
            <w:shd w:val="clear" w:color="000000" w:fill="D9E1F2"/>
            <w:vAlign w:val="bottom"/>
            <w:hideMark/>
          </w:tcPr>
          <w:p w14:paraId="1E5C2156" w14:textId="77777777" w:rsidR="00052799" w:rsidRPr="002D7AE6" w:rsidRDefault="00052799" w:rsidP="00871631">
            <w:pPr>
              <w:jc w:val="right"/>
              <w:rPr>
                <w:color w:val="000000"/>
                <w:sz w:val="18"/>
                <w:szCs w:val="18"/>
                <w:lang w:eastAsia="en-AU"/>
              </w:rPr>
            </w:pPr>
            <w:r w:rsidRPr="002D7AE6">
              <w:rPr>
                <w:color w:val="000000"/>
                <w:sz w:val="18"/>
                <w:szCs w:val="18"/>
                <w:lang w:eastAsia="en-AU"/>
              </w:rPr>
              <w:t>59%</w:t>
            </w:r>
          </w:p>
        </w:tc>
        <w:tc>
          <w:tcPr>
            <w:tcW w:w="1255" w:type="dxa"/>
            <w:vMerge w:val="restart"/>
            <w:tcBorders>
              <w:top w:val="nil"/>
              <w:left w:val="single" w:sz="4" w:space="0" w:color="FFFFFF"/>
              <w:bottom w:val="single" w:sz="4" w:space="0" w:color="FFFFFF"/>
              <w:right w:val="single" w:sz="4" w:space="0" w:color="FFFFFF"/>
            </w:tcBorders>
            <w:shd w:val="clear" w:color="000000" w:fill="D9E1F2"/>
            <w:vAlign w:val="bottom"/>
            <w:hideMark/>
          </w:tcPr>
          <w:p w14:paraId="4F779E5B" w14:textId="77777777" w:rsidR="00052799" w:rsidRPr="002D7AE6" w:rsidRDefault="00052799" w:rsidP="00871631">
            <w:pPr>
              <w:jc w:val="center"/>
              <w:rPr>
                <w:color w:val="000000"/>
                <w:sz w:val="18"/>
                <w:szCs w:val="18"/>
                <w:lang w:eastAsia="en-AU"/>
              </w:rPr>
            </w:pPr>
            <w:r w:rsidRPr="002D7AE6">
              <w:rPr>
                <w:color w:val="000000"/>
                <w:sz w:val="18"/>
                <w:szCs w:val="18"/>
                <w:lang w:eastAsia="en-AU"/>
              </w:rPr>
              <w:t>$996,956.98</w:t>
            </w:r>
          </w:p>
        </w:tc>
        <w:tc>
          <w:tcPr>
            <w:tcW w:w="982"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3B02F927" w14:textId="77777777" w:rsidR="00052799" w:rsidRPr="002D7AE6" w:rsidRDefault="00052799" w:rsidP="00871631">
            <w:pPr>
              <w:jc w:val="center"/>
              <w:rPr>
                <w:color w:val="000000"/>
                <w:sz w:val="18"/>
                <w:szCs w:val="18"/>
                <w:lang w:eastAsia="en-AU"/>
              </w:rPr>
            </w:pPr>
            <w:r w:rsidRPr="002D7AE6">
              <w:rPr>
                <w:color w:val="000000"/>
                <w:sz w:val="18"/>
                <w:szCs w:val="18"/>
                <w:lang w:eastAsia="en-AU"/>
              </w:rPr>
              <w:t>$228,581</w:t>
            </w:r>
          </w:p>
        </w:tc>
      </w:tr>
      <w:tr w:rsidR="00052799" w:rsidRPr="002D7AE6" w14:paraId="4EF6D6FA" w14:textId="77777777" w:rsidTr="00871631">
        <w:trPr>
          <w:trHeight w:val="288"/>
        </w:trPr>
        <w:tc>
          <w:tcPr>
            <w:tcW w:w="3681" w:type="dxa"/>
            <w:tcBorders>
              <w:top w:val="nil"/>
              <w:left w:val="nil"/>
              <w:bottom w:val="single" w:sz="4" w:space="0" w:color="FFFFFF"/>
              <w:right w:val="nil"/>
            </w:tcBorders>
            <w:shd w:val="clear" w:color="000000" w:fill="D9D9D9"/>
            <w:vAlign w:val="bottom"/>
            <w:hideMark/>
          </w:tcPr>
          <w:p w14:paraId="03E75AFE" w14:textId="77777777" w:rsidR="00052799" w:rsidRPr="002D7AE6" w:rsidRDefault="00052799" w:rsidP="00871631">
            <w:pPr>
              <w:rPr>
                <w:color w:val="000000"/>
                <w:sz w:val="18"/>
                <w:szCs w:val="18"/>
                <w:lang w:eastAsia="en-AU"/>
              </w:rPr>
            </w:pPr>
            <w:r w:rsidRPr="002D7AE6">
              <w:rPr>
                <w:color w:val="000000"/>
                <w:sz w:val="18"/>
                <w:szCs w:val="18"/>
                <w:lang w:eastAsia="en-AU"/>
              </w:rPr>
              <w:t>Longarm category D individual</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5D9A6676" w14:textId="77777777" w:rsidR="00052799" w:rsidRPr="002D7AE6" w:rsidRDefault="00052799" w:rsidP="00871631">
            <w:pPr>
              <w:rPr>
                <w:color w:val="000000"/>
                <w:sz w:val="18"/>
                <w:szCs w:val="18"/>
                <w:lang w:eastAsia="en-AU"/>
              </w:rPr>
            </w:pPr>
            <w:r w:rsidRPr="002D7AE6">
              <w:rPr>
                <w:color w:val="000000"/>
                <w:sz w:val="18"/>
                <w:szCs w:val="18"/>
                <w:lang w:eastAsia="en-AU"/>
              </w:rPr>
              <w:t>$253.4</w:t>
            </w:r>
          </w:p>
        </w:tc>
        <w:tc>
          <w:tcPr>
            <w:tcW w:w="1255" w:type="dxa"/>
            <w:vMerge/>
            <w:tcBorders>
              <w:top w:val="nil"/>
              <w:left w:val="single" w:sz="4" w:space="0" w:color="FFFFFF"/>
              <w:bottom w:val="single" w:sz="4" w:space="0" w:color="FFFFFF"/>
              <w:right w:val="single" w:sz="4" w:space="0" w:color="auto"/>
            </w:tcBorders>
            <w:vAlign w:val="center"/>
            <w:hideMark/>
          </w:tcPr>
          <w:p w14:paraId="0759B2CF"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172D5EEE" w14:textId="77777777" w:rsidR="00052799" w:rsidRPr="002D7AE6" w:rsidRDefault="00052799" w:rsidP="00871631">
            <w:pPr>
              <w:rPr>
                <w:color w:val="000000"/>
                <w:sz w:val="18"/>
                <w:szCs w:val="18"/>
                <w:lang w:eastAsia="en-AU"/>
              </w:rPr>
            </w:pPr>
            <w:r w:rsidRPr="002D7AE6">
              <w:rPr>
                <w:color w:val="000000"/>
                <w:sz w:val="18"/>
                <w:szCs w:val="18"/>
                <w:lang w:eastAsia="en-AU"/>
              </w:rPr>
              <w:t>$367.5</w:t>
            </w:r>
          </w:p>
        </w:tc>
        <w:tc>
          <w:tcPr>
            <w:tcW w:w="850" w:type="dxa"/>
            <w:tcBorders>
              <w:top w:val="nil"/>
              <w:left w:val="nil"/>
              <w:bottom w:val="single" w:sz="4" w:space="0" w:color="FFFFFF"/>
              <w:right w:val="single" w:sz="4" w:space="0" w:color="FFFFFF"/>
            </w:tcBorders>
            <w:shd w:val="clear" w:color="000000" w:fill="D9E1F2"/>
            <w:vAlign w:val="bottom"/>
            <w:hideMark/>
          </w:tcPr>
          <w:p w14:paraId="429F9EFC" w14:textId="77777777" w:rsidR="00052799" w:rsidRPr="002D7AE6" w:rsidRDefault="00052799" w:rsidP="00871631">
            <w:pPr>
              <w:jc w:val="right"/>
              <w:rPr>
                <w:color w:val="000000"/>
                <w:sz w:val="18"/>
                <w:szCs w:val="18"/>
                <w:lang w:eastAsia="en-AU"/>
              </w:rPr>
            </w:pPr>
            <w:r w:rsidRPr="002D7AE6">
              <w:rPr>
                <w:color w:val="000000"/>
                <w:sz w:val="18"/>
                <w:szCs w:val="18"/>
                <w:lang w:eastAsia="en-AU"/>
              </w:rPr>
              <w:t>45%</w:t>
            </w:r>
          </w:p>
        </w:tc>
        <w:tc>
          <w:tcPr>
            <w:tcW w:w="1418" w:type="dxa"/>
            <w:vMerge/>
            <w:tcBorders>
              <w:top w:val="nil"/>
              <w:left w:val="single" w:sz="4" w:space="0" w:color="FFFFFF"/>
              <w:bottom w:val="single" w:sz="4" w:space="0" w:color="FFFFFF"/>
              <w:right w:val="single" w:sz="4" w:space="0" w:color="FFFFFF"/>
            </w:tcBorders>
            <w:vAlign w:val="center"/>
            <w:hideMark/>
          </w:tcPr>
          <w:p w14:paraId="00A3112D"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0AD6A6D8"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67CB687C" w14:textId="77777777" w:rsidR="00052799" w:rsidRPr="002D7AE6" w:rsidRDefault="00052799" w:rsidP="00871631">
            <w:pPr>
              <w:rPr>
                <w:color w:val="000000"/>
                <w:sz w:val="18"/>
                <w:szCs w:val="18"/>
                <w:lang w:eastAsia="en-AU"/>
              </w:rPr>
            </w:pPr>
            <w:r w:rsidRPr="002D7AE6">
              <w:rPr>
                <w:color w:val="000000"/>
                <w:sz w:val="18"/>
                <w:szCs w:val="18"/>
                <w:lang w:eastAsia="en-AU"/>
              </w:rPr>
              <w:t>$310.4</w:t>
            </w:r>
          </w:p>
        </w:tc>
        <w:tc>
          <w:tcPr>
            <w:tcW w:w="831" w:type="dxa"/>
            <w:tcBorders>
              <w:top w:val="nil"/>
              <w:left w:val="nil"/>
              <w:bottom w:val="single" w:sz="4" w:space="0" w:color="FFFFFF"/>
              <w:right w:val="single" w:sz="4" w:space="0" w:color="FFFFFF"/>
            </w:tcBorders>
            <w:shd w:val="clear" w:color="000000" w:fill="D9E1F2"/>
            <w:vAlign w:val="bottom"/>
            <w:hideMark/>
          </w:tcPr>
          <w:p w14:paraId="01745559" w14:textId="77777777" w:rsidR="00052799" w:rsidRPr="002D7AE6" w:rsidRDefault="00052799" w:rsidP="00871631">
            <w:pPr>
              <w:jc w:val="right"/>
              <w:rPr>
                <w:color w:val="000000"/>
                <w:sz w:val="18"/>
                <w:szCs w:val="18"/>
                <w:lang w:eastAsia="en-AU"/>
              </w:rPr>
            </w:pPr>
            <w:r w:rsidRPr="002D7AE6">
              <w:rPr>
                <w:color w:val="000000"/>
                <w:sz w:val="18"/>
                <w:szCs w:val="18"/>
                <w:lang w:eastAsia="en-AU"/>
              </w:rPr>
              <w:t>23%</w:t>
            </w:r>
          </w:p>
        </w:tc>
        <w:tc>
          <w:tcPr>
            <w:tcW w:w="1255" w:type="dxa"/>
            <w:vMerge/>
            <w:tcBorders>
              <w:top w:val="nil"/>
              <w:left w:val="single" w:sz="4" w:space="0" w:color="FFFFFF"/>
              <w:bottom w:val="single" w:sz="4" w:space="0" w:color="FFFFFF"/>
              <w:right w:val="single" w:sz="4" w:space="0" w:color="FFFFFF"/>
            </w:tcBorders>
            <w:vAlign w:val="center"/>
            <w:hideMark/>
          </w:tcPr>
          <w:p w14:paraId="66FAEF87"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43C3F0BA" w14:textId="77777777" w:rsidR="00052799" w:rsidRPr="002D7AE6" w:rsidRDefault="00052799" w:rsidP="00871631">
            <w:pPr>
              <w:rPr>
                <w:color w:val="000000"/>
                <w:sz w:val="18"/>
                <w:szCs w:val="18"/>
                <w:lang w:eastAsia="en-AU"/>
              </w:rPr>
            </w:pPr>
          </w:p>
        </w:tc>
      </w:tr>
      <w:tr w:rsidR="00052799" w:rsidRPr="002D7AE6" w14:paraId="4EE86F79" w14:textId="77777777" w:rsidTr="00871631">
        <w:trPr>
          <w:trHeight w:val="288"/>
        </w:trPr>
        <w:tc>
          <w:tcPr>
            <w:tcW w:w="3681" w:type="dxa"/>
            <w:tcBorders>
              <w:top w:val="nil"/>
              <w:left w:val="nil"/>
              <w:bottom w:val="single" w:sz="4" w:space="0" w:color="FFFFFF"/>
              <w:right w:val="nil"/>
            </w:tcBorders>
            <w:shd w:val="clear" w:color="000000" w:fill="D9D9D9"/>
            <w:vAlign w:val="bottom"/>
            <w:hideMark/>
          </w:tcPr>
          <w:p w14:paraId="6EA212A1" w14:textId="77777777" w:rsidR="00052799" w:rsidRPr="002D7AE6" w:rsidRDefault="00052799" w:rsidP="00871631">
            <w:pPr>
              <w:rPr>
                <w:color w:val="000000"/>
                <w:sz w:val="18"/>
                <w:szCs w:val="18"/>
                <w:lang w:eastAsia="en-AU"/>
              </w:rPr>
            </w:pPr>
            <w:r w:rsidRPr="002D7AE6">
              <w:rPr>
                <w:color w:val="000000"/>
                <w:sz w:val="18"/>
                <w:szCs w:val="18"/>
                <w:lang w:eastAsia="en-AU"/>
              </w:rPr>
              <w:t>Longarm category E individual</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5AB19436" w14:textId="77777777" w:rsidR="00052799" w:rsidRPr="002D7AE6" w:rsidRDefault="00052799" w:rsidP="00871631">
            <w:pPr>
              <w:rPr>
                <w:color w:val="000000"/>
                <w:sz w:val="18"/>
                <w:szCs w:val="18"/>
                <w:lang w:eastAsia="en-AU"/>
              </w:rPr>
            </w:pPr>
            <w:r w:rsidRPr="002D7AE6">
              <w:rPr>
                <w:color w:val="000000"/>
                <w:sz w:val="18"/>
                <w:szCs w:val="18"/>
                <w:lang w:eastAsia="en-AU"/>
              </w:rPr>
              <w:t>$253.4</w:t>
            </w:r>
          </w:p>
        </w:tc>
        <w:tc>
          <w:tcPr>
            <w:tcW w:w="1255" w:type="dxa"/>
            <w:vMerge/>
            <w:tcBorders>
              <w:top w:val="nil"/>
              <w:left w:val="single" w:sz="4" w:space="0" w:color="FFFFFF"/>
              <w:bottom w:val="single" w:sz="4" w:space="0" w:color="FFFFFF"/>
              <w:right w:val="single" w:sz="4" w:space="0" w:color="auto"/>
            </w:tcBorders>
            <w:vAlign w:val="center"/>
            <w:hideMark/>
          </w:tcPr>
          <w:p w14:paraId="698FC0D8"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4AE60785" w14:textId="77777777" w:rsidR="00052799" w:rsidRPr="002D7AE6" w:rsidRDefault="00052799" w:rsidP="00871631">
            <w:pPr>
              <w:rPr>
                <w:color w:val="000000"/>
                <w:sz w:val="18"/>
                <w:szCs w:val="18"/>
                <w:lang w:eastAsia="en-AU"/>
              </w:rPr>
            </w:pPr>
            <w:r w:rsidRPr="002D7AE6">
              <w:rPr>
                <w:color w:val="000000"/>
                <w:sz w:val="18"/>
                <w:szCs w:val="18"/>
                <w:lang w:eastAsia="en-AU"/>
              </w:rPr>
              <w:t>$367.5</w:t>
            </w:r>
          </w:p>
        </w:tc>
        <w:tc>
          <w:tcPr>
            <w:tcW w:w="850" w:type="dxa"/>
            <w:tcBorders>
              <w:top w:val="nil"/>
              <w:left w:val="nil"/>
              <w:bottom w:val="single" w:sz="4" w:space="0" w:color="FFFFFF"/>
              <w:right w:val="single" w:sz="4" w:space="0" w:color="FFFFFF"/>
            </w:tcBorders>
            <w:shd w:val="clear" w:color="000000" w:fill="D9E1F2"/>
            <w:vAlign w:val="bottom"/>
            <w:hideMark/>
          </w:tcPr>
          <w:p w14:paraId="75BB461D" w14:textId="77777777" w:rsidR="00052799" w:rsidRPr="002D7AE6" w:rsidRDefault="00052799" w:rsidP="00871631">
            <w:pPr>
              <w:jc w:val="right"/>
              <w:rPr>
                <w:color w:val="000000"/>
                <w:sz w:val="18"/>
                <w:szCs w:val="18"/>
                <w:lang w:eastAsia="en-AU"/>
              </w:rPr>
            </w:pPr>
            <w:r w:rsidRPr="002D7AE6">
              <w:rPr>
                <w:color w:val="000000"/>
                <w:sz w:val="18"/>
                <w:szCs w:val="18"/>
                <w:lang w:eastAsia="en-AU"/>
              </w:rPr>
              <w:t>45%</w:t>
            </w:r>
          </w:p>
        </w:tc>
        <w:tc>
          <w:tcPr>
            <w:tcW w:w="1418" w:type="dxa"/>
            <w:vMerge/>
            <w:tcBorders>
              <w:top w:val="nil"/>
              <w:left w:val="single" w:sz="4" w:space="0" w:color="FFFFFF"/>
              <w:bottom w:val="single" w:sz="4" w:space="0" w:color="FFFFFF"/>
              <w:right w:val="single" w:sz="4" w:space="0" w:color="FFFFFF"/>
            </w:tcBorders>
            <w:vAlign w:val="center"/>
            <w:hideMark/>
          </w:tcPr>
          <w:p w14:paraId="2C7DCDB5"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7149664D"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27E6981A" w14:textId="77777777" w:rsidR="00052799" w:rsidRPr="002D7AE6" w:rsidRDefault="00052799" w:rsidP="00871631">
            <w:pPr>
              <w:rPr>
                <w:color w:val="000000"/>
                <w:sz w:val="18"/>
                <w:szCs w:val="18"/>
                <w:lang w:eastAsia="en-AU"/>
              </w:rPr>
            </w:pPr>
            <w:r w:rsidRPr="002D7AE6">
              <w:rPr>
                <w:color w:val="000000"/>
                <w:sz w:val="18"/>
                <w:szCs w:val="18"/>
                <w:lang w:eastAsia="en-AU"/>
              </w:rPr>
              <w:t>$310.4</w:t>
            </w:r>
          </w:p>
        </w:tc>
        <w:tc>
          <w:tcPr>
            <w:tcW w:w="831" w:type="dxa"/>
            <w:tcBorders>
              <w:top w:val="nil"/>
              <w:left w:val="nil"/>
              <w:bottom w:val="single" w:sz="4" w:space="0" w:color="FFFFFF"/>
              <w:right w:val="single" w:sz="4" w:space="0" w:color="FFFFFF"/>
            </w:tcBorders>
            <w:shd w:val="clear" w:color="000000" w:fill="D9E1F2"/>
            <w:vAlign w:val="bottom"/>
            <w:hideMark/>
          </w:tcPr>
          <w:p w14:paraId="5465E84C" w14:textId="77777777" w:rsidR="00052799" w:rsidRPr="002D7AE6" w:rsidRDefault="00052799" w:rsidP="00871631">
            <w:pPr>
              <w:jc w:val="right"/>
              <w:rPr>
                <w:color w:val="000000"/>
                <w:sz w:val="18"/>
                <w:szCs w:val="18"/>
                <w:lang w:eastAsia="en-AU"/>
              </w:rPr>
            </w:pPr>
            <w:r w:rsidRPr="002D7AE6">
              <w:rPr>
                <w:color w:val="000000"/>
                <w:sz w:val="18"/>
                <w:szCs w:val="18"/>
                <w:lang w:eastAsia="en-AU"/>
              </w:rPr>
              <w:t>23%</w:t>
            </w:r>
          </w:p>
        </w:tc>
        <w:tc>
          <w:tcPr>
            <w:tcW w:w="1255" w:type="dxa"/>
            <w:vMerge/>
            <w:tcBorders>
              <w:top w:val="nil"/>
              <w:left w:val="single" w:sz="4" w:space="0" w:color="FFFFFF"/>
              <w:bottom w:val="single" w:sz="4" w:space="0" w:color="FFFFFF"/>
              <w:right w:val="single" w:sz="4" w:space="0" w:color="FFFFFF"/>
            </w:tcBorders>
            <w:vAlign w:val="center"/>
            <w:hideMark/>
          </w:tcPr>
          <w:p w14:paraId="648D970E"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26E8E00F" w14:textId="77777777" w:rsidR="00052799" w:rsidRPr="002D7AE6" w:rsidRDefault="00052799" w:rsidP="00871631">
            <w:pPr>
              <w:rPr>
                <w:color w:val="000000"/>
                <w:sz w:val="18"/>
                <w:szCs w:val="18"/>
                <w:lang w:eastAsia="en-AU"/>
              </w:rPr>
            </w:pPr>
          </w:p>
        </w:tc>
      </w:tr>
      <w:tr w:rsidR="00052799" w:rsidRPr="002D7AE6" w14:paraId="717E3B5C" w14:textId="77777777" w:rsidTr="00871631">
        <w:trPr>
          <w:trHeight w:val="576"/>
        </w:trPr>
        <w:tc>
          <w:tcPr>
            <w:tcW w:w="3681" w:type="dxa"/>
            <w:tcBorders>
              <w:top w:val="nil"/>
              <w:left w:val="nil"/>
              <w:bottom w:val="single" w:sz="4" w:space="0" w:color="FFFFFF"/>
              <w:right w:val="nil"/>
            </w:tcBorders>
            <w:shd w:val="clear" w:color="000000" w:fill="D9D9D9"/>
            <w:vAlign w:val="bottom"/>
            <w:hideMark/>
          </w:tcPr>
          <w:p w14:paraId="46094E7F" w14:textId="77777777" w:rsidR="00052799" w:rsidRPr="002D7AE6" w:rsidRDefault="00052799" w:rsidP="00871631">
            <w:pPr>
              <w:rPr>
                <w:color w:val="000000"/>
                <w:sz w:val="18"/>
                <w:szCs w:val="18"/>
                <w:lang w:eastAsia="en-AU"/>
              </w:rPr>
            </w:pPr>
            <w:r w:rsidRPr="002D7AE6">
              <w:rPr>
                <w:color w:val="000000"/>
                <w:sz w:val="18"/>
                <w:szCs w:val="18"/>
                <w:lang w:eastAsia="en-AU"/>
              </w:rPr>
              <w:t>General category handgun licence - sport or target shooting - Individual</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6E153A4C" w14:textId="77777777" w:rsidR="00052799" w:rsidRPr="002D7AE6" w:rsidRDefault="00052799" w:rsidP="00871631">
            <w:pPr>
              <w:rPr>
                <w:color w:val="000000"/>
                <w:sz w:val="18"/>
                <w:szCs w:val="18"/>
                <w:lang w:eastAsia="en-AU"/>
              </w:rPr>
            </w:pPr>
            <w:r w:rsidRPr="002D7AE6">
              <w:rPr>
                <w:color w:val="000000"/>
                <w:sz w:val="18"/>
                <w:szCs w:val="18"/>
                <w:lang w:eastAsia="en-AU"/>
              </w:rPr>
              <w:t>$196.7</w:t>
            </w:r>
          </w:p>
        </w:tc>
        <w:tc>
          <w:tcPr>
            <w:tcW w:w="1255" w:type="dxa"/>
            <w:vMerge/>
            <w:tcBorders>
              <w:top w:val="nil"/>
              <w:left w:val="single" w:sz="4" w:space="0" w:color="FFFFFF"/>
              <w:bottom w:val="single" w:sz="4" w:space="0" w:color="FFFFFF"/>
              <w:right w:val="single" w:sz="4" w:space="0" w:color="auto"/>
            </w:tcBorders>
            <w:vAlign w:val="center"/>
            <w:hideMark/>
          </w:tcPr>
          <w:p w14:paraId="3F6A5F7C"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6EDDE4D9" w14:textId="77777777" w:rsidR="00052799" w:rsidRPr="002D7AE6" w:rsidRDefault="00052799" w:rsidP="00871631">
            <w:pPr>
              <w:rPr>
                <w:color w:val="000000"/>
                <w:sz w:val="18"/>
                <w:szCs w:val="18"/>
                <w:lang w:eastAsia="en-AU"/>
              </w:rPr>
            </w:pPr>
            <w:r w:rsidRPr="002D7AE6">
              <w:rPr>
                <w:color w:val="000000"/>
                <w:sz w:val="18"/>
                <w:szCs w:val="18"/>
                <w:lang w:eastAsia="en-AU"/>
              </w:rPr>
              <w:t>$276.1</w:t>
            </w:r>
          </w:p>
        </w:tc>
        <w:tc>
          <w:tcPr>
            <w:tcW w:w="850" w:type="dxa"/>
            <w:tcBorders>
              <w:top w:val="nil"/>
              <w:left w:val="nil"/>
              <w:bottom w:val="single" w:sz="4" w:space="0" w:color="FFFFFF"/>
              <w:right w:val="single" w:sz="4" w:space="0" w:color="FFFFFF"/>
            </w:tcBorders>
            <w:shd w:val="clear" w:color="000000" w:fill="D9E1F2"/>
            <w:vAlign w:val="bottom"/>
            <w:hideMark/>
          </w:tcPr>
          <w:p w14:paraId="51A139A3" w14:textId="77777777" w:rsidR="00052799" w:rsidRPr="002D7AE6" w:rsidRDefault="00052799" w:rsidP="00871631">
            <w:pPr>
              <w:jc w:val="right"/>
              <w:rPr>
                <w:color w:val="000000"/>
                <w:sz w:val="18"/>
                <w:szCs w:val="18"/>
                <w:lang w:eastAsia="en-AU"/>
              </w:rPr>
            </w:pPr>
            <w:r w:rsidRPr="002D7AE6">
              <w:rPr>
                <w:color w:val="000000"/>
                <w:sz w:val="18"/>
                <w:szCs w:val="18"/>
                <w:lang w:eastAsia="en-AU"/>
              </w:rPr>
              <w:t>40%</w:t>
            </w:r>
          </w:p>
        </w:tc>
        <w:tc>
          <w:tcPr>
            <w:tcW w:w="1418" w:type="dxa"/>
            <w:vMerge/>
            <w:tcBorders>
              <w:top w:val="nil"/>
              <w:left w:val="single" w:sz="4" w:space="0" w:color="FFFFFF"/>
              <w:bottom w:val="single" w:sz="4" w:space="0" w:color="FFFFFF"/>
              <w:right w:val="single" w:sz="4" w:space="0" w:color="FFFFFF"/>
            </w:tcBorders>
            <w:vAlign w:val="center"/>
            <w:hideMark/>
          </w:tcPr>
          <w:p w14:paraId="312D1621"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29B6C9C1"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6466BBD1" w14:textId="77777777" w:rsidR="00052799" w:rsidRPr="002D7AE6" w:rsidRDefault="00052799" w:rsidP="00871631">
            <w:pPr>
              <w:rPr>
                <w:color w:val="000000"/>
                <w:sz w:val="18"/>
                <w:szCs w:val="18"/>
                <w:lang w:eastAsia="en-AU"/>
              </w:rPr>
            </w:pPr>
            <w:r w:rsidRPr="002D7AE6">
              <w:rPr>
                <w:color w:val="000000"/>
                <w:sz w:val="18"/>
                <w:szCs w:val="18"/>
                <w:lang w:eastAsia="en-AU"/>
              </w:rPr>
              <w:t>$236.4</w:t>
            </w:r>
          </w:p>
        </w:tc>
        <w:tc>
          <w:tcPr>
            <w:tcW w:w="831" w:type="dxa"/>
            <w:tcBorders>
              <w:top w:val="nil"/>
              <w:left w:val="nil"/>
              <w:bottom w:val="single" w:sz="4" w:space="0" w:color="FFFFFF"/>
              <w:right w:val="single" w:sz="4" w:space="0" w:color="FFFFFF"/>
            </w:tcBorders>
            <w:shd w:val="clear" w:color="000000" w:fill="D9E1F2"/>
            <w:vAlign w:val="bottom"/>
            <w:hideMark/>
          </w:tcPr>
          <w:p w14:paraId="54401E6F" w14:textId="77777777" w:rsidR="00052799" w:rsidRPr="002D7AE6" w:rsidRDefault="00052799" w:rsidP="00871631">
            <w:pPr>
              <w:jc w:val="right"/>
              <w:rPr>
                <w:color w:val="000000"/>
                <w:sz w:val="18"/>
                <w:szCs w:val="18"/>
                <w:lang w:eastAsia="en-AU"/>
              </w:rPr>
            </w:pPr>
            <w:r w:rsidRPr="002D7AE6">
              <w:rPr>
                <w:color w:val="000000"/>
                <w:sz w:val="18"/>
                <w:szCs w:val="18"/>
                <w:lang w:eastAsia="en-AU"/>
              </w:rPr>
              <w:t>20%</w:t>
            </w:r>
          </w:p>
        </w:tc>
        <w:tc>
          <w:tcPr>
            <w:tcW w:w="1255" w:type="dxa"/>
            <w:vMerge/>
            <w:tcBorders>
              <w:top w:val="nil"/>
              <w:left w:val="single" w:sz="4" w:space="0" w:color="FFFFFF"/>
              <w:bottom w:val="single" w:sz="4" w:space="0" w:color="FFFFFF"/>
              <w:right w:val="single" w:sz="4" w:space="0" w:color="FFFFFF"/>
            </w:tcBorders>
            <w:vAlign w:val="center"/>
            <w:hideMark/>
          </w:tcPr>
          <w:p w14:paraId="3ADC7C8A"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37A28968" w14:textId="77777777" w:rsidR="00052799" w:rsidRPr="002D7AE6" w:rsidRDefault="00052799" w:rsidP="00871631">
            <w:pPr>
              <w:rPr>
                <w:color w:val="000000"/>
                <w:sz w:val="18"/>
                <w:szCs w:val="18"/>
                <w:lang w:eastAsia="en-AU"/>
              </w:rPr>
            </w:pPr>
          </w:p>
        </w:tc>
      </w:tr>
      <w:tr w:rsidR="00052799" w:rsidRPr="002D7AE6" w14:paraId="03BD0D5F" w14:textId="77777777" w:rsidTr="00871631">
        <w:trPr>
          <w:trHeight w:val="864"/>
        </w:trPr>
        <w:tc>
          <w:tcPr>
            <w:tcW w:w="3681" w:type="dxa"/>
            <w:tcBorders>
              <w:top w:val="nil"/>
              <w:left w:val="nil"/>
              <w:bottom w:val="single" w:sz="4" w:space="0" w:color="FFFFFF"/>
              <w:right w:val="nil"/>
            </w:tcBorders>
            <w:shd w:val="clear" w:color="000000" w:fill="D9D9D9"/>
            <w:vAlign w:val="bottom"/>
            <w:hideMark/>
          </w:tcPr>
          <w:p w14:paraId="12B83DCC" w14:textId="77777777" w:rsidR="00052799" w:rsidRPr="002D7AE6" w:rsidRDefault="00052799" w:rsidP="00871631">
            <w:pPr>
              <w:rPr>
                <w:color w:val="000000"/>
                <w:sz w:val="18"/>
                <w:szCs w:val="18"/>
                <w:lang w:eastAsia="en-AU"/>
              </w:rPr>
            </w:pPr>
            <w:r w:rsidRPr="002D7AE6">
              <w:rPr>
                <w:color w:val="000000"/>
                <w:sz w:val="18"/>
                <w:szCs w:val="18"/>
                <w:lang w:eastAsia="en-AU"/>
              </w:rPr>
              <w:t>General category handgun licence - security guard, prison guard, official or commercial purpose - Individual</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41277AE0" w14:textId="77777777" w:rsidR="00052799" w:rsidRPr="002D7AE6" w:rsidRDefault="00052799" w:rsidP="00871631">
            <w:pPr>
              <w:rPr>
                <w:color w:val="000000"/>
                <w:sz w:val="18"/>
                <w:szCs w:val="18"/>
                <w:lang w:eastAsia="en-AU"/>
              </w:rPr>
            </w:pPr>
            <w:r w:rsidRPr="002D7AE6">
              <w:rPr>
                <w:color w:val="000000"/>
                <w:sz w:val="18"/>
                <w:szCs w:val="18"/>
                <w:lang w:eastAsia="en-AU"/>
              </w:rPr>
              <w:t>$305.9</w:t>
            </w:r>
          </w:p>
        </w:tc>
        <w:tc>
          <w:tcPr>
            <w:tcW w:w="1255" w:type="dxa"/>
            <w:vMerge/>
            <w:tcBorders>
              <w:top w:val="nil"/>
              <w:left w:val="single" w:sz="4" w:space="0" w:color="FFFFFF"/>
              <w:bottom w:val="single" w:sz="4" w:space="0" w:color="FFFFFF"/>
              <w:right w:val="single" w:sz="4" w:space="0" w:color="auto"/>
            </w:tcBorders>
            <w:vAlign w:val="center"/>
            <w:hideMark/>
          </w:tcPr>
          <w:p w14:paraId="22A1ACF5"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2F74F4B8" w14:textId="77777777" w:rsidR="00052799" w:rsidRPr="002D7AE6" w:rsidRDefault="00052799" w:rsidP="00871631">
            <w:pPr>
              <w:rPr>
                <w:color w:val="000000"/>
                <w:sz w:val="18"/>
                <w:szCs w:val="18"/>
                <w:lang w:eastAsia="en-AU"/>
              </w:rPr>
            </w:pPr>
            <w:r w:rsidRPr="002D7AE6">
              <w:rPr>
                <w:color w:val="000000"/>
                <w:sz w:val="18"/>
                <w:szCs w:val="18"/>
                <w:lang w:eastAsia="en-AU"/>
              </w:rPr>
              <w:t>$289.5</w:t>
            </w:r>
          </w:p>
        </w:tc>
        <w:tc>
          <w:tcPr>
            <w:tcW w:w="850" w:type="dxa"/>
            <w:tcBorders>
              <w:top w:val="nil"/>
              <w:left w:val="nil"/>
              <w:bottom w:val="single" w:sz="4" w:space="0" w:color="FFFFFF"/>
              <w:right w:val="single" w:sz="4" w:space="0" w:color="FFFFFF"/>
            </w:tcBorders>
            <w:shd w:val="clear" w:color="000000" w:fill="D9E1F2"/>
            <w:vAlign w:val="bottom"/>
            <w:hideMark/>
          </w:tcPr>
          <w:p w14:paraId="34DCF5C9" w14:textId="77777777" w:rsidR="00052799" w:rsidRPr="002D7AE6" w:rsidRDefault="00052799" w:rsidP="00871631">
            <w:pPr>
              <w:jc w:val="right"/>
              <w:rPr>
                <w:color w:val="000000"/>
                <w:sz w:val="18"/>
                <w:szCs w:val="18"/>
                <w:lang w:eastAsia="en-AU"/>
              </w:rPr>
            </w:pPr>
            <w:r w:rsidRPr="002D7AE6">
              <w:rPr>
                <w:color w:val="000000"/>
                <w:sz w:val="18"/>
                <w:szCs w:val="18"/>
                <w:lang w:eastAsia="en-AU"/>
              </w:rPr>
              <w:t>-5%</w:t>
            </w:r>
          </w:p>
        </w:tc>
        <w:tc>
          <w:tcPr>
            <w:tcW w:w="1418" w:type="dxa"/>
            <w:vMerge/>
            <w:tcBorders>
              <w:top w:val="nil"/>
              <w:left w:val="single" w:sz="4" w:space="0" w:color="FFFFFF"/>
              <w:bottom w:val="single" w:sz="4" w:space="0" w:color="FFFFFF"/>
              <w:right w:val="single" w:sz="4" w:space="0" w:color="FFFFFF"/>
            </w:tcBorders>
            <w:vAlign w:val="center"/>
            <w:hideMark/>
          </w:tcPr>
          <w:p w14:paraId="1BCDE9AD"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458A5A87"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67BFCE39" w14:textId="77777777" w:rsidR="00052799" w:rsidRPr="002D7AE6" w:rsidRDefault="00052799" w:rsidP="00871631">
            <w:pPr>
              <w:rPr>
                <w:color w:val="000000"/>
                <w:sz w:val="18"/>
                <w:szCs w:val="18"/>
                <w:lang w:eastAsia="en-AU"/>
              </w:rPr>
            </w:pPr>
            <w:r w:rsidRPr="002D7AE6">
              <w:rPr>
                <w:color w:val="000000"/>
                <w:sz w:val="18"/>
                <w:szCs w:val="18"/>
                <w:lang w:eastAsia="en-AU"/>
              </w:rPr>
              <w:t>$305.9</w:t>
            </w:r>
          </w:p>
        </w:tc>
        <w:tc>
          <w:tcPr>
            <w:tcW w:w="831" w:type="dxa"/>
            <w:tcBorders>
              <w:top w:val="nil"/>
              <w:left w:val="nil"/>
              <w:bottom w:val="single" w:sz="4" w:space="0" w:color="FFFFFF"/>
              <w:right w:val="single" w:sz="4" w:space="0" w:color="FFFFFF"/>
            </w:tcBorders>
            <w:shd w:val="clear" w:color="000000" w:fill="D9E1F2"/>
            <w:vAlign w:val="bottom"/>
            <w:hideMark/>
          </w:tcPr>
          <w:p w14:paraId="44575119" w14:textId="77777777" w:rsidR="00052799" w:rsidRPr="002D7AE6" w:rsidRDefault="00052799" w:rsidP="00871631">
            <w:pPr>
              <w:jc w:val="right"/>
              <w:rPr>
                <w:color w:val="000000"/>
                <w:sz w:val="18"/>
                <w:szCs w:val="18"/>
                <w:lang w:eastAsia="en-AU"/>
              </w:rPr>
            </w:pPr>
            <w:r w:rsidRPr="002D7AE6">
              <w:rPr>
                <w:color w:val="000000"/>
                <w:sz w:val="18"/>
                <w:szCs w:val="18"/>
                <w:lang w:eastAsia="en-AU"/>
              </w:rPr>
              <w:t>0%</w:t>
            </w:r>
          </w:p>
        </w:tc>
        <w:tc>
          <w:tcPr>
            <w:tcW w:w="1255" w:type="dxa"/>
            <w:vMerge/>
            <w:tcBorders>
              <w:top w:val="nil"/>
              <w:left w:val="single" w:sz="4" w:space="0" w:color="FFFFFF"/>
              <w:bottom w:val="single" w:sz="4" w:space="0" w:color="FFFFFF"/>
              <w:right w:val="single" w:sz="4" w:space="0" w:color="FFFFFF"/>
            </w:tcBorders>
            <w:vAlign w:val="center"/>
            <w:hideMark/>
          </w:tcPr>
          <w:p w14:paraId="64CF179A"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77C961E2" w14:textId="77777777" w:rsidR="00052799" w:rsidRPr="002D7AE6" w:rsidRDefault="00052799" w:rsidP="00871631">
            <w:pPr>
              <w:rPr>
                <w:color w:val="000000"/>
                <w:sz w:val="18"/>
                <w:szCs w:val="18"/>
                <w:lang w:eastAsia="en-AU"/>
              </w:rPr>
            </w:pPr>
          </w:p>
        </w:tc>
      </w:tr>
      <w:tr w:rsidR="00052799" w:rsidRPr="002D7AE6" w14:paraId="2381598E" w14:textId="77777777" w:rsidTr="00871631">
        <w:trPr>
          <w:trHeight w:val="1152"/>
        </w:trPr>
        <w:tc>
          <w:tcPr>
            <w:tcW w:w="3681" w:type="dxa"/>
            <w:tcBorders>
              <w:top w:val="nil"/>
              <w:left w:val="nil"/>
              <w:bottom w:val="single" w:sz="4" w:space="0" w:color="FFFFFF"/>
              <w:right w:val="nil"/>
            </w:tcBorders>
            <w:shd w:val="clear" w:color="000000" w:fill="D9D9D9"/>
            <w:vAlign w:val="bottom"/>
            <w:hideMark/>
          </w:tcPr>
          <w:p w14:paraId="06B6A924" w14:textId="77777777" w:rsidR="00052799" w:rsidRPr="002D7AE6" w:rsidRDefault="00052799" w:rsidP="00871631">
            <w:pPr>
              <w:rPr>
                <w:color w:val="000000"/>
                <w:sz w:val="18"/>
                <w:szCs w:val="18"/>
                <w:lang w:eastAsia="en-AU"/>
              </w:rPr>
            </w:pPr>
            <w:r w:rsidRPr="002D7AE6">
              <w:rPr>
                <w:color w:val="000000"/>
                <w:sz w:val="18"/>
                <w:szCs w:val="18"/>
                <w:lang w:eastAsia="en-AU"/>
              </w:rPr>
              <w:t>General category handgun licence for possessing or carrying a general category handgun, for carriage and use by the holder of a junior handgun target shooting licence individual</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28838353" w14:textId="77777777" w:rsidR="00052799" w:rsidRPr="002D7AE6" w:rsidRDefault="00052799" w:rsidP="00871631">
            <w:pPr>
              <w:rPr>
                <w:color w:val="000000"/>
                <w:sz w:val="18"/>
                <w:szCs w:val="18"/>
                <w:lang w:eastAsia="en-AU"/>
              </w:rPr>
            </w:pPr>
            <w:r w:rsidRPr="002D7AE6">
              <w:rPr>
                <w:color w:val="000000"/>
                <w:sz w:val="18"/>
                <w:szCs w:val="18"/>
                <w:lang w:eastAsia="en-AU"/>
              </w:rPr>
              <w:t>$196.7</w:t>
            </w:r>
          </w:p>
        </w:tc>
        <w:tc>
          <w:tcPr>
            <w:tcW w:w="1255" w:type="dxa"/>
            <w:vMerge/>
            <w:tcBorders>
              <w:top w:val="nil"/>
              <w:left w:val="single" w:sz="4" w:space="0" w:color="FFFFFF"/>
              <w:bottom w:val="single" w:sz="4" w:space="0" w:color="FFFFFF"/>
              <w:right w:val="single" w:sz="4" w:space="0" w:color="auto"/>
            </w:tcBorders>
            <w:vAlign w:val="center"/>
            <w:hideMark/>
          </w:tcPr>
          <w:p w14:paraId="5851D84C"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56E3D0F2" w14:textId="77777777" w:rsidR="00052799" w:rsidRPr="002D7AE6" w:rsidRDefault="00052799" w:rsidP="00871631">
            <w:pPr>
              <w:rPr>
                <w:color w:val="000000"/>
                <w:sz w:val="18"/>
                <w:szCs w:val="18"/>
                <w:lang w:eastAsia="en-AU"/>
              </w:rPr>
            </w:pPr>
            <w:r w:rsidRPr="002D7AE6">
              <w:rPr>
                <w:color w:val="000000"/>
                <w:sz w:val="18"/>
                <w:szCs w:val="18"/>
                <w:lang w:eastAsia="en-AU"/>
              </w:rPr>
              <w:t>$249.7</w:t>
            </w:r>
          </w:p>
        </w:tc>
        <w:tc>
          <w:tcPr>
            <w:tcW w:w="850" w:type="dxa"/>
            <w:tcBorders>
              <w:top w:val="nil"/>
              <w:left w:val="nil"/>
              <w:bottom w:val="single" w:sz="4" w:space="0" w:color="FFFFFF"/>
              <w:right w:val="single" w:sz="4" w:space="0" w:color="FFFFFF"/>
            </w:tcBorders>
            <w:shd w:val="clear" w:color="000000" w:fill="D9E1F2"/>
            <w:vAlign w:val="bottom"/>
            <w:hideMark/>
          </w:tcPr>
          <w:p w14:paraId="7CD3BEFC" w14:textId="77777777" w:rsidR="00052799" w:rsidRPr="002D7AE6" w:rsidRDefault="00052799" w:rsidP="00871631">
            <w:pPr>
              <w:jc w:val="right"/>
              <w:rPr>
                <w:color w:val="000000"/>
                <w:sz w:val="18"/>
                <w:szCs w:val="18"/>
                <w:lang w:eastAsia="en-AU"/>
              </w:rPr>
            </w:pPr>
            <w:r w:rsidRPr="002D7AE6">
              <w:rPr>
                <w:color w:val="000000"/>
                <w:sz w:val="18"/>
                <w:szCs w:val="18"/>
                <w:lang w:eastAsia="en-AU"/>
              </w:rPr>
              <w:t>27%</w:t>
            </w:r>
          </w:p>
        </w:tc>
        <w:tc>
          <w:tcPr>
            <w:tcW w:w="1418" w:type="dxa"/>
            <w:vMerge/>
            <w:tcBorders>
              <w:top w:val="nil"/>
              <w:left w:val="single" w:sz="4" w:space="0" w:color="FFFFFF"/>
              <w:bottom w:val="single" w:sz="4" w:space="0" w:color="FFFFFF"/>
              <w:right w:val="single" w:sz="4" w:space="0" w:color="FFFFFF"/>
            </w:tcBorders>
            <w:vAlign w:val="center"/>
            <w:hideMark/>
          </w:tcPr>
          <w:p w14:paraId="6252B90A"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1A919944"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5EB17701" w14:textId="77777777" w:rsidR="00052799" w:rsidRPr="002D7AE6" w:rsidRDefault="00052799" w:rsidP="00871631">
            <w:pPr>
              <w:rPr>
                <w:color w:val="000000"/>
                <w:sz w:val="18"/>
                <w:szCs w:val="18"/>
                <w:lang w:eastAsia="en-AU"/>
              </w:rPr>
            </w:pPr>
            <w:r w:rsidRPr="002D7AE6">
              <w:rPr>
                <w:color w:val="000000"/>
                <w:sz w:val="18"/>
                <w:szCs w:val="18"/>
                <w:lang w:eastAsia="en-AU"/>
              </w:rPr>
              <w:t>$223.2</w:t>
            </w:r>
          </w:p>
        </w:tc>
        <w:tc>
          <w:tcPr>
            <w:tcW w:w="831" w:type="dxa"/>
            <w:tcBorders>
              <w:top w:val="nil"/>
              <w:left w:val="nil"/>
              <w:bottom w:val="single" w:sz="4" w:space="0" w:color="FFFFFF"/>
              <w:right w:val="single" w:sz="4" w:space="0" w:color="FFFFFF"/>
            </w:tcBorders>
            <w:shd w:val="clear" w:color="000000" w:fill="D9E1F2"/>
            <w:vAlign w:val="bottom"/>
            <w:hideMark/>
          </w:tcPr>
          <w:p w14:paraId="592F4F22" w14:textId="77777777" w:rsidR="00052799" w:rsidRPr="002D7AE6" w:rsidRDefault="00052799" w:rsidP="00871631">
            <w:pPr>
              <w:jc w:val="right"/>
              <w:rPr>
                <w:color w:val="000000"/>
                <w:sz w:val="18"/>
                <w:szCs w:val="18"/>
                <w:lang w:eastAsia="en-AU"/>
              </w:rPr>
            </w:pPr>
            <w:r w:rsidRPr="002D7AE6">
              <w:rPr>
                <w:color w:val="000000"/>
                <w:sz w:val="18"/>
                <w:szCs w:val="18"/>
                <w:lang w:eastAsia="en-AU"/>
              </w:rPr>
              <w:t>13%</w:t>
            </w:r>
          </w:p>
        </w:tc>
        <w:tc>
          <w:tcPr>
            <w:tcW w:w="1255" w:type="dxa"/>
            <w:vMerge/>
            <w:tcBorders>
              <w:top w:val="nil"/>
              <w:left w:val="single" w:sz="4" w:space="0" w:color="FFFFFF"/>
              <w:bottom w:val="single" w:sz="4" w:space="0" w:color="FFFFFF"/>
              <w:right w:val="single" w:sz="4" w:space="0" w:color="FFFFFF"/>
            </w:tcBorders>
            <w:vAlign w:val="center"/>
            <w:hideMark/>
          </w:tcPr>
          <w:p w14:paraId="06FBA92A"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7F95739D" w14:textId="77777777" w:rsidR="00052799" w:rsidRPr="002D7AE6" w:rsidRDefault="00052799" w:rsidP="00871631">
            <w:pPr>
              <w:rPr>
                <w:color w:val="000000"/>
                <w:sz w:val="18"/>
                <w:szCs w:val="18"/>
                <w:lang w:eastAsia="en-AU"/>
              </w:rPr>
            </w:pPr>
          </w:p>
        </w:tc>
      </w:tr>
      <w:tr w:rsidR="00052799" w:rsidRPr="002D7AE6" w14:paraId="3BCF2933" w14:textId="77777777" w:rsidTr="00871631">
        <w:trPr>
          <w:trHeight w:val="288"/>
        </w:trPr>
        <w:tc>
          <w:tcPr>
            <w:tcW w:w="3681" w:type="dxa"/>
            <w:tcBorders>
              <w:top w:val="nil"/>
              <w:left w:val="nil"/>
              <w:bottom w:val="single" w:sz="4" w:space="0" w:color="FFFFFF"/>
              <w:right w:val="nil"/>
            </w:tcBorders>
            <w:shd w:val="clear" w:color="000000" w:fill="D9D9D9"/>
            <w:vAlign w:val="bottom"/>
            <w:hideMark/>
          </w:tcPr>
          <w:p w14:paraId="34555874" w14:textId="77777777" w:rsidR="00052799" w:rsidRPr="002D7AE6" w:rsidRDefault="00052799" w:rsidP="00871631">
            <w:pPr>
              <w:rPr>
                <w:color w:val="000000"/>
                <w:sz w:val="18"/>
                <w:szCs w:val="18"/>
                <w:lang w:eastAsia="en-AU"/>
              </w:rPr>
            </w:pPr>
            <w:r w:rsidRPr="002D7AE6">
              <w:rPr>
                <w:color w:val="000000"/>
                <w:sz w:val="18"/>
                <w:szCs w:val="18"/>
                <w:lang w:eastAsia="en-AU"/>
              </w:rPr>
              <w:t>Category E handgun individual</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492F3900" w14:textId="77777777" w:rsidR="00052799" w:rsidRPr="002D7AE6" w:rsidRDefault="00052799" w:rsidP="00871631">
            <w:pPr>
              <w:rPr>
                <w:color w:val="000000"/>
                <w:sz w:val="18"/>
                <w:szCs w:val="18"/>
                <w:lang w:eastAsia="en-AU"/>
              </w:rPr>
            </w:pPr>
            <w:r w:rsidRPr="002D7AE6">
              <w:rPr>
                <w:color w:val="000000"/>
                <w:sz w:val="18"/>
                <w:szCs w:val="18"/>
                <w:lang w:eastAsia="en-AU"/>
              </w:rPr>
              <w:t>$297.3</w:t>
            </w:r>
          </w:p>
        </w:tc>
        <w:tc>
          <w:tcPr>
            <w:tcW w:w="1255" w:type="dxa"/>
            <w:vMerge/>
            <w:tcBorders>
              <w:top w:val="nil"/>
              <w:left w:val="single" w:sz="4" w:space="0" w:color="FFFFFF"/>
              <w:bottom w:val="single" w:sz="4" w:space="0" w:color="FFFFFF"/>
              <w:right w:val="single" w:sz="4" w:space="0" w:color="auto"/>
            </w:tcBorders>
            <w:vAlign w:val="center"/>
            <w:hideMark/>
          </w:tcPr>
          <w:p w14:paraId="33AA8D31"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30F762A0" w14:textId="77777777" w:rsidR="00052799" w:rsidRPr="002D7AE6" w:rsidRDefault="00052799" w:rsidP="00871631">
            <w:pPr>
              <w:rPr>
                <w:color w:val="000000"/>
                <w:sz w:val="18"/>
                <w:szCs w:val="18"/>
                <w:lang w:eastAsia="en-AU"/>
              </w:rPr>
            </w:pPr>
            <w:r w:rsidRPr="002D7AE6">
              <w:rPr>
                <w:color w:val="000000"/>
                <w:sz w:val="18"/>
                <w:szCs w:val="18"/>
                <w:lang w:eastAsia="en-AU"/>
              </w:rPr>
              <w:t>$383.9</w:t>
            </w:r>
          </w:p>
        </w:tc>
        <w:tc>
          <w:tcPr>
            <w:tcW w:w="850" w:type="dxa"/>
            <w:tcBorders>
              <w:top w:val="nil"/>
              <w:left w:val="nil"/>
              <w:bottom w:val="single" w:sz="4" w:space="0" w:color="FFFFFF"/>
              <w:right w:val="single" w:sz="4" w:space="0" w:color="FFFFFF"/>
            </w:tcBorders>
            <w:shd w:val="clear" w:color="000000" w:fill="D9E1F2"/>
            <w:vAlign w:val="bottom"/>
            <w:hideMark/>
          </w:tcPr>
          <w:p w14:paraId="1D8F5517" w14:textId="77777777" w:rsidR="00052799" w:rsidRPr="002D7AE6" w:rsidRDefault="00052799" w:rsidP="00871631">
            <w:pPr>
              <w:jc w:val="right"/>
              <w:rPr>
                <w:color w:val="000000"/>
                <w:sz w:val="18"/>
                <w:szCs w:val="18"/>
                <w:lang w:eastAsia="en-AU"/>
              </w:rPr>
            </w:pPr>
            <w:r w:rsidRPr="002D7AE6">
              <w:rPr>
                <w:color w:val="000000"/>
                <w:sz w:val="18"/>
                <w:szCs w:val="18"/>
                <w:lang w:eastAsia="en-AU"/>
              </w:rPr>
              <w:t>29%</w:t>
            </w:r>
          </w:p>
        </w:tc>
        <w:tc>
          <w:tcPr>
            <w:tcW w:w="1418" w:type="dxa"/>
            <w:vMerge/>
            <w:tcBorders>
              <w:top w:val="nil"/>
              <w:left w:val="single" w:sz="4" w:space="0" w:color="FFFFFF"/>
              <w:bottom w:val="single" w:sz="4" w:space="0" w:color="FFFFFF"/>
              <w:right w:val="single" w:sz="4" w:space="0" w:color="FFFFFF"/>
            </w:tcBorders>
            <w:vAlign w:val="center"/>
            <w:hideMark/>
          </w:tcPr>
          <w:p w14:paraId="1EC01957"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4A98EB1B"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6780561B" w14:textId="77777777" w:rsidR="00052799" w:rsidRPr="002D7AE6" w:rsidRDefault="00052799" w:rsidP="00871631">
            <w:pPr>
              <w:rPr>
                <w:color w:val="000000"/>
                <w:sz w:val="18"/>
                <w:szCs w:val="18"/>
                <w:lang w:eastAsia="en-AU"/>
              </w:rPr>
            </w:pPr>
            <w:r w:rsidRPr="002D7AE6">
              <w:rPr>
                <w:color w:val="000000"/>
                <w:sz w:val="18"/>
                <w:szCs w:val="18"/>
                <w:lang w:eastAsia="en-AU"/>
              </w:rPr>
              <w:t>$340.6</w:t>
            </w:r>
          </w:p>
        </w:tc>
        <w:tc>
          <w:tcPr>
            <w:tcW w:w="831" w:type="dxa"/>
            <w:tcBorders>
              <w:top w:val="nil"/>
              <w:left w:val="nil"/>
              <w:bottom w:val="single" w:sz="4" w:space="0" w:color="FFFFFF"/>
              <w:right w:val="single" w:sz="4" w:space="0" w:color="FFFFFF"/>
            </w:tcBorders>
            <w:shd w:val="clear" w:color="000000" w:fill="D9E1F2"/>
            <w:vAlign w:val="bottom"/>
            <w:hideMark/>
          </w:tcPr>
          <w:p w14:paraId="417427D8" w14:textId="77777777" w:rsidR="00052799" w:rsidRPr="002D7AE6" w:rsidRDefault="00052799" w:rsidP="00871631">
            <w:pPr>
              <w:jc w:val="right"/>
              <w:rPr>
                <w:color w:val="000000"/>
                <w:sz w:val="18"/>
                <w:szCs w:val="18"/>
                <w:lang w:eastAsia="en-AU"/>
              </w:rPr>
            </w:pPr>
            <w:r w:rsidRPr="002D7AE6">
              <w:rPr>
                <w:color w:val="000000"/>
                <w:sz w:val="18"/>
                <w:szCs w:val="18"/>
                <w:lang w:eastAsia="en-AU"/>
              </w:rPr>
              <w:t>15%</w:t>
            </w:r>
          </w:p>
        </w:tc>
        <w:tc>
          <w:tcPr>
            <w:tcW w:w="1255" w:type="dxa"/>
            <w:vMerge/>
            <w:tcBorders>
              <w:top w:val="nil"/>
              <w:left w:val="single" w:sz="4" w:space="0" w:color="FFFFFF"/>
              <w:bottom w:val="single" w:sz="4" w:space="0" w:color="FFFFFF"/>
              <w:right w:val="single" w:sz="4" w:space="0" w:color="FFFFFF"/>
            </w:tcBorders>
            <w:vAlign w:val="center"/>
            <w:hideMark/>
          </w:tcPr>
          <w:p w14:paraId="202961BD"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6E974216" w14:textId="77777777" w:rsidR="00052799" w:rsidRPr="002D7AE6" w:rsidRDefault="00052799" w:rsidP="00871631">
            <w:pPr>
              <w:rPr>
                <w:color w:val="000000"/>
                <w:sz w:val="18"/>
                <w:szCs w:val="18"/>
                <w:lang w:eastAsia="en-AU"/>
              </w:rPr>
            </w:pPr>
          </w:p>
        </w:tc>
      </w:tr>
      <w:tr w:rsidR="00052799" w:rsidRPr="002D7AE6" w14:paraId="3000993F" w14:textId="77777777" w:rsidTr="00871631">
        <w:trPr>
          <w:trHeight w:val="288"/>
        </w:trPr>
        <w:tc>
          <w:tcPr>
            <w:tcW w:w="3681" w:type="dxa"/>
            <w:tcBorders>
              <w:top w:val="nil"/>
              <w:left w:val="nil"/>
              <w:bottom w:val="single" w:sz="4" w:space="0" w:color="FFFFFF"/>
              <w:right w:val="nil"/>
            </w:tcBorders>
            <w:shd w:val="clear" w:color="000000" w:fill="D9D9D9"/>
            <w:vAlign w:val="bottom"/>
            <w:hideMark/>
          </w:tcPr>
          <w:p w14:paraId="156C4FE3" w14:textId="77777777" w:rsidR="00052799" w:rsidRPr="002D7AE6" w:rsidRDefault="00052799" w:rsidP="00871631">
            <w:pPr>
              <w:rPr>
                <w:color w:val="000000"/>
                <w:sz w:val="18"/>
                <w:szCs w:val="18"/>
                <w:lang w:eastAsia="en-AU"/>
              </w:rPr>
            </w:pPr>
            <w:r w:rsidRPr="002D7AE6">
              <w:rPr>
                <w:color w:val="000000"/>
                <w:sz w:val="18"/>
                <w:szCs w:val="18"/>
                <w:lang w:eastAsia="en-AU"/>
              </w:rPr>
              <w:t>Longarm category C business</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77418071" w14:textId="77777777" w:rsidR="00052799" w:rsidRPr="002D7AE6" w:rsidRDefault="00052799" w:rsidP="00871631">
            <w:pPr>
              <w:rPr>
                <w:color w:val="000000"/>
                <w:sz w:val="18"/>
                <w:szCs w:val="18"/>
                <w:lang w:eastAsia="en-AU"/>
              </w:rPr>
            </w:pPr>
            <w:r w:rsidRPr="002D7AE6">
              <w:rPr>
                <w:color w:val="000000"/>
                <w:sz w:val="18"/>
                <w:szCs w:val="18"/>
                <w:lang w:eastAsia="en-AU"/>
              </w:rPr>
              <w:t>$253.4</w:t>
            </w:r>
          </w:p>
        </w:tc>
        <w:tc>
          <w:tcPr>
            <w:tcW w:w="1255" w:type="dxa"/>
            <w:vMerge/>
            <w:tcBorders>
              <w:top w:val="nil"/>
              <w:left w:val="single" w:sz="4" w:space="0" w:color="FFFFFF"/>
              <w:bottom w:val="single" w:sz="4" w:space="0" w:color="FFFFFF"/>
              <w:right w:val="single" w:sz="4" w:space="0" w:color="auto"/>
            </w:tcBorders>
            <w:vAlign w:val="center"/>
            <w:hideMark/>
          </w:tcPr>
          <w:p w14:paraId="26E96C1C"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63E527CA" w14:textId="77777777" w:rsidR="00052799" w:rsidRPr="002D7AE6" w:rsidRDefault="00052799" w:rsidP="00871631">
            <w:pPr>
              <w:rPr>
                <w:color w:val="000000"/>
                <w:sz w:val="18"/>
                <w:szCs w:val="18"/>
                <w:lang w:eastAsia="en-AU"/>
              </w:rPr>
            </w:pPr>
            <w:r w:rsidRPr="002D7AE6">
              <w:rPr>
                <w:color w:val="000000"/>
                <w:sz w:val="18"/>
                <w:szCs w:val="18"/>
                <w:lang w:eastAsia="en-AU"/>
              </w:rPr>
              <w:t>$645.4</w:t>
            </w:r>
          </w:p>
        </w:tc>
        <w:tc>
          <w:tcPr>
            <w:tcW w:w="850" w:type="dxa"/>
            <w:tcBorders>
              <w:top w:val="nil"/>
              <w:left w:val="nil"/>
              <w:bottom w:val="single" w:sz="4" w:space="0" w:color="FFFFFF"/>
              <w:right w:val="single" w:sz="4" w:space="0" w:color="FFFFFF"/>
            </w:tcBorders>
            <w:shd w:val="clear" w:color="000000" w:fill="D9E1F2"/>
            <w:vAlign w:val="bottom"/>
            <w:hideMark/>
          </w:tcPr>
          <w:p w14:paraId="6934645F" w14:textId="77777777" w:rsidR="00052799" w:rsidRPr="002D7AE6" w:rsidRDefault="00052799" w:rsidP="00871631">
            <w:pPr>
              <w:jc w:val="right"/>
              <w:rPr>
                <w:color w:val="000000"/>
                <w:sz w:val="18"/>
                <w:szCs w:val="18"/>
                <w:lang w:eastAsia="en-AU"/>
              </w:rPr>
            </w:pPr>
            <w:r w:rsidRPr="002D7AE6">
              <w:rPr>
                <w:color w:val="000000"/>
                <w:sz w:val="18"/>
                <w:szCs w:val="18"/>
                <w:lang w:eastAsia="en-AU"/>
              </w:rPr>
              <w:t>155%</w:t>
            </w:r>
          </w:p>
        </w:tc>
        <w:tc>
          <w:tcPr>
            <w:tcW w:w="1418" w:type="dxa"/>
            <w:vMerge/>
            <w:tcBorders>
              <w:top w:val="nil"/>
              <w:left w:val="single" w:sz="4" w:space="0" w:color="FFFFFF"/>
              <w:bottom w:val="single" w:sz="4" w:space="0" w:color="FFFFFF"/>
              <w:right w:val="single" w:sz="4" w:space="0" w:color="FFFFFF"/>
            </w:tcBorders>
            <w:vAlign w:val="center"/>
            <w:hideMark/>
          </w:tcPr>
          <w:p w14:paraId="19FB713F"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5E344478"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16338D7B" w14:textId="77777777" w:rsidR="00052799" w:rsidRPr="002D7AE6" w:rsidRDefault="00052799" w:rsidP="00871631">
            <w:pPr>
              <w:rPr>
                <w:color w:val="000000"/>
                <w:sz w:val="18"/>
                <w:szCs w:val="18"/>
                <w:lang w:eastAsia="en-AU"/>
              </w:rPr>
            </w:pPr>
            <w:r w:rsidRPr="002D7AE6">
              <w:rPr>
                <w:color w:val="000000"/>
                <w:sz w:val="18"/>
                <w:szCs w:val="18"/>
                <w:lang w:eastAsia="en-AU"/>
              </w:rPr>
              <w:t>$449.4</w:t>
            </w:r>
          </w:p>
        </w:tc>
        <w:tc>
          <w:tcPr>
            <w:tcW w:w="831" w:type="dxa"/>
            <w:tcBorders>
              <w:top w:val="nil"/>
              <w:left w:val="nil"/>
              <w:bottom w:val="single" w:sz="4" w:space="0" w:color="FFFFFF"/>
              <w:right w:val="single" w:sz="4" w:space="0" w:color="FFFFFF"/>
            </w:tcBorders>
            <w:shd w:val="clear" w:color="000000" w:fill="D9E1F2"/>
            <w:vAlign w:val="bottom"/>
            <w:hideMark/>
          </w:tcPr>
          <w:p w14:paraId="52C77203" w14:textId="77777777" w:rsidR="00052799" w:rsidRPr="002D7AE6" w:rsidRDefault="00052799" w:rsidP="00871631">
            <w:pPr>
              <w:jc w:val="right"/>
              <w:rPr>
                <w:color w:val="000000"/>
                <w:sz w:val="18"/>
                <w:szCs w:val="18"/>
                <w:lang w:eastAsia="en-AU"/>
              </w:rPr>
            </w:pPr>
            <w:r w:rsidRPr="002D7AE6">
              <w:rPr>
                <w:color w:val="000000"/>
                <w:sz w:val="18"/>
                <w:szCs w:val="18"/>
                <w:lang w:eastAsia="en-AU"/>
              </w:rPr>
              <w:t>77%</w:t>
            </w:r>
          </w:p>
        </w:tc>
        <w:tc>
          <w:tcPr>
            <w:tcW w:w="1255" w:type="dxa"/>
            <w:vMerge/>
            <w:tcBorders>
              <w:top w:val="nil"/>
              <w:left w:val="single" w:sz="4" w:space="0" w:color="FFFFFF"/>
              <w:bottom w:val="single" w:sz="4" w:space="0" w:color="FFFFFF"/>
              <w:right w:val="single" w:sz="4" w:space="0" w:color="FFFFFF"/>
            </w:tcBorders>
            <w:vAlign w:val="center"/>
            <w:hideMark/>
          </w:tcPr>
          <w:p w14:paraId="486DBE1F"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35238DB8" w14:textId="77777777" w:rsidR="00052799" w:rsidRPr="002D7AE6" w:rsidRDefault="00052799" w:rsidP="00871631">
            <w:pPr>
              <w:rPr>
                <w:color w:val="000000"/>
                <w:sz w:val="18"/>
                <w:szCs w:val="18"/>
                <w:lang w:eastAsia="en-AU"/>
              </w:rPr>
            </w:pPr>
          </w:p>
        </w:tc>
      </w:tr>
      <w:tr w:rsidR="00052799" w:rsidRPr="002D7AE6" w14:paraId="4B2430E7" w14:textId="77777777" w:rsidTr="00871631">
        <w:trPr>
          <w:trHeight w:val="288"/>
        </w:trPr>
        <w:tc>
          <w:tcPr>
            <w:tcW w:w="3681" w:type="dxa"/>
            <w:tcBorders>
              <w:top w:val="nil"/>
              <w:left w:val="nil"/>
              <w:bottom w:val="single" w:sz="4" w:space="0" w:color="FFFFFF"/>
              <w:right w:val="nil"/>
            </w:tcBorders>
            <w:shd w:val="clear" w:color="000000" w:fill="D9D9D9"/>
            <w:vAlign w:val="bottom"/>
            <w:hideMark/>
          </w:tcPr>
          <w:p w14:paraId="2203D1B7" w14:textId="77777777" w:rsidR="00052799" w:rsidRPr="002D7AE6" w:rsidRDefault="00052799" w:rsidP="00871631">
            <w:pPr>
              <w:rPr>
                <w:color w:val="000000"/>
                <w:sz w:val="18"/>
                <w:szCs w:val="18"/>
                <w:lang w:eastAsia="en-AU"/>
              </w:rPr>
            </w:pPr>
            <w:r w:rsidRPr="002D7AE6">
              <w:rPr>
                <w:color w:val="000000"/>
                <w:sz w:val="18"/>
                <w:szCs w:val="18"/>
                <w:lang w:eastAsia="en-AU"/>
              </w:rPr>
              <w:t>Longarm category D business</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07912C6E" w14:textId="77777777" w:rsidR="00052799" w:rsidRPr="002D7AE6" w:rsidRDefault="00052799" w:rsidP="00871631">
            <w:pPr>
              <w:rPr>
                <w:color w:val="000000"/>
                <w:sz w:val="18"/>
                <w:szCs w:val="18"/>
                <w:lang w:eastAsia="en-AU"/>
              </w:rPr>
            </w:pPr>
            <w:r w:rsidRPr="002D7AE6">
              <w:rPr>
                <w:color w:val="000000"/>
                <w:sz w:val="18"/>
                <w:szCs w:val="18"/>
                <w:lang w:eastAsia="en-AU"/>
              </w:rPr>
              <w:t>$406.5</w:t>
            </w:r>
          </w:p>
        </w:tc>
        <w:tc>
          <w:tcPr>
            <w:tcW w:w="1255" w:type="dxa"/>
            <w:vMerge/>
            <w:tcBorders>
              <w:top w:val="nil"/>
              <w:left w:val="single" w:sz="4" w:space="0" w:color="FFFFFF"/>
              <w:bottom w:val="single" w:sz="4" w:space="0" w:color="FFFFFF"/>
              <w:right w:val="single" w:sz="4" w:space="0" w:color="auto"/>
            </w:tcBorders>
            <w:vAlign w:val="center"/>
            <w:hideMark/>
          </w:tcPr>
          <w:p w14:paraId="67622E5B"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3C995451" w14:textId="77777777" w:rsidR="00052799" w:rsidRPr="002D7AE6" w:rsidRDefault="00052799" w:rsidP="00871631">
            <w:pPr>
              <w:rPr>
                <w:color w:val="000000"/>
                <w:sz w:val="18"/>
                <w:szCs w:val="18"/>
                <w:lang w:eastAsia="en-AU"/>
              </w:rPr>
            </w:pPr>
            <w:r w:rsidRPr="002D7AE6">
              <w:rPr>
                <w:color w:val="000000"/>
                <w:sz w:val="18"/>
                <w:szCs w:val="18"/>
                <w:lang w:eastAsia="en-AU"/>
              </w:rPr>
              <w:t>$645.4</w:t>
            </w:r>
          </w:p>
        </w:tc>
        <w:tc>
          <w:tcPr>
            <w:tcW w:w="850" w:type="dxa"/>
            <w:tcBorders>
              <w:top w:val="nil"/>
              <w:left w:val="nil"/>
              <w:bottom w:val="single" w:sz="4" w:space="0" w:color="FFFFFF"/>
              <w:right w:val="single" w:sz="4" w:space="0" w:color="FFFFFF"/>
            </w:tcBorders>
            <w:shd w:val="clear" w:color="000000" w:fill="D9E1F2"/>
            <w:vAlign w:val="bottom"/>
            <w:hideMark/>
          </w:tcPr>
          <w:p w14:paraId="6144798C" w14:textId="77777777" w:rsidR="00052799" w:rsidRPr="002D7AE6" w:rsidRDefault="00052799" w:rsidP="00871631">
            <w:pPr>
              <w:jc w:val="right"/>
              <w:rPr>
                <w:color w:val="000000"/>
                <w:sz w:val="18"/>
                <w:szCs w:val="18"/>
                <w:lang w:eastAsia="en-AU"/>
              </w:rPr>
            </w:pPr>
            <w:r w:rsidRPr="002D7AE6">
              <w:rPr>
                <w:color w:val="000000"/>
                <w:sz w:val="18"/>
                <w:szCs w:val="18"/>
                <w:lang w:eastAsia="en-AU"/>
              </w:rPr>
              <w:t>59%</w:t>
            </w:r>
          </w:p>
        </w:tc>
        <w:tc>
          <w:tcPr>
            <w:tcW w:w="1418" w:type="dxa"/>
            <w:vMerge/>
            <w:tcBorders>
              <w:top w:val="nil"/>
              <w:left w:val="single" w:sz="4" w:space="0" w:color="FFFFFF"/>
              <w:bottom w:val="single" w:sz="4" w:space="0" w:color="FFFFFF"/>
              <w:right w:val="single" w:sz="4" w:space="0" w:color="FFFFFF"/>
            </w:tcBorders>
            <w:vAlign w:val="center"/>
            <w:hideMark/>
          </w:tcPr>
          <w:p w14:paraId="1AF7CCB3"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2F74A487"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28D89D0C" w14:textId="77777777" w:rsidR="00052799" w:rsidRPr="002D7AE6" w:rsidRDefault="00052799" w:rsidP="00871631">
            <w:pPr>
              <w:rPr>
                <w:color w:val="000000"/>
                <w:sz w:val="18"/>
                <w:szCs w:val="18"/>
                <w:lang w:eastAsia="en-AU"/>
              </w:rPr>
            </w:pPr>
            <w:r w:rsidRPr="002D7AE6">
              <w:rPr>
                <w:color w:val="000000"/>
                <w:sz w:val="18"/>
                <w:szCs w:val="18"/>
                <w:lang w:eastAsia="en-AU"/>
              </w:rPr>
              <w:t>$526.0</w:t>
            </w:r>
          </w:p>
        </w:tc>
        <w:tc>
          <w:tcPr>
            <w:tcW w:w="831" w:type="dxa"/>
            <w:tcBorders>
              <w:top w:val="nil"/>
              <w:left w:val="nil"/>
              <w:bottom w:val="single" w:sz="4" w:space="0" w:color="FFFFFF"/>
              <w:right w:val="single" w:sz="4" w:space="0" w:color="FFFFFF"/>
            </w:tcBorders>
            <w:shd w:val="clear" w:color="000000" w:fill="D9E1F2"/>
            <w:vAlign w:val="bottom"/>
            <w:hideMark/>
          </w:tcPr>
          <w:p w14:paraId="190D8C36" w14:textId="77777777" w:rsidR="00052799" w:rsidRPr="002D7AE6" w:rsidRDefault="00052799" w:rsidP="00871631">
            <w:pPr>
              <w:jc w:val="right"/>
              <w:rPr>
                <w:color w:val="000000"/>
                <w:sz w:val="18"/>
                <w:szCs w:val="18"/>
                <w:lang w:eastAsia="en-AU"/>
              </w:rPr>
            </w:pPr>
            <w:r w:rsidRPr="002D7AE6">
              <w:rPr>
                <w:color w:val="000000"/>
                <w:sz w:val="18"/>
                <w:szCs w:val="18"/>
                <w:lang w:eastAsia="en-AU"/>
              </w:rPr>
              <w:t>29%</w:t>
            </w:r>
          </w:p>
        </w:tc>
        <w:tc>
          <w:tcPr>
            <w:tcW w:w="1255" w:type="dxa"/>
            <w:vMerge/>
            <w:tcBorders>
              <w:top w:val="nil"/>
              <w:left w:val="single" w:sz="4" w:space="0" w:color="FFFFFF"/>
              <w:bottom w:val="single" w:sz="4" w:space="0" w:color="FFFFFF"/>
              <w:right w:val="single" w:sz="4" w:space="0" w:color="FFFFFF"/>
            </w:tcBorders>
            <w:vAlign w:val="center"/>
            <w:hideMark/>
          </w:tcPr>
          <w:p w14:paraId="37C8A598"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278597FB" w14:textId="77777777" w:rsidR="00052799" w:rsidRPr="002D7AE6" w:rsidRDefault="00052799" w:rsidP="00871631">
            <w:pPr>
              <w:rPr>
                <w:color w:val="000000"/>
                <w:sz w:val="18"/>
                <w:szCs w:val="18"/>
                <w:lang w:eastAsia="en-AU"/>
              </w:rPr>
            </w:pPr>
          </w:p>
        </w:tc>
      </w:tr>
      <w:tr w:rsidR="00052799" w:rsidRPr="002D7AE6" w14:paraId="3BDCF34D" w14:textId="77777777" w:rsidTr="00871631">
        <w:trPr>
          <w:trHeight w:val="288"/>
        </w:trPr>
        <w:tc>
          <w:tcPr>
            <w:tcW w:w="3681" w:type="dxa"/>
            <w:tcBorders>
              <w:top w:val="nil"/>
              <w:left w:val="nil"/>
              <w:bottom w:val="single" w:sz="4" w:space="0" w:color="FFFFFF"/>
              <w:right w:val="nil"/>
            </w:tcBorders>
            <w:shd w:val="clear" w:color="000000" w:fill="D9D9D9"/>
            <w:vAlign w:val="bottom"/>
            <w:hideMark/>
          </w:tcPr>
          <w:p w14:paraId="4674FB03" w14:textId="77777777" w:rsidR="00052799" w:rsidRPr="002D7AE6" w:rsidRDefault="00052799" w:rsidP="00871631">
            <w:pPr>
              <w:rPr>
                <w:color w:val="000000"/>
                <w:sz w:val="18"/>
                <w:szCs w:val="18"/>
                <w:lang w:eastAsia="en-AU"/>
              </w:rPr>
            </w:pPr>
            <w:r w:rsidRPr="002D7AE6">
              <w:rPr>
                <w:color w:val="000000"/>
                <w:sz w:val="18"/>
                <w:szCs w:val="18"/>
                <w:lang w:eastAsia="en-AU"/>
              </w:rPr>
              <w:t>Longarm category E business</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10CE8DEA" w14:textId="77777777" w:rsidR="00052799" w:rsidRPr="002D7AE6" w:rsidRDefault="00052799" w:rsidP="00871631">
            <w:pPr>
              <w:rPr>
                <w:color w:val="000000"/>
                <w:sz w:val="18"/>
                <w:szCs w:val="18"/>
                <w:lang w:eastAsia="en-AU"/>
              </w:rPr>
            </w:pPr>
            <w:r w:rsidRPr="002D7AE6">
              <w:rPr>
                <w:color w:val="000000"/>
                <w:sz w:val="18"/>
                <w:szCs w:val="18"/>
                <w:lang w:eastAsia="en-AU"/>
              </w:rPr>
              <w:t>$406.5</w:t>
            </w:r>
          </w:p>
        </w:tc>
        <w:tc>
          <w:tcPr>
            <w:tcW w:w="1255" w:type="dxa"/>
            <w:vMerge/>
            <w:tcBorders>
              <w:top w:val="nil"/>
              <w:left w:val="single" w:sz="4" w:space="0" w:color="FFFFFF"/>
              <w:bottom w:val="single" w:sz="4" w:space="0" w:color="FFFFFF"/>
              <w:right w:val="single" w:sz="4" w:space="0" w:color="auto"/>
            </w:tcBorders>
            <w:vAlign w:val="center"/>
            <w:hideMark/>
          </w:tcPr>
          <w:p w14:paraId="5F270C18"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7807D67F" w14:textId="77777777" w:rsidR="00052799" w:rsidRPr="002D7AE6" w:rsidRDefault="00052799" w:rsidP="00871631">
            <w:pPr>
              <w:rPr>
                <w:color w:val="000000"/>
                <w:sz w:val="18"/>
                <w:szCs w:val="18"/>
                <w:lang w:eastAsia="en-AU"/>
              </w:rPr>
            </w:pPr>
            <w:r w:rsidRPr="002D7AE6">
              <w:rPr>
                <w:color w:val="000000"/>
                <w:sz w:val="18"/>
                <w:szCs w:val="18"/>
                <w:lang w:eastAsia="en-AU"/>
              </w:rPr>
              <w:t>$645.4</w:t>
            </w:r>
          </w:p>
        </w:tc>
        <w:tc>
          <w:tcPr>
            <w:tcW w:w="850" w:type="dxa"/>
            <w:tcBorders>
              <w:top w:val="nil"/>
              <w:left w:val="nil"/>
              <w:bottom w:val="single" w:sz="4" w:space="0" w:color="FFFFFF"/>
              <w:right w:val="single" w:sz="4" w:space="0" w:color="FFFFFF"/>
            </w:tcBorders>
            <w:shd w:val="clear" w:color="000000" w:fill="D9E1F2"/>
            <w:vAlign w:val="bottom"/>
            <w:hideMark/>
          </w:tcPr>
          <w:p w14:paraId="5FBCC7E9" w14:textId="77777777" w:rsidR="00052799" w:rsidRPr="002D7AE6" w:rsidRDefault="00052799" w:rsidP="00871631">
            <w:pPr>
              <w:jc w:val="right"/>
              <w:rPr>
                <w:color w:val="000000"/>
                <w:sz w:val="18"/>
                <w:szCs w:val="18"/>
                <w:lang w:eastAsia="en-AU"/>
              </w:rPr>
            </w:pPr>
            <w:r w:rsidRPr="002D7AE6">
              <w:rPr>
                <w:color w:val="000000"/>
                <w:sz w:val="18"/>
                <w:szCs w:val="18"/>
                <w:lang w:eastAsia="en-AU"/>
              </w:rPr>
              <w:t>59%</w:t>
            </w:r>
          </w:p>
        </w:tc>
        <w:tc>
          <w:tcPr>
            <w:tcW w:w="1418" w:type="dxa"/>
            <w:vMerge/>
            <w:tcBorders>
              <w:top w:val="nil"/>
              <w:left w:val="single" w:sz="4" w:space="0" w:color="FFFFFF"/>
              <w:bottom w:val="single" w:sz="4" w:space="0" w:color="FFFFFF"/>
              <w:right w:val="single" w:sz="4" w:space="0" w:color="FFFFFF"/>
            </w:tcBorders>
            <w:vAlign w:val="center"/>
            <w:hideMark/>
          </w:tcPr>
          <w:p w14:paraId="684E268F"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192A31E4"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02C8A790" w14:textId="77777777" w:rsidR="00052799" w:rsidRPr="002D7AE6" w:rsidRDefault="00052799" w:rsidP="00871631">
            <w:pPr>
              <w:rPr>
                <w:color w:val="000000"/>
                <w:sz w:val="18"/>
                <w:szCs w:val="18"/>
                <w:lang w:eastAsia="en-AU"/>
              </w:rPr>
            </w:pPr>
            <w:r w:rsidRPr="002D7AE6">
              <w:rPr>
                <w:color w:val="000000"/>
                <w:sz w:val="18"/>
                <w:szCs w:val="18"/>
                <w:lang w:eastAsia="en-AU"/>
              </w:rPr>
              <w:t>$526.0</w:t>
            </w:r>
          </w:p>
        </w:tc>
        <w:tc>
          <w:tcPr>
            <w:tcW w:w="831" w:type="dxa"/>
            <w:tcBorders>
              <w:top w:val="nil"/>
              <w:left w:val="nil"/>
              <w:bottom w:val="single" w:sz="4" w:space="0" w:color="FFFFFF"/>
              <w:right w:val="single" w:sz="4" w:space="0" w:color="FFFFFF"/>
            </w:tcBorders>
            <w:shd w:val="clear" w:color="000000" w:fill="D9E1F2"/>
            <w:vAlign w:val="bottom"/>
            <w:hideMark/>
          </w:tcPr>
          <w:p w14:paraId="66D0E779" w14:textId="77777777" w:rsidR="00052799" w:rsidRPr="002D7AE6" w:rsidRDefault="00052799" w:rsidP="00871631">
            <w:pPr>
              <w:jc w:val="right"/>
              <w:rPr>
                <w:color w:val="000000"/>
                <w:sz w:val="18"/>
                <w:szCs w:val="18"/>
                <w:lang w:eastAsia="en-AU"/>
              </w:rPr>
            </w:pPr>
            <w:r w:rsidRPr="002D7AE6">
              <w:rPr>
                <w:color w:val="000000"/>
                <w:sz w:val="18"/>
                <w:szCs w:val="18"/>
                <w:lang w:eastAsia="en-AU"/>
              </w:rPr>
              <w:t>29%</w:t>
            </w:r>
          </w:p>
        </w:tc>
        <w:tc>
          <w:tcPr>
            <w:tcW w:w="1255" w:type="dxa"/>
            <w:vMerge/>
            <w:tcBorders>
              <w:top w:val="nil"/>
              <w:left w:val="single" w:sz="4" w:space="0" w:color="FFFFFF"/>
              <w:bottom w:val="single" w:sz="4" w:space="0" w:color="FFFFFF"/>
              <w:right w:val="single" w:sz="4" w:space="0" w:color="FFFFFF"/>
            </w:tcBorders>
            <w:vAlign w:val="center"/>
            <w:hideMark/>
          </w:tcPr>
          <w:p w14:paraId="774CF495"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5E4FF0FD" w14:textId="77777777" w:rsidR="00052799" w:rsidRPr="002D7AE6" w:rsidRDefault="00052799" w:rsidP="00871631">
            <w:pPr>
              <w:rPr>
                <w:color w:val="000000"/>
                <w:sz w:val="18"/>
                <w:szCs w:val="18"/>
                <w:lang w:eastAsia="en-AU"/>
              </w:rPr>
            </w:pPr>
          </w:p>
        </w:tc>
      </w:tr>
      <w:tr w:rsidR="00052799" w:rsidRPr="002D7AE6" w14:paraId="2E02D9CC" w14:textId="77777777" w:rsidTr="00871631">
        <w:trPr>
          <w:trHeight w:val="576"/>
        </w:trPr>
        <w:tc>
          <w:tcPr>
            <w:tcW w:w="3681" w:type="dxa"/>
            <w:tcBorders>
              <w:top w:val="nil"/>
              <w:left w:val="nil"/>
              <w:bottom w:val="single" w:sz="4" w:space="0" w:color="FFFFFF"/>
              <w:right w:val="nil"/>
            </w:tcBorders>
            <w:shd w:val="clear" w:color="000000" w:fill="D9D9D9"/>
            <w:vAlign w:val="bottom"/>
            <w:hideMark/>
          </w:tcPr>
          <w:p w14:paraId="266E9F33" w14:textId="77777777" w:rsidR="00052799" w:rsidRPr="002D7AE6" w:rsidRDefault="00052799" w:rsidP="00871631">
            <w:pPr>
              <w:rPr>
                <w:color w:val="000000"/>
                <w:sz w:val="18"/>
                <w:szCs w:val="18"/>
                <w:lang w:eastAsia="en-AU"/>
              </w:rPr>
            </w:pPr>
            <w:r w:rsidRPr="002D7AE6">
              <w:rPr>
                <w:color w:val="000000"/>
                <w:sz w:val="18"/>
                <w:szCs w:val="18"/>
                <w:lang w:eastAsia="en-AU"/>
              </w:rPr>
              <w:t>General category handgun licence - sport or target shooting - business</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7CDE3347" w14:textId="77777777" w:rsidR="00052799" w:rsidRPr="002D7AE6" w:rsidRDefault="00052799" w:rsidP="00871631">
            <w:pPr>
              <w:rPr>
                <w:color w:val="000000"/>
                <w:sz w:val="18"/>
                <w:szCs w:val="18"/>
                <w:lang w:eastAsia="en-AU"/>
              </w:rPr>
            </w:pPr>
            <w:r w:rsidRPr="002D7AE6">
              <w:rPr>
                <w:color w:val="000000"/>
                <w:sz w:val="18"/>
                <w:szCs w:val="18"/>
                <w:lang w:eastAsia="en-AU"/>
              </w:rPr>
              <w:t>$511.5</w:t>
            </w:r>
          </w:p>
        </w:tc>
        <w:tc>
          <w:tcPr>
            <w:tcW w:w="1255" w:type="dxa"/>
            <w:vMerge/>
            <w:tcBorders>
              <w:top w:val="nil"/>
              <w:left w:val="single" w:sz="4" w:space="0" w:color="FFFFFF"/>
              <w:bottom w:val="single" w:sz="4" w:space="0" w:color="FFFFFF"/>
              <w:right w:val="single" w:sz="4" w:space="0" w:color="auto"/>
            </w:tcBorders>
            <w:vAlign w:val="center"/>
            <w:hideMark/>
          </w:tcPr>
          <w:p w14:paraId="73621D21"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16048263" w14:textId="77777777" w:rsidR="00052799" w:rsidRPr="002D7AE6" w:rsidRDefault="00052799" w:rsidP="00871631">
            <w:pPr>
              <w:rPr>
                <w:color w:val="000000"/>
                <w:sz w:val="18"/>
                <w:szCs w:val="18"/>
                <w:lang w:eastAsia="en-AU"/>
              </w:rPr>
            </w:pPr>
            <w:r w:rsidRPr="002D7AE6">
              <w:rPr>
                <w:color w:val="000000"/>
                <w:sz w:val="18"/>
                <w:szCs w:val="18"/>
                <w:lang w:eastAsia="en-AU"/>
              </w:rPr>
              <w:t>$572.1</w:t>
            </w:r>
          </w:p>
        </w:tc>
        <w:tc>
          <w:tcPr>
            <w:tcW w:w="850" w:type="dxa"/>
            <w:tcBorders>
              <w:top w:val="nil"/>
              <w:left w:val="nil"/>
              <w:bottom w:val="single" w:sz="4" w:space="0" w:color="FFFFFF"/>
              <w:right w:val="single" w:sz="4" w:space="0" w:color="FFFFFF"/>
            </w:tcBorders>
            <w:shd w:val="clear" w:color="000000" w:fill="D9E1F2"/>
            <w:vAlign w:val="bottom"/>
            <w:hideMark/>
          </w:tcPr>
          <w:p w14:paraId="460ACC22" w14:textId="77777777" w:rsidR="00052799" w:rsidRPr="002D7AE6" w:rsidRDefault="00052799" w:rsidP="00871631">
            <w:pPr>
              <w:jc w:val="right"/>
              <w:rPr>
                <w:color w:val="000000"/>
                <w:sz w:val="18"/>
                <w:szCs w:val="18"/>
                <w:lang w:eastAsia="en-AU"/>
              </w:rPr>
            </w:pPr>
            <w:r w:rsidRPr="002D7AE6">
              <w:rPr>
                <w:color w:val="000000"/>
                <w:sz w:val="18"/>
                <w:szCs w:val="18"/>
                <w:lang w:eastAsia="en-AU"/>
              </w:rPr>
              <w:t>12%</w:t>
            </w:r>
          </w:p>
        </w:tc>
        <w:tc>
          <w:tcPr>
            <w:tcW w:w="1418" w:type="dxa"/>
            <w:vMerge/>
            <w:tcBorders>
              <w:top w:val="nil"/>
              <w:left w:val="single" w:sz="4" w:space="0" w:color="FFFFFF"/>
              <w:bottom w:val="single" w:sz="4" w:space="0" w:color="FFFFFF"/>
              <w:right w:val="single" w:sz="4" w:space="0" w:color="FFFFFF"/>
            </w:tcBorders>
            <w:vAlign w:val="center"/>
            <w:hideMark/>
          </w:tcPr>
          <w:p w14:paraId="274608B9"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44C968EA"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7DCAAC53" w14:textId="77777777" w:rsidR="00052799" w:rsidRPr="002D7AE6" w:rsidRDefault="00052799" w:rsidP="00871631">
            <w:pPr>
              <w:rPr>
                <w:color w:val="000000"/>
                <w:sz w:val="18"/>
                <w:szCs w:val="18"/>
                <w:lang w:eastAsia="en-AU"/>
              </w:rPr>
            </w:pPr>
            <w:r w:rsidRPr="002D7AE6">
              <w:rPr>
                <w:color w:val="000000"/>
                <w:sz w:val="18"/>
                <w:szCs w:val="18"/>
                <w:lang w:eastAsia="en-AU"/>
              </w:rPr>
              <w:t>$541.8</w:t>
            </w:r>
          </w:p>
        </w:tc>
        <w:tc>
          <w:tcPr>
            <w:tcW w:w="831" w:type="dxa"/>
            <w:tcBorders>
              <w:top w:val="nil"/>
              <w:left w:val="nil"/>
              <w:bottom w:val="single" w:sz="4" w:space="0" w:color="FFFFFF"/>
              <w:right w:val="single" w:sz="4" w:space="0" w:color="FFFFFF"/>
            </w:tcBorders>
            <w:shd w:val="clear" w:color="000000" w:fill="D9E1F2"/>
            <w:vAlign w:val="bottom"/>
            <w:hideMark/>
          </w:tcPr>
          <w:p w14:paraId="6341EBC1" w14:textId="77777777" w:rsidR="00052799" w:rsidRPr="002D7AE6" w:rsidRDefault="00052799" w:rsidP="00871631">
            <w:pPr>
              <w:jc w:val="right"/>
              <w:rPr>
                <w:color w:val="000000"/>
                <w:sz w:val="18"/>
                <w:szCs w:val="18"/>
                <w:lang w:eastAsia="en-AU"/>
              </w:rPr>
            </w:pPr>
            <w:r w:rsidRPr="002D7AE6">
              <w:rPr>
                <w:color w:val="000000"/>
                <w:sz w:val="18"/>
                <w:szCs w:val="18"/>
                <w:lang w:eastAsia="en-AU"/>
              </w:rPr>
              <w:t>6%</w:t>
            </w:r>
          </w:p>
        </w:tc>
        <w:tc>
          <w:tcPr>
            <w:tcW w:w="1255" w:type="dxa"/>
            <w:vMerge/>
            <w:tcBorders>
              <w:top w:val="nil"/>
              <w:left w:val="single" w:sz="4" w:space="0" w:color="FFFFFF"/>
              <w:bottom w:val="single" w:sz="4" w:space="0" w:color="FFFFFF"/>
              <w:right w:val="single" w:sz="4" w:space="0" w:color="FFFFFF"/>
            </w:tcBorders>
            <w:vAlign w:val="center"/>
            <w:hideMark/>
          </w:tcPr>
          <w:p w14:paraId="72FE31D6"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1CCAE012" w14:textId="77777777" w:rsidR="00052799" w:rsidRPr="002D7AE6" w:rsidRDefault="00052799" w:rsidP="00871631">
            <w:pPr>
              <w:rPr>
                <w:color w:val="000000"/>
                <w:sz w:val="18"/>
                <w:szCs w:val="18"/>
                <w:lang w:eastAsia="en-AU"/>
              </w:rPr>
            </w:pPr>
          </w:p>
        </w:tc>
      </w:tr>
      <w:tr w:rsidR="00052799" w:rsidRPr="002D7AE6" w14:paraId="7F729046" w14:textId="77777777" w:rsidTr="00871631">
        <w:trPr>
          <w:trHeight w:val="576"/>
        </w:trPr>
        <w:tc>
          <w:tcPr>
            <w:tcW w:w="3681" w:type="dxa"/>
            <w:tcBorders>
              <w:top w:val="nil"/>
              <w:left w:val="nil"/>
              <w:bottom w:val="single" w:sz="4" w:space="0" w:color="FFFFFF"/>
              <w:right w:val="nil"/>
            </w:tcBorders>
            <w:shd w:val="clear" w:color="000000" w:fill="D9D9D9"/>
            <w:vAlign w:val="bottom"/>
            <w:hideMark/>
          </w:tcPr>
          <w:p w14:paraId="3E6A36FC" w14:textId="77777777" w:rsidR="00052799" w:rsidRPr="002D7AE6" w:rsidRDefault="00052799" w:rsidP="00871631">
            <w:pPr>
              <w:rPr>
                <w:color w:val="000000"/>
                <w:sz w:val="18"/>
                <w:szCs w:val="18"/>
                <w:lang w:eastAsia="en-AU"/>
              </w:rPr>
            </w:pPr>
            <w:r w:rsidRPr="002D7AE6">
              <w:rPr>
                <w:color w:val="000000"/>
                <w:sz w:val="18"/>
                <w:szCs w:val="18"/>
                <w:lang w:eastAsia="en-AU"/>
              </w:rPr>
              <w:t>General category handgun licence - security guard, prison guard, official or commercial purpose business</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0BCC2D27" w14:textId="77777777" w:rsidR="00052799" w:rsidRPr="002D7AE6" w:rsidRDefault="00052799" w:rsidP="00871631">
            <w:pPr>
              <w:rPr>
                <w:color w:val="000000"/>
                <w:sz w:val="18"/>
                <w:szCs w:val="18"/>
                <w:lang w:eastAsia="en-AU"/>
              </w:rPr>
            </w:pPr>
            <w:r w:rsidRPr="002D7AE6">
              <w:rPr>
                <w:color w:val="000000"/>
                <w:sz w:val="18"/>
                <w:szCs w:val="18"/>
                <w:lang w:eastAsia="en-AU"/>
              </w:rPr>
              <w:t>$511.5</w:t>
            </w:r>
          </w:p>
        </w:tc>
        <w:tc>
          <w:tcPr>
            <w:tcW w:w="1255" w:type="dxa"/>
            <w:vMerge/>
            <w:tcBorders>
              <w:top w:val="nil"/>
              <w:left w:val="single" w:sz="4" w:space="0" w:color="FFFFFF"/>
              <w:bottom w:val="single" w:sz="4" w:space="0" w:color="FFFFFF"/>
              <w:right w:val="single" w:sz="4" w:space="0" w:color="auto"/>
            </w:tcBorders>
            <w:vAlign w:val="center"/>
            <w:hideMark/>
          </w:tcPr>
          <w:p w14:paraId="32ECEF36"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46A1AD61" w14:textId="77777777" w:rsidR="00052799" w:rsidRPr="002D7AE6" w:rsidRDefault="00052799" w:rsidP="00871631">
            <w:pPr>
              <w:rPr>
                <w:color w:val="000000"/>
                <w:sz w:val="18"/>
                <w:szCs w:val="18"/>
                <w:lang w:eastAsia="en-AU"/>
              </w:rPr>
            </w:pPr>
            <w:r w:rsidRPr="002D7AE6">
              <w:rPr>
                <w:color w:val="000000"/>
                <w:sz w:val="18"/>
                <w:szCs w:val="18"/>
                <w:lang w:eastAsia="en-AU"/>
              </w:rPr>
              <w:t>$588.5</w:t>
            </w:r>
          </w:p>
        </w:tc>
        <w:tc>
          <w:tcPr>
            <w:tcW w:w="850" w:type="dxa"/>
            <w:tcBorders>
              <w:top w:val="nil"/>
              <w:left w:val="nil"/>
              <w:bottom w:val="single" w:sz="4" w:space="0" w:color="FFFFFF"/>
              <w:right w:val="single" w:sz="4" w:space="0" w:color="FFFFFF"/>
            </w:tcBorders>
            <w:shd w:val="clear" w:color="000000" w:fill="D9E1F2"/>
            <w:vAlign w:val="bottom"/>
            <w:hideMark/>
          </w:tcPr>
          <w:p w14:paraId="43853602" w14:textId="77777777" w:rsidR="00052799" w:rsidRPr="002D7AE6" w:rsidRDefault="00052799" w:rsidP="00871631">
            <w:pPr>
              <w:jc w:val="right"/>
              <w:rPr>
                <w:color w:val="000000"/>
                <w:sz w:val="18"/>
                <w:szCs w:val="18"/>
                <w:lang w:eastAsia="en-AU"/>
              </w:rPr>
            </w:pPr>
            <w:r w:rsidRPr="002D7AE6">
              <w:rPr>
                <w:color w:val="000000"/>
                <w:sz w:val="18"/>
                <w:szCs w:val="18"/>
                <w:lang w:eastAsia="en-AU"/>
              </w:rPr>
              <w:t>15%</w:t>
            </w:r>
          </w:p>
        </w:tc>
        <w:tc>
          <w:tcPr>
            <w:tcW w:w="1418" w:type="dxa"/>
            <w:vMerge/>
            <w:tcBorders>
              <w:top w:val="nil"/>
              <w:left w:val="single" w:sz="4" w:space="0" w:color="FFFFFF"/>
              <w:bottom w:val="single" w:sz="4" w:space="0" w:color="FFFFFF"/>
              <w:right w:val="single" w:sz="4" w:space="0" w:color="FFFFFF"/>
            </w:tcBorders>
            <w:vAlign w:val="center"/>
            <w:hideMark/>
          </w:tcPr>
          <w:p w14:paraId="6875C769"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096FFB70"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280DA792" w14:textId="77777777" w:rsidR="00052799" w:rsidRPr="002D7AE6" w:rsidRDefault="00052799" w:rsidP="00871631">
            <w:pPr>
              <w:rPr>
                <w:color w:val="000000"/>
                <w:sz w:val="18"/>
                <w:szCs w:val="18"/>
                <w:lang w:eastAsia="en-AU"/>
              </w:rPr>
            </w:pPr>
            <w:r w:rsidRPr="002D7AE6">
              <w:rPr>
                <w:color w:val="000000"/>
                <w:sz w:val="18"/>
                <w:szCs w:val="18"/>
                <w:lang w:eastAsia="en-AU"/>
              </w:rPr>
              <w:t>$550.0</w:t>
            </w:r>
          </w:p>
        </w:tc>
        <w:tc>
          <w:tcPr>
            <w:tcW w:w="831" w:type="dxa"/>
            <w:tcBorders>
              <w:top w:val="nil"/>
              <w:left w:val="nil"/>
              <w:bottom w:val="single" w:sz="4" w:space="0" w:color="FFFFFF"/>
              <w:right w:val="single" w:sz="4" w:space="0" w:color="FFFFFF"/>
            </w:tcBorders>
            <w:shd w:val="clear" w:color="000000" w:fill="D9E1F2"/>
            <w:vAlign w:val="bottom"/>
            <w:hideMark/>
          </w:tcPr>
          <w:p w14:paraId="2EE24223" w14:textId="77777777" w:rsidR="00052799" w:rsidRPr="002D7AE6" w:rsidRDefault="00052799" w:rsidP="00871631">
            <w:pPr>
              <w:jc w:val="right"/>
              <w:rPr>
                <w:color w:val="000000"/>
                <w:sz w:val="18"/>
                <w:szCs w:val="18"/>
                <w:lang w:eastAsia="en-AU"/>
              </w:rPr>
            </w:pPr>
            <w:r w:rsidRPr="002D7AE6">
              <w:rPr>
                <w:color w:val="000000"/>
                <w:sz w:val="18"/>
                <w:szCs w:val="18"/>
                <w:lang w:eastAsia="en-AU"/>
              </w:rPr>
              <w:t>8%</w:t>
            </w:r>
          </w:p>
        </w:tc>
        <w:tc>
          <w:tcPr>
            <w:tcW w:w="1255" w:type="dxa"/>
            <w:vMerge/>
            <w:tcBorders>
              <w:top w:val="nil"/>
              <w:left w:val="single" w:sz="4" w:space="0" w:color="FFFFFF"/>
              <w:bottom w:val="single" w:sz="4" w:space="0" w:color="FFFFFF"/>
              <w:right w:val="single" w:sz="4" w:space="0" w:color="FFFFFF"/>
            </w:tcBorders>
            <w:vAlign w:val="center"/>
            <w:hideMark/>
          </w:tcPr>
          <w:p w14:paraId="39101819"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397959B0" w14:textId="77777777" w:rsidR="00052799" w:rsidRPr="002D7AE6" w:rsidRDefault="00052799" w:rsidP="00871631">
            <w:pPr>
              <w:rPr>
                <w:color w:val="000000"/>
                <w:sz w:val="18"/>
                <w:szCs w:val="18"/>
                <w:lang w:eastAsia="en-AU"/>
              </w:rPr>
            </w:pPr>
          </w:p>
        </w:tc>
      </w:tr>
      <w:tr w:rsidR="00052799" w:rsidRPr="002D7AE6" w14:paraId="726D2DE6" w14:textId="77777777" w:rsidTr="00871631">
        <w:trPr>
          <w:trHeight w:val="1152"/>
        </w:trPr>
        <w:tc>
          <w:tcPr>
            <w:tcW w:w="3681" w:type="dxa"/>
            <w:tcBorders>
              <w:top w:val="nil"/>
              <w:left w:val="nil"/>
              <w:bottom w:val="single" w:sz="4" w:space="0" w:color="FFFFFF"/>
              <w:right w:val="nil"/>
            </w:tcBorders>
            <w:shd w:val="clear" w:color="000000" w:fill="D9D9D9"/>
            <w:vAlign w:val="bottom"/>
            <w:hideMark/>
          </w:tcPr>
          <w:p w14:paraId="6915B760" w14:textId="77777777" w:rsidR="00052799" w:rsidRPr="002D7AE6" w:rsidRDefault="00052799" w:rsidP="00871631">
            <w:pPr>
              <w:rPr>
                <w:color w:val="000000"/>
                <w:sz w:val="18"/>
                <w:szCs w:val="18"/>
                <w:lang w:eastAsia="en-AU"/>
              </w:rPr>
            </w:pPr>
            <w:r w:rsidRPr="002D7AE6">
              <w:rPr>
                <w:color w:val="000000"/>
                <w:sz w:val="18"/>
                <w:szCs w:val="18"/>
                <w:lang w:eastAsia="en-AU"/>
              </w:rPr>
              <w:t>General category handgun licence for possessing or carrying a general category handgun, for carriage and use by the holder of a junior handgun target shooting licence business</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0128D816" w14:textId="77777777" w:rsidR="00052799" w:rsidRPr="002D7AE6" w:rsidRDefault="00052799" w:rsidP="00871631">
            <w:pPr>
              <w:rPr>
                <w:color w:val="000000"/>
                <w:sz w:val="18"/>
                <w:szCs w:val="18"/>
                <w:lang w:eastAsia="en-AU"/>
              </w:rPr>
            </w:pPr>
            <w:r w:rsidRPr="002D7AE6">
              <w:rPr>
                <w:color w:val="000000"/>
                <w:sz w:val="18"/>
                <w:szCs w:val="18"/>
                <w:lang w:eastAsia="en-AU"/>
              </w:rPr>
              <w:t>$494.0</w:t>
            </w:r>
          </w:p>
        </w:tc>
        <w:tc>
          <w:tcPr>
            <w:tcW w:w="1255" w:type="dxa"/>
            <w:vMerge/>
            <w:tcBorders>
              <w:top w:val="nil"/>
              <w:left w:val="single" w:sz="4" w:space="0" w:color="FFFFFF"/>
              <w:bottom w:val="single" w:sz="4" w:space="0" w:color="FFFFFF"/>
              <w:right w:val="single" w:sz="4" w:space="0" w:color="auto"/>
            </w:tcBorders>
            <w:vAlign w:val="center"/>
            <w:hideMark/>
          </w:tcPr>
          <w:p w14:paraId="16F68149"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09CA9754" w14:textId="77777777" w:rsidR="00052799" w:rsidRPr="002D7AE6" w:rsidRDefault="00052799" w:rsidP="00871631">
            <w:pPr>
              <w:rPr>
                <w:color w:val="000000"/>
                <w:sz w:val="18"/>
                <w:szCs w:val="18"/>
                <w:lang w:eastAsia="en-AU"/>
              </w:rPr>
            </w:pPr>
            <w:r w:rsidRPr="002D7AE6">
              <w:rPr>
                <w:color w:val="000000"/>
                <w:sz w:val="18"/>
                <w:szCs w:val="18"/>
                <w:lang w:eastAsia="en-AU"/>
              </w:rPr>
              <w:t>$604.9</w:t>
            </w:r>
          </w:p>
        </w:tc>
        <w:tc>
          <w:tcPr>
            <w:tcW w:w="850" w:type="dxa"/>
            <w:tcBorders>
              <w:top w:val="nil"/>
              <w:left w:val="nil"/>
              <w:bottom w:val="single" w:sz="4" w:space="0" w:color="FFFFFF"/>
              <w:right w:val="single" w:sz="4" w:space="0" w:color="FFFFFF"/>
            </w:tcBorders>
            <w:shd w:val="clear" w:color="000000" w:fill="D9E1F2"/>
            <w:vAlign w:val="bottom"/>
            <w:hideMark/>
          </w:tcPr>
          <w:p w14:paraId="3C1C2D46" w14:textId="77777777" w:rsidR="00052799" w:rsidRPr="002D7AE6" w:rsidRDefault="00052799" w:rsidP="00871631">
            <w:pPr>
              <w:jc w:val="right"/>
              <w:rPr>
                <w:color w:val="000000"/>
                <w:sz w:val="18"/>
                <w:szCs w:val="18"/>
                <w:lang w:eastAsia="en-AU"/>
              </w:rPr>
            </w:pPr>
            <w:r w:rsidRPr="002D7AE6">
              <w:rPr>
                <w:color w:val="000000"/>
                <w:sz w:val="18"/>
                <w:szCs w:val="18"/>
                <w:lang w:eastAsia="en-AU"/>
              </w:rPr>
              <w:t>22%</w:t>
            </w:r>
          </w:p>
        </w:tc>
        <w:tc>
          <w:tcPr>
            <w:tcW w:w="1418" w:type="dxa"/>
            <w:vMerge/>
            <w:tcBorders>
              <w:top w:val="nil"/>
              <w:left w:val="single" w:sz="4" w:space="0" w:color="FFFFFF"/>
              <w:bottom w:val="single" w:sz="4" w:space="0" w:color="FFFFFF"/>
              <w:right w:val="single" w:sz="4" w:space="0" w:color="FFFFFF"/>
            </w:tcBorders>
            <w:vAlign w:val="center"/>
            <w:hideMark/>
          </w:tcPr>
          <w:p w14:paraId="200197A8"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7823D342"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116C72E8" w14:textId="77777777" w:rsidR="00052799" w:rsidRPr="002D7AE6" w:rsidRDefault="00052799" w:rsidP="00871631">
            <w:pPr>
              <w:rPr>
                <w:color w:val="000000"/>
                <w:sz w:val="18"/>
                <w:szCs w:val="18"/>
                <w:lang w:eastAsia="en-AU"/>
              </w:rPr>
            </w:pPr>
            <w:r w:rsidRPr="002D7AE6">
              <w:rPr>
                <w:color w:val="000000"/>
                <w:sz w:val="18"/>
                <w:szCs w:val="18"/>
                <w:lang w:eastAsia="en-AU"/>
              </w:rPr>
              <w:t>$549.5</w:t>
            </w:r>
          </w:p>
        </w:tc>
        <w:tc>
          <w:tcPr>
            <w:tcW w:w="831" w:type="dxa"/>
            <w:tcBorders>
              <w:top w:val="nil"/>
              <w:left w:val="nil"/>
              <w:bottom w:val="single" w:sz="4" w:space="0" w:color="FFFFFF"/>
              <w:right w:val="single" w:sz="4" w:space="0" w:color="FFFFFF"/>
            </w:tcBorders>
            <w:shd w:val="clear" w:color="000000" w:fill="D9E1F2"/>
            <w:vAlign w:val="bottom"/>
            <w:hideMark/>
          </w:tcPr>
          <w:p w14:paraId="0880DF5D" w14:textId="77777777" w:rsidR="00052799" w:rsidRPr="002D7AE6" w:rsidRDefault="00052799" w:rsidP="00871631">
            <w:pPr>
              <w:jc w:val="right"/>
              <w:rPr>
                <w:color w:val="000000"/>
                <w:sz w:val="18"/>
                <w:szCs w:val="18"/>
                <w:lang w:eastAsia="en-AU"/>
              </w:rPr>
            </w:pPr>
            <w:r w:rsidRPr="002D7AE6">
              <w:rPr>
                <w:color w:val="000000"/>
                <w:sz w:val="18"/>
                <w:szCs w:val="18"/>
                <w:lang w:eastAsia="en-AU"/>
              </w:rPr>
              <w:t>11%</w:t>
            </w:r>
          </w:p>
        </w:tc>
        <w:tc>
          <w:tcPr>
            <w:tcW w:w="1255" w:type="dxa"/>
            <w:vMerge/>
            <w:tcBorders>
              <w:top w:val="nil"/>
              <w:left w:val="single" w:sz="4" w:space="0" w:color="FFFFFF"/>
              <w:bottom w:val="single" w:sz="4" w:space="0" w:color="FFFFFF"/>
              <w:right w:val="single" w:sz="4" w:space="0" w:color="FFFFFF"/>
            </w:tcBorders>
            <w:vAlign w:val="center"/>
            <w:hideMark/>
          </w:tcPr>
          <w:p w14:paraId="5305A549"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1AA2CBB2" w14:textId="77777777" w:rsidR="00052799" w:rsidRPr="002D7AE6" w:rsidRDefault="00052799" w:rsidP="00871631">
            <w:pPr>
              <w:rPr>
                <w:color w:val="000000"/>
                <w:sz w:val="18"/>
                <w:szCs w:val="18"/>
                <w:lang w:eastAsia="en-AU"/>
              </w:rPr>
            </w:pPr>
          </w:p>
        </w:tc>
      </w:tr>
      <w:tr w:rsidR="00052799" w:rsidRPr="002D7AE6" w14:paraId="407DFF81" w14:textId="77777777" w:rsidTr="00871631">
        <w:trPr>
          <w:trHeight w:val="300"/>
        </w:trPr>
        <w:tc>
          <w:tcPr>
            <w:tcW w:w="3681" w:type="dxa"/>
            <w:tcBorders>
              <w:top w:val="nil"/>
              <w:left w:val="nil"/>
              <w:bottom w:val="single" w:sz="4" w:space="0" w:color="FFFFFF"/>
              <w:right w:val="nil"/>
            </w:tcBorders>
            <w:shd w:val="clear" w:color="000000" w:fill="D9D9D9"/>
            <w:vAlign w:val="bottom"/>
            <w:hideMark/>
          </w:tcPr>
          <w:p w14:paraId="6186C045" w14:textId="77777777" w:rsidR="00052799" w:rsidRPr="002D7AE6" w:rsidRDefault="00052799" w:rsidP="00871631">
            <w:pPr>
              <w:rPr>
                <w:color w:val="000000"/>
                <w:sz w:val="18"/>
                <w:szCs w:val="18"/>
                <w:lang w:eastAsia="en-AU"/>
              </w:rPr>
            </w:pPr>
            <w:r w:rsidRPr="002D7AE6">
              <w:rPr>
                <w:color w:val="000000"/>
                <w:sz w:val="18"/>
                <w:szCs w:val="18"/>
                <w:lang w:eastAsia="en-AU"/>
              </w:rPr>
              <w:t>Category E handgun business</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098B10AE" w14:textId="77777777" w:rsidR="00052799" w:rsidRPr="002D7AE6" w:rsidRDefault="00052799" w:rsidP="00871631">
            <w:pPr>
              <w:rPr>
                <w:color w:val="000000"/>
                <w:sz w:val="18"/>
                <w:szCs w:val="18"/>
                <w:lang w:eastAsia="en-AU"/>
              </w:rPr>
            </w:pPr>
            <w:r w:rsidRPr="002D7AE6">
              <w:rPr>
                <w:color w:val="000000"/>
                <w:sz w:val="18"/>
                <w:szCs w:val="18"/>
                <w:lang w:eastAsia="en-AU"/>
              </w:rPr>
              <w:t>$450.1</w:t>
            </w:r>
          </w:p>
        </w:tc>
        <w:tc>
          <w:tcPr>
            <w:tcW w:w="1255" w:type="dxa"/>
            <w:vMerge/>
            <w:tcBorders>
              <w:top w:val="nil"/>
              <w:left w:val="single" w:sz="4" w:space="0" w:color="FFFFFF"/>
              <w:bottom w:val="single" w:sz="4" w:space="0" w:color="FFFFFF"/>
              <w:right w:val="single" w:sz="4" w:space="0" w:color="auto"/>
            </w:tcBorders>
            <w:vAlign w:val="center"/>
            <w:hideMark/>
          </w:tcPr>
          <w:p w14:paraId="370B8F1F"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517E5CAC" w14:textId="77777777" w:rsidR="00052799" w:rsidRPr="002D7AE6" w:rsidRDefault="00052799" w:rsidP="00871631">
            <w:pPr>
              <w:rPr>
                <w:color w:val="000000"/>
                <w:sz w:val="18"/>
                <w:szCs w:val="18"/>
                <w:lang w:eastAsia="en-AU"/>
              </w:rPr>
            </w:pPr>
            <w:r w:rsidRPr="002D7AE6">
              <w:rPr>
                <w:color w:val="000000"/>
                <w:sz w:val="18"/>
                <w:szCs w:val="18"/>
                <w:lang w:eastAsia="en-AU"/>
              </w:rPr>
              <w:t>$661.8</w:t>
            </w:r>
          </w:p>
        </w:tc>
        <w:tc>
          <w:tcPr>
            <w:tcW w:w="850" w:type="dxa"/>
            <w:tcBorders>
              <w:top w:val="nil"/>
              <w:left w:val="nil"/>
              <w:bottom w:val="single" w:sz="4" w:space="0" w:color="FFFFFF"/>
              <w:right w:val="single" w:sz="4" w:space="0" w:color="FFFFFF"/>
            </w:tcBorders>
            <w:shd w:val="clear" w:color="000000" w:fill="D9E1F2"/>
            <w:vAlign w:val="bottom"/>
            <w:hideMark/>
          </w:tcPr>
          <w:p w14:paraId="77B6061A" w14:textId="77777777" w:rsidR="00052799" w:rsidRPr="002D7AE6" w:rsidRDefault="00052799" w:rsidP="00871631">
            <w:pPr>
              <w:jc w:val="right"/>
              <w:rPr>
                <w:color w:val="000000"/>
                <w:sz w:val="18"/>
                <w:szCs w:val="18"/>
                <w:lang w:eastAsia="en-AU"/>
              </w:rPr>
            </w:pPr>
            <w:r w:rsidRPr="002D7AE6">
              <w:rPr>
                <w:color w:val="000000"/>
                <w:sz w:val="18"/>
                <w:szCs w:val="18"/>
                <w:lang w:eastAsia="en-AU"/>
              </w:rPr>
              <w:t>47%</w:t>
            </w:r>
          </w:p>
        </w:tc>
        <w:tc>
          <w:tcPr>
            <w:tcW w:w="1418" w:type="dxa"/>
            <w:vMerge/>
            <w:tcBorders>
              <w:top w:val="nil"/>
              <w:left w:val="single" w:sz="4" w:space="0" w:color="FFFFFF"/>
              <w:bottom w:val="single" w:sz="4" w:space="0" w:color="FFFFFF"/>
              <w:right w:val="single" w:sz="4" w:space="0" w:color="FFFFFF"/>
            </w:tcBorders>
            <w:vAlign w:val="center"/>
            <w:hideMark/>
          </w:tcPr>
          <w:p w14:paraId="1D150890"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4AF62C31"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610A3043" w14:textId="77777777" w:rsidR="00052799" w:rsidRPr="002D7AE6" w:rsidRDefault="00052799" w:rsidP="00871631">
            <w:pPr>
              <w:rPr>
                <w:color w:val="000000"/>
                <w:sz w:val="18"/>
                <w:szCs w:val="18"/>
                <w:lang w:eastAsia="en-AU"/>
              </w:rPr>
            </w:pPr>
            <w:r w:rsidRPr="002D7AE6">
              <w:rPr>
                <w:color w:val="000000"/>
                <w:sz w:val="18"/>
                <w:szCs w:val="18"/>
                <w:lang w:eastAsia="en-AU"/>
              </w:rPr>
              <w:t>$555.9</w:t>
            </w:r>
          </w:p>
        </w:tc>
        <w:tc>
          <w:tcPr>
            <w:tcW w:w="831" w:type="dxa"/>
            <w:tcBorders>
              <w:top w:val="nil"/>
              <w:left w:val="nil"/>
              <w:bottom w:val="single" w:sz="4" w:space="0" w:color="FFFFFF"/>
              <w:right w:val="single" w:sz="4" w:space="0" w:color="FFFFFF"/>
            </w:tcBorders>
            <w:shd w:val="clear" w:color="000000" w:fill="D9E1F2"/>
            <w:vAlign w:val="bottom"/>
            <w:hideMark/>
          </w:tcPr>
          <w:p w14:paraId="5EEA59B9" w14:textId="77777777" w:rsidR="00052799" w:rsidRPr="002D7AE6" w:rsidRDefault="00052799" w:rsidP="00871631">
            <w:pPr>
              <w:jc w:val="right"/>
              <w:rPr>
                <w:color w:val="000000"/>
                <w:sz w:val="18"/>
                <w:szCs w:val="18"/>
                <w:lang w:eastAsia="en-AU"/>
              </w:rPr>
            </w:pPr>
            <w:r w:rsidRPr="002D7AE6">
              <w:rPr>
                <w:color w:val="000000"/>
                <w:sz w:val="18"/>
                <w:szCs w:val="18"/>
                <w:lang w:eastAsia="en-AU"/>
              </w:rPr>
              <w:t>24%</w:t>
            </w:r>
          </w:p>
        </w:tc>
        <w:tc>
          <w:tcPr>
            <w:tcW w:w="1255" w:type="dxa"/>
            <w:vMerge/>
            <w:tcBorders>
              <w:top w:val="nil"/>
              <w:left w:val="single" w:sz="4" w:space="0" w:color="FFFFFF"/>
              <w:bottom w:val="single" w:sz="4" w:space="0" w:color="FFFFFF"/>
              <w:right w:val="single" w:sz="4" w:space="0" w:color="FFFFFF"/>
            </w:tcBorders>
            <w:vAlign w:val="center"/>
            <w:hideMark/>
          </w:tcPr>
          <w:p w14:paraId="5F80F0D0"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70A336E6" w14:textId="77777777" w:rsidR="00052799" w:rsidRPr="002D7AE6" w:rsidRDefault="00052799" w:rsidP="00871631">
            <w:pPr>
              <w:rPr>
                <w:color w:val="000000"/>
                <w:sz w:val="18"/>
                <w:szCs w:val="18"/>
                <w:lang w:eastAsia="en-AU"/>
              </w:rPr>
            </w:pPr>
          </w:p>
        </w:tc>
      </w:tr>
      <w:tr w:rsidR="00052799" w:rsidRPr="002D7AE6" w14:paraId="0893D4FD"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3CBFCBB5" w14:textId="77777777" w:rsidR="00052799" w:rsidRPr="002D7AE6" w:rsidRDefault="00052799" w:rsidP="00871631">
            <w:pPr>
              <w:rPr>
                <w:color w:val="000000"/>
                <w:sz w:val="18"/>
                <w:szCs w:val="18"/>
                <w:lang w:eastAsia="en-AU"/>
              </w:rPr>
            </w:pPr>
            <w:r w:rsidRPr="002D7AE6">
              <w:rPr>
                <w:color w:val="000000"/>
                <w:sz w:val="18"/>
                <w:szCs w:val="18"/>
                <w:lang w:eastAsia="en-AU"/>
              </w:rPr>
              <w:t>Paintball marker licence individual</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24F6C269" w14:textId="77777777" w:rsidR="00052799" w:rsidRPr="002D7AE6" w:rsidRDefault="00052799" w:rsidP="00871631">
            <w:pPr>
              <w:rPr>
                <w:color w:val="000000"/>
                <w:sz w:val="18"/>
                <w:szCs w:val="18"/>
                <w:lang w:eastAsia="en-AU"/>
              </w:rPr>
            </w:pPr>
            <w:r w:rsidRPr="002D7AE6">
              <w:rPr>
                <w:color w:val="000000"/>
                <w:sz w:val="18"/>
                <w:szCs w:val="18"/>
                <w:lang w:eastAsia="en-AU"/>
              </w:rPr>
              <w:t>$233.2</w:t>
            </w:r>
          </w:p>
        </w:tc>
        <w:tc>
          <w:tcPr>
            <w:tcW w:w="1255"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298CFFF3" w14:textId="77777777" w:rsidR="00052799" w:rsidRPr="002D7AE6" w:rsidRDefault="00052799" w:rsidP="00871631">
            <w:pPr>
              <w:jc w:val="center"/>
              <w:rPr>
                <w:color w:val="000000"/>
                <w:sz w:val="18"/>
                <w:szCs w:val="18"/>
                <w:lang w:eastAsia="en-AU"/>
              </w:rPr>
            </w:pPr>
            <w:r w:rsidRPr="002D7AE6">
              <w:rPr>
                <w:color w:val="000000"/>
                <w:sz w:val="18"/>
                <w:szCs w:val="18"/>
                <w:lang w:eastAsia="en-AU"/>
              </w:rPr>
              <w:t>$22,116</w:t>
            </w:r>
          </w:p>
        </w:tc>
        <w:tc>
          <w:tcPr>
            <w:tcW w:w="927" w:type="dxa"/>
            <w:tcBorders>
              <w:top w:val="nil"/>
              <w:left w:val="nil"/>
              <w:bottom w:val="single" w:sz="4" w:space="0" w:color="FFFFFF"/>
              <w:right w:val="single" w:sz="4" w:space="0" w:color="FFFFFF"/>
            </w:tcBorders>
            <w:shd w:val="clear" w:color="000000" w:fill="D9E1F2"/>
            <w:vAlign w:val="bottom"/>
            <w:hideMark/>
          </w:tcPr>
          <w:p w14:paraId="2143E3E6" w14:textId="77777777" w:rsidR="00052799" w:rsidRPr="002D7AE6" w:rsidRDefault="00052799" w:rsidP="00871631">
            <w:pPr>
              <w:rPr>
                <w:color w:val="000000"/>
                <w:sz w:val="18"/>
                <w:szCs w:val="18"/>
                <w:lang w:eastAsia="en-AU"/>
              </w:rPr>
            </w:pPr>
            <w:r w:rsidRPr="002D7AE6">
              <w:rPr>
                <w:color w:val="000000"/>
                <w:sz w:val="18"/>
                <w:szCs w:val="18"/>
                <w:lang w:eastAsia="en-AU"/>
              </w:rPr>
              <w:t>$231.3</w:t>
            </w:r>
          </w:p>
        </w:tc>
        <w:tc>
          <w:tcPr>
            <w:tcW w:w="850" w:type="dxa"/>
            <w:tcBorders>
              <w:top w:val="nil"/>
              <w:left w:val="nil"/>
              <w:bottom w:val="single" w:sz="4" w:space="0" w:color="FFFFFF"/>
              <w:right w:val="single" w:sz="4" w:space="0" w:color="FFFFFF"/>
            </w:tcBorders>
            <w:shd w:val="clear" w:color="000000" w:fill="D9E1F2"/>
            <w:vAlign w:val="bottom"/>
            <w:hideMark/>
          </w:tcPr>
          <w:p w14:paraId="448AA122" w14:textId="77777777" w:rsidR="00052799" w:rsidRPr="002D7AE6" w:rsidRDefault="00052799" w:rsidP="00871631">
            <w:pPr>
              <w:jc w:val="right"/>
              <w:rPr>
                <w:color w:val="000000"/>
                <w:sz w:val="18"/>
                <w:szCs w:val="18"/>
                <w:lang w:eastAsia="en-AU"/>
              </w:rPr>
            </w:pPr>
            <w:r w:rsidRPr="002D7AE6">
              <w:rPr>
                <w:color w:val="000000"/>
                <w:sz w:val="18"/>
                <w:szCs w:val="18"/>
                <w:lang w:eastAsia="en-AU"/>
              </w:rPr>
              <w:t>-1%</w:t>
            </w:r>
          </w:p>
        </w:tc>
        <w:tc>
          <w:tcPr>
            <w:tcW w:w="1418" w:type="dxa"/>
            <w:vMerge w:val="restart"/>
            <w:tcBorders>
              <w:top w:val="nil"/>
              <w:left w:val="single" w:sz="4" w:space="0" w:color="FFFFFF"/>
              <w:bottom w:val="single" w:sz="4" w:space="0" w:color="FFFFFF"/>
              <w:right w:val="single" w:sz="4" w:space="0" w:color="FFFFFF"/>
            </w:tcBorders>
            <w:shd w:val="clear" w:color="000000" w:fill="D9E1F2"/>
            <w:vAlign w:val="bottom"/>
            <w:hideMark/>
          </w:tcPr>
          <w:p w14:paraId="15546022" w14:textId="77777777" w:rsidR="00052799" w:rsidRPr="002D7AE6" w:rsidRDefault="00052799" w:rsidP="00871631">
            <w:pPr>
              <w:jc w:val="center"/>
              <w:rPr>
                <w:color w:val="000000"/>
                <w:sz w:val="18"/>
                <w:szCs w:val="18"/>
                <w:lang w:eastAsia="en-AU"/>
              </w:rPr>
            </w:pPr>
            <w:r w:rsidRPr="002D7AE6">
              <w:rPr>
                <w:color w:val="000000"/>
                <w:sz w:val="18"/>
                <w:szCs w:val="18"/>
                <w:lang w:eastAsia="en-AU"/>
              </w:rPr>
              <w:t>$21,944</w:t>
            </w:r>
          </w:p>
        </w:tc>
        <w:tc>
          <w:tcPr>
            <w:tcW w:w="1276"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60F8B677" w14:textId="77777777" w:rsidR="00052799" w:rsidRPr="002D7AE6" w:rsidRDefault="00052799" w:rsidP="00871631">
            <w:pPr>
              <w:jc w:val="center"/>
              <w:rPr>
                <w:color w:val="000000"/>
                <w:sz w:val="18"/>
                <w:szCs w:val="18"/>
                <w:lang w:eastAsia="en-AU"/>
              </w:rPr>
            </w:pPr>
            <w:r w:rsidRPr="002D7AE6">
              <w:rPr>
                <w:color w:val="000000"/>
                <w:sz w:val="18"/>
                <w:szCs w:val="18"/>
                <w:lang w:eastAsia="en-AU"/>
              </w:rPr>
              <w:t>$(172)</w:t>
            </w:r>
          </w:p>
        </w:tc>
        <w:tc>
          <w:tcPr>
            <w:tcW w:w="925" w:type="dxa"/>
            <w:tcBorders>
              <w:top w:val="nil"/>
              <w:left w:val="nil"/>
              <w:bottom w:val="single" w:sz="4" w:space="0" w:color="FFFFFF"/>
              <w:right w:val="single" w:sz="4" w:space="0" w:color="FFFFFF"/>
            </w:tcBorders>
            <w:shd w:val="clear" w:color="000000" w:fill="D9E1F2"/>
            <w:vAlign w:val="bottom"/>
            <w:hideMark/>
          </w:tcPr>
          <w:p w14:paraId="407CE353" w14:textId="77777777" w:rsidR="00052799" w:rsidRPr="002D7AE6" w:rsidRDefault="00052799" w:rsidP="00871631">
            <w:pPr>
              <w:rPr>
                <w:color w:val="000000"/>
                <w:sz w:val="18"/>
                <w:szCs w:val="18"/>
                <w:lang w:eastAsia="en-AU"/>
              </w:rPr>
            </w:pPr>
            <w:r w:rsidRPr="002D7AE6">
              <w:rPr>
                <w:color w:val="000000"/>
                <w:sz w:val="18"/>
                <w:szCs w:val="18"/>
                <w:lang w:eastAsia="en-AU"/>
              </w:rPr>
              <w:t>$233.2</w:t>
            </w:r>
          </w:p>
        </w:tc>
        <w:tc>
          <w:tcPr>
            <w:tcW w:w="831" w:type="dxa"/>
            <w:tcBorders>
              <w:top w:val="nil"/>
              <w:left w:val="nil"/>
              <w:bottom w:val="single" w:sz="4" w:space="0" w:color="FFFFFF"/>
              <w:right w:val="single" w:sz="4" w:space="0" w:color="FFFFFF"/>
            </w:tcBorders>
            <w:shd w:val="clear" w:color="000000" w:fill="D9E1F2"/>
            <w:vAlign w:val="bottom"/>
            <w:hideMark/>
          </w:tcPr>
          <w:p w14:paraId="1229B6CE" w14:textId="77777777" w:rsidR="00052799" w:rsidRPr="002D7AE6" w:rsidRDefault="00052799" w:rsidP="00871631">
            <w:pPr>
              <w:jc w:val="right"/>
              <w:rPr>
                <w:color w:val="000000"/>
                <w:sz w:val="18"/>
                <w:szCs w:val="18"/>
                <w:lang w:eastAsia="en-AU"/>
              </w:rPr>
            </w:pPr>
            <w:r w:rsidRPr="002D7AE6">
              <w:rPr>
                <w:color w:val="000000"/>
                <w:sz w:val="18"/>
                <w:szCs w:val="18"/>
                <w:lang w:eastAsia="en-AU"/>
              </w:rPr>
              <w:t>0%</w:t>
            </w:r>
          </w:p>
        </w:tc>
        <w:tc>
          <w:tcPr>
            <w:tcW w:w="1255" w:type="dxa"/>
            <w:vMerge w:val="restart"/>
            <w:tcBorders>
              <w:top w:val="nil"/>
              <w:left w:val="single" w:sz="4" w:space="0" w:color="FFFFFF"/>
              <w:bottom w:val="single" w:sz="4" w:space="0" w:color="FFFFFF"/>
              <w:right w:val="single" w:sz="4" w:space="0" w:color="FFFFFF"/>
            </w:tcBorders>
            <w:shd w:val="clear" w:color="000000" w:fill="D9E1F2"/>
            <w:vAlign w:val="bottom"/>
            <w:hideMark/>
          </w:tcPr>
          <w:p w14:paraId="6556B388" w14:textId="77777777" w:rsidR="00052799" w:rsidRPr="002D7AE6" w:rsidRDefault="00052799" w:rsidP="00871631">
            <w:pPr>
              <w:jc w:val="center"/>
              <w:rPr>
                <w:color w:val="000000"/>
                <w:sz w:val="18"/>
                <w:szCs w:val="18"/>
                <w:lang w:eastAsia="en-AU"/>
              </w:rPr>
            </w:pPr>
            <w:r w:rsidRPr="002D7AE6">
              <w:rPr>
                <w:color w:val="000000"/>
                <w:sz w:val="18"/>
                <w:szCs w:val="18"/>
                <w:lang w:eastAsia="en-AU"/>
              </w:rPr>
              <w:t>$22,118</w:t>
            </w:r>
          </w:p>
        </w:tc>
        <w:tc>
          <w:tcPr>
            <w:tcW w:w="982"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4A32592C" w14:textId="77777777" w:rsidR="00052799" w:rsidRPr="002D7AE6" w:rsidRDefault="00052799" w:rsidP="00871631">
            <w:pPr>
              <w:jc w:val="center"/>
              <w:rPr>
                <w:color w:val="000000"/>
                <w:sz w:val="18"/>
                <w:szCs w:val="18"/>
                <w:lang w:eastAsia="en-AU"/>
              </w:rPr>
            </w:pPr>
            <w:r w:rsidRPr="002D7AE6">
              <w:rPr>
                <w:color w:val="000000"/>
                <w:sz w:val="18"/>
                <w:szCs w:val="18"/>
                <w:lang w:eastAsia="en-AU"/>
              </w:rPr>
              <w:t>$2</w:t>
            </w:r>
          </w:p>
        </w:tc>
      </w:tr>
      <w:tr w:rsidR="00052799" w:rsidRPr="002D7AE6" w14:paraId="389CE483" w14:textId="77777777" w:rsidTr="00871631">
        <w:trPr>
          <w:trHeight w:val="324"/>
        </w:trPr>
        <w:tc>
          <w:tcPr>
            <w:tcW w:w="3681" w:type="dxa"/>
            <w:tcBorders>
              <w:top w:val="nil"/>
              <w:left w:val="nil"/>
              <w:bottom w:val="single" w:sz="4" w:space="0" w:color="FFFFFF"/>
              <w:right w:val="nil"/>
            </w:tcBorders>
            <w:shd w:val="clear" w:color="000000" w:fill="D9D9D9"/>
            <w:vAlign w:val="bottom"/>
            <w:hideMark/>
          </w:tcPr>
          <w:p w14:paraId="2A5EA5E2" w14:textId="77777777" w:rsidR="00052799" w:rsidRPr="002D7AE6" w:rsidRDefault="00052799" w:rsidP="00871631">
            <w:pPr>
              <w:rPr>
                <w:color w:val="000000"/>
                <w:sz w:val="18"/>
                <w:szCs w:val="18"/>
                <w:lang w:eastAsia="en-AU"/>
              </w:rPr>
            </w:pPr>
            <w:r w:rsidRPr="002D7AE6">
              <w:rPr>
                <w:color w:val="000000"/>
                <w:sz w:val="18"/>
                <w:szCs w:val="18"/>
                <w:lang w:eastAsia="en-AU"/>
              </w:rPr>
              <w:t>Paintball marker licence business</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0C0E9CE1" w14:textId="77777777" w:rsidR="00052799" w:rsidRPr="002D7AE6" w:rsidRDefault="00052799" w:rsidP="00871631">
            <w:pPr>
              <w:rPr>
                <w:color w:val="000000"/>
                <w:sz w:val="18"/>
                <w:szCs w:val="18"/>
                <w:lang w:eastAsia="en-AU"/>
              </w:rPr>
            </w:pPr>
            <w:r w:rsidRPr="002D7AE6">
              <w:rPr>
                <w:color w:val="000000"/>
                <w:sz w:val="18"/>
                <w:szCs w:val="18"/>
                <w:lang w:eastAsia="en-AU"/>
              </w:rPr>
              <w:t>$422.3</w:t>
            </w:r>
          </w:p>
        </w:tc>
        <w:tc>
          <w:tcPr>
            <w:tcW w:w="1255" w:type="dxa"/>
            <w:vMerge/>
            <w:tcBorders>
              <w:top w:val="nil"/>
              <w:left w:val="single" w:sz="4" w:space="0" w:color="FFFFFF"/>
              <w:bottom w:val="single" w:sz="4" w:space="0" w:color="FFFFFF"/>
              <w:right w:val="single" w:sz="4" w:space="0" w:color="auto"/>
            </w:tcBorders>
            <w:vAlign w:val="center"/>
            <w:hideMark/>
          </w:tcPr>
          <w:p w14:paraId="27A52C0C"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069786B4" w14:textId="77777777" w:rsidR="00052799" w:rsidRPr="002D7AE6" w:rsidRDefault="00052799" w:rsidP="00871631">
            <w:pPr>
              <w:rPr>
                <w:color w:val="000000"/>
                <w:sz w:val="18"/>
                <w:szCs w:val="18"/>
                <w:lang w:eastAsia="en-AU"/>
              </w:rPr>
            </w:pPr>
            <w:r w:rsidRPr="002D7AE6">
              <w:rPr>
                <w:color w:val="000000"/>
                <w:sz w:val="18"/>
                <w:szCs w:val="18"/>
                <w:lang w:eastAsia="en-AU"/>
              </w:rPr>
              <w:t>$430.2</w:t>
            </w:r>
          </w:p>
        </w:tc>
        <w:tc>
          <w:tcPr>
            <w:tcW w:w="850" w:type="dxa"/>
            <w:tcBorders>
              <w:top w:val="nil"/>
              <w:left w:val="nil"/>
              <w:bottom w:val="single" w:sz="4" w:space="0" w:color="FFFFFF"/>
              <w:right w:val="single" w:sz="4" w:space="0" w:color="FFFFFF"/>
            </w:tcBorders>
            <w:shd w:val="clear" w:color="000000" w:fill="D9E1F2"/>
            <w:vAlign w:val="bottom"/>
            <w:hideMark/>
          </w:tcPr>
          <w:p w14:paraId="7E175FA9" w14:textId="77777777" w:rsidR="00052799" w:rsidRPr="002D7AE6" w:rsidRDefault="00052799" w:rsidP="00871631">
            <w:pPr>
              <w:jc w:val="right"/>
              <w:rPr>
                <w:color w:val="000000"/>
                <w:sz w:val="18"/>
                <w:szCs w:val="18"/>
                <w:lang w:eastAsia="en-AU"/>
              </w:rPr>
            </w:pPr>
            <w:r w:rsidRPr="002D7AE6">
              <w:rPr>
                <w:color w:val="000000"/>
                <w:sz w:val="18"/>
                <w:szCs w:val="18"/>
                <w:lang w:eastAsia="en-AU"/>
              </w:rPr>
              <w:t>2%</w:t>
            </w:r>
          </w:p>
        </w:tc>
        <w:tc>
          <w:tcPr>
            <w:tcW w:w="1418" w:type="dxa"/>
            <w:vMerge/>
            <w:tcBorders>
              <w:top w:val="nil"/>
              <w:left w:val="single" w:sz="4" w:space="0" w:color="FFFFFF"/>
              <w:bottom w:val="single" w:sz="4" w:space="0" w:color="FFFFFF"/>
              <w:right w:val="single" w:sz="4" w:space="0" w:color="FFFFFF"/>
            </w:tcBorders>
            <w:vAlign w:val="center"/>
            <w:hideMark/>
          </w:tcPr>
          <w:p w14:paraId="61BDC00B"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477D4455"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2BB33EA8" w14:textId="77777777" w:rsidR="00052799" w:rsidRPr="002D7AE6" w:rsidRDefault="00052799" w:rsidP="00871631">
            <w:pPr>
              <w:rPr>
                <w:color w:val="000000"/>
                <w:sz w:val="18"/>
                <w:szCs w:val="18"/>
                <w:lang w:eastAsia="en-AU"/>
              </w:rPr>
            </w:pPr>
            <w:r w:rsidRPr="002D7AE6">
              <w:rPr>
                <w:color w:val="000000"/>
                <w:sz w:val="18"/>
                <w:szCs w:val="18"/>
                <w:lang w:eastAsia="en-AU"/>
              </w:rPr>
              <w:t>$426.3</w:t>
            </w:r>
          </w:p>
        </w:tc>
        <w:tc>
          <w:tcPr>
            <w:tcW w:w="831" w:type="dxa"/>
            <w:tcBorders>
              <w:top w:val="nil"/>
              <w:left w:val="nil"/>
              <w:bottom w:val="single" w:sz="4" w:space="0" w:color="FFFFFF"/>
              <w:right w:val="single" w:sz="4" w:space="0" w:color="FFFFFF"/>
            </w:tcBorders>
            <w:shd w:val="clear" w:color="000000" w:fill="D9E1F2"/>
            <w:vAlign w:val="bottom"/>
            <w:hideMark/>
          </w:tcPr>
          <w:p w14:paraId="16777B57" w14:textId="77777777" w:rsidR="00052799" w:rsidRPr="002D7AE6" w:rsidRDefault="00052799" w:rsidP="00871631">
            <w:pPr>
              <w:jc w:val="right"/>
              <w:rPr>
                <w:color w:val="000000"/>
                <w:sz w:val="18"/>
                <w:szCs w:val="18"/>
                <w:lang w:eastAsia="en-AU"/>
              </w:rPr>
            </w:pPr>
            <w:r w:rsidRPr="002D7AE6">
              <w:rPr>
                <w:color w:val="000000"/>
                <w:sz w:val="18"/>
                <w:szCs w:val="18"/>
                <w:lang w:eastAsia="en-AU"/>
              </w:rPr>
              <w:t>1%</w:t>
            </w:r>
          </w:p>
        </w:tc>
        <w:tc>
          <w:tcPr>
            <w:tcW w:w="1255" w:type="dxa"/>
            <w:vMerge/>
            <w:tcBorders>
              <w:top w:val="nil"/>
              <w:left w:val="single" w:sz="4" w:space="0" w:color="FFFFFF"/>
              <w:bottom w:val="single" w:sz="4" w:space="0" w:color="FFFFFF"/>
              <w:right w:val="single" w:sz="4" w:space="0" w:color="FFFFFF"/>
            </w:tcBorders>
            <w:vAlign w:val="center"/>
            <w:hideMark/>
          </w:tcPr>
          <w:p w14:paraId="00C376F3"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65B7008C" w14:textId="77777777" w:rsidR="00052799" w:rsidRPr="002D7AE6" w:rsidRDefault="00052799" w:rsidP="00871631">
            <w:pPr>
              <w:rPr>
                <w:color w:val="000000"/>
                <w:sz w:val="18"/>
                <w:szCs w:val="18"/>
                <w:lang w:eastAsia="en-AU"/>
              </w:rPr>
            </w:pPr>
          </w:p>
        </w:tc>
      </w:tr>
      <w:tr w:rsidR="00052799" w:rsidRPr="002D7AE6" w14:paraId="7A9C5F98"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75F738DF" w14:textId="77777777" w:rsidR="00052799" w:rsidRPr="002D7AE6" w:rsidRDefault="00052799" w:rsidP="00871631">
            <w:pPr>
              <w:rPr>
                <w:color w:val="000000"/>
                <w:sz w:val="18"/>
                <w:szCs w:val="18"/>
                <w:lang w:eastAsia="en-AU"/>
              </w:rPr>
            </w:pPr>
            <w:r w:rsidRPr="002D7AE6">
              <w:rPr>
                <w:color w:val="000000"/>
                <w:sz w:val="18"/>
                <w:szCs w:val="18"/>
                <w:lang w:eastAsia="en-AU"/>
              </w:rPr>
              <w:t>Junior licence - individual</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284DC790" w14:textId="77777777" w:rsidR="00052799" w:rsidRPr="002D7AE6" w:rsidRDefault="00052799" w:rsidP="00871631">
            <w:pPr>
              <w:rPr>
                <w:color w:val="000000"/>
                <w:sz w:val="18"/>
                <w:szCs w:val="18"/>
                <w:lang w:eastAsia="en-AU"/>
              </w:rPr>
            </w:pPr>
            <w:r w:rsidRPr="002D7AE6">
              <w:rPr>
                <w:color w:val="000000"/>
                <w:sz w:val="18"/>
                <w:szCs w:val="18"/>
                <w:lang w:eastAsia="en-AU"/>
              </w:rPr>
              <w:t>$52.5</w:t>
            </w:r>
          </w:p>
        </w:tc>
        <w:tc>
          <w:tcPr>
            <w:tcW w:w="1255"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4AED9F3A" w14:textId="77777777" w:rsidR="00052799" w:rsidRPr="002D7AE6" w:rsidRDefault="00052799" w:rsidP="00871631">
            <w:pPr>
              <w:jc w:val="center"/>
              <w:rPr>
                <w:color w:val="000000"/>
                <w:sz w:val="18"/>
                <w:szCs w:val="18"/>
                <w:lang w:eastAsia="en-AU"/>
              </w:rPr>
            </w:pPr>
            <w:r w:rsidRPr="002D7AE6">
              <w:rPr>
                <w:color w:val="000000"/>
                <w:sz w:val="18"/>
                <w:szCs w:val="18"/>
                <w:lang w:eastAsia="en-AU"/>
              </w:rPr>
              <w:t>$201,901</w:t>
            </w:r>
          </w:p>
        </w:tc>
        <w:tc>
          <w:tcPr>
            <w:tcW w:w="927" w:type="dxa"/>
            <w:tcBorders>
              <w:top w:val="nil"/>
              <w:left w:val="nil"/>
              <w:bottom w:val="single" w:sz="4" w:space="0" w:color="FFFFFF"/>
              <w:right w:val="single" w:sz="4" w:space="0" w:color="FFFFFF"/>
            </w:tcBorders>
            <w:shd w:val="clear" w:color="000000" w:fill="D9E1F2"/>
            <w:vAlign w:val="bottom"/>
            <w:hideMark/>
          </w:tcPr>
          <w:p w14:paraId="19024B97" w14:textId="77777777" w:rsidR="00052799" w:rsidRPr="002D7AE6" w:rsidRDefault="00052799" w:rsidP="00871631">
            <w:pPr>
              <w:rPr>
                <w:color w:val="000000"/>
                <w:sz w:val="18"/>
                <w:szCs w:val="18"/>
                <w:lang w:eastAsia="en-AU"/>
              </w:rPr>
            </w:pPr>
            <w:r w:rsidRPr="002D7AE6">
              <w:rPr>
                <w:color w:val="000000"/>
                <w:sz w:val="18"/>
                <w:szCs w:val="18"/>
                <w:lang w:eastAsia="en-AU"/>
              </w:rPr>
              <w:t>$233.3</w:t>
            </w:r>
          </w:p>
        </w:tc>
        <w:tc>
          <w:tcPr>
            <w:tcW w:w="850" w:type="dxa"/>
            <w:tcBorders>
              <w:top w:val="nil"/>
              <w:left w:val="nil"/>
              <w:bottom w:val="single" w:sz="4" w:space="0" w:color="FFFFFF"/>
              <w:right w:val="single" w:sz="4" w:space="0" w:color="FFFFFF"/>
            </w:tcBorders>
            <w:shd w:val="clear" w:color="000000" w:fill="D9E1F2"/>
            <w:vAlign w:val="bottom"/>
            <w:hideMark/>
          </w:tcPr>
          <w:p w14:paraId="081A9954" w14:textId="77777777" w:rsidR="00052799" w:rsidRPr="002D7AE6" w:rsidRDefault="00052799" w:rsidP="00871631">
            <w:pPr>
              <w:jc w:val="right"/>
              <w:rPr>
                <w:color w:val="000000"/>
                <w:sz w:val="18"/>
                <w:szCs w:val="18"/>
                <w:lang w:eastAsia="en-AU"/>
              </w:rPr>
            </w:pPr>
            <w:r w:rsidRPr="002D7AE6">
              <w:rPr>
                <w:color w:val="000000"/>
                <w:sz w:val="18"/>
                <w:szCs w:val="18"/>
                <w:lang w:eastAsia="en-AU"/>
              </w:rPr>
              <w:t>345%</w:t>
            </w:r>
          </w:p>
        </w:tc>
        <w:tc>
          <w:tcPr>
            <w:tcW w:w="1418" w:type="dxa"/>
            <w:vMerge w:val="restart"/>
            <w:tcBorders>
              <w:top w:val="nil"/>
              <w:left w:val="single" w:sz="4" w:space="0" w:color="FFFFFF"/>
              <w:bottom w:val="single" w:sz="4" w:space="0" w:color="FFFFFF"/>
              <w:right w:val="single" w:sz="4" w:space="0" w:color="FFFFFF"/>
            </w:tcBorders>
            <w:shd w:val="clear" w:color="000000" w:fill="D9E1F2"/>
            <w:vAlign w:val="bottom"/>
            <w:hideMark/>
          </w:tcPr>
          <w:p w14:paraId="7F78EB33" w14:textId="77777777" w:rsidR="00052799" w:rsidRPr="002D7AE6" w:rsidRDefault="00052799" w:rsidP="00871631">
            <w:pPr>
              <w:jc w:val="center"/>
              <w:rPr>
                <w:color w:val="000000"/>
                <w:sz w:val="18"/>
                <w:szCs w:val="18"/>
                <w:lang w:eastAsia="en-AU"/>
              </w:rPr>
            </w:pPr>
            <w:r w:rsidRPr="002D7AE6">
              <w:rPr>
                <w:color w:val="000000"/>
                <w:sz w:val="18"/>
                <w:szCs w:val="18"/>
                <w:lang w:eastAsia="en-AU"/>
              </w:rPr>
              <w:t>$809,652</w:t>
            </w:r>
          </w:p>
        </w:tc>
        <w:tc>
          <w:tcPr>
            <w:tcW w:w="1276"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5CE412DD" w14:textId="77777777" w:rsidR="00052799" w:rsidRPr="002D7AE6" w:rsidRDefault="00052799" w:rsidP="00871631">
            <w:pPr>
              <w:jc w:val="center"/>
              <w:rPr>
                <w:color w:val="000000"/>
                <w:sz w:val="18"/>
                <w:szCs w:val="18"/>
                <w:lang w:eastAsia="en-AU"/>
              </w:rPr>
            </w:pPr>
            <w:r w:rsidRPr="002D7AE6">
              <w:rPr>
                <w:color w:val="000000"/>
                <w:sz w:val="18"/>
                <w:szCs w:val="18"/>
                <w:lang w:eastAsia="en-AU"/>
              </w:rPr>
              <w:t>$607,751</w:t>
            </w:r>
          </w:p>
        </w:tc>
        <w:tc>
          <w:tcPr>
            <w:tcW w:w="925" w:type="dxa"/>
            <w:tcBorders>
              <w:top w:val="nil"/>
              <w:left w:val="nil"/>
              <w:bottom w:val="single" w:sz="4" w:space="0" w:color="FFFFFF"/>
              <w:right w:val="single" w:sz="4" w:space="0" w:color="FFFFFF"/>
            </w:tcBorders>
            <w:shd w:val="clear" w:color="000000" w:fill="ACB9CA"/>
            <w:vAlign w:val="bottom"/>
            <w:hideMark/>
          </w:tcPr>
          <w:p w14:paraId="34B4948F" w14:textId="77777777" w:rsidR="00052799" w:rsidRPr="002D7AE6" w:rsidRDefault="00052799" w:rsidP="00871631">
            <w:pPr>
              <w:rPr>
                <w:color w:val="000000"/>
                <w:sz w:val="18"/>
                <w:szCs w:val="18"/>
                <w:lang w:eastAsia="en-AU"/>
              </w:rPr>
            </w:pPr>
            <w:r w:rsidRPr="002D7AE6">
              <w:rPr>
                <w:color w:val="000000"/>
                <w:sz w:val="18"/>
                <w:szCs w:val="18"/>
                <w:lang w:eastAsia="en-AU"/>
              </w:rPr>
              <w:t>$52.5</w:t>
            </w:r>
          </w:p>
        </w:tc>
        <w:tc>
          <w:tcPr>
            <w:tcW w:w="831" w:type="dxa"/>
            <w:tcBorders>
              <w:top w:val="nil"/>
              <w:left w:val="nil"/>
              <w:bottom w:val="single" w:sz="4" w:space="0" w:color="FFFFFF"/>
              <w:right w:val="single" w:sz="4" w:space="0" w:color="FFFFFF"/>
            </w:tcBorders>
            <w:shd w:val="clear" w:color="000000" w:fill="ACB9CA"/>
            <w:vAlign w:val="bottom"/>
            <w:hideMark/>
          </w:tcPr>
          <w:p w14:paraId="0EB3F77C" w14:textId="77777777" w:rsidR="00052799" w:rsidRPr="002D7AE6" w:rsidRDefault="00052799" w:rsidP="00871631">
            <w:pPr>
              <w:jc w:val="right"/>
              <w:rPr>
                <w:color w:val="000000"/>
                <w:sz w:val="18"/>
                <w:szCs w:val="18"/>
                <w:lang w:eastAsia="en-AU"/>
              </w:rPr>
            </w:pPr>
            <w:r w:rsidRPr="002D7AE6">
              <w:rPr>
                <w:color w:val="000000"/>
                <w:sz w:val="18"/>
                <w:szCs w:val="18"/>
                <w:lang w:eastAsia="en-AU"/>
              </w:rPr>
              <w:t>0%</w:t>
            </w:r>
          </w:p>
        </w:tc>
        <w:tc>
          <w:tcPr>
            <w:tcW w:w="1255" w:type="dxa"/>
            <w:vMerge w:val="restart"/>
            <w:tcBorders>
              <w:top w:val="nil"/>
              <w:left w:val="single" w:sz="4" w:space="0" w:color="FFFFFF"/>
              <w:bottom w:val="single" w:sz="4" w:space="0" w:color="FFFFFF"/>
              <w:right w:val="single" w:sz="4" w:space="0" w:color="FFFFFF"/>
            </w:tcBorders>
            <w:shd w:val="clear" w:color="000000" w:fill="ACB9CA"/>
            <w:vAlign w:val="bottom"/>
            <w:hideMark/>
          </w:tcPr>
          <w:p w14:paraId="292A191B" w14:textId="77777777" w:rsidR="00052799" w:rsidRPr="002D7AE6" w:rsidRDefault="00052799" w:rsidP="00871631">
            <w:pPr>
              <w:jc w:val="center"/>
              <w:rPr>
                <w:color w:val="000000"/>
                <w:sz w:val="18"/>
                <w:szCs w:val="18"/>
                <w:lang w:eastAsia="en-AU"/>
              </w:rPr>
            </w:pPr>
            <w:r w:rsidRPr="002D7AE6">
              <w:rPr>
                <w:color w:val="000000"/>
                <w:sz w:val="18"/>
                <w:szCs w:val="18"/>
                <w:lang w:eastAsia="en-AU"/>
              </w:rPr>
              <w:t>$201,901</w:t>
            </w:r>
          </w:p>
        </w:tc>
        <w:tc>
          <w:tcPr>
            <w:tcW w:w="982" w:type="dxa"/>
            <w:vMerge w:val="restart"/>
            <w:tcBorders>
              <w:top w:val="nil"/>
              <w:left w:val="single" w:sz="4" w:space="0" w:color="FFFFFF"/>
              <w:bottom w:val="single" w:sz="4" w:space="0" w:color="FFFFFF"/>
              <w:right w:val="single" w:sz="4" w:space="0" w:color="auto"/>
            </w:tcBorders>
            <w:shd w:val="clear" w:color="000000" w:fill="ACB9CA"/>
            <w:vAlign w:val="bottom"/>
            <w:hideMark/>
          </w:tcPr>
          <w:p w14:paraId="4F11D81B" w14:textId="77777777" w:rsidR="00052799" w:rsidRPr="002D7AE6" w:rsidRDefault="00052799" w:rsidP="00871631">
            <w:pPr>
              <w:jc w:val="center"/>
              <w:rPr>
                <w:color w:val="000000"/>
                <w:sz w:val="18"/>
                <w:szCs w:val="18"/>
                <w:lang w:eastAsia="en-AU"/>
              </w:rPr>
            </w:pPr>
            <w:r w:rsidRPr="002D7AE6">
              <w:rPr>
                <w:color w:val="000000"/>
                <w:sz w:val="18"/>
                <w:szCs w:val="18"/>
                <w:lang w:eastAsia="en-AU"/>
              </w:rPr>
              <w:t>$-</w:t>
            </w:r>
          </w:p>
        </w:tc>
      </w:tr>
      <w:tr w:rsidR="00052799" w:rsidRPr="002D7AE6" w14:paraId="2BFB5E54" w14:textId="77777777" w:rsidTr="00871631">
        <w:trPr>
          <w:trHeight w:val="1164"/>
        </w:trPr>
        <w:tc>
          <w:tcPr>
            <w:tcW w:w="3681" w:type="dxa"/>
            <w:tcBorders>
              <w:top w:val="nil"/>
              <w:left w:val="nil"/>
              <w:bottom w:val="single" w:sz="4" w:space="0" w:color="FFFFFF"/>
              <w:right w:val="nil"/>
            </w:tcBorders>
            <w:shd w:val="clear" w:color="000000" w:fill="D9D9D9"/>
            <w:vAlign w:val="bottom"/>
            <w:hideMark/>
          </w:tcPr>
          <w:p w14:paraId="5C0C379D" w14:textId="77777777" w:rsidR="00052799" w:rsidRPr="002D7AE6" w:rsidRDefault="00052799" w:rsidP="00871631">
            <w:pPr>
              <w:rPr>
                <w:color w:val="000000"/>
                <w:sz w:val="18"/>
                <w:szCs w:val="18"/>
                <w:lang w:eastAsia="en-AU"/>
              </w:rPr>
            </w:pPr>
            <w:r w:rsidRPr="002D7AE6">
              <w:rPr>
                <w:color w:val="000000"/>
                <w:sz w:val="18"/>
                <w:szCs w:val="18"/>
                <w:lang w:eastAsia="en-AU"/>
              </w:rPr>
              <w:t>Provisional licence for a member of an approved handgun target shooting club who does not hold a handgun licence, to carry or use a handgun at approved places</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5BBE635E" w14:textId="77777777" w:rsidR="00052799" w:rsidRPr="002D7AE6" w:rsidRDefault="00052799" w:rsidP="00871631">
            <w:pPr>
              <w:rPr>
                <w:color w:val="000000"/>
                <w:sz w:val="18"/>
                <w:szCs w:val="18"/>
                <w:lang w:eastAsia="en-AU"/>
              </w:rPr>
            </w:pPr>
            <w:r w:rsidRPr="002D7AE6">
              <w:rPr>
                <w:color w:val="000000"/>
                <w:sz w:val="18"/>
                <w:szCs w:val="18"/>
                <w:lang w:eastAsia="en-AU"/>
              </w:rPr>
              <w:t>$109.2</w:t>
            </w:r>
          </w:p>
        </w:tc>
        <w:tc>
          <w:tcPr>
            <w:tcW w:w="1255" w:type="dxa"/>
            <w:vMerge/>
            <w:tcBorders>
              <w:top w:val="nil"/>
              <w:left w:val="single" w:sz="4" w:space="0" w:color="FFFFFF"/>
              <w:bottom w:val="single" w:sz="4" w:space="0" w:color="FFFFFF"/>
              <w:right w:val="single" w:sz="4" w:space="0" w:color="auto"/>
            </w:tcBorders>
            <w:vAlign w:val="center"/>
            <w:hideMark/>
          </w:tcPr>
          <w:p w14:paraId="31F6E51E"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67C06CD0" w14:textId="77777777" w:rsidR="00052799" w:rsidRPr="002D7AE6" w:rsidRDefault="00052799" w:rsidP="00871631">
            <w:pPr>
              <w:rPr>
                <w:color w:val="000000"/>
                <w:sz w:val="18"/>
                <w:szCs w:val="18"/>
                <w:lang w:eastAsia="en-AU"/>
              </w:rPr>
            </w:pPr>
            <w:r w:rsidRPr="002D7AE6">
              <w:rPr>
                <w:color w:val="000000"/>
                <w:sz w:val="18"/>
                <w:szCs w:val="18"/>
                <w:lang w:eastAsia="en-AU"/>
              </w:rPr>
              <w:t>$276.1</w:t>
            </w:r>
          </w:p>
        </w:tc>
        <w:tc>
          <w:tcPr>
            <w:tcW w:w="850" w:type="dxa"/>
            <w:tcBorders>
              <w:top w:val="nil"/>
              <w:left w:val="nil"/>
              <w:bottom w:val="single" w:sz="4" w:space="0" w:color="FFFFFF"/>
              <w:right w:val="single" w:sz="4" w:space="0" w:color="FFFFFF"/>
            </w:tcBorders>
            <w:shd w:val="clear" w:color="000000" w:fill="D9E1F2"/>
            <w:vAlign w:val="bottom"/>
            <w:hideMark/>
          </w:tcPr>
          <w:p w14:paraId="5C1B5B40" w14:textId="77777777" w:rsidR="00052799" w:rsidRPr="002D7AE6" w:rsidRDefault="00052799" w:rsidP="00871631">
            <w:pPr>
              <w:jc w:val="right"/>
              <w:rPr>
                <w:color w:val="000000"/>
                <w:sz w:val="18"/>
                <w:szCs w:val="18"/>
                <w:lang w:eastAsia="en-AU"/>
              </w:rPr>
            </w:pPr>
            <w:r w:rsidRPr="002D7AE6">
              <w:rPr>
                <w:color w:val="000000"/>
                <w:sz w:val="18"/>
                <w:szCs w:val="18"/>
                <w:lang w:eastAsia="en-AU"/>
              </w:rPr>
              <w:t>153%</w:t>
            </w:r>
          </w:p>
        </w:tc>
        <w:tc>
          <w:tcPr>
            <w:tcW w:w="1418" w:type="dxa"/>
            <w:vMerge/>
            <w:tcBorders>
              <w:top w:val="nil"/>
              <w:left w:val="single" w:sz="4" w:space="0" w:color="FFFFFF"/>
              <w:bottom w:val="single" w:sz="4" w:space="0" w:color="FFFFFF"/>
              <w:right w:val="single" w:sz="4" w:space="0" w:color="FFFFFF"/>
            </w:tcBorders>
            <w:vAlign w:val="center"/>
            <w:hideMark/>
          </w:tcPr>
          <w:p w14:paraId="2088917A"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3241A606"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ACB9CA"/>
            <w:vAlign w:val="bottom"/>
            <w:hideMark/>
          </w:tcPr>
          <w:p w14:paraId="1B8B1092" w14:textId="77777777" w:rsidR="00052799" w:rsidRPr="002D7AE6" w:rsidRDefault="00052799" w:rsidP="00871631">
            <w:pPr>
              <w:rPr>
                <w:color w:val="000000"/>
                <w:sz w:val="18"/>
                <w:szCs w:val="18"/>
                <w:lang w:eastAsia="en-AU"/>
              </w:rPr>
            </w:pPr>
            <w:r w:rsidRPr="002D7AE6">
              <w:rPr>
                <w:color w:val="000000"/>
                <w:sz w:val="18"/>
                <w:szCs w:val="18"/>
                <w:lang w:eastAsia="en-AU"/>
              </w:rPr>
              <w:t>$109.2</w:t>
            </w:r>
          </w:p>
        </w:tc>
        <w:tc>
          <w:tcPr>
            <w:tcW w:w="831" w:type="dxa"/>
            <w:tcBorders>
              <w:top w:val="nil"/>
              <w:left w:val="nil"/>
              <w:bottom w:val="single" w:sz="4" w:space="0" w:color="FFFFFF"/>
              <w:right w:val="single" w:sz="4" w:space="0" w:color="FFFFFF"/>
            </w:tcBorders>
            <w:shd w:val="clear" w:color="000000" w:fill="ACB9CA"/>
            <w:vAlign w:val="bottom"/>
            <w:hideMark/>
          </w:tcPr>
          <w:p w14:paraId="41076317" w14:textId="77777777" w:rsidR="00052799" w:rsidRPr="002D7AE6" w:rsidRDefault="00052799" w:rsidP="00871631">
            <w:pPr>
              <w:jc w:val="right"/>
              <w:rPr>
                <w:color w:val="000000"/>
                <w:sz w:val="18"/>
                <w:szCs w:val="18"/>
                <w:lang w:eastAsia="en-AU"/>
              </w:rPr>
            </w:pPr>
            <w:r w:rsidRPr="002D7AE6">
              <w:rPr>
                <w:color w:val="000000"/>
                <w:sz w:val="18"/>
                <w:szCs w:val="18"/>
                <w:lang w:eastAsia="en-AU"/>
              </w:rPr>
              <w:t>0%</w:t>
            </w:r>
          </w:p>
        </w:tc>
        <w:tc>
          <w:tcPr>
            <w:tcW w:w="1255" w:type="dxa"/>
            <w:vMerge/>
            <w:tcBorders>
              <w:top w:val="nil"/>
              <w:left w:val="single" w:sz="4" w:space="0" w:color="FFFFFF"/>
              <w:bottom w:val="single" w:sz="4" w:space="0" w:color="FFFFFF"/>
              <w:right w:val="single" w:sz="4" w:space="0" w:color="FFFFFF"/>
            </w:tcBorders>
            <w:vAlign w:val="center"/>
            <w:hideMark/>
          </w:tcPr>
          <w:p w14:paraId="53715015"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3D1A1098" w14:textId="77777777" w:rsidR="00052799" w:rsidRPr="002D7AE6" w:rsidRDefault="00052799" w:rsidP="00871631">
            <w:pPr>
              <w:rPr>
                <w:color w:val="000000"/>
                <w:sz w:val="18"/>
                <w:szCs w:val="18"/>
                <w:lang w:eastAsia="en-AU"/>
              </w:rPr>
            </w:pPr>
          </w:p>
        </w:tc>
      </w:tr>
      <w:tr w:rsidR="00052799" w:rsidRPr="002D7AE6" w14:paraId="07D436C4"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655E7E73" w14:textId="77777777" w:rsidR="00052799" w:rsidRPr="002D7AE6" w:rsidRDefault="00052799" w:rsidP="00871631">
            <w:pPr>
              <w:rPr>
                <w:color w:val="000000"/>
                <w:sz w:val="18"/>
                <w:szCs w:val="18"/>
                <w:lang w:eastAsia="en-AU"/>
              </w:rPr>
            </w:pPr>
            <w:r w:rsidRPr="002D7AE6">
              <w:rPr>
                <w:color w:val="000000"/>
                <w:sz w:val="18"/>
                <w:szCs w:val="18"/>
                <w:lang w:eastAsia="en-AU"/>
              </w:rPr>
              <w:t>Category 1 firearm collectors licence invididual</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7525FBFC" w14:textId="77777777" w:rsidR="00052799" w:rsidRPr="002D7AE6" w:rsidRDefault="00052799" w:rsidP="00871631">
            <w:pPr>
              <w:rPr>
                <w:color w:val="000000"/>
                <w:sz w:val="18"/>
                <w:szCs w:val="18"/>
                <w:lang w:eastAsia="en-AU"/>
              </w:rPr>
            </w:pPr>
            <w:r w:rsidRPr="002D7AE6">
              <w:rPr>
                <w:color w:val="000000"/>
                <w:sz w:val="18"/>
                <w:szCs w:val="18"/>
                <w:lang w:eastAsia="en-AU"/>
              </w:rPr>
              <w:t>$342.0</w:t>
            </w:r>
          </w:p>
        </w:tc>
        <w:tc>
          <w:tcPr>
            <w:tcW w:w="1255"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4D40D633" w14:textId="77777777" w:rsidR="00052799" w:rsidRPr="002D7AE6" w:rsidRDefault="00052799" w:rsidP="00871631">
            <w:pPr>
              <w:jc w:val="center"/>
              <w:rPr>
                <w:color w:val="000000"/>
                <w:sz w:val="18"/>
                <w:szCs w:val="18"/>
                <w:lang w:eastAsia="en-AU"/>
              </w:rPr>
            </w:pPr>
            <w:r w:rsidRPr="002D7AE6">
              <w:rPr>
                <w:color w:val="000000"/>
                <w:sz w:val="18"/>
                <w:szCs w:val="18"/>
                <w:lang w:eastAsia="en-AU"/>
              </w:rPr>
              <w:t>$67,636</w:t>
            </w:r>
          </w:p>
        </w:tc>
        <w:tc>
          <w:tcPr>
            <w:tcW w:w="927" w:type="dxa"/>
            <w:tcBorders>
              <w:top w:val="nil"/>
              <w:left w:val="nil"/>
              <w:bottom w:val="single" w:sz="4" w:space="0" w:color="FFFFFF"/>
              <w:right w:val="single" w:sz="4" w:space="0" w:color="FFFFFF"/>
            </w:tcBorders>
            <w:shd w:val="clear" w:color="000000" w:fill="D9E1F2"/>
            <w:vAlign w:val="bottom"/>
            <w:hideMark/>
          </w:tcPr>
          <w:p w14:paraId="4B6652D8" w14:textId="77777777" w:rsidR="00052799" w:rsidRPr="002D7AE6" w:rsidRDefault="00052799" w:rsidP="00871631">
            <w:pPr>
              <w:rPr>
                <w:color w:val="000000"/>
                <w:sz w:val="18"/>
                <w:szCs w:val="18"/>
                <w:lang w:eastAsia="en-AU"/>
              </w:rPr>
            </w:pPr>
            <w:r w:rsidRPr="002D7AE6">
              <w:rPr>
                <w:color w:val="000000"/>
                <w:sz w:val="18"/>
                <w:szCs w:val="18"/>
                <w:lang w:eastAsia="en-AU"/>
              </w:rPr>
              <w:t>$243.1</w:t>
            </w:r>
          </w:p>
        </w:tc>
        <w:tc>
          <w:tcPr>
            <w:tcW w:w="850" w:type="dxa"/>
            <w:tcBorders>
              <w:top w:val="nil"/>
              <w:left w:val="nil"/>
              <w:bottom w:val="single" w:sz="4" w:space="0" w:color="FFFFFF"/>
              <w:right w:val="single" w:sz="4" w:space="0" w:color="FFFFFF"/>
            </w:tcBorders>
            <w:shd w:val="clear" w:color="000000" w:fill="D9E1F2"/>
            <w:vAlign w:val="bottom"/>
            <w:hideMark/>
          </w:tcPr>
          <w:p w14:paraId="2F850D06" w14:textId="77777777" w:rsidR="00052799" w:rsidRPr="002D7AE6" w:rsidRDefault="00052799" w:rsidP="00871631">
            <w:pPr>
              <w:jc w:val="right"/>
              <w:rPr>
                <w:color w:val="000000"/>
                <w:sz w:val="18"/>
                <w:szCs w:val="18"/>
                <w:lang w:eastAsia="en-AU"/>
              </w:rPr>
            </w:pPr>
            <w:r w:rsidRPr="002D7AE6">
              <w:rPr>
                <w:color w:val="000000"/>
                <w:sz w:val="18"/>
                <w:szCs w:val="18"/>
                <w:lang w:eastAsia="en-AU"/>
              </w:rPr>
              <w:t>-29%</w:t>
            </w:r>
          </w:p>
        </w:tc>
        <w:tc>
          <w:tcPr>
            <w:tcW w:w="1418" w:type="dxa"/>
            <w:vMerge w:val="restart"/>
            <w:tcBorders>
              <w:top w:val="nil"/>
              <w:left w:val="single" w:sz="4" w:space="0" w:color="FFFFFF"/>
              <w:bottom w:val="single" w:sz="4" w:space="0" w:color="FFFFFF"/>
              <w:right w:val="single" w:sz="4" w:space="0" w:color="FFFFFF"/>
            </w:tcBorders>
            <w:shd w:val="clear" w:color="000000" w:fill="D9E1F2"/>
            <w:vAlign w:val="bottom"/>
            <w:hideMark/>
          </w:tcPr>
          <w:p w14:paraId="1E516FE1" w14:textId="77777777" w:rsidR="00052799" w:rsidRPr="002D7AE6" w:rsidRDefault="00052799" w:rsidP="00871631">
            <w:pPr>
              <w:jc w:val="center"/>
              <w:rPr>
                <w:color w:val="000000"/>
                <w:sz w:val="18"/>
                <w:szCs w:val="18"/>
                <w:lang w:eastAsia="en-AU"/>
              </w:rPr>
            </w:pPr>
            <w:r w:rsidRPr="002D7AE6">
              <w:rPr>
                <w:color w:val="000000"/>
                <w:sz w:val="18"/>
                <w:szCs w:val="18"/>
                <w:lang w:eastAsia="en-AU"/>
              </w:rPr>
              <w:t>$53,864</w:t>
            </w:r>
          </w:p>
        </w:tc>
        <w:tc>
          <w:tcPr>
            <w:tcW w:w="1276"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353DD644" w14:textId="77777777" w:rsidR="00052799" w:rsidRPr="002D7AE6" w:rsidRDefault="00052799" w:rsidP="00871631">
            <w:pPr>
              <w:jc w:val="center"/>
              <w:rPr>
                <w:color w:val="000000"/>
                <w:sz w:val="18"/>
                <w:szCs w:val="18"/>
                <w:lang w:eastAsia="en-AU"/>
              </w:rPr>
            </w:pPr>
            <w:r w:rsidRPr="002D7AE6">
              <w:rPr>
                <w:color w:val="000000"/>
                <w:sz w:val="18"/>
                <w:szCs w:val="18"/>
                <w:lang w:eastAsia="en-AU"/>
              </w:rPr>
              <w:t>$(13,773)</w:t>
            </w:r>
          </w:p>
        </w:tc>
        <w:tc>
          <w:tcPr>
            <w:tcW w:w="925" w:type="dxa"/>
            <w:tcBorders>
              <w:top w:val="nil"/>
              <w:left w:val="nil"/>
              <w:bottom w:val="single" w:sz="4" w:space="0" w:color="FFFFFF"/>
              <w:right w:val="single" w:sz="4" w:space="0" w:color="FFFFFF"/>
            </w:tcBorders>
            <w:shd w:val="clear" w:color="000000" w:fill="D9E1F2"/>
            <w:vAlign w:val="bottom"/>
            <w:hideMark/>
          </w:tcPr>
          <w:p w14:paraId="2051CC24" w14:textId="77777777" w:rsidR="00052799" w:rsidRPr="002D7AE6" w:rsidRDefault="00052799" w:rsidP="00871631">
            <w:pPr>
              <w:rPr>
                <w:color w:val="000000"/>
                <w:sz w:val="18"/>
                <w:szCs w:val="18"/>
                <w:lang w:eastAsia="en-AU"/>
              </w:rPr>
            </w:pPr>
            <w:r w:rsidRPr="002D7AE6">
              <w:rPr>
                <w:color w:val="000000"/>
                <w:sz w:val="18"/>
                <w:szCs w:val="18"/>
                <w:lang w:eastAsia="en-AU"/>
              </w:rPr>
              <w:t>$342.0</w:t>
            </w:r>
          </w:p>
        </w:tc>
        <w:tc>
          <w:tcPr>
            <w:tcW w:w="831" w:type="dxa"/>
            <w:tcBorders>
              <w:top w:val="nil"/>
              <w:left w:val="nil"/>
              <w:bottom w:val="single" w:sz="4" w:space="0" w:color="FFFFFF"/>
              <w:right w:val="single" w:sz="4" w:space="0" w:color="FFFFFF"/>
            </w:tcBorders>
            <w:shd w:val="clear" w:color="000000" w:fill="D9E1F2"/>
            <w:vAlign w:val="bottom"/>
            <w:hideMark/>
          </w:tcPr>
          <w:p w14:paraId="7D1147F5" w14:textId="77777777" w:rsidR="00052799" w:rsidRPr="002D7AE6" w:rsidRDefault="00052799" w:rsidP="00871631">
            <w:pPr>
              <w:jc w:val="right"/>
              <w:rPr>
                <w:color w:val="000000"/>
                <w:sz w:val="18"/>
                <w:szCs w:val="18"/>
                <w:lang w:eastAsia="en-AU"/>
              </w:rPr>
            </w:pPr>
            <w:r w:rsidRPr="002D7AE6">
              <w:rPr>
                <w:color w:val="000000"/>
                <w:sz w:val="18"/>
                <w:szCs w:val="18"/>
                <w:lang w:eastAsia="en-AU"/>
              </w:rPr>
              <w:t>0%</w:t>
            </w:r>
          </w:p>
        </w:tc>
        <w:tc>
          <w:tcPr>
            <w:tcW w:w="1255" w:type="dxa"/>
            <w:vMerge w:val="restart"/>
            <w:tcBorders>
              <w:top w:val="nil"/>
              <w:left w:val="single" w:sz="4" w:space="0" w:color="FFFFFF"/>
              <w:bottom w:val="single" w:sz="4" w:space="0" w:color="FFFFFF"/>
              <w:right w:val="single" w:sz="4" w:space="0" w:color="FFFFFF"/>
            </w:tcBorders>
            <w:shd w:val="clear" w:color="000000" w:fill="D9E1F2"/>
            <w:vAlign w:val="bottom"/>
            <w:hideMark/>
          </w:tcPr>
          <w:p w14:paraId="1B027BC4" w14:textId="77777777" w:rsidR="00052799" w:rsidRPr="002D7AE6" w:rsidRDefault="00052799" w:rsidP="00871631">
            <w:pPr>
              <w:jc w:val="center"/>
              <w:rPr>
                <w:color w:val="000000"/>
                <w:sz w:val="18"/>
                <w:szCs w:val="18"/>
                <w:lang w:eastAsia="en-AU"/>
              </w:rPr>
            </w:pPr>
            <w:r w:rsidRPr="002D7AE6">
              <w:rPr>
                <w:color w:val="000000"/>
                <w:sz w:val="18"/>
                <w:szCs w:val="18"/>
                <w:lang w:eastAsia="en-AU"/>
              </w:rPr>
              <w:t>$69,741</w:t>
            </w:r>
          </w:p>
        </w:tc>
        <w:tc>
          <w:tcPr>
            <w:tcW w:w="982"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4952C81F" w14:textId="77777777" w:rsidR="00052799" w:rsidRPr="002D7AE6" w:rsidRDefault="00052799" w:rsidP="00871631">
            <w:pPr>
              <w:jc w:val="center"/>
              <w:rPr>
                <w:color w:val="000000"/>
                <w:sz w:val="18"/>
                <w:szCs w:val="18"/>
                <w:lang w:eastAsia="en-AU"/>
              </w:rPr>
            </w:pPr>
            <w:r w:rsidRPr="002D7AE6">
              <w:rPr>
                <w:color w:val="000000"/>
                <w:sz w:val="18"/>
                <w:szCs w:val="18"/>
                <w:lang w:eastAsia="en-AU"/>
              </w:rPr>
              <w:t>$2,105</w:t>
            </w:r>
          </w:p>
        </w:tc>
      </w:tr>
      <w:tr w:rsidR="00052799" w:rsidRPr="002D7AE6" w14:paraId="3DFB61A9"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7345A716" w14:textId="77777777" w:rsidR="00052799" w:rsidRPr="002D7AE6" w:rsidRDefault="00052799" w:rsidP="00871631">
            <w:pPr>
              <w:rPr>
                <w:color w:val="000000"/>
                <w:sz w:val="18"/>
                <w:szCs w:val="18"/>
                <w:lang w:eastAsia="en-AU"/>
              </w:rPr>
            </w:pPr>
            <w:r w:rsidRPr="002D7AE6">
              <w:rPr>
                <w:color w:val="000000"/>
                <w:sz w:val="18"/>
                <w:szCs w:val="18"/>
                <w:lang w:eastAsia="en-AU"/>
              </w:rPr>
              <w:t>Category 1 firearm collectors licence business</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5227E570" w14:textId="77777777" w:rsidR="00052799" w:rsidRPr="002D7AE6" w:rsidRDefault="00052799" w:rsidP="00871631">
            <w:pPr>
              <w:rPr>
                <w:color w:val="000000"/>
                <w:sz w:val="18"/>
                <w:szCs w:val="18"/>
                <w:lang w:eastAsia="en-AU"/>
              </w:rPr>
            </w:pPr>
            <w:r w:rsidRPr="002D7AE6">
              <w:rPr>
                <w:color w:val="000000"/>
                <w:sz w:val="18"/>
                <w:szCs w:val="18"/>
                <w:lang w:eastAsia="en-AU"/>
              </w:rPr>
              <w:t>$677.6</w:t>
            </w:r>
          </w:p>
        </w:tc>
        <w:tc>
          <w:tcPr>
            <w:tcW w:w="1255" w:type="dxa"/>
            <w:vMerge/>
            <w:tcBorders>
              <w:top w:val="nil"/>
              <w:left w:val="single" w:sz="4" w:space="0" w:color="FFFFFF"/>
              <w:bottom w:val="single" w:sz="4" w:space="0" w:color="FFFFFF"/>
              <w:right w:val="single" w:sz="4" w:space="0" w:color="auto"/>
            </w:tcBorders>
            <w:vAlign w:val="center"/>
            <w:hideMark/>
          </w:tcPr>
          <w:p w14:paraId="5F99C9A2"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29D944CA" w14:textId="77777777" w:rsidR="00052799" w:rsidRPr="002D7AE6" w:rsidRDefault="00052799" w:rsidP="00871631">
            <w:pPr>
              <w:rPr>
                <w:color w:val="000000"/>
                <w:sz w:val="18"/>
                <w:szCs w:val="18"/>
                <w:lang w:eastAsia="en-AU"/>
              </w:rPr>
            </w:pPr>
            <w:r w:rsidRPr="002D7AE6">
              <w:rPr>
                <w:color w:val="000000"/>
                <w:sz w:val="18"/>
                <w:szCs w:val="18"/>
                <w:lang w:eastAsia="en-AU"/>
              </w:rPr>
              <w:t>$392.0</w:t>
            </w:r>
          </w:p>
        </w:tc>
        <w:tc>
          <w:tcPr>
            <w:tcW w:w="850" w:type="dxa"/>
            <w:tcBorders>
              <w:top w:val="nil"/>
              <w:left w:val="nil"/>
              <w:bottom w:val="single" w:sz="4" w:space="0" w:color="FFFFFF"/>
              <w:right w:val="single" w:sz="4" w:space="0" w:color="FFFFFF"/>
            </w:tcBorders>
            <w:shd w:val="clear" w:color="000000" w:fill="D9E1F2"/>
            <w:vAlign w:val="bottom"/>
            <w:hideMark/>
          </w:tcPr>
          <w:p w14:paraId="0F30B34E" w14:textId="77777777" w:rsidR="00052799" w:rsidRPr="002D7AE6" w:rsidRDefault="00052799" w:rsidP="00871631">
            <w:pPr>
              <w:jc w:val="right"/>
              <w:rPr>
                <w:color w:val="000000"/>
                <w:sz w:val="18"/>
                <w:szCs w:val="18"/>
                <w:lang w:eastAsia="en-AU"/>
              </w:rPr>
            </w:pPr>
            <w:r w:rsidRPr="002D7AE6">
              <w:rPr>
                <w:color w:val="000000"/>
                <w:sz w:val="18"/>
                <w:szCs w:val="18"/>
                <w:lang w:eastAsia="en-AU"/>
              </w:rPr>
              <w:t>-42%</w:t>
            </w:r>
          </w:p>
        </w:tc>
        <w:tc>
          <w:tcPr>
            <w:tcW w:w="1418" w:type="dxa"/>
            <w:vMerge/>
            <w:tcBorders>
              <w:top w:val="nil"/>
              <w:left w:val="single" w:sz="4" w:space="0" w:color="FFFFFF"/>
              <w:bottom w:val="single" w:sz="4" w:space="0" w:color="FFFFFF"/>
              <w:right w:val="single" w:sz="4" w:space="0" w:color="FFFFFF"/>
            </w:tcBorders>
            <w:vAlign w:val="center"/>
            <w:hideMark/>
          </w:tcPr>
          <w:p w14:paraId="5A5B7A78"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02764436"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0E236D57" w14:textId="77777777" w:rsidR="00052799" w:rsidRPr="002D7AE6" w:rsidRDefault="00052799" w:rsidP="00871631">
            <w:pPr>
              <w:rPr>
                <w:color w:val="000000"/>
                <w:sz w:val="18"/>
                <w:szCs w:val="18"/>
                <w:lang w:eastAsia="en-AU"/>
              </w:rPr>
            </w:pPr>
            <w:r w:rsidRPr="002D7AE6">
              <w:rPr>
                <w:color w:val="000000"/>
                <w:sz w:val="18"/>
                <w:szCs w:val="18"/>
                <w:lang w:eastAsia="en-AU"/>
              </w:rPr>
              <w:t>$677.6</w:t>
            </w:r>
          </w:p>
        </w:tc>
        <w:tc>
          <w:tcPr>
            <w:tcW w:w="831" w:type="dxa"/>
            <w:tcBorders>
              <w:top w:val="nil"/>
              <w:left w:val="nil"/>
              <w:bottom w:val="single" w:sz="4" w:space="0" w:color="FFFFFF"/>
              <w:right w:val="single" w:sz="4" w:space="0" w:color="FFFFFF"/>
            </w:tcBorders>
            <w:shd w:val="clear" w:color="000000" w:fill="D9E1F2"/>
            <w:vAlign w:val="bottom"/>
            <w:hideMark/>
          </w:tcPr>
          <w:p w14:paraId="00264C0C" w14:textId="77777777" w:rsidR="00052799" w:rsidRPr="002D7AE6" w:rsidRDefault="00052799" w:rsidP="00871631">
            <w:pPr>
              <w:jc w:val="right"/>
              <w:rPr>
                <w:color w:val="000000"/>
                <w:sz w:val="18"/>
                <w:szCs w:val="18"/>
                <w:lang w:eastAsia="en-AU"/>
              </w:rPr>
            </w:pPr>
            <w:r w:rsidRPr="002D7AE6">
              <w:rPr>
                <w:color w:val="000000"/>
                <w:sz w:val="18"/>
                <w:szCs w:val="18"/>
                <w:lang w:eastAsia="en-AU"/>
              </w:rPr>
              <w:t>0%</w:t>
            </w:r>
          </w:p>
        </w:tc>
        <w:tc>
          <w:tcPr>
            <w:tcW w:w="1255" w:type="dxa"/>
            <w:vMerge/>
            <w:tcBorders>
              <w:top w:val="nil"/>
              <w:left w:val="single" w:sz="4" w:space="0" w:color="FFFFFF"/>
              <w:bottom w:val="single" w:sz="4" w:space="0" w:color="FFFFFF"/>
              <w:right w:val="single" w:sz="4" w:space="0" w:color="FFFFFF"/>
            </w:tcBorders>
            <w:vAlign w:val="center"/>
            <w:hideMark/>
          </w:tcPr>
          <w:p w14:paraId="58401DA2"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2EBDAF50" w14:textId="77777777" w:rsidR="00052799" w:rsidRPr="002D7AE6" w:rsidRDefault="00052799" w:rsidP="00871631">
            <w:pPr>
              <w:rPr>
                <w:color w:val="000000"/>
                <w:sz w:val="18"/>
                <w:szCs w:val="18"/>
                <w:lang w:eastAsia="en-AU"/>
              </w:rPr>
            </w:pPr>
          </w:p>
        </w:tc>
      </w:tr>
      <w:tr w:rsidR="00052799" w:rsidRPr="002D7AE6" w14:paraId="45C37C17"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6FDE62D0" w14:textId="77777777" w:rsidR="00052799" w:rsidRPr="002D7AE6" w:rsidRDefault="00052799" w:rsidP="00871631">
            <w:pPr>
              <w:rPr>
                <w:color w:val="000000"/>
                <w:sz w:val="18"/>
                <w:szCs w:val="18"/>
                <w:lang w:eastAsia="en-AU"/>
              </w:rPr>
            </w:pPr>
            <w:r w:rsidRPr="002D7AE6">
              <w:rPr>
                <w:color w:val="000000"/>
                <w:sz w:val="18"/>
                <w:szCs w:val="18"/>
                <w:lang w:eastAsia="en-AU"/>
              </w:rPr>
              <w:t>Category 2 firearm collectors licence individual</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4181BE46" w14:textId="77777777" w:rsidR="00052799" w:rsidRPr="002D7AE6" w:rsidRDefault="00052799" w:rsidP="00871631">
            <w:pPr>
              <w:rPr>
                <w:color w:val="000000"/>
                <w:sz w:val="18"/>
                <w:szCs w:val="18"/>
                <w:lang w:eastAsia="en-AU"/>
              </w:rPr>
            </w:pPr>
            <w:r w:rsidRPr="002D7AE6">
              <w:rPr>
                <w:color w:val="000000"/>
                <w:sz w:val="18"/>
                <w:szCs w:val="18"/>
                <w:lang w:eastAsia="en-AU"/>
              </w:rPr>
              <w:t>$408.1</w:t>
            </w:r>
          </w:p>
        </w:tc>
        <w:tc>
          <w:tcPr>
            <w:tcW w:w="1255" w:type="dxa"/>
            <w:vMerge/>
            <w:tcBorders>
              <w:top w:val="nil"/>
              <w:left w:val="single" w:sz="4" w:space="0" w:color="FFFFFF"/>
              <w:bottom w:val="single" w:sz="4" w:space="0" w:color="FFFFFF"/>
              <w:right w:val="single" w:sz="4" w:space="0" w:color="auto"/>
            </w:tcBorders>
            <w:vAlign w:val="center"/>
            <w:hideMark/>
          </w:tcPr>
          <w:p w14:paraId="296D4EE2"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61780A91" w14:textId="77777777" w:rsidR="00052799" w:rsidRPr="002D7AE6" w:rsidRDefault="00052799" w:rsidP="00871631">
            <w:pPr>
              <w:rPr>
                <w:color w:val="000000"/>
                <w:sz w:val="18"/>
                <w:szCs w:val="18"/>
                <w:lang w:eastAsia="en-AU"/>
              </w:rPr>
            </w:pPr>
            <w:r w:rsidRPr="002D7AE6">
              <w:rPr>
                <w:color w:val="000000"/>
                <w:sz w:val="18"/>
                <w:szCs w:val="18"/>
                <w:lang w:eastAsia="en-AU"/>
              </w:rPr>
              <w:t>$257.3</w:t>
            </w:r>
          </w:p>
        </w:tc>
        <w:tc>
          <w:tcPr>
            <w:tcW w:w="850" w:type="dxa"/>
            <w:tcBorders>
              <w:top w:val="nil"/>
              <w:left w:val="nil"/>
              <w:bottom w:val="single" w:sz="4" w:space="0" w:color="FFFFFF"/>
              <w:right w:val="single" w:sz="4" w:space="0" w:color="FFFFFF"/>
            </w:tcBorders>
            <w:shd w:val="clear" w:color="000000" w:fill="D9E1F2"/>
            <w:vAlign w:val="bottom"/>
            <w:hideMark/>
          </w:tcPr>
          <w:p w14:paraId="553A4E0B" w14:textId="77777777" w:rsidR="00052799" w:rsidRPr="002D7AE6" w:rsidRDefault="00052799" w:rsidP="00871631">
            <w:pPr>
              <w:jc w:val="right"/>
              <w:rPr>
                <w:color w:val="000000"/>
                <w:sz w:val="18"/>
                <w:szCs w:val="18"/>
                <w:lang w:eastAsia="en-AU"/>
              </w:rPr>
            </w:pPr>
            <w:r w:rsidRPr="002D7AE6">
              <w:rPr>
                <w:color w:val="000000"/>
                <w:sz w:val="18"/>
                <w:szCs w:val="18"/>
                <w:lang w:eastAsia="en-AU"/>
              </w:rPr>
              <w:t>-37%</w:t>
            </w:r>
          </w:p>
        </w:tc>
        <w:tc>
          <w:tcPr>
            <w:tcW w:w="1418" w:type="dxa"/>
            <w:vMerge/>
            <w:tcBorders>
              <w:top w:val="nil"/>
              <w:left w:val="single" w:sz="4" w:space="0" w:color="FFFFFF"/>
              <w:bottom w:val="single" w:sz="4" w:space="0" w:color="FFFFFF"/>
              <w:right w:val="single" w:sz="4" w:space="0" w:color="FFFFFF"/>
            </w:tcBorders>
            <w:vAlign w:val="center"/>
            <w:hideMark/>
          </w:tcPr>
          <w:p w14:paraId="38D0CF04"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3DA2B02F"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254DCBD9" w14:textId="77777777" w:rsidR="00052799" w:rsidRPr="002D7AE6" w:rsidRDefault="00052799" w:rsidP="00871631">
            <w:pPr>
              <w:rPr>
                <w:color w:val="000000"/>
                <w:sz w:val="18"/>
                <w:szCs w:val="18"/>
                <w:lang w:eastAsia="en-AU"/>
              </w:rPr>
            </w:pPr>
            <w:r w:rsidRPr="002D7AE6">
              <w:rPr>
                <w:color w:val="000000"/>
                <w:sz w:val="18"/>
                <w:szCs w:val="18"/>
                <w:lang w:eastAsia="en-AU"/>
              </w:rPr>
              <w:t>$408.1</w:t>
            </w:r>
          </w:p>
        </w:tc>
        <w:tc>
          <w:tcPr>
            <w:tcW w:w="831" w:type="dxa"/>
            <w:tcBorders>
              <w:top w:val="nil"/>
              <w:left w:val="nil"/>
              <w:bottom w:val="single" w:sz="4" w:space="0" w:color="FFFFFF"/>
              <w:right w:val="single" w:sz="4" w:space="0" w:color="FFFFFF"/>
            </w:tcBorders>
            <w:shd w:val="clear" w:color="000000" w:fill="D9E1F2"/>
            <w:vAlign w:val="bottom"/>
            <w:hideMark/>
          </w:tcPr>
          <w:p w14:paraId="34921654" w14:textId="77777777" w:rsidR="00052799" w:rsidRPr="002D7AE6" w:rsidRDefault="00052799" w:rsidP="00871631">
            <w:pPr>
              <w:jc w:val="right"/>
              <w:rPr>
                <w:color w:val="000000"/>
                <w:sz w:val="18"/>
                <w:szCs w:val="18"/>
                <w:lang w:eastAsia="en-AU"/>
              </w:rPr>
            </w:pPr>
            <w:r w:rsidRPr="002D7AE6">
              <w:rPr>
                <w:color w:val="000000"/>
                <w:sz w:val="18"/>
                <w:szCs w:val="18"/>
                <w:lang w:eastAsia="en-AU"/>
              </w:rPr>
              <w:t>0%</w:t>
            </w:r>
          </w:p>
        </w:tc>
        <w:tc>
          <w:tcPr>
            <w:tcW w:w="1255" w:type="dxa"/>
            <w:vMerge/>
            <w:tcBorders>
              <w:top w:val="nil"/>
              <w:left w:val="single" w:sz="4" w:space="0" w:color="FFFFFF"/>
              <w:bottom w:val="single" w:sz="4" w:space="0" w:color="FFFFFF"/>
              <w:right w:val="single" w:sz="4" w:space="0" w:color="FFFFFF"/>
            </w:tcBorders>
            <w:vAlign w:val="center"/>
            <w:hideMark/>
          </w:tcPr>
          <w:p w14:paraId="636F6DD4"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44D54BA3" w14:textId="77777777" w:rsidR="00052799" w:rsidRPr="002D7AE6" w:rsidRDefault="00052799" w:rsidP="00871631">
            <w:pPr>
              <w:rPr>
                <w:color w:val="000000"/>
                <w:sz w:val="18"/>
                <w:szCs w:val="18"/>
                <w:lang w:eastAsia="en-AU"/>
              </w:rPr>
            </w:pPr>
          </w:p>
        </w:tc>
      </w:tr>
      <w:tr w:rsidR="00052799" w:rsidRPr="002D7AE6" w14:paraId="00B807E1"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777C49F4" w14:textId="77777777" w:rsidR="00052799" w:rsidRPr="002D7AE6" w:rsidRDefault="00052799" w:rsidP="00871631">
            <w:pPr>
              <w:rPr>
                <w:color w:val="000000"/>
                <w:sz w:val="18"/>
                <w:szCs w:val="18"/>
                <w:lang w:eastAsia="en-AU"/>
              </w:rPr>
            </w:pPr>
            <w:r w:rsidRPr="002D7AE6">
              <w:rPr>
                <w:color w:val="000000"/>
                <w:sz w:val="18"/>
                <w:szCs w:val="18"/>
                <w:lang w:eastAsia="en-AU"/>
              </w:rPr>
              <w:t>Category 2 firearm collectors licence business</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762E2068" w14:textId="77777777" w:rsidR="00052799" w:rsidRPr="002D7AE6" w:rsidRDefault="00052799" w:rsidP="00871631">
            <w:pPr>
              <w:rPr>
                <w:color w:val="000000"/>
                <w:sz w:val="18"/>
                <w:szCs w:val="18"/>
                <w:lang w:eastAsia="en-AU"/>
              </w:rPr>
            </w:pPr>
            <w:r w:rsidRPr="002D7AE6">
              <w:rPr>
                <w:color w:val="000000"/>
                <w:sz w:val="18"/>
                <w:szCs w:val="18"/>
                <w:lang w:eastAsia="en-AU"/>
              </w:rPr>
              <w:t>$516.9</w:t>
            </w:r>
          </w:p>
        </w:tc>
        <w:tc>
          <w:tcPr>
            <w:tcW w:w="1255" w:type="dxa"/>
            <w:vMerge/>
            <w:tcBorders>
              <w:top w:val="nil"/>
              <w:left w:val="single" w:sz="4" w:space="0" w:color="FFFFFF"/>
              <w:bottom w:val="single" w:sz="4" w:space="0" w:color="FFFFFF"/>
              <w:right w:val="single" w:sz="4" w:space="0" w:color="auto"/>
            </w:tcBorders>
            <w:vAlign w:val="center"/>
            <w:hideMark/>
          </w:tcPr>
          <w:p w14:paraId="629E1EE7"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67147E20" w14:textId="77777777" w:rsidR="00052799" w:rsidRPr="002D7AE6" w:rsidRDefault="00052799" w:rsidP="00871631">
            <w:pPr>
              <w:rPr>
                <w:color w:val="000000"/>
                <w:sz w:val="18"/>
                <w:szCs w:val="18"/>
                <w:lang w:eastAsia="en-AU"/>
              </w:rPr>
            </w:pPr>
            <w:r w:rsidRPr="002D7AE6">
              <w:rPr>
                <w:color w:val="000000"/>
                <w:sz w:val="18"/>
                <w:szCs w:val="18"/>
                <w:lang w:eastAsia="en-AU"/>
              </w:rPr>
              <w:t>$409.3</w:t>
            </w:r>
          </w:p>
        </w:tc>
        <w:tc>
          <w:tcPr>
            <w:tcW w:w="850" w:type="dxa"/>
            <w:tcBorders>
              <w:top w:val="nil"/>
              <w:left w:val="nil"/>
              <w:bottom w:val="single" w:sz="4" w:space="0" w:color="FFFFFF"/>
              <w:right w:val="single" w:sz="4" w:space="0" w:color="FFFFFF"/>
            </w:tcBorders>
            <w:shd w:val="clear" w:color="000000" w:fill="D9E1F2"/>
            <w:vAlign w:val="bottom"/>
            <w:hideMark/>
          </w:tcPr>
          <w:p w14:paraId="18377548" w14:textId="77777777" w:rsidR="00052799" w:rsidRPr="002D7AE6" w:rsidRDefault="00052799" w:rsidP="00871631">
            <w:pPr>
              <w:jc w:val="right"/>
              <w:rPr>
                <w:color w:val="000000"/>
                <w:sz w:val="18"/>
                <w:szCs w:val="18"/>
                <w:lang w:eastAsia="en-AU"/>
              </w:rPr>
            </w:pPr>
            <w:r w:rsidRPr="002D7AE6">
              <w:rPr>
                <w:color w:val="000000"/>
                <w:sz w:val="18"/>
                <w:szCs w:val="18"/>
                <w:lang w:eastAsia="en-AU"/>
              </w:rPr>
              <w:t>-21%</w:t>
            </w:r>
          </w:p>
        </w:tc>
        <w:tc>
          <w:tcPr>
            <w:tcW w:w="1418" w:type="dxa"/>
            <w:vMerge/>
            <w:tcBorders>
              <w:top w:val="nil"/>
              <w:left w:val="single" w:sz="4" w:space="0" w:color="FFFFFF"/>
              <w:bottom w:val="single" w:sz="4" w:space="0" w:color="FFFFFF"/>
              <w:right w:val="single" w:sz="4" w:space="0" w:color="FFFFFF"/>
            </w:tcBorders>
            <w:vAlign w:val="center"/>
            <w:hideMark/>
          </w:tcPr>
          <w:p w14:paraId="229B14F6"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327FF7FC"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7259577C" w14:textId="77777777" w:rsidR="00052799" w:rsidRPr="002D7AE6" w:rsidRDefault="00052799" w:rsidP="00871631">
            <w:pPr>
              <w:rPr>
                <w:color w:val="000000"/>
                <w:sz w:val="18"/>
                <w:szCs w:val="18"/>
                <w:lang w:eastAsia="en-AU"/>
              </w:rPr>
            </w:pPr>
            <w:r w:rsidRPr="002D7AE6">
              <w:rPr>
                <w:color w:val="000000"/>
                <w:sz w:val="18"/>
                <w:szCs w:val="18"/>
                <w:lang w:eastAsia="en-AU"/>
              </w:rPr>
              <w:t>$516.9</w:t>
            </w:r>
          </w:p>
        </w:tc>
        <w:tc>
          <w:tcPr>
            <w:tcW w:w="831" w:type="dxa"/>
            <w:tcBorders>
              <w:top w:val="nil"/>
              <w:left w:val="nil"/>
              <w:bottom w:val="single" w:sz="4" w:space="0" w:color="FFFFFF"/>
              <w:right w:val="single" w:sz="4" w:space="0" w:color="FFFFFF"/>
            </w:tcBorders>
            <w:shd w:val="clear" w:color="000000" w:fill="D9E1F2"/>
            <w:vAlign w:val="bottom"/>
            <w:hideMark/>
          </w:tcPr>
          <w:p w14:paraId="687E2130" w14:textId="77777777" w:rsidR="00052799" w:rsidRPr="002D7AE6" w:rsidRDefault="00052799" w:rsidP="00871631">
            <w:pPr>
              <w:jc w:val="right"/>
              <w:rPr>
                <w:color w:val="000000"/>
                <w:sz w:val="18"/>
                <w:szCs w:val="18"/>
                <w:lang w:eastAsia="en-AU"/>
              </w:rPr>
            </w:pPr>
            <w:r w:rsidRPr="002D7AE6">
              <w:rPr>
                <w:color w:val="000000"/>
                <w:sz w:val="18"/>
                <w:szCs w:val="18"/>
                <w:lang w:eastAsia="en-AU"/>
              </w:rPr>
              <w:t>0%</w:t>
            </w:r>
          </w:p>
        </w:tc>
        <w:tc>
          <w:tcPr>
            <w:tcW w:w="1255" w:type="dxa"/>
            <w:vMerge/>
            <w:tcBorders>
              <w:top w:val="nil"/>
              <w:left w:val="single" w:sz="4" w:space="0" w:color="FFFFFF"/>
              <w:bottom w:val="single" w:sz="4" w:space="0" w:color="FFFFFF"/>
              <w:right w:val="single" w:sz="4" w:space="0" w:color="FFFFFF"/>
            </w:tcBorders>
            <w:vAlign w:val="center"/>
            <w:hideMark/>
          </w:tcPr>
          <w:p w14:paraId="49CC1311"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35044AD8" w14:textId="77777777" w:rsidR="00052799" w:rsidRPr="002D7AE6" w:rsidRDefault="00052799" w:rsidP="00871631">
            <w:pPr>
              <w:rPr>
                <w:color w:val="000000"/>
                <w:sz w:val="18"/>
                <w:szCs w:val="18"/>
                <w:lang w:eastAsia="en-AU"/>
              </w:rPr>
            </w:pPr>
          </w:p>
        </w:tc>
      </w:tr>
      <w:tr w:rsidR="00052799" w:rsidRPr="002D7AE6" w14:paraId="020B158E"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2F12FA30" w14:textId="77777777" w:rsidR="00052799" w:rsidRPr="002D7AE6" w:rsidRDefault="00052799" w:rsidP="00871631">
            <w:pPr>
              <w:rPr>
                <w:color w:val="000000"/>
                <w:sz w:val="18"/>
                <w:szCs w:val="18"/>
                <w:lang w:eastAsia="en-AU"/>
              </w:rPr>
            </w:pPr>
            <w:r w:rsidRPr="002D7AE6">
              <w:rPr>
                <w:color w:val="000000"/>
                <w:sz w:val="18"/>
                <w:szCs w:val="18"/>
                <w:lang w:eastAsia="en-AU"/>
              </w:rPr>
              <w:t>Antique handgun collectors licence individual</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0614C6CE" w14:textId="77777777" w:rsidR="00052799" w:rsidRPr="002D7AE6" w:rsidRDefault="00052799" w:rsidP="00871631">
            <w:pPr>
              <w:rPr>
                <w:color w:val="000000"/>
                <w:sz w:val="18"/>
                <w:szCs w:val="18"/>
                <w:lang w:eastAsia="en-AU"/>
              </w:rPr>
            </w:pPr>
            <w:r w:rsidRPr="002D7AE6">
              <w:rPr>
                <w:color w:val="000000"/>
                <w:sz w:val="18"/>
                <w:szCs w:val="18"/>
                <w:lang w:eastAsia="en-AU"/>
              </w:rPr>
              <w:t>$342.0</w:t>
            </w:r>
          </w:p>
        </w:tc>
        <w:tc>
          <w:tcPr>
            <w:tcW w:w="1255" w:type="dxa"/>
            <w:vMerge/>
            <w:tcBorders>
              <w:top w:val="nil"/>
              <w:left w:val="single" w:sz="4" w:space="0" w:color="FFFFFF"/>
              <w:bottom w:val="single" w:sz="4" w:space="0" w:color="FFFFFF"/>
              <w:right w:val="single" w:sz="4" w:space="0" w:color="auto"/>
            </w:tcBorders>
            <w:vAlign w:val="center"/>
            <w:hideMark/>
          </w:tcPr>
          <w:p w14:paraId="661B70C3"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45C1D992" w14:textId="77777777" w:rsidR="00052799" w:rsidRPr="002D7AE6" w:rsidRDefault="00052799" w:rsidP="00871631">
            <w:pPr>
              <w:rPr>
                <w:color w:val="000000"/>
                <w:sz w:val="18"/>
                <w:szCs w:val="18"/>
                <w:lang w:eastAsia="en-AU"/>
              </w:rPr>
            </w:pPr>
            <w:r w:rsidRPr="002D7AE6">
              <w:rPr>
                <w:color w:val="000000"/>
                <w:sz w:val="18"/>
                <w:szCs w:val="18"/>
                <w:lang w:eastAsia="en-AU"/>
              </w:rPr>
              <w:t>$243.1</w:t>
            </w:r>
          </w:p>
        </w:tc>
        <w:tc>
          <w:tcPr>
            <w:tcW w:w="850" w:type="dxa"/>
            <w:tcBorders>
              <w:top w:val="nil"/>
              <w:left w:val="nil"/>
              <w:bottom w:val="single" w:sz="4" w:space="0" w:color="FFFFFF"/>
              <w:right w:val="single" w:sz="4" w:space="0" w:color="FFFFFF"/>
            </w:tcBorders>
            <w:shd w:val="clear" w:color="000000" w:fill="D9E1F2"/>
            <w:vAlign w:val="bottom"/>
            <w:hideMark/>
          </w:tcPr>
          <w:p w14:paraId="38C48769" w14:textId="77777777" w:rsidR="00052799" w:rsidRPr="002D7AE6" w:rsidRDefault="00052799" w:rsidP="00871631">
            <w:pPr>
              <w:jc w:val="right"/>
              <w:rPr>
                <w:color w:val="000000"/>
                <w:sz w:val="18"/>
                <w:szCs w:val="18"/>
                <w:lang w:eastAsia="en-AU"/>
              </w:rPr>
            </w:pPr>
            <w:r w:rsidRPr="002D7AE6">
              <w:rPr>
                <w:color w:val="000000"/>
                <w:sz w:val="18"/>
                <w:szCs w:val="18"/>
                <w:lang w:eastAsia="en-AU"/>
              </w:rPr>
              <w:t>-29%</w:t>
            </w:r>
          </w:p>
        </w:tc>
        <w:tc>
          <w:tcPr>
            <w:tcW w:w="1418" w:type="dxa"/>
            <w:vMerge/>
            <w:tcBorders>
              <w:top w:val="nil"/>
              <w:left w:val="single" w:sz="4" w:space="0" w:color="FFFFFF"/>
              <w:bottom w:val="single" w:sz="4" w:space="0" w:color="FFFFFF"/>
              <w:right w:val="single" w:sz="4" w:space="0" w:color="FFFFFF"/>
            </w:tcBorders>
            <w:vAlign w:val="center"/>
            <w:hideMark/>
          </w:tcPr>
          <w:p w14:paraId="668BAB06"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172CE3E4"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302F6C15" w14:textId="77777777" w:rsidR="00052799" w:rsidRPr="002D7AE6" w:rsidRDefault="00052799" w:rsidP="00871631">
            <w:pPr>
              <w:rPr>
                <w:color w:val="000000"/>
                <w:sz w:val="18"/>
                <w:szCs w:val="18"/>
                <w:lang w:eastAsia="en-AU"/>
              </w:rPr>
            </w:pPr>
            <w:r w:rsidRPr="002D7AE6">
              <w:rPr>
                <w:color w:val="000000"/>
                <w:sz w:val="18"/>
                <w:szCs w:val="18"/>
                <w:lang w:eastAsia="en-AU"/>
              </w:rPr>
              <w:t>$342.0</w:t>
            </w:r>
          </w:p>
        </w:tc>
        <w:tc>
          <w:tcPr>
            <w:tcW w:w="831" w:type="dxa"/>
            <w:tcBorders>
              <w:top w:val="nil"/>
              <w:left w:val="nil"/>
              <w:bottom w:val="single" w:sz="4" w:space="0" w:color="FFFFFF"/>
              <w:right w:val="single" w:sz="4" w:space="0" w:color="FFFFFF"/>
            </w:tcBorders>
            <w:shd w:val="clear" w:color="000000" w:fill="D9E1F2"/>
            <w:vAlign w:val="bottom"/>
            <w:hideMark/>
          </w:tcPr>
          <w:p w14:paraId="26523BB2" w14:textId="77777777" w:rsidR="00052799" w:rsidRPr="002D7AE6" w:rsidRDefault="00052799" w:rsidP="00871631">
            <w:pPr>
              <w:jc w:val="right"/>
              <w:rPr>
                <w:color w:val="000000"/>
                <w:sz w:val="18"/>
                <w:szCs w:val="18"/>
                <w:lang w:eastAsia="en-AU"/>
              </w:rPr>
            </w:pPr>
            <w:r w:rsidRPr="002D7AE6">
              <w:rPr>
                <w:color w:val="000000"/>
                <w:sz w:val="18"/>
                <w:szCs w:val="18"/>
                <w:lang w:eastAsia="en-AU"/>
              </w:rPr>
              <w:t>0%</w:t>
            </w:r>
          </w:p>
        </w:tc>
        <w:tc>
          <w:tcPr>
            <w:tcW w:w="1255" w:type="dxa"/>
            <w:vMerge/>
            <w:tcBorders>
              <w:top w:val="nil"/>
              <w:left w:val="single" w:sz="4" w:space="0" w:color="FFFFFF"/>
              <w:bottom w:val="single" w:sz="4" w:space="0" w:color="FFFFFF"/>
              <w:right w:val="single" w:sz="4" w:space="0" w:color="FFFFFF"/>
            </w:tcBorders>
            <w:vAlign w:val="center"/>
            <w:hideMark/>
          </w:tcPr>
          <w:p w14:paraId="3BC8DBE1"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23A813C4" w14:textId="77777777" w:rsidR="00052799" w:rsidRPr="002D7AE6" w:rsidRDefault="00052799" w:rsidP="00871631">
            <w:pPr>
              <w:rPr>
                <w:color w:val="000000"/>
                <w:sz w:val="18"/>
                <w:szCs w:val="18"/>
                <w:lang w:eastAsia="en-AU"/>
              </w:rPr>
            </w:pPr>
          </w:p>
        </w:tc>
      </w:tr>
      <w:tr w:rsidR="00052799" w:rsidRPr="002D7AE6" w14:paraId="71F98E78"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7E46A9C5" w14:textId="77777777" w:rsidR="00052799" w:rsidRPr="002D7AE6" w:rsidRDefault="00052799" w:rsidP="00871631">
            <w:pPr>
              <w:rPr>
                <w:color w:val="000000"/>
                <w:sz w:val="18"/>
                <w:szCs w:val="18"/>
                <w:lang w:eastAsia="en-AU"/>
              </w:rPr>
            </w:pPr>
            <w:r w:rsidRPr="002D7AE6">
              <w:rPr>
                <w:color w:val="000000"/>
                <w:sz w:val="18"/>
                <w:szCs w:val="18"/>
                <w:lang w:eastAsia="en-AU"/>
              </w:rPr>
              <w:t>Antique handgun collectors licence business</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77EBEBD1" w14:textId="77777777" w:rsidR="00052799" w:rsidRPr="002D7AE6" w:rsidRDefault="00052799" w:rsidP="00871631">
            <w:pPr>
              <w:rPr>
                <w:color w:val="000000"/>
                <w:sz w:val="18"/>
                <w:szCs w:val="18"/>
                <w:lang w:eastAsia="en-AU"/>
              </w:rPr>
            </w:pPr>
            <w:r w:rsidRPr="002D7AE6">
              <w:rPr>
                <w:color w:val="000000"/>
                <w:sz w:val="18"/>
                <w:szCs w:val="18"/>
                <w:lang w:eastAsia="en-AU"/>
              </w:rPr>
              <w:t>$677.6</w:t>
            </w:r>
          </w:p>
        </w:tc>
        <w:tc>
          <w:tcPr>
            <w:tcW w:w="1255" w:type="dxa"/>
            <w:vMerge/>
            <w:tcBorders>
              <w:top w:val="nil"/>
              <w:left w:val="single" w:sz="4" w:space="0" w:color="FFFFFF"/>
              <w:bottom w:val="single" w:sz="4" w:space="0" w:color="FFFFFF"/>
              <w:right w:val="single" w:sz="4" w:space="0" w:color="auto"/>
            </w:tcBorders>
            <w:vAlign w:val="center"/>
            <w:hideMark/>
          </w:tcPr>
          <w:p w14:paraId="30C2AE6F"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37AA9564" w14:textId="77777777" w:rsidR="00052799" w:rsidRPr="002D7AE6" w:rsidRDefault="00052799" w:rsidP="00871631">
            <w:pPr>
              <w:rPr>
                <w:color w:val="000000"/>
                <w:sz w:val="18"/>
                <w:szCs w:val="18"/>
                <w:lang w:eastAsia="en-AU"/>
              </w:rPr>
            </w:pPr>
            <w:r w:rsidRPr="002D7AE6">
              <w:rPr>
                <w:color w:val="000000"/>
                <w:sz w:val="18"/>
                <w:szCs w:val="18"/>
                <w:lang w:eastAsia="en-AU"/>
              </w:rPr>
              <w:t>$392.0</w:t>
            </w:r>
          </w:p>
        </w:tc>
        <w:tc>
          <w:tcPr>
            <w:tcW w:w="850" w:type="dxa"/>
            <w:tcBorders>
              <w:top w:val="nil"/>
              <w:left w:val="nil"/>
              <w:bottom w:val="single" w:sz="4" w:space="0" w:color="FFFFFF"/>
              <w:right w:val="single" w:sz="4" w:space="0" w:color="FFFFFF"/>
            </w:tcBorders>
            <w:shd w:val="clear" w:color="000000" w:fill="D9E1F2"/>
            <w:vAlign w:val="bottom"/>
            <w:hideMark/>
          </w:tcPr>
          <w:p w14:paraId="2631F898" w14:textId="77777777" w:rsidR="00052799" w:rsidRPr="002D7AE6" w:rsidRDefault="00052799" w:rsidP="00871631">
            <w:pPr>
              <w:jc w:val="right"/>
              <w:rPr>
                <w:color w:val="000000"/>
                <w:sz w:val="18"/>
                <w:szCs w:val="18"/>
                <w:lang w:eastAsia="en-AU"/>
              </w:rPr>
            </w:pPr>
            <w:r w:rsidRPr="002D7AE6">
              <w:rPr>
                <w:color w:val="000000"/>
                <w:sz w:val="18"/>
                <w:szCs w:val="18"/>
                <w:lang w:eastAsia="en-AU"/>
              </w:rPr>
              <w:t>-42%</w:t>
            </w:r>
          </w:p>
        </w:tc>
        <w:tc>
          <w:tcPr>
            <w:tcW w:w="1418" w:type="dxa"/>
            <w:vMerge/>
            <w:tcBorders>
              <w:top w:val="nil"/>
              <w:left w:val="single" w:sz="4" w:space="0" w:color="FFFFFF"/>
              <w:bottom w:val="single" w:sz="4" w:space="0" w:color="FFFFFF"/>
              <w:right w:val="single" w:sz="4" w:space="0" w:color="FFFFFF"/>
            </w:tcBorders>
            <w:vAlign w:val="center"/>
            <w:hideMark/>
          </w:tcPr>
          <w:p w14:paraId="661A9BD5"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25D9388F"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195B9B4C" w14:textId="77777777" w:rsidR="00052799" w:rsidRPr="002D7AE6" w:rsidRDefault="00052799" w:rsidP="00871631">
            <w:pPr>
              <w:rPr>
                <w:color w:val="000000"/>
                <w:sz w:val="18"/>
                <w:szCs w:val="18"/>
                <w:lang w:eastAsia="en-AU"/>
              </w:rPr>
            </w:pPr>
            <w:r w:rsidRPr="002D7AE6">
              <w:rPr>
                <w:color w:val="000000"/>
                <w:sz w:val="18"/>
                <w:szCs w:val="18"/>
                <w:lang w:eastAsia="en-AU"/>
              </w:rPr>
              <w:t>$677.6</w:t>
            </w:r>
          </w:p>
        </w:tc>
        <w:tc>
          <w:tcPr>
            <w:tcW w:w="831" w:type="dxa"/>
            <w:tcBorders>
              <w:top w:val="nil"/>
              <w:left w:val="nil"/>
              <w:bottom w:val="single" w:sz="4" w:space="0" w:color="FFFFFF"/>
              <w:right w:val="single" w:sz="4" w:space="0" w:color="FFFFFF"/>
            </w:tcBorders>
            <w:shd w:val="clear" w:color="000000" w:fill="D9E1F2"/>
            <w:vAlign w:val="bottom"/>
            <w:hideMark/>
          </w:tcPr>
          <w:p w14:paraId="6A6161D0" w14:textId="77777777" w:rsidR="00052799" w:rsidRPr="002D7AE6" w:rsidRDefault="00052799" w:rsidP="00871631">
            <w:pPr>
              <w:jc w:val="right"/>
              <w:rPr>
                <w:color w:val="000000"/>
                <w:sz w:val="18"/>
                <w:szCs w:val="18"/>
                <w:lang w:eastAsia="en-AU"/>
              </w:rPr>
            </w:pPr>
            <w:r w:rsidRPr="002D7AE6">
              <w:rPr>
                <w:color w:val="000000"/>
                <w:sz w:val="18"/>
                <w:szCs w:val="18"/>
                <w:lang w:eastAsia="en-AU"/>
              </w:rPr>
              <w:t>0%</w:t>
            </w:r>
          </w:p>
        </w:tc>
        <w:tc>
          <w:tcPr>
            <w:tcW w:w="1255" w:type="dxa"/>
            <w:vMerge/>
            <w:tcBorders>
              <w:top w:val="nil"/>
              <w:left w:val="single" w:sz="4" w:space="0" w:color="FFFFFF"/>
              <w:bottom w:val="single" w:sz="4" w:space="0" w:color="FFFFFF"/>
              <w:right w:val="single" w:sz="4" w:space="0" w:color="FFFFFF"/>
            </w:tcBorders>
            <w:vAlign w:val="center"/>
            <w:hideMark/>
          </w:tcPr>
          <w:p w14:paraId="34F25309"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4F685E61" w14:textId="77777777" w:rsidR="00052799" w:rsidRPr="002D7AE6" w:rsidRDefault="00052799" w:rsidP="00871631">
            <w:pPr>
              <w:rPr>
                <w:color w:val="000000"/>
                <w:sz w:val="18"/>
                <w:szCs w:val="18"/>
                <w:lang w:eastAsia="en-AU"/>
              </w:rPr>
            </w:pPr>
          </w:p>
        </w:tc>
      </w:tr>
      <w:tr w:rsidR="00052799" w:rsidRPr="002D7AE6" w14:paraId="0172D0F6"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0DDB8CA1" w14:textId="77777777" w:rsidR="00052799" w:rsidRPr="002D7AE6" w:rsidRDefault="00052799" w:rsidP="00871631">
            <w:pPr>
              <w:rPr>
                <w:color w:val="000000"/>
                <w:sz w:val="18"/>
                <w:szCs w:val="18"/>
                <w:lang w:eastAsia="en-AU"/>
              </w:rPr>
            </w:pPr>
            <w:r w:rsidRPr="002D7AE6">
              <w:rPr>
                <w:color w:val="000000"/>
                <w:sz w:val="18"/>
                <w:szCs w:val="18"/>
                <w:lang w:eastAsia="en-AU"/>
              </w:rPr>
              <w:t>Firearms heirlooms licence</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3AAEB9DB" w14:textId="77777777" w:rsidR="00052799" w:rsidRPr="002D7AE6" w:rsidRDefault="00052799" w:rsidP="00871631">
            <w:pPr>
              <w:rPr>
                <w:color w:val="000000"/>
                <w:sz w:val="18"/>
                <w:szCs w:val="18"/>
                <w:lang w:eastAsia="en-AU"/>
              </w:rPr>
            </w:pPr>
            <w:r w:rsidRPr="002D7AE6">
              <w:rPr>
                <w:color w:val="000000"/>
                <w:sz w:val="18"/>
                <w:szCs w:val="18"/>
                <w:lang w:eastAsia="en-AU"/>
              </w:rPr>
              <w:t>$167.1</w:t>
            </w:r>
          </w:p>
        </w:tc>
        <w:tc>
          <w:tcPr>
            <w:tcW w:w="1255" w:type="dxa"/>
            <w:vMerge/>
            <w:tcBorders>
              <w:top w:val="nil"/>
              <w:left w:val="single" w:sz="4" w:space="0" w:color="FFFFFF"/>
              <w:bottom w:val="single" w:sz="4" w:space="0" w:color="FFFFFF"/>
              <w:right w:val="single" w:sz="4" w:space="0" w:color="auto"/>
            </w:tcBorders>
            <w:vAlign w:val="center"/>
            <w:hideMark/>
          </w:tcPr>
          <w:p w14:paraId="5C1CD754"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597DAA60" w14:textId="77777777" w:rsidR="00052799" w:rsidRPr="002D7AE6" w:rsidRDefault="00052799" w:rsidP="00871631">
            <w:pPr>
              <w:rPr>
                <w:color w:val="000000"/>
                <w:sz w:val="18"/>
                <w:szCs w:val="18"/>
                <w:lang w:eastAsia="en-AU"/>
              </w:rPr>
            </w:pPr>
            <w:r w:rsidRPr="002D7AE6">
              <w:rPr>
                <w:color w:val="000000"/>
                <w:sz w:val="18"/>
                <w:szCs w:val="18"/>
                <w:lang w:eastAsia="en-AU"/>
              </w:rPr>
              <w:t>$243.1</w:t>
            </w:r>
          </w:p>
        </w:tc>
        <w:tc>
          <w:tcPr>
            <w:tcW w:w="850" w:type="dxa"/>
            <w:tcBorders>
              <w:top w:val="nil"/>
              <w:left w:val="nil"/>
              <w:bottom w:val="single" w:sz="4" w:space="0" w:color="FFFFFF"/>
              <w:right w:val="single" w:sz="4" w:space="0" w:color="FFFFFF"/>
            </w:tcBorders>
            <w:shd w:val="clear" w:color="000000" w:fill="D9E1F2"/>
            <w:vAlign w:val="bottom"/>
            <w:hideMark/>
          </w:tcPr>
          <w:p w14:paraId="44FDFE31" w14:textId="77777777" w:rsidR="00052799" w:rsidRPr="002D7AE6" w:rsidRDefault="00052799" w:rsidP="00871631">
            <w:pPr>
              <w:jc w:val="right"/>
              <w:rPr>
                <w:color w:val="000000"/>
                <w:sz w:val="18"/>
                <w:szCs w:val="18"/>
                <w:lang w:eastAsia="en-AU"/>
              </w:rPr>
            </w:pPr>
            <w:r w:rsidRPr="002D7AE6">
              <w:rPr>
                <w:color w:val="000000"/>
                <w:sz w:val="18"/>
                <w:szCs w:val="18"/>
                <w:lang w:eastAsia="en-AU"/>
              </w:rPr>
              <w:t>46%</w:t>
            </w:r>
          </w:p>
        </w:tc>
        <w:tc>
          <w:tcPr>
            <w:tcW w:w="1418" w:type="dxa"/>
            <w:vMerge/>
            <w:tcBorders>
              <w:top w:val="nil"/>
              <w:left w:val="single" w:sz="4" w:space="0" w:color="FFFFFF"/>
              <w:bottom w:val="single" w:sz="4" w:space="0" w:color="FFFFFF"/>
              <w:right w:val="single" w:sz="4" w:space="0" w:color="FFFFFF"/>
            </w:tcBorders>
            <w:vAlign w:val="center"/>
            <w:hideMark/>
          </w:tcPr>
          <w:p w14:paraId="5F0D650E"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1FEAC053"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0BE0FBC2" w14:textId="77777777" w:rsidR="00052799" w:rsidRPr="002D7AE6" w:rsidRDefault="00052799" w:rsidP="00871631">
            <w:pPr>
              <w:rPr>
                <w:color w:val="000000"/>
                <w:sz w:val="18"/>
                <w:szCs w:val="18"/>
                <w:lang w:eastAsia="en-AU"/>
              </w:rPr>
            </w:pPr>
            <w:r w:rsidRPr="002D7AE6">
              <w:rPr>
                <w:color w:val="000000"/>
                <w:sz w:val="18"/>
                <w:szCs w:val="18"/>
                <w:lang w:eastAsia="en-AU"/>
              </w:rPr>
              <w:t>$205.1</w:t>
            </w:r>
          </w:p>
        </w:tc>
        <w:tc>
          <w:tcPr>
            <w:tcW w:w="831" w:type="dxa"/>
            <w:tcBorders>
              <w:top w:val="nil"/>
              <w:left w:val="nil"/>
              <w:bottom w:val="single" w:sz="4" w:space="0" w:color="FFFFFF"/>
              <w:right w:val="single" w:sz="4" w:space="0" w:color="FFFFFF"/>
            </w:tcBorders>
            <w:shd w:val="clear" w:color="000000" w:fill="D9E1F2"/>
            <w:vAlign w:val="bottom"/>
            <w:hideMark/>
          </w:tcPr>
          <w:p w14:paraId="5126FF84" w14:textId="77777777" w:rsidR="00052799" w:rsidRPr="002D7AE6" w:rsidRDefault="00052799" w:rsidP="00871631">
            <w:pPr>
              <w:jc w:val="right"/>
              <w:rPr>
                <w:color w:val="000000"/>
                <w:sz w:val="18"/>
                <w:szCs w:val="18"/>
                <w:lang w:eastAsia="en-AU"/>
              </w:rPr>
            </w:pPr>
            <w:r w:rsidRPr="002D7AE6">
              <w:rPr>
                <w:color w:val="000000"/>
                <w:sz w:val="18"/>
                <w:szCs w:val="18"/>
                <w:lang w:eastAsia="en-AU"/>
              </w:rPr>
              <w:t>23%</w:t>
            </w:r>
          </w:p>
        </w:tc>
        <w:tc>
          <w:tcPr>
            <w:tcW w:w="1255" w:type="dxa"/>
            <w:vMerge/>
            <w:tcBorders>
              <w:top w:val="nil"/>
              <w:left w:val="single" w:sz="4" w:space="0" w:color="FFFFFF"/>
              <w:bottom w:val="single" w:sz="4" w:space="0" w:color="FFFFFF"/>
              <w:right w:val="single" w:sz="4" w:space="0" w:color="FFFFFF"/>
            </w:tcBorders>
            <w:vAlign w:val="center"/>
            <w:hideMark/>
          </w:tcPr>
          <w:p w14:paraId="60255413"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1317570A" w14:textId="77777777" w:rsidR="00052799" w:rsidRPr="002D7AE6" w:rsidRDefault="00052799" w:rsidP="00871631">
            <w:pPr>
              <w:rPr>
                <w:color w:val="000000"/>
                <w:sz w:val="18"/>
                <w:szCs w:val="18"/>
                <w:lang w:eastAsia="en-AU"/>
              </w:rPr>
            </w:pPr>
          </w:p>
        </w:tc>
      </w:tr>
      <w:tr w:rsidR="00052799" w:rsidRPr="002D7AE6" w14:paraId="52B446DE"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2CC714EE" w14:textId="77777777" w:rsidR="00052799" w:rsidRPr="002D7AE6" w:rsidRDefault="00052799" w:rsidP="00871631">
            <w:pPr>
              <w:rPr>
                <w:color w:val="000000"/>
                <w:sz w:val="18"/>
                <w:szCs w:val="18"/>
                <w:lang w:eastAsia="en-AU"/>
              </w:rPr>
            </w:pPr>
            <w:r w:rsidRPr="002D7AE6">
              <w:rPr>
                <w:color w:val="000000"/>
                <w:sz w:val="18"/>
                <w:szCs w:val="18"/>
                <w:lang w:eastAsia="en-AU"/>
              </w:rPr>
              <w:t>Firearms ammunition collectors licence business</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6C7AC4B4" w14:textId="77777777" w:rsidR="00052799" w:rsidRPr="002D7AE6" w:rsidRDefault="00052799" w:rsidP="00871631">
            <w:pPr>
              <w:rPr>
                <w:color w:val="000000"/>
                <w:sz w:val="18"/>
                <w:szCs w:val="18"/>
                <w:lang w:eastAsia="en-AU"/>
              </w:rPr>
            </w:pPr>
            <w:r w:rsidRPr="002D7AE6">
              <w:rPr>
                <w:color w:val="000000"/>
                <w:sz w:val="18"/>
                <w:szCs w:val="18"/>
                <w:lang w:eastAsia="en-AU"/>
              </w:rPr>
              <w:t>$342.0</w:t>
            </w:r>
          </w:p>
        </w:tc>
        <w:tc>
          <w:tcPr>
            <w:tcW w:w="1255" w:type="dxa"/>
            <w:vMerge/>
            <w:tcBorders>
              <w:top w:val="nil"/>
              <w:left w:val="single" w:sz="4" w:space="0" w:color="FFFFFF"/>
              <w:bottom w:val="single" w:sz="4" w:space="0" w:color="FFFFFF"/>
              <w:right w:val="single" w:sz="4" w:space="0" w:color="auto"/>
            </w:tcBorders>
            <w:vAlign w:val="center"/>
            <w:hideMark/>
          </w:tcPr>
          <w:p w14:paraId="3CD9155B"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6F150BC3" w14:textId="77777777" w:rsidR="00052799" w:rsidRPr="002D7AE6" w:rsidRDefault="00052799" w:rsidP="00871631">
            <w:pPr>
              <w:rPr>
                <w:color w:val="000000"/>
                <w:sz w:val="18"/>
                <w:szCs w:val="18"/>
                <w:lang w:eastAsia="en-AU"/>
              </w:rPr>
            </w:pPr>
            <w:r w:rsidRPr="002D7AE6">
              <w:rPr>
                <w:color w:val="000000"/>
                <w:sz w:val="18"/>
                <w:szCs w:val="18"/>
                <w:lang w:eastAsia="en-AU"/>
              </w:rPr>
              <w:t>$392.0</w:t>
            </w:r>
          </w:p>
        </w:tc>
        <w:tc>
          <w:tcPr>
            <w:tcW w:w="850" w:type="dxa"/>
            <w:tcBorders>
              <w:top w:val="nil"/>
              <w:left w:val="nil"/>
              <w:bottom w:val="single" w:sz="4" w:space="0" w:color="FFFFFF"/>
              <w:right w:val="single" w:sz="4" w:space="0" w:color="FFFFFF"/>
            </w:tcBorders>
            <w:shd w:val="clear" w:color="000000" w:fill="D9E1F2"/>
            <w:vAlign w:val="bottom"/>
            <w:hideMark/>
          </w:tcPr>
          <w:p w14:paraId="15713187" w14:textId="77777777" w:rsidR="00052799" w:rsidRPr="002D7AE6" w:rsidRDefault="00052799" w:rsidP="00871631">
            <w:pPr>
              <w:jc w:val="right"/>
              <w:rPr>
                <w:color w:val="000000"/>
                <w:sz w:val="18"/>
                <w:szCs w:val="18"/>
                <w:lang w:eastAsia="en-AU"/>
              </w:rPr>
            </w:pPr>
            <w:r w:rsidRPr="002D7AE6">
              <w:rPr>
                <w:color w:val="000000"/>
                <w:sz w:val="18"/>
                <w:szCs w:val="18"/>
                <w:lang w:eastAsia="en-AU"/>
              </w:rPr>
              <w:t>15%</w:t>
            </w:r>
          </w:p>
        </w:tc>
        <w:tc>
          <w:tcPr>
            <w:tcW w:w="1418" w:type="dxa"/>
            <w:vMerge/>
            <w:tcBorders>
              <w:top w:val="nil"/>
              <w:left w:val="single" w:sz="4" w:space="0" w:color="FFFFFF"/>
              <w:bottom w:val="single" w:sz="4" w:space="0" w:color="FFFFFF"/>
              <w:right w:val="single" w:sz="4" w:space="0" w:color="FFFFFF"/>
            </w:tcBorders>
            <w:vAlign w:val="center"/>
            <w:hideMark/>
          </w:tcPr>
          <w:p w14:paraId="3285BAEC"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4F60B006"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4B4DAA2D" w14:textId="77777777" w:rsidR="00052799" w:rsidRPr="002D7AE6" w:rsidRDefault="00052799" w:rsidP="00871631">
            <w:pPr>
              <w:rPr>
                <w:color w:val="000000"/>
                <w:sz w:val="18"/>
                <w:szCs w:val="18"/>
                <w:lang w:eastAsia="en-AU"/>
              </w:rPr>
            </w:pPr>
            <w:r w:rsidRPr="002D7AE6">
              <w:rPr>
                <w:color w:val="000000"/>
                <w:sz w:val="18"/>
                <w:szCs w:val="18"/>
                <w:lang w:eastAsia="en-AU"/>
              </w:rPr>
              <w:t>$367.0</w:t>
            </w:r>
          </w:p>
        </w:tc>
        <w:tc>
          <w:tcPr>
            <w:tcW w:w="831" w:type="dxa"/>
            <w:tcBorders>
              <w:top w:val="nil"/>
              <w:left w:val="nil"/>
              <w:bottom w:val="single" w:sz="4" w:space="0" w:color="FFFFFF"/>
              <w:right w:val="single" w:sz="4" w:space="0" w:color="FFFFFF"/>
            </w:tcBorders>
            <w:shd w:val="clear" w:color="000000" w:fill="D9E1F2"/>
            <w:vAlign w:val="bottom"/>
            <w:hideMark/>
          </w:tcPr>
          <w:p w14:paraId="7D864B92" w14:textId="77777777" w:rsidR="00052799" w:rsidRPr="002D7AE6" w:rsidRDefault="00052799" w:rsidP="00871631">
            <w:pPr>
              <w:jc w:val="right"/>
              <w:rPr>
                <w:color w:val="000000"/>
                <w:sz w:val="18"/>
                <w:szCs w:val="18"/>
                <w:lang w:eastAsia="en-AU"/>
              </w:rPr>
            </w:pPr>
            <w:r w:rsidRPr="002D7AE6">
              <w:rPr>
                <w:color w:val="000000"/>
                <w:sz w:val="18"/>
                <w:szCs w:val="18"/>
                <w:lang w:eastAsia="en-AU"/>
              </w:rPr>
              <w:t>7%</w:t>
            </w:r>
          </w:p>
        </w:tc>
        <w:tc>
          <w:tcPr>
            <w:tcW w:w="1255" w:type="dxa"/>
            <w:vMerge/>
            <w:tcBorders>
              <w:top w:val="nil"/>
              <w:left w:val="single" w:sz="4" w:space="0" w:color="FFFFFF"/>
              <w:bottom w:val="single" w:sz="4" w:space="0" w:color="FFFFFF"/>
              <w:right w:val="single" w:sz="4" w:space="0" w:color="FFFFFF"/>
            </w:tcBorders>
            <w:vAlign w:val="center"/>
            <w:hideMark/>
          </w:tcPr>
          <w:p w14:paraId="240E2E54"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4F1423F5" w14:textId="77777777" w:rsidR="00052799" w:rsidRPr="002D7AE6" w:rsidRDefault="00052799" w:rsidP="00871631">
            <w:pPr>
              <w:rPr>
                <w:color w:val="000000"/>
                <w:sz w:val="18"/>
                <w:szCs w:val="18"/>
                <w:lang w:eastAsia="en-AU"/>
              </w:rPr>
            </w:pPr>
          </w:p>
        </w:tc>
      </w:tr>
      <w:tr w:rsidR="00052799" w:rsidRPr="002D7AE6" w14:paraId="0D6D2053" w14:textId="77777777" w:rsidTr="00871631">
        <w:trPr>
          <w:trHeight w:val="324"/>
        </w:trPr>
        <w:tc>
          <w:tcPr>
            <w:tcW w:w="3681" w:type="dxa"/>
            <w:tcBorders>
              <w:top w:val="nil"/>
              <w:left w:val="nil"/>
              <w:bottom w:val="single" w:sz="4" w:space="0" w:color="FFFFFF"/>
              <w:right w:val="nil"/>
            </w:tcBorders>
            <w:shd w:val="clear" w:color="000000" w:fill="D9D9D9"/>
            <w:vAlign w:val="bottom"/>
            <w:hideMark/>
          </w:tcPr>
          <w:p w14:paraId="690F9CD2" w14:textId="77777777" w:rsidR="00052799" w:rsidRPr="002D7AE6" w:rsidRDefault="00052799" w:rsidP="00871631">
            <w:pPr>
              <w:rPr>
                <w:color w:val="000000"/>
                <w:sz w:val="18"/>
                <w:szCs w:val="18"/>
                <w:lang w:eastAsia="en-AU"/>
              </w:rPr>
            </w:pPr>
            <w:r w:rsidRPr="002D7AE6">
              <w:rPr>
                <w:color w:val="000000"/>
                <w:sz w:val="18"/>
                <w:szCs w:val="18"/>
                <w:lang w:eastAsia="en-AU"/>
              </w:rPr>
              <w:t>Firearms ammunition collectors licence individual</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17000CE4" w14:textId="77777777" w:rsidR="00052799" w:rsidRPr="002D7AE6" w:rsidRDefault="00052799" w:rsidP="00871631">
            <w:pPr>
              <w:rPr>
                <w:color w:val="000000"/>
                <w:sz w:val="18"/>
                <w:szCs w:val="18"/>
                <w:lang w:eastAsia="en-AU"/>
              </w:rPr>
            </w:pPr>
            <w:r w:rsidRPr="002D7AE6">
              <w:rPr>
                <w:color w:val="000000"/>
                <w:sz w:val="18"/>
                <w:szCs w:val="18"/>
                <w:lang w:eastAsia="en-AU"/>
              </w:rPr>
              <w:t>$167.1</w:t>
            </w:r>
          </w:p>
        </w:tc>
        <w:tc>
          <w:tcPr>
            <w:tcW w:w="1255" w:type="dxa"/>
            <w:vMerge/>
            <w:tcBorders>
              <w:top w:val="nil"/>
              <w:left w:val="single" w:sz="4" w:space="0" w:color="FFFFFF"/>
              <w:bottom w:val="single" w:sz="4" w:space="0" w:color="FFFFFF"/>
              <w:right w:val="single" w:sz="4" w:space="0" w:color="auto"/>
            </w:tcBorders>
            <w:vAlign w:val="center"/>
            <w:hideMark/>
          </w:tcPr>
          <w:p w14:paraId="77FB502E"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7F3FEE3E" w14:textId="77777777" w:rsidR="00052799" w:rsidRPr="002D7AE6" w:rsidRDefault="00052799" w:rsidP="00871631">
            <w:pPr>
              <w:rPr>
                <w:color w:val="000000"/>
                <w:sz w:val="18"/>
                <w:szCs w:val="18"/>
                <w:lang w:eastAsia="en-AU"/>
              </w:rPr>
            </w:pPr>
            <w:r w:rsidRPr="002D7AE6">
              <w:rPr>
                <w:color w:val="000000"/>
                <w:sz w:val="18"/>
                <w:szCs w:val="18"/>
                <w:lang w:eastAsia="en-AU"/>
              </w:rPr>
              <w:t>$243.1</w:t>
            </w:r>
          </w:p>
        </w:tc>
        <w:tc>
          <w:tcPr>
            <w:tcW w:w="850" w:type="dxa"/>
            <w:tcBorders>
              <w:top w:val="nil"/>
              <w:left w:val="nil"/>
              <w:bottom w:val="single" w:sz="4" w:space="0" w:color="FFFFFF"/>
              <w:right w:val="single" w:sz="4" w:space="0" w:color="FFFFFF"/>
            </w:tcBorders>
            <w:shd w:val="clear" w:color="000000" w:fill="D9E1F2"/>
            <w:vAlign w:val="bottom"/>
            <w:hideMark/>
          </w:tcPr>
          <w:p w14:paraId="52A3B257" w14:textId="77777777" w:rsidR="00052799" w:rsidRPr="002D7AE6" w:rsidRDefault="00052799" w:rsidP="00871631">
            <w:pPr>
              <w:jc w:val="right"/>
              <w:rPr>
                <w:color w:val="000000"/>
                <w:sz w:val="18"/>
                <w:szCs w:val="18"/>
                <w:lang w:eastAsia="en-AU"/>
              </w:rPr>
            </w:pPr>
            <w:r w:rsidRPr="002D7AE6">
              <w:rPr>
                <w:color w:val="000000"/>
                <w:sz w:val="18"/>
                <w:szCs w:val="18"/>
                <w:lang w:eastAsia="en-AU"/>
              </w:rPr>
              <w:t>46%</w:t>
            </w:r>
          </w:p>
        </w:tc>
        <w:tc>
          <w:tcPr>
            <w:tcW w:w="1418" w:type="dxa"/>
            <w:vMerge/>
            <w:tcBorders>
              <w:top w:val="nil"/>
              <w:left w:val="single" w:sz="4" w:space="0" w:color="FFFFFF"/>
              <w:bottom w:val="single" w:sz="4" w:space="0" w:color="FFFFFF"/>
              <w:right w:val="single" w:sz="4" w:space="0" w:color="FFFFFF"/>
            </w:tcBorders>
            <w:vAlign w:val="center"/>
            <w:hideMark/>
          </w:tcPr>
          <w:p w14:paraId="6CFD8A25"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55A9A5C6"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68499257" w14:textId="77777777" w:rsidR="00052799" w:rsidRPr="002D7AE6" w:rsidRDefault="00052799" w:rsidP="00871631">
            <w:pPr>
              <w:rPr>
                <w:color w:val="000000"/>
                <w:sz w:val="18"/>
                <w:szCs w:val="18"/>
                <w:lang w:eastAsia="en-AU"/>
              </w:rPr>
            </w:pPr>
            <w:r w:rsidRPr="002D7AE6">
              <w:rPr>
                <w:color w:val="000000"/>
                <w:sz w:val="18"/>
                <w:szCs w:val="18"/>
                <w:lang w:eastAsia="en-AU"/>
              </w:rPr>
              <w:t>$205.1</w:t>
            </w:r>
          </w:p>
        </w:tc>
        <w:tc>
          <w:tcPr>
            <w:tcW w:w="831" w:type="dxa"/>
            <w:tcBorders>
              <w:top w:val="nil"/>
              <w:left w:val="nil"/>
              <w:bottom w:val="single" w:sz="4" w:space="0" w:color="FFFFFF"/>
              <w:right w:val="single" w:sz="4" w:space="0" w:color="FFFFFF"/>
            </w:tcBorders>
            <w:shd w:val="clear" w:color="000000" w:fill="D9E1F2"/>
            <w:vAlign w:val="bottom"/>
            <w:hideMark/>
          </w:tcPr>
          <w:p w14:paraId="698005A5" w14:textId="77777777" w:rsidR="00052799" w:rsidRPr="002D7AE6" w:rsidRDefault="00052799" w:rsidP="00871631">
            <w:pPr>
              <w:jc w:val="right"/>
              <w:rPr>
                <w:color w:val="000000"/>
                <w:sz w:val="18"/>
                <w:szCs w:val="18"/>
                <w:lang w:eastAsia="en-AU"/>
              </w:rPr>
            </w:pPr>
            <w:r w:rsidRPr="002D7AE6">
              <w:rPr>
                <w:color w:val="000000"/>
                <w:sz w:val="18"/>
                <w:szCs w:val="18"/>
                <w:lang w:eastAsia="en-AU"/>
              </w:rPr>
              <w:t>23%</w:t>
            </w:r>
          </w:p>
        </w:tc>
        <w:tc>
          <w:tcPr>
            <w:tcW w:w="1255" w:type="dxa"/>
            <w:vMerge/>
            <w:tcBorders>
              <w:top w:val="nil"/>
              <w:left w:val="single" w:sz="4" w:space="0" w:color="FFFFFF"/>
              <w:bottom w:val="single" w:sz="4" w:space="0" w:color="FFFFFF"/>
              <w:right w:val="single" w:sz="4" w:space="0" w:color="FFFFFF"/>
            </w:tcBorders>
            <w:vAlign w:val="center"/>
            <w:hideMark/>
          </w:tcPr>
          <w:p w14:paraId="6F657650"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2278C011" w14:textId="77777777" w:rsidR="00052799" w:rsidRPr="002D7AE6" w:rsidRDefault="00052799" w:rsidP="00871631">
            <w:pPr>
              <w:rPr>
                <w:color w:val="000000"/>
                <w:sz w:val="18"/>
                <w:szCs w:val="18"/>
                <w:lang w:eastAsia="en-AU"/>
              </w:rPr>
            </w:pPr>
          </w:p>
        </w:tc>
      </w:tr>
      <w:tr w:rsidR="00052799" w:rsidRPr="002D7AE6" w14:paraId="0AB07ABC"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2E7DC2F5" w14:textId="77777777" w:rsidR="00052799" w:rsidRPr="002D7AE6" w:rsidRDefault="00052799" w:rsidP="00871631">
            <w:pPr>
              <w:rPr>
                <w:color w:val="000000"/>
                <w:sz w:val="18"/>
                <w:szCs w:val="18"/>
                <w:lang w:eastAsia="en-AU"/>
              </w:rPr>
            </w:pPr>
            <w:r w:rsidRPr="002D7AE6">
              <w:rPr>
                <w:color w:val="000000"/>
                <w:sz w:val="18"/>
                <w:szCs w:val="18"/>
                <w:lang w:eastAsia="en-AU"/>
              </w:rPr>
              <w:t>Class 1 dealer licence (individual)</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29ACEA53" w14:textId="77777777" w:rsidR="00052799" w:rsidRPr="002D7AE6" w:rsidRDefault="00052799" w:rsidP="00871631">
            <w:pPr>
              <w:rPr>
                <w:color w:val="000000"/>
                <w:sz w:val="18"/>
                <w:szCs w:val="18"/>
                <w:lang w:eastAsia="en-AU"/>
              </w:rPr>
            </w:pPr>
            <w:r w:rsidRPr="002D7AE6">
              <w:rPr>
                <w:color w:val="000000"/>
                <w:sz w:val="18"/>
                <w:szCs w:val="18"/>
                <w:lang w:eastAsia="en-AU"/>
              </w:rPr>
              <w:t>$1,783.6</w:t>
            </w:r>
          </w:p>
        </w:tc>
        <w:tc>
          <w:tcPr>
            <w:tcW w:w="1255"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69A64A44" w14:textId="77777777" w:rsidR="00052799" w:rsidRPr="002D7AE6" w:rsidRDefault="00052799" w:rsidP="00871631">
            <w:pPr>
              <w:jc w:val="center"/>
              <w:rPr>
                <w:color w:val="000000"/>
                <w:sz w:val="18"/>
                <w:szCs w:val="18"/>
                <w:lang w:eastAsia="en-AU"/>
              </w:rPr>
            </w:pPr>
            <w:r w:rsidRPr="002D7AE6">
              <w:rPr>
                <w:color w:val="000000"/>
                <w:sz w:val="18"/>
                <w:szCs w:val="18"/>
                <w:lang w:eastAsia="en-AU"/>
              </w:rPr>
              <w:t>$178,606</w:t>
            </w:r>
          </w:p>
        </w:tc>
        <w:tc>
          <w:tcPr>
            <w:tcW w:w="927" w:type="dxa"/>
            <w:tcBorders>
              <w:top w:val="nil"/>
              <w:left w:val="nil"/>
              <w:bottom w:val="single" w:sz="4" w:space="0" w:color="FFFFFF"/>
              <w:right w:val="single" w:sz="4" w:space="0" w:color="FFFFFF"/>
            </w:tcBorders>
            <w:shd w:val="clear" w:color="000000" w:fill="D9E1F2"/>
            <w:vAlign w:val="bottom"/>
            <w:hideMark/>
          </w:tcPr>
          <w:p w14:paraId="2B7C03EC" w14:textId="77777777" w:rsidR="00052799" w:rsidRPr="002D7AE6" w:rsidRDefault="00052799" w:rsidP="00871631">
            <w:pPr>
              <w:rPr>
                <w:color w:val="000000"/>
                <w:sz w:val="18"/>
                <w:szCs w:val="18"/>
                <w:lang w:eastAsia="en-AU"/>
              </w:rPr>
            </w:pPr>
            <w:r w:rsidRPr="002D7AE6">
              <w:rPr>
                <w:color w:val="000000"/>
                <w:sz w:val="18"/>
                <w:szCs w:val="18"/>
                <w:lang w:eastAsia="en-AU"/>
              </w:rPr>
              <w:t>$1,994.7</w:t>
            </w:r>
          </w:p>
        </w:tc>
        <w:tc>
          <w:tcPr>
            <w:tcW w:w="850" w:type="dxa"/>
            <w:tcBorders>
              <w:top w:val="nil"/>
              <w:left w:val="nil"/>
              <w:bottom w:val="single" w:sz="4" w:space="0" w:color="FFFFFF"/>
              <w:right w:val="single" w:sz="4" w:space="0" w:color="FFFFFF"/>
            </w:tcBorders>
            <w:shd w:val="clear" w:color="000000" w:fill="D9E1F2"/>
            <w:vAlign w:val="bottom"/>
            <w:hideMark/>
          </w:tcPr>
          <w:p w14:paraId="4FAF39D1" w14:textId="77777777" w:rsidR="00052799" w:rsidRPr="002D7AE6" w:rsidRDefault="00052799" w:rsidP="00871631">
            <w:pPr>
              <w:jc w:val="right"/>
              <w:rPr>
                <w:color w:val="000000"/>
                <w:sz w:val="18"/>
                <w:szCs w:val="18"/>
                <w:lang w:eastAsia="en-AU"/>
              </w:rPr>
            </w:pPr>
            <w:r w:rsidRPr="002D7AE6">
              <w:rPr>
                <w:color w:val="000000"/>
                <w:sz w:val="18"/>
                <w:szCs w:val="18"/>
                <w:lang w:eastAsia="en-AU"/>
              </w:rPr>
              <w:t>12%</w:t>
            </w:r>
          </w:p>
        </w:tc>
        <w:tc>
          <w:tcPr>
            <w:tcW w:w="1418" w:type="dxa"/>
            <w:vMerge w:val="restart"/>
            <w:tcBorders>
              <w:top w:val="nil"/>
              <w:left w:val="single" w:sz="4" w:space="0" w:color="FFFFFF"/>
              <w:bottom w:val="single" w:sz="4" w:space="0" w:color="FFFFFF"/>
              <w:right w:val="single" w:sz="4" w:space="0" w:color="FFFFFF"/>
            </w:tcBorders>
            <w:shd w:val="clear" w:color="000000" w:fill="D9E1F2"/>
            <w:vAlign w:val="bottom"/>
            <w:hideMark/>
          </w:tcPr>
          <w:p w14:paraId="1049F2E7" w14:textId="77777777" w:rsidR="00052799" w:rsidRPr="002D7AE6" w:rsidRDefault="00052799" w:rsidP="00871631">
            <w:pPr>
              <w:jc w:val="center"/>
              <w:rPr>
                <w:color w:val="000000"/>
                <w:sz w:val="18"/>
                <w:szCs w:val="18"/>
                <w:lang w:eastAsia="en-AU"/>
              </w:rPr>
            </w:pPr>
            <w:r w:rsidRPr="002D7AE6">
              <w:rPr>
                <w:color w:val="000000"/>
                <w:sz w:val="18"/>
                <w:szCs w:val="18"/>
                <w:lang w:eastAsia="en-AU"/>
              </w:rPr>
              <w:t>$205,367</w:t>
            </w:r>
          </w:p>
        </w:tc>
        <w:tc>
          <w:tcPr>
            <w:tcW w:w="1276"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7FF83193" w14:textId="77777777" w:rsidR="00052799" w:rsidRPr="002D7AE6" w:rsidRDefault="00052799" w:rsidP="00871631">
            <w:pPr>
              <w:jc w:val="center"/>
              <w:rPr>
                <w:color w:val="000000"/>
                <w:sz w:val="18"/>
                <w:szCs w:val="18"/>
                <w:lang w:eastAsia="en-AU"/>
              </w:rPr>
            </w:pPr>
            <w:r w:rsidRPr="002D7AE6">
              <w:rPr>
                <w:color w:val="000000"/>
                <w:sz w:val="18"/>
                <w:szCs w:val="18"/>
                <w:lang w:eastAsia="en-AU"/>
              </w:rPr>
              <w:t>$26,761</w:t>
            </w:r>
          </w:p>
        </w:tc>
        <w:tc>
          <w:tcPr>
            <w:tcW w:w="925" w:type="dxa"/>
            <w:tcBorders>
              <w:top w:val="nil"/>
              <w:left w:val="nil"/>
              <w:bottom w:val="single" w:sz="4" w:space="0" w:color="FFFFFF"/>
              <w:right w:val="single" w:sz="4" w:space="0" w:color="FFFFFF"/>
            </w:tcBorders>
            <w:shd w:val="clear" w:color="000000" w:fill="D9E1F2"/>
            <w:vAlign w:val="bottom"/>
            <w:hideMark/>
          </w:tcPr>
          <w:p w14:paraId="6F92D44D" w14:textId="77777777" w:rsidR="00052799" w:rsidRPr="002D7AE6" w:rsidRDefault="00052799" w:rsidP="00871631">
            <w:pPr>
              <w:rPr>
                <w:color w:val="000000"/>
                <w:sz w:val="18"/>
                <w:szCs w:val="18"/>
                <w:lang w:eastAsia="en-AU"/>
              </w:rPr>
            </w:pPr>
            <w:r w:rsidRPr="002D7AE6">
              <w:rPr>
                <w:color w:val="000000"/>
                <w:sz w:val="18"/>
                <w:szCs w:val="18"/>
                <w:lang w:eastAsia="en-AU"/>
              </w:rPr>
              <w:t>$1,889.1</w:t>
            </w:r>
          </w:p>
        </w:tc>
        <w:tc>
          <w:tcPr>
            <w:tcW w:w="831" w:type="dxa"/>
            <w:tcBorders>
              <w:top w:val="nil"/>
              <w:left w:val="nil"/>
              <w:bottom w:val="single" w:sz="4" w:space="0" w:color="FFFFFF"/>
              <w:right w:val="single" w:sz="4" w:space="0" w:color="FFFFFF"/>
            </w:tcBorders>
            <w:shd w:val="clear" w:color="000000" w:fill="D9E1F2"/>
            <w:vAlign w:val="bottom"/>
            <w:hideMark/>
          </w:tcPr>
          <w:p w14:paraId="6EE79092" w14:textId="77777777" w:rsidR="00052799" w:rsidRPr="002D7AE6" w:rsidRDefault="00052799" w:rsidP="00871631">
            <w:pPr>
              <w:jc w:val="right"/>
              <w:rPr>
                <w:color w:val="000000"/>
                <w:sz w:val="18"/>
                <w:szCs w:val="18"/>
                <w:lang w:eastAsia="en-AU"/>
              </w:rPr>
            </w:pPr>
            <w:r w:rsidRPr="002D7AE6">
              <w:rPr>
                <w:color w:val="000000"/>
                <w:sz w:val="18"/>
                <w:szCs w:val="18"/>
                <w:lang w:eastAsia="en-AU"/>
              </w:rPr>
              <w:t>6%</w:t>
            </w:r>
          </w:p>
        </w:tc>
        <w:tc>
          <w:tcPr>
            <w:tcW w:w="1255" w:type="dxa"/>
            <w:vMerge w:val="restart"/>
            <w:tcBorders>
              <w:top w:val="nil"/>
              <w:left w:val="single" w:sz="4" w:space="0" w:color="FFFFFF"/>
              <w:bottom w:val="single" w:sz="4" w:space="0" w:color="FFFFFF"/>
              <w:right w:val="single" w:sz="4" w:space="0" w:color="FFFFFF"/>
            </w:tcBorders>
            <w:shd w:val="clear" w:color="000000" w:fill="D9E1F2"/>
            <w:vAlign w:val="bottom"/>
            <w:hideMark/>
          </w:tcPr>
          <w:p w14:paraId="44A221F5" w14:textId="77777777" w:rsidR="00052799" w:rsidRPr="002D7AE6" w:rsidRDefault="00052799" w:rsidP="00871631">
            <w:pPr>
              <w:jc w:val="center"/>
              <w:rPr>
                <w:color w:val="000000"/>
                <w:sz w:val="18"/>
                <w:szCs w:val="18"/>
                <w:lang w:eastAsia="en-AU"/>
              </w:rPr>
            </w:pPr>
            <w:r w:rsidRPr="002D7AE6">
              <w:rPr>
                <w:color w:val="000000"/>
                <w:sz w:val="18"/>
                <w:szCs w:val="18"/>
                <w:lang w:eastAsia="en-AU"/>
              </w:rPr>
              <w:t>$191,987</w:t>
            </w:r>
          </w:p>
        </w:tc>
        <w:tc>
          <w:tcPr>
            <w:tcW w:w="982"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1AFD83A8" w14:textId="77777777" w:rsidR="00052799" w:rsidRPr="002D7AE6" w:rsidRDefault="00052799" w:rsidP="00871631">
            <w:pPr>
              <w:jc w:val="center"/>
              <w:rPr>
                <w:color w:val="000000"/>
                <w:sz w:val="18"/>
                <w:szCs w:val="18"/>
                <w:lang w:eastAsia="en-AU"/>
              </w:rPr>
            </w:pPr>
            <w:r w:rsidRPr="002D7AE6">
              <w:rPr>
                <w:color w:val="000000"/>
                <w:sz w:val="18"/>
                <w:szCs w:val="18"/>
                <w:lang w:eastAsia="en-AU"/>
              </w:rPr>
              <w:t>$13,380</w:t>
            </w:r>
          </w:p>
        </w:tc>
      </w:tr>
      <w:tr w:rsidR="00052799" w:rsidRPr="002D7AE6" w14:paraId="24AB12C3"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2F612257" w14:textId="77777777" w:rsidR="00052799" w:rsidRPr="002D7AE6" w:rsidRDefault="00052799" w:rsidP="00871631">
            <w:pPr>
              <w:rPr>
                <w:color w:val="000000"/>
                <w:sz w:val="18"/>
                <w:szCs w:val="18"/>
                <w:lang w:eastAsia="en-AU"/>
              </w:rPr>
            </w:pPr>
            <w:r w:rsidRPr="002D7AE6">
              <w:rPr>
                <w:color w:val="000000"/>
                <w:sz w:val="18"/>
                <w:szCs w:val="18"/>
                <w:lang w:eastAsia="en-AU"/>
              </w:rPr>
              <w:t>Class 2 dealer licence (individual)</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3C6F253E" w14:textId="77777777" w:rsidR="00052799" w:rsidRPr="002D7AE6" w:rsidRDefault="00052799" w:rsidP="00871631">
            <w:pPr>
              <w:rPr>
                <w:color w:val="000000"/>
                <w:sz w:val="18"/>
                <w:szCs w:val="18"/>
                <w:lang w:eastAsia="en-AU"/>
              </w:rPr>
            </w:pPr>
            <w:r w:rsidRPr="002D7AE6">
              <w:rPr>
                <w:color w:val="000000"/>
                <w:sz w:val="18"/>
                <w:szCs w:val="18"/>
                <w:lang w:eastAsia="en-AU"/>
              </w:rPr>
              <w:t>$1,276.8</w:t>
            </w:r>
          </w:p>
        </w:tc>
        <w:tc>
          <w:tcPr>
            <w:tcW w:w="1255" w:type="dxa"/>
            <w:vMerge/>
            <w:tcBorders>
              <w:top w:val="nil"/>
              <w:left w:val="single" w:sz="4" w:space="0" w:color="FFFFFF"/>
              <w:bottom w:val="single" w:sz="4" w:space="0" w:color="FFFFFF"/>
              <w:right w:val="single" w:sz="4" w:space="0" w:color="auto"/>
            </w:tcBorders>
            <w:vAlign w:val="center"/>
            <w:hideMark/>
          </w:tcPr>
          <w:p w14:paraId="0EF499DD"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58BF5AB2" w14:textId="77777777" w:rsidR="00052799" w:rsidRPr="002D7AE6" w:rsidRDefault="00052799" w:rsidP="00871631">
            <w:pPr>
              <w:rPr>
                <w:color w:val="000000"/>
                <w:sz w:val="18"/>
                <w:szCs w:val="18"/>
                <w:lang w:eastAsia="en-AU"/>
              </w:rPr>
            </w:pPr>
            <w:r w:rsidRPr="002D7AE6">
              <w:rPr>
                <w:color w:val="000000"/>
                <w:sz w:val="18"/>
                <w:szCs w:val="18"/>
                <w:lang w:eastAsia="en-AU"/>
              </w:rPr>
              <w:t>$1,912.4</w:t>
            </w:r>
          </w:p>
        </w:tc>
        <w:tc>
          <w:tcPr>
            <w:tcW w:w="850" w:type="dxa"/>
            <w:tcBorders>
              <w:top w:val="nil"/>
              <w:left w:val="nil"/>
              <w:bottom w:val="single" w:sz="4" w:space="0" w:color="FFFFFF"/>
              <w:right w:val="single" w:sz="4" w:space="0" w:color="FFFFFF"/>
            </w:tcBorders>
            <w:shd w:val="clear" w:color="000000" w:fill="D9E1F2"/>
            <w:vAlign w:val="bottom"/>
            <w:hideMark/>
          </w:tcPr>
          <w:p w14:paraId="40074D55" w14:textId="77777777" w:rsidR="00052799" w:rsidRPr="002D7AE6" w:rsidRDefault="00052799" w:rsidP="00871631">
            <w:pPr>
              <w:jc w:val="right"/>
              <w:rPr>
                <w:color w:val="000000"/>
                <w:sz w:val="18"/>
                <w:szCs w:val="18"/>
                <w:lang w:eastAsia="en-AU"/>
              </w:rPr>
            </w:pPr>
            <w:r w:rsidRPr="002D7AE6">
              <w:rPr>
                <w:color w:val="000000"/>
                <w:sz w:val="18"/>
                <w:szCs w:val="18"/>
                <w:lang w:eastAsia="en-AU"/>
              </w:rPr>
              <w:t>50%</w:t>
            </w:r>
          </w:p>
        </w:tc>
        <w:tc>
          <w:tcPr>
            <w:tcW w:w="1418" w:type="dxa"/>
            <w:vMerge/>
            <w:tcBorders>
              <w:top w:val="nil"/>
              <w:left w:val="single" w:sz="4" w:space="0" w:color="FFFFFF"/>
              <w:bottom w:val="single" w:sz="4" w:space="0" w:color="FFFFFF"/>
              <w:right w:val="single" w:sz="4" w:space="0" w:color="FFFFFF"/>
            </w:tcBorders>
            <w:vAlign w:val="center"/>
            <w:hideMark/>
          </w:tcPr>
          <w:p w14:paraId="732E9A94"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5DED24C3"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6DA83690" w14:textId="77777777" w:rsidR="00052799" w:rsidRPr="002D7AE6" w:rsidRDefault="00052799" w:rsidP="00871631">
            <w:pPr>
              <w:rPr>
                <w:color w:val="000000"/>
                <w:sz w:val="18"/>
                <w:szCs w:val="18"/>
                <w:lang w:eastAsia="en-AU"/>
              </w:rPr>
            </w:pPr>
            <w:r w:rsidRPr="002D7AE6">
              <w:rPr>
                <w:color w:val="000000"/>
                <w:sz w:val="18"/>
                <w:szCs w:val="18"/>
                <w:lang w:eastAsia="en-AU"/>
              </w:rPr>
              <w:t>$1,594.6</w:t>
            </w:r>
          </w:p>
        </w:tc>
        <w:tc>
          <w:tcPr>
            <w:tcW w:w="831" w:type="dxa"/>
            <w:tcBorders>
              <w:top w:val="nil"/>
              <w:left w:val="nil"/>
              <w:bottom w:val="single" w:sz="4" w:space="0" w:color="FFFFFF"/>
              <w:right w:val="single" w:sz="4" w:space="0" w:color="FFFFFF"/>
            </w:tcBorders>
            <w:shd w:val="clear" w:color="000000" w:fill="D9E1F2"/>
            <w:vAlign w:val="bottom"/>
            <w:hideMark/>
          </w:tcPr>
          <w:p w14:paraId="69421777" w14:textId="77777777" w:rsidR="00052799" w:rsidRPr="002D7AE6" w:rsidRDefault="00052799" w:rsidP="00871631">
            <w:pPr>
              <w:jc w:val="right"/>
              <w:rPr>
                <w:color w:val="000000"/>
                <w:sz w:val="18"/>
                <w:szCs w:val="18"/>
                <w:lang w:eastAsia="en-AU"/>
              </w:rPr>
            </w:pPr>
            <w:r w:rsidRPr="002D7AE6">
              <w:rPr>
                <w:color w:val="000000"/>
                <w:sz w:val="18"/>
                <w:szCs w:val="18"/>
                <w:lang w:eastAsia="en-AU"/>
              </w:rPr>
              <w:t>25%</w:t>
            </w:r>
          </w:p>
        </w:tc>
        <w:tc>
          <w:tcPr>
            <w:tcW w:w="1255" w:type="dxa"/>
            <w:vMerge/>
            <w:tcBorders>
              <w:top w:val="nil"/>
              <w:left w:val="single" w:sz="4" w:space="0" w:color="FFFFFF"/>
              <w:bottom w:val="single" w:sz="4" w:space="0" w:color="FFFFFF"/>
              <w:right w:val="single" w:sz="4" w:space="0" w:color="FFFFFF"/>
            </w:tcBorders>
            <w:vAlign w:val="center"/>
            <w:hideMark/>
          </w:tcPr>
          <w:p w14:paraId="278B1277"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1D5017BB" w14:textId="77777777" w:rsidR="00052799" w:rsidRPr="002D7AE6" w:rsidRDefault="00052799" w:rsidP="00871631">
            <w:pPr>
              <w:rPr>
                <w:color w:val="000000"/>
                <w:sz w:val="18"/>
                <w:szCs w:val="18"/>
                <w:lang w:eastAsia="en-AU"/>
              </w:rPr>
            </w:pPr>
          </w:p>
        </w:tc>
      </w:tr>
      <w:tr w:rsidR="00052799" w:rsidRPr="002D7AE6" w14:paraId="4D50744A"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51FB94A9" w14:textId="77777777" w:rsidR="00052799" w:rsidRPr="002D7AE6" w:rsidRDefault="00052799" w:rsidP="00871631">
            <w:pPr>
              <w:rPr>
                <w:color w:val="000000"/>
                <w:sz w:val="18"/>
                <w:szCs w:val="18"/>
                <w:lang w:eastAsia="en-AU"/>
              </w:rPr>
            </w:pPr>
            <w:r w:rsidRPr="002D7AE6">
              <w:rPr>
                <w:color w:val="000000"/>
                <w:sz w:val="18"/>
                <w:szCs w:val="18"/>
                <w:lang w:eastAsia="en-AU"/>
              </w:rPr>
              <w:t>Class 3 dealer licence (individual)</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3B82FEB9" w14:textId="77777777" w:rsidR="00052799" w:rsidRPr="002D7AE6" w:rsidRDefault="00052799" w:rsidP="00871631">
            <w:pPr>
              <w:rPr>
                <w:color w:val="000000"/>
                <w:sz w:val="18"/>
                <w:szCs w:val="18"/>
                <w:lang w:eastAsia="en-AU"/>
              </w:rPr>
            </w:pPr>
            <w:r w:rsidRPr="002D7AE6">
              <w:rPr>
                <w:color w:val="000000"/>
                <w:sz w:val="18"/>
                <w:szCs w:val="18"/>
                <w:lang w:eastAsia="en-AU"/>
              </w:rPr>
              <w:t>$765.3</w:t>
            </w:r>
          </w:p>
        </w:tc>
        <w:tc>
          <w:tcPr>
            <w:tcW w:w="1255" w:type="dxa"/>
            <w:vMerge/>
            <w:tcBorders>
              <w:top w:val="nil"/>
              <w:left w:val="single" w:sz="4" w:space="0" w:color="FFFFFF"/>
              <w:bottom w:val="single" w:sz="4" w:space="0" w:color="FFFFFF"/>
              <w:right w:val="single" w:sz="4" w:space="0" w:color="auto"/>
            </w:tcBorders>
            <w:vAlign w:val="center"/>
            <w:hideMark/>
          </w:tcPr>
          <w:p w14:paraId="2B72C531"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6D03B54D" w14:textId="77777777" w:rsidR="00052799" w:rsidRPr="002D7AE6" w:rsidRDefault="00052799" w:rsidP="00871631">
            <w:pPr>
              <w:rPr>
                <w:color w:val="000000"/>
                <w:sz w:val="18"/>
                <w:szCs w:val="18"/>
                <w:lang w:eastAsia="en-AU"/>
              </w:rPr>
            </w:pPr>
            <w:r w:rsidRPr="002D7AE6">
              <w:rPr>
                <w:color w:val="000000"/>
                <w:sz w:val="18"/>
                <w:szCs w:val="18"/>
                <w:lang w:eastAsia="en-AU"/>
              </w:rPr>
              <w:t>$1,136.5</w:t>
            </w:r>
          </w:p>
        </w:tc>
        <w:tc>
          <w:tcPr>
            <w:tcW w:w="850" w:type="dxa"/>
            <w:tcBorders>
              <w:top w:val="nil"/>
              <w:left w:val="nil"/>
              <w:bottom w:val="single" w:sz="4" w:space="0" w:color="FFFFFF"/>
              <w:right w:val="single" w:sz="4" w:space="0" w:color="FFFFFF"/>
            </w:tcBorders>
            <w:shd w:val="clear" w:color="000000" w:fill="D9E1F2"/>
            <w:vAlign w:val="bottom"/>
            <w:hideMark/>
          </w:tcPr>
          <w:p w14:paraId="424F3645" w14:textId="77777777" w:rsidR="00052799" w:rsidRPr="002D7AE6" w:rsidRDefault="00052799" w:rsidP="00871631">
            <w:pPr>
              <w:jc w:val="right"/>
              <w:rPr>
                <w:color w:val="000000"/>
                <w:sz w:val="18"/>
                <w:szCs w:val="18"/>
                <w:lang w:eastAsia="en-AU"/>
              </w:rPr>
            </w:pPr>
            <w:r w:rsidRPr="002D7AE6">
              <w:rPr>
                <w:color w:val="000000"/>
                <w:sz w:val="18"/>
                <w:szCs w:val="18"/>
                <w:lang w:eastAsia="en-AU"/>
              </w:rPr>
              <w:t>48%</w:t>
            </w:r>
          </w:p>
        </w:tc>
        <w:tc>
          <w:tcPr>
            <w:tcW w:w="1418" w:type="dxa"/>
            <w:vMerge/>
            <w:tcBorders>
              <w:top w:val="nil"/>
              <w:left w:val="single" w:sz="4" w:space="0" w:color="FFFFFF"/>
              <w:bottom w:val="single" w:sz="4" w:space="0" w:color="FFFFFF"/>
              <w:right w:val="single" w:sz="4" w:space="0" w:color="FFFFFF"/>
            </w:tcBorders>
            <w:vAlign w:val="center"/>
            <w:hideMark/>
          </w:tcPr>
          <w:p w14:paraId="73E1D319"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396C64B6"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0E60730F" w14:textId="77777777" w:rsidR="00052799" w:rsidRPr="002D7AE6" w:rsidRDefault="00052799" w:rsidP="00871631">
            <w:pPr>
              <w:rPr>
                <w:color w:val="000000"/>
                <w:sz w:val="18"/>
                <w:szCs w:val="18"/>
                <w:lang w:eastAsia="en-AU"/>
              </w:rPr>
            </w:pPr>
            <w:r w:rsidRPr="002D7AE6">
              <w:rPr>
                <w:color w:val="000000"/>
                <w:sz w:val="18"/>
                <w:szCs w:val="18"/>
                <w:lang w:eastAsia="en-AU"/>
              </w:rPr>
              <w:t>$950.9</w:t>
            </w:r>
          </w:p>
        </w:tc>
        <w:tc>
          <w:tcPr>
            <w:tcW w:w="831" w:type="dxa"/>
            <w:tcBorders>
              <w:top w:val="nil"/>
              <w:left w:val="nil"/>
              <w:bottom w:val="single" w:sz="4" w:space="0" w:color="FFFFFF"/>
              <w:right w:val="single" w:sz="4" w:space="0" w:color="FFFFFF"/>
            </w:tcBorders>
            <w:shd w:val="clear" w:color="000000" w:fill="D9E1F2"/>
            <w:vAlign w:val="bottom"/>
            <w:hideMark/>
          </w:tcPr>
          <w:p w14:paraId="252AD13B" w14:textId="77777777" w:rsidR="00052799" w:rsidRPr="002D7AE6" w:rsidRDefault="00052799" w:rsidP="00871631">
            <w:pPr>
              <w:jc w:val="right"/>
              <w:rPr>
                <w:color w:val="000000"/>
                <w:sz w:val="18"/>
                <w:szCs w:val="18"/>
                <w:lang w:eastAsia="en-AU"/>
              </w:rPr>
            </w:pPr>
            <w:r w:rsidRPr="002D7AE6">
              <w:rPr>
                <w:color w:val="000000"/>
                <w:sz w:val="18"/>
                <w:szCs w:val="18"/>
                <w:lang w:eastAsia="en-AU"/>
              </w:rPr>
              <w:t>24%</w:t>
            </w:r>
          </w:p>
        </w:tc>
        <w:tc>
          <w:tcPr>
            <w:tcW w:w="1255" w:type="dxa"/>
            <w:vMerge/>
            <w:tcBorders>
              <w:top w:val="nil"/>
              <w:left w:val="single" w:sz="4" w:space="0" w:color="FFFFFF"/>
              <w:bottom w:val="single" w:sz="4" w:space="0" w:color="FFFFFF"/>
              <w:right w:val="single" w:sz="4" w:space="0" w:color="FFFFFF"/>
            </w:tcBorders>
            <w:vAlign w:val="center"/>
            <w:hideMark/>
          </w:tcPr>
          <w:p w14:paraId="76A9828C"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600224F3" w14:textId="77777777" w:rsidR="00052799" w:rsidRPr="002D7AE6" w:rsidRDefault="00052799" w:rsidP="00871631">
            <w:pPr>
              <w:rPr>
                <w:color w:val="000000"/>
                <w:sz w:val="18"/>
                <w:szCs w:val="18"/>
                <w:lang w:eastAsia="en-AU"/>
              </w:rPr>
            </w:pPr>
          </w:p>
        </w:tc>
      </w:tr>
      <w:tr w:rsidR="00052799" w:rsidRPr="002D7AE6" w14:paraId="2537EA07"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228A17F2" w14:textId="77777777" w:rsidR="00052799" w:rsidRPr="002D7AE6" w:rsidRDefault="00052799" w:rsidP="00871631">
            <w:pPr>
              <w:rPr>
                <w:color w:val="000000"/>
                <w:sz w:val="18"/>
                <w:szCs w:val="18"/>
                <w:lang w:eastAsia="en-AU"/>
              </w:rPr>
            </w:pPr>
            <w:r w:rsidRPr="002D7AE6">
              <w:rPr>
                <w:color w:val="000000"/>
                <w:sz w:val="18"/>
                <w:szCs w:val="18"/>
                <w:lang w:eastAsia="en-AU"/>
              </w:rPr>
              <w:t>Class 1 dealer licence (business)</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26C56952" w14:textId="77777777" w:rsidR="00052799" w:rsidRPr="002D7AE6" w:rsidRDefault="00052799" w:rsidP="00871631">
            <w:pPr>
              <w:rPr>
                <w:color w:val="000000"/>
                <w:sz w:val="18"/>
                <w:szCs w:val="18"/>
                <w:lang w:eastAsia="en-AU"/>
              </w:rPr>
            </w:pPr>
            <w:r w:rsidRPr="002D7AE6">
              <w:rPr>
                <w:color w:val="000000"/>
                <w:sz w:val="18"/>
                <w:szCs w:val="18"/>
                <w:lang w:eastAsia="en-AU"/>
              </w:rPr>
              <w:t>$2,041.7</w:t>
            </w:r>
          </w:p>
        </w:tc>
        <w:tc>
          <w:tcPr>
            <w:tcW w:w="1255" w:type="dxa"/>
            <w:vMerge/>
            <w:tcBorders>
              <w:top w:val="nil"/>
              <w:left w:val="single" w:sz="4" w:space="0" w:color="FFFFFF"/>
              <w:bottom w:val="single" w:sz="4" w:space="0" w:color="FFFFFF"/>
              <w:right w:val="single" w:sz="4" w:space="0" w:color="auto"/>
            </w:tcBorders>
            <w:vAlign w:val="center"/>
            <w:hideMark/>
          </w:tcPr>
          <w:p w14:paraId="7E66306C"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315CA3EF" w14:textId="77777777" w:rsidR="00052799" w:rsidRPr="002D7AE6" w:rsidRDefault="00052799" w:rsidP="00871631">
            <w:pPr>
              <w:rPr>
                <w:color w:val="000000"/>
                <w:sz w:val="18"/>
                <w:szCs w:val="18"/>
                <w:lang w:eastAsia="en-AU"/>
              </w:rPr>
            </w:pPr>
            <w:r w:rsidRPr="002D7AE6">
              <w:rPr>
                <w:color w:val="000000"/>
                <w:sz w:val="18"/>
                <w:szCs w:val="18"/>
                <w:lang w:eastAsia="en-AU"/>
              </w:rPr>
              <w:t>$2,207.2</w:t>
            </w:r>
          </w:p>
        </w:tc>
        <w:tc>
          <w:tcPr>
            <w:tcW w:w="850" w:type="dxa"/>
            <w:tcBorders>
              <w:top w:val="nil"/>
              <w:left w:val="nil"/>
              <w:bottom w:val="single" w:sz="4" w:space="0" w:color="FFFFFF"/>
              <w:right w:val="single" w:sz="4" w:space="0" w:color="FFFFFF"/>
            </w:tcBorders>
            <w:shd w:val="clear" w:color="000000" w:fill="D9E1F2"/>
            <w:vAlign w:val="bottom"/>
            <w:hideMark/>
          </w:tcPr>
          <w:p w14:paraId="4A09D5AD" w14:textId="77777777" w:rsidR="00052799" w:rsidRPr="002D7AE6" w:rsidRDefault="00052799" w:rsidP="00871631">
            <w:pPr>
              <w:jc w:val="right"/>
              <w:rPr>
                <w:color w:val="000000"/>
                <w:sz w:val="18"/>
                <w:szCs w:val="18"/>
                <w:lang w:eastAsia="en-AU"/>
              </w:rPr>
            </w:pPr>
            <w:r w:rsidRPr="002D7AE6">
              <w:rPr>
                <w:color w:val="000000"/>
                <w:sz w:val="18"/>
                <w:szCs w:val="18"/>
                <w:lang w:eastAsia="en-AU"/>
              </w:rPr>
              <w:t>8%</w:t>
            </w:r>
          </w:p>
        </w:tc>
        <w:tc>
          <w:tcPr>
            <w:tcW w:w="1418" w:type="dxa"/>
            <w:vMerge/>
            <w:tcBorders>
              <w:top w:val="nil"/>
              <w:left w:val="single" w:sz="4" w:space="0" w:color="FFFFFF"/>
              <w:bottom w:val="single" w:sz="4" w:space="0" w:color="FFFFFF"/>
              <w:right w:val="single" w:sz="4" w:space="0" w:color="FFFFFF"/>
            </w:tcBorders>
            <w:vAlign w:val="center"/>
            <w:hideMark/>
          </w:tcPr>
          <w:p w14:paraId="76571D1E"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07050ED9"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6817538D" w14:textId="77777777" w:rsidR="00052799" w:rsidRPr="002D7AE6" w:rsidRDefault="00052799" w:rsidP="00871631">
            <w:pPr>
              <w:rPr>
                <w:color w:val="000000"/>
                <w:sz w:val="18"/>
                <w:szCs w:val="18"/>
                <w:lang w:eastAsia="en-AU"/>
              </w:rPr>
            </w:pPr>
            <w:r w:rsidRPr="002D7AE6">
              <w:rPr>
                <w:color w:val="000000"/>
                <w:sz w:val="18"/>
                <w:szCs w:val="18"/>
                <w:lang w:eastAsia="en-AU"/>
              </w:rPr>
              <w:t>$2,124.5</w:t>
            </w:r>
          </w:p>
        </w:tc>
        <w:tc>
          <w:tcPr>
            <w:tcW w:w="831" w:type="dxa"/>
            <w:tcBorders>
              <w:top w:val="nil"/>
              <w:left w:val="nil"/>
              <w:bottom w:val="single" w:sz="4" w:space="0" w:color="FFFFFF"/>
              <w:right w:val="single" w:sz="4" w:space="0" w:color="FFFFFF"/>
            </w:tcBorders>
            <w:shd w:val="clear" w:color="000000" w:fill="D9E1F2"/>
            <w:vAlign w:val="bottom"/>
            <w:hideMark/>
          </w:tcPr>
          <w:p w14:paraId="61ED3551" w14:textId="77777777" w:rsidR="00052799" w:rsidRPr="002D7AE6" w:rsidRDefault="00052799" w:rsidP="00871631">
            <w:pPr>
              <w:jc w:val="right"/>
              <w:rPr>
                <w:color w:val="000000"/>
                <w:sz w:val="18"/>
                <w:szCs w:val="18"/>
                <w:lang w:eastAsia="en-AU"/>
              </w:rPr>
            </w:pPr>
            <w:r w:rsidRPr="002D7AE6">
              <w:rPr>
                <w:color w:val="000000"/>
                <w:sz w:val="18"/>
                <w:szCs w:val="18"/>
                <w:lang w:eastAsia="en-AU"/>
              </w:rPr>
              <w:t>4%</w:t>
            </w:r>
          </w:p>
        </w:tc>
        <w:tc>
          <w:tcPr>
            <w:tcW w:w="1255" w:type="dxa"/>
            <w:vMerge/>
            <w:tcBorders>
              <w:top w:val="nil"/>
              <w:left w:val="single" w:sz="4" w:space="0" w:color="FFFFFF"/>
              <w:bottom w:val="single" w:sz="4" w:space="0" w:color="FFFFFF"/>
              <w:right w:val="single" w:sz="4" w:space="0" w:color="FFFFFF"/>
            </w:tcBorders>
            <w:vAlign w:val="center"/>
            <w:hideMark/>
          </w:tcPr>
          <w:p w14:paraId="6423503F"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39CA6956" w14:textId="77777777" w:rsidR="00052799" w:rsidRPr="002D7AE6" w:rsidRDefault="00052799" w:rsidP="00871631">
            <w:pPr>
              <w:rPr>
                <w:color w:val="000000"/>
                <w:sz w:val="18"/>
                <w:szCs w:val="18"/>
                <w:lang w:eastAsia="en-AU"/>
              </w:rPr>
            </w:pPr>
          </w:p>
        </w:tc>
      </w:tr>
      <w:tr w:rsidR="00052799" w:rsidRPr="002D7AE6" w14:paraId="0B9EE17E"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6D19C397" w14:textId="77777777" w:rsidR="00052799" w:rsidRPr="002D7AE6" w:rsidRDefault="00052799" w:rsidP="00871631">
            <w:pPr>
              <w:rPr>
                <w:color w:val="000000"/>
                <w:sz w:val="18"/>
                <w:szCs w:val="18"/>
                <w:lang w:eastAsia="en-AU"/>
              </w:rPr>
            </w:pPr>
            <w:r w:rsidRPr="002D7AE6">
              <w:rPr>
                <w:color w:val="000000"/>
                <w:sz w:val="18"/>
                <w:szCs w:val="18"/>
                <w:lang w:eastAsia="en-AU"/>
              </w:rPr>
              <w:t>Class 2 dealer licence (business)</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107168C7" w14:textId="77777777" w:rsidR="00052799" w:rsidRPr="002D7AE6" w:rsidRDefault="00052799" w:rsidP="00871631">
            <w:pPr>
              <w:rPr>
                <w:color w:val="000000"/>
                <w:sz w:val="18"/>
                <w:szCs w:val="18"/>
                <w:lang w:eastAsia="en-AU"/>
              </w:rPr>
            </w:pPr>
            <w:r w:rsidRPr="002D7AE6">
              <w:rPr>
                <w:color w:val="000000"/>
                <w:sz w:val="18"/>
                <w:szCs w:val="18"/>
                <w:lang w:eastAsia="en-AU"/>
              </w:rPr>
              <w:t>$1,783.6</w:t>
            </w:r>
          </w:p>
        </w:tc>
        <w:tc>
          <w:tcPr>
            <w:tcW w:w="1255" w:type="dxa"/>
            <w:vMerge/>
            <w:tcBorders>
              <w:top w:val="nil"/>
              <w:left w:val="single" w:sz="4" w:space="0" w:color="FFFFFF"/>
              <w:bottom w:val="single" w:sz="4" w:space="0" w:color="FFFFFF"/>
              <w:right w:val="single" w:sz="4" w:space="0" w:color="auto"/>
            </w:tcBorders>
            <w:vAlign w:val="center"/>
            <w:hideMark/>
          </w:tcPr>
          <w:p w14:paraId="69CD4394"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02A661D5" w14:textId="77777777" w:rsidR="00052799" w:rsidRPr="002D7AE6" w:rsidRDefault="00052799" w:rsidP="00871631">
            <w:pPr>
              <w:rPr>
                <w:color w:val="000000"/>
                <w:sz w:val="18"/>
                <w:szCs w:val="18"/>
                <w:lang w:eastAsia="en-AU"/>
              </w:rPr>
            </w:pPr>
            <w:r w:rsidRPr="002D7AE6">
              <w:rPr>
                <w:color w:val="000000"/>
                <w:sz w:val="18"/>
                <w:szCs w:val="18"/>
                <w:lang w:eastAsia="en-AU"/>
              </w:rPr>
              <w:t>$2,116.7</w:t>
            </w:r>
          </w:p>
        </w:tc>
        <w:tc>
          <w:tcPr>
            <w:tcW w:w="850" w:type="dxa"/>
            <w:tcBorders>
              <w:top w:val="nil"/>
              <w:left w:val="nil"/>
              <w:bottom w:val="single" w:sz="4" w:space="0" w:color="FFFFFF"/>
              <w:right w:val="single" w:sz="4" w:space="0" w:color="FFFFFF"/>
            </w:tcBorders>
            <w:shd w:val="clear" w:color="000000" w:fill="D9E1F2"/>
            <w:vAlign w:val="bottom"/>
            <w:hideMark/>
          </w:tcPr>
          <w:p w14:paraId="4403CC6B" w14:textId="77777777" w:rsidR="00052799" w:rsidRPr="002D7AE6" w:rsidRDefault="00052799" w:rsidP="00871631">
            <w:pPr>
              <w:jc w:val="right"/>
              <w:rPr>
                <w:color w:val="000000"/>
                <w:sz w:val="18"/>
                <w:szCs w:val="18"/>
                <w:lang w:eastAsia="en-AU"/>
              </w:rPr>
            </w:pPr>
            <w:r w:rsidRPr="002D7AE6">
              <w:rPr>
                <w:color w:val="000000"/>
                <w:sz w:val="18"/>
                <w:szCs w:val="18"/>
                <w:lang w:eastAsia="en-AU"/>
              </w:rPr>
              <w:t>19%</w:t>
            </w:r>
          </w:p>
        </w:tc>
        <w:tc>
          <w:tcPr>
            <w:tcW w:w="1418" w:type="dxa"/>
            <w:vMerge/>
            <w:tcBorders>
              <w:top w:val="nil"/>
              <w:left w:val="single" w:sz="4" w:space="0" w:color="FFFFFF"/>
              <w:bottom w:val="single" w:sz="4" w:space="0" w:color="FFFFFF"/>
              <w:right w:val="single" w:sz="4" w:space="0" w:color="FFFFFF"/>
            </w:tcBorders>
            <w:vAlign w:val="center"/>
            <w:hideMark/>
          </w:tcPr>
          <w:p w14:paraId="60C60CDF"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28E8BC5A"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038E8D69" w14:textId="77777777" w:rsidR="00052799" w:rsidRPr="002D7AE6" w:rsidRDefault="00052799" w:rsidP="00871631">
            <w:pPr>
              <w:rPr>
                <w:color w:val="000000"/>
                <w:sz w:val="18"/>
                <w:szCs w:val="18"/>
                <w:lang w:eastAsia="en-AU"/>
              </w:rPr>
            </w:pPr>
            <w:r w:rsidRPr="002D7AE6">
              <w:rPr>
                <w:color w:val="000000"/>
                <w:sz w:val="18"/>
                <w:szCs w:val="18"/>
                <w:lang w:eastAsia="en-AU"/>
              </w:rPr>
              <w:t>$1,950.1</w:t>
            </w:r>
          </w:p>
        </w:tc>
        <w:tc>
          <w:tcPr>
            <w:tcW w:w="831" w:type="dxa"/>
            <w:tcBorders>
              <w:top w:val="nil"/>
              <w:left w:val="nil"/>
              <w:bottom w:val="single" w:sz="4" w:space="0" w:color="FFFFFF"/>
              <w:right w:val="single" w:sz="4" w:space="0" w:color="FFFFFF"/>
            </w:tcBorders>
            <w:shd w:val="clear" w:color="000000" w:fill="D9E1F2"/>
            <w:vAlign w:val="bottom"/>
            <w:hideMark/>
          </w:tcPr>
          <w:p w14:paraId="0ED397EA" w14:textId="77777777" w:rsidR="00052799" w:rsidRPr="002D7AE6" w:rsidRDefault="00052799" w:rsidP="00871631">
            <w:pPr>
              <w:jc w:val="right"/>
              <w:rPr>
                <w:color w:val="000000"/>
                <w:sz w:val="18"/>
                <w:szCs w:val="18"/>
                <w:lang w:eastAsia="en-AU"/>
              </w:rPr>
            </w:pPr>
            <w:r w:rsidRPr="002D7AE6">
              <w:rPr>
                <w:color w:val="000000"/>
                <w:sz w:val="18"/>
                <w:szCs w:val="18"/>
                <w:lang w:eastAsia="en-AU"/>
              </w:rPr>
              <w:t>9%</w:t>
            </w:r>
          </w:p>
        </w:tc>
        <w:tc>
          <w:tcPr>
            <w:tcW w:w="1255" w:type="dxa"/>
            <w:vMerge/>
            <w:tcBorders>
              <w:top w:val="nil"/>
              <w:left w:val="single" w:sz="4" w:space="0" w:color="FFFFFF"/>
              <w:bottom w:val="single" w:sz="4" w:space="0" w:color="FFFFFF"/>
              <w:right w:val="single" w:sz="4" w:space="0" w:color="FFFFFF"/>
            </w:tcBorders>
            <w:vAlign w:val="center"/>
            <w:hideMark/>
          </w:tcPr>
          <w:p w14:paraId="6677AA45"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17CC1719" w14:textId="77777777" w:rsidR="00052799" w:rsidRPr="002D7AE6" w:rsidRDefault="00052799" w:rsidP="00871631">
            <w:pPr>
              <w:rPr>
                <w:color w:val="000000"/>
                <w:sz w:val="18"/>
                <w:szCs w:val="18"/>
                <w:lang w:eastAsia="en-AU"/>
              </w:rPr>
            </w:pPr>
          </w:p>
        </w:tc>
      </w:tr>
      <w:tr w:rsidR="00052799" w:rsidRPr="002D7AE6" w14:paraId="0F3E975B"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693D5638" w14:textId="77777777" w:rsidR="00052799" w:rsidRPr="002D7AE6" w:rsidRDefault="00052799" w:rsidP="00871631">
            <w:pPr>
              <w:rPr>
                <w:color w:val="000000"/>
                <w:sz w:val="18"/>
                <w:szCs w:val="18"/>
                <w:lang w:eastAsia="en-AU"/>
              </w:rPr>
            </w:pPr>
            <w:r w:rsidRPr="002D7AE6">
              <w:rPr>
                <w:color w:val="000000"/>
                <w:sz w:val="18"/>
                <w:szCs w:val="18"/>
                <w:lang w:eastAsia="en-AU"/>
              </w:rPr>
              <w:t>Class 3 dealer licence (business)</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71218C11" w14:textId="77777777" w:rsidR="00052799" w:rsidRPr="002D7AE6" w:rsidRDefault="00052799" w:rsidP="00871631">
            <w:pPr>
              <w:rPr>
                <w:color w:val="000000"/>
                <w:sz w:val="18"/>
                <w:szCs w:val="18"/>
                <w:lang w:eastAsia="en-AU"/>
              </w:rPr>
            </w:pPr>
            <w:r w:rsidRPr="002D7AE6">
              <w:rPr>
                <w:color w:val="000000"/>
                <w:sz w:val="18"/>
                <w:szCs w:val="18"/>
                <w:lang w:eastAsia="en-AU"/>
              </w:rPr>
              <w:t>$1,018.7</w:t>
            </w:r>
          </w:p>
        </w:tc>
        <w:tc>
          <w:tcPr>
            <w:tcW w:w="1255" w:type="dxa"/>
            <w:vMerge/>
            <w:tcBorders>
              <w:top w:val="nil"/>
              <w:left w:val="single" w:sz="4" w:space="0" w:color="FFFFFF"/>
              <w:bottom w:val="single" w:sz="4" w:space="0" w:color="FFFFFF"/>
              <w:right w:val="single" w:sz="4" w:space="0" w:color="auto"/>
            </w:tcBorders>
            <w:vAlign w:val="center"/>
            <w:hideMark/>
          </w:tcPr>
          <w:p w14:paraId="2F074D55"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462E71BF" w14:textId="77777777" w:rsidR="00052799" w:rsidRPr="002D7AE6" w:rsidRDefault="00052799" w:rsidP="00871631">
            <w:pPr>
              <w:rPr>
                <w:color w:val="000000"/>
                <w:sz w:val="18"/>
                <w:szCs w:val="18"/>
                <w:lang w:eastAsia="en-AU"/>
              </w:rPr>
            </w:pPr>
            <w:r w:rsidRPr="002D7AE6">
              <w:rPr>
                <w:color w:val="000000"/>
                <w:sz w:val="18"/>
                <w:szCs w:val="18"/>
                <w:lang w:eastAsia="en-AU"/>
              </w:rPr>
              <w:t>$1,333.6</w:t>
            </w:r>
          </w:p>
        </w:tc>
        <w:tc>
          <w:tcPr>
            <w:tcW w:w="850" w:type="dxa"/>
            <w:tcBorders>
              <w:top w:val="nil"/>
              <w:left w:val="nil"/>
              <w:bottom w:val="single" w:sz="4" w:space="0" w:color="FFFFFF"/>
              <w:right w:val="single" w:sz="4" w:space="0" w:color="FFFFFF"/>
            </w:tcBorders>
            <w:shd w:val="clear" w:color="000000" w:fill="D9E1F2"/>
            <w:vAlign w:val="bottom"/>
            <w:hideMark/>
          </w:tcPr>
          <w:p w14:paraId="7ECE8B3E" w14:textId="77777777" w:rsidR="00052799" w:rsidRPr="002D7AE6" w:rsidRDefault="00052799" w:rsidP="00871631">
            <w:pPr>
              <w:jc w:val="right"/>
              <w:rPr>
                <w:color w:val="000000"/>
                <w:sz w:val="18"/>
                <w:szCs w:val="18"/>
                <w:lang w:eastAsia="en-AU"/>
              </w:rPr>
            </w:pPr>
            <w:r w:rsidRPr="002D7AE6">
              <w:rPr>
                <w:color w:val="000000"/>
                <w:sz w:val="18"/>
                <w:szCs w:val="18"/>
                <w:lang w:eastAsia="en-AU"/>
              </w:rPr>
              <w:t>31%</w:t>
            </w:r>
          </w:p>
        </w:tc>
        <w:tc>
          <w:tcPr>
            <w:tcW w:w="1418" w:type="dxa"/>
            <w:vMerge/>
            <w:tcBorders>
              <w:top w:val="nil"/>
              <w:left w:val="single" w:sz="4" w:space="0" w:color="FFFFFF"/>
              <w:bottom w:val="single" w:sz="4" w:space="0" w:color="FFFFFF"/>
              <w:right w:val="single" w:sz="4" w:space="0" w:color="FFFFFF"/>
            </w:tcBorders>
            <w:vAlign w:val="center"/>
            <w:hideMark/>
          </w:tcPr>
          <w:p w14:paraId="54C0C814"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02C8792B"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5FDD0830" w14:textId="77777777" w:rsidR="00052799" w:rsidRPr="002D7AE6" w:rsidRDefault="00052799" w:rsidP="00871631">
            <w:pPr>
              <w:rPr>
                <w:color w:val="000000"/>
                <w:sz w:val="18"/>
                <w:szCs w:val="18"/>
                <w:lang w:eastAsia="en-AU"/>
              </w:rPr>
            </w:pPr>
            <w:r w:rsidRPr="002D7AE6">
              <w:rPr>
                <w:color w:val="000000"/>
                <w:sz w:val="18"/>
                <w:szCs w:val="18"/>
                <w:lang w:eastAsia="en-AU"/>
              </w:rPr>
              <w:t>$1,176.2</w:t>
            </w:r>
          </w:p>
        </w:tc>
        <w:tc>
          <w:tcPr>
            <w:tcW w:w="831" w:type="dxa"/>
            <w:tcBorders>
              <w:top w:val="nil"/>
              <w:left w:val="nil"/>
              <w:bottom w:val="single" w:sz="4" w:space="0" w:color="FFFFFF"/>
              <w:right w:val="single" w:sz="4" w:space="0" w:color="FFFFFF"/>
            </w:tcBorders>
            <w:shd w:val="clear" w:color="000000" w:fill="D9E1F2"/>
            <w:vAlign w:val="bottom"/>
            <w:hideMark/>
          </w:tcPr>
          <w:p w14:paraId="3D9001AA" w14:textId="77777777" w:rsidR="00052799" w:rsidRPr="002D7AE6" w:rsidRDefault="00052799" w:rsidP="00871631">
            <w:pPr>
              <w:jc w:val="right"/>
              <w:rPr>
                <w:color w:val="000000"/>
                <w:sz w:val="18"/>
                <w:szCs w:val="18"/>
                <w:lang w:eastAsia="en-AU"/>
              </w:rPr>
            </w:pPr>
            <w:r w:rsidRPr="002D7AE6">
              <w:rPr>
                <w:color w:val="000000"/>
                <w:sz w:val="18"/>
                <w:szCs w:val="18"/>
                <w:lang w:eastAsia="en-AU"/>
              </w:rPr>
              <w:t>15%</w:t>
            </w:r>
          </w:p>
        </w:tc>
        <w:tc>
          <w:tcPr>
            <w:tcW w:w="1255" w:type="dxa"/>
            <w:vMerge/>
            <w:tcBorders>
              <w:top w:val="nil"/>
              <w:left w:val="single" w:sz="4" w:space="0" w:color="FFFFFF"/>
              <w:bottom w:val="single" w:sz="4" w:space="0" w:color="FFFFFF"/>
              <w:right w:val="single" w:sz="4" w:space="0" w:color="FFFFFF"/>
            </w:tcBorders>
            <w:vAlign w:val="center"/>
            <w:hideMark/>
          </w:tcPr>
          <w:p w14:paraId="589CBAA3"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0FB0DDED" w14:textId="77777777" w:rsidR="00052799" w:rsidRPr="002D7AE6" w:rsidRDefault="00052799" w:rsidP="00871631">
            <w:pPr>
              <w:rPr>
                <w:color w:val="000000"/>
                <w:sz w:val="18"/>
                <w:szCs w:val="18"/>
                <w:lang w:eastAsia="en-AU"/>
              </w:rPr>
            </w:pPr>
          </w:p>
        </w:tc>
      </w:tr>
      <w:tr w:rsidR="00052799" w:rsidRPr="002D7AE6" w14:paraId="18450749"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6F4131C2" w14:textId="77777777" w:rsidR="00052799" w:rsidRPr="002D7AE6" w:rsidRDefault="00052799" w:rsidP="00871631">
            <w:pPr>
              <w:rPr>
                <w:color w:val="000000"/>
                <w:sz w:val="18"/>
                <w:szCs w:val="18"/>
                <w:lang w:eastAsia="en-AU"/>
              </w:rPr>
            </w:pPr>
            <w:r w:rsidRPr="002D7AE6">
              <w:rPr>
                <w:color w:val="000000"/>
                <w:sz w:val="18"/>
                <w:szCs w:val="18"/>
                <w:lang w:eastAsia="en-AU"/>
              </w:rPr>
              <w:t>Paintball marker dealer licence (individual)</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331EC60E" w14:textId="77777777" w:rsidR="00052799" w:rsidRPr="002D7AE6" w:rsidRDefault="00052799" w:rsidP="00871631">
            <w:pPr>
              <w:rPr>
                <w:color w:val="000000"/>
                <w:sz w:val="18"/>
                <w:szCs w:val="18"/>
                <w:lang w:eastAsia="en-AU"/>
              </w:rPr>
            </w:pPr>
            <w:r w:rsidRPr="002D7AE6">
              <w:rPr>
                <w:color w:val="000000"/>
                <w:sz w:val="18"/>
                <w:szCs w:val="18"/>
                <w:lang w:eastAsia="en-AU"/>
              </w:rPr>
              <w:t>$-</w:t>
            </w:r>
          </w:p>
        </w:tc>
        <w:tc>
          <w:tcPr>
            <w:tcW w:w="1255" w:type="dxa"/>
            <w:vMerge/>
            <w:tcBorders>
              <w:top w:val="nil"/>
              <w:left w:val="single" w:sz="4" w:space="0" w:color="FFFFFF"/>
              <w:bottom w:val="single" w:sz="4" w:space="0" w:color="FFFFFF"/>
              <w:right w:val="single" w:sz="4" w:space="0" w:color="auto"/>
            </w:tcBorders>
            <w:vAlign w:val="center"/>
            <w:hideMark/>
          </w:tcPr>
          <w:p w14:paraId="3EA0D430"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3AF90BC1" w14:textId="77777777" w:rsidR="00052799" w:rsidRPr="002D7AE6" w:rsidRDefault="00052799" w:rsidP="00871631">
            <w:pPr>
              <w:rPr>
                <w:color w:val="000000"/>
                <w:sz w:val="18"/>
                <w:szCs w:val="18"/>
                <w:lang w:eastAsia="en-AU"/>
              </w:rPr>
            </w:pPr>
            <w:r w:rsidRPr="002D7AE6">
              <w:rPr>
                <w:color w:val="000000"/>
                <w:sz w:val="18"/>
                <w:szCs w:val="18"/>
                <w:lang w:eastAsia="en-AU"/>
              </w:rPr>
              <w:t>$1,136.5</w:t>
            </w:r>
          </w:p>
        </w:tc>
        <w:tc>
          <w:tcPr>
            <w:tcW w:w="850" w:type="dxa"/>
            <w:tcBorders>
              <w:top w:val="nil"/>
              <w:left w:val="nil"/>
              <w:bottom w:val="single" w:sz="4" w:space="0" w:color="FFFFFF"/>
              <w:right w:val="single" w:sz="4" w:space="0" w:color="FFFFFF"/>
            </w:tcBorders>
            <w:shd w:val="clear" w:color="000000" w:fill="D9E1F2"/>
            <w:vAlign w:val="bottom"/>
            <w:hideMark/>
          </w:tcPr>
          <w:p w14:paraId="7F44CE8A" w14:textId="77777777" w:rsidR="00052799" w:rsidRPr="002D7AE6" w:rsidRDefault="00052799" w:rsidP="00871631">
            <w:pPr>
              <w:rPr>
                <w:color w:val="000000"/>
                <w:sz w:val="18"/>
                <w:szCs w:val="18"/>
                <w:lang w:eastAsia="en-AU"/>
              </w:rPr>
            </w:pPr>
            <w:r w:rsidRPr="002D7AE6">
              <w:rPr>
                <w:color w:val="000000"/>
                <w:sz w:val="18"/>
                <w:szCs w:val="18"/>
                <w:lang w:eastAsia="en-AU"/>
              </w:rPr>
              <w:t>*</w:t>
            </w:r>
          </w:p>
        </w:tc>
        <w:tc>
          <w:tcPr>
            <w:tcW w:w="1418" w:type="dxa"/>
            <w:vMerge/>
            <w:tcBorders>
              <w:top w:val="nil"/>
              <w:left w:val="single" w:sz="4" w:space="0" w:color="FFFFFF"/>
              <w:bottom w:val="single" w:sz="4" w:space="0" w:color="FFFFFF"/>
              <w:right w:val="single" w:sz="4" w:space="0" w:color="FFFFFF"/>
            </w:tcBorders>
            <w:vAlign w:val="center"/>
            <w:hideMark/>
          </w:tcPr>
          <w:p w14:paraId="0DB485C3"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617C469B"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77AD8E0F" w14:textId="77777777" w:rsidR="00052799" w:rsidRPr="002D7AE6" w:rsidRDefault="00052799" w:rsidP="00871631">
            <w:pPr>
              <w:rPr>
                <w:color w:val="000000"/>
                <w:sz w:val="18"/>
                <w:szCs w:val="18"/>
                <w:lang w:eastAsia="en-AU"/>
              </w:rPr>
            </w:pPr>
            <w:r w:rsidRPr="002D7AE6">
              <w:rPr>
                <w:color w:val="000000"/>
                <w:sz w:val="18"/>
                <w:szCs w:val="18"/>
                <w:lang w:eastAsia="en-AU"/>
              </w:rPr>
              <w:t>$950.9</w:t>
            </w:r>
          </w:p>
        </w:tc>
        <w:tc>
          <w:tcPr>
            <w:tcW w:w="831" w:type="dxa"/>
            <w:tcBorders>
              <w:top w:val="nil"/>
              <w:left w:val="nil"/>
              <w:bottom w:val="single" w:sz="4" w:space="0" w:color="FFFFFF"/>
              <w:right w:val="single" w:sz="4" w:space="0" w:color="FFFFFF"/>
            </w:tcBorders>
            <w:shd w:val="clear" w:color="000000" w:fill="D9E1F2"/>
            <w:vAlign w:val="bottom"/>
            <w:hideMark/>
          </w:tcPr>
          <w:p w14:paraId="582FC8EA" w14:textId="77777777" w:rsidR="00052799" w:rsidRPr="002D7AE6" w:rsidRDefault="00052799" w:rsidP="00871631">
            <w:pPr>
              <w:rPr>
                <w:color w:val="000000"/>
                <w:sz w:val="18"/>
                <w:szCs w:val="18"/>
                <w:lang w:eastAsia="en-AU"/>
              </w:rPr>
            </w:pPr>
            <w:r w:rsidRPr="002D7AE6">
              <w:rPr>
                <w:color w:val="000000"/>
                <w:sz w:val="18"/>
                <w:szCs w:val="18"/>
                <w:lang w:eastAsia="en-AU"/>
              </w:rPr>
              <w:t>*</w:t>
            </w:r>
          </w:p>
        </w:tc>
        <w:tc>
          <w:tcPr>
            <w:tcW w:w="1255" w:type="dxa"/>
            <w:vMerge/>
            <w:tcBorders>
              <w:top w:val="nil"/>
              <w:left w:val="single" w:sz="4" w:space="0" w:color="FFFFFF"/>
              <w:bottom w:val="single" w:sz="4" w:space="0" w:color="FFFFFF"/>
              <w:right w:val="single" w:sz="4" w:space="0" w:color="FFFFFF"/>
            </w:tcBorders>
            <w:vAlign w:val="center"/>
            <w:hideMark/>
          </w:tcPr>
          <w:p w14:paraId="3C3B8F67"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53F92674" w14:textId="77777777" w:rsidR="00052799" w:rsidRPr="002D7AE6" w:rsidRDefault="00052799" w:rsidP="00871631">
            <w:pPr>
              <w:rPr>
                <w:color w:val="000000"/>
                <w:sz w:val="18"/>
                <w:szCs w:val="18"/>
                <w:lang w:eastAsia="en-AU"/>
              </w:rPr>
            </w:pPr>
          </w:p>
        </w:tc>
      </w:tr>
      <w:tr w:rsidR="00052799" w:rsidRPr="002D7AE6" w14:paraId="36F0B280" w14:textId="77777777" w:rsidTr="00871631">
        <w:trPr>
          <w:trHeight w:val="324"/>
        </w:trPr>
        <w:tc>
          <w:tcPr>
            <w:tcW w:w="3681" w:type="dxa"/>
            <w:tcBorders>
              <w:top w:val="nil"/>
              <w:left w:val="nil"/>
              <w:bottom w:val="single" w:sz="4" w:space="0" w:color="FFFFFF"/>
              <w:right w:val="nil"/>
            </w:tcBorders>
            <w:shd w:val="clear" w:color="000000" w:fill="D9D9D9"/>
            <w:vAlign w:val="bottom"/>
            <w:hideMark/>
          </w:tcPr>
          <w:p w14:paraId="2B353883" w14:textId="77777777" w:rsidR="00052799" w:rsidRPr="002D7AE6" w:rsidRDefault="00052799" w:rsidP="00871631">
            <w:pPr>
              <w:rPr>
                <w:color w:val="000000"/>
                <w:sz w:val="18"/>
                <w:szCs w:val="18"/>
                <w:lang w:eastAsia="en-AU"/>
              </w:rPr>
            </w:pPr>
            <w:r w:rsidRPr="002D7AE6">
              <w:rPr>
                <w:color w:val="000000"/>
                <w:sz w:val="18"/>
                <w:szCs w:val="18"/>
                <w:lang w:eastAsia="en-AU"/>
              </w:rPr>
              <w:t>Paintball marker dealer licence (business)</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33C5CDE3" w14:textId="77777777" w:rsidR="00052799" w:rsidRPr="002D7AE6" w:rsidRDefault="00052799" w:rsidP="00871631">
            <w:pPr>
              <w:rPr>
                <w:color w:val="000000"/>
                <w:sz w:val="18"/>
                <w:szCs w:val="18"/>
                <w:lang w:eastAsia="en-AU"/>
              </w:rPr>
            </w:pPr>
            <w:r w:rsidRPr="002D7AE6">
              <w:rPr>
                <w:color w:val="000000"/>
                <w:sz w:val="18"/>
                <w:szCs w:val="18"/>
                <w:lang w:eastAsia="en-AU"/>
              </w:rPr>
              <w:t>$-</w:t>
            </w:r>
          </w:p>
        </w:tc>
        <w:tc>
          <w:tcPr>
            <w:tcW w:w="1255" w:type="dxa"/>
            <w:vMerge/>
            <w:tcBorders>
              <w:top w:val="nil"/>
              <w:left w:val="single" w:sz="4" w:space="0" w:color="FFFFFF"/>
              <w:bottom w:val="single" w:sz="4" w:space="0" w:color="FFFFFF"/>
              <w:right w:val="single" w:sz="4" w:space="0" w:color="auto"/>
            </w:tcBorders>
            <w:vAlign w:val="center"/>
            <w:hideMark/>
          </w:tcPr>
          <w:p w14:paraId="46783E34"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0DF72856" w14:textId="77777777" w:rsidR="00052799" w:rsidRPr="002D7AE6" w:rsidRDefault="00052799" w:rsidP="00871631">
            <w:pPr>
              <w:rPr>
                <w:color w:val="000000"/>
                <w:sz w:val="18"/>
                <w:szCs w:val="18"/>
                <w:lang w:eastAsia="en-AU"/>
              </w:rPr>
            </w:pPr>
            <w:r w:rsidRPr="002D7AE6">
              <w:rPr>
                <w:color w:val="000000"/>
                <w:sz w:val="18"/>
                <w:szCs w:val="18"/>
                <w:lang w:eastAsia="en-AU"/>
              </w:rPr>
              <w:t>$1,333.6</w:t>
            </w:r>
          </w:p>
        </w:tc>
        <w:tc>
          <w:tcPr>
            <w:tcW w:w="850" w:type="dxa"/>
            <w:tcBorders>
              <w:top w:val="nil"/>
              <w:left w:val="nil"/>
              <w:bottom w:val="single" w:sz="4" w:space="0" w:color="FFFFFF"/>
              <w:right w:val="single" w:sz="4" w:space="0" w:color="FFFFFF"/>
            </w:tcBorders>
            <w:shd w:val="clear" w:color="000000" w:fill="D9E1F2"/>
            <w:vAlign w:val="bottom"/>
            <w:hideMark/>
          </w:tcPr>
          <w:p w14:paraId="5DD31DBE" w14:textId="77777777" w:rsidR="00052799" w:rsidRPr="002D7AE6" w:rsidRDefault="00052799" w:rsidP="00871631">
            <w:pPr>
              <w:rPr>
                <w:color w:val="000000"/>
                <w:sz w:val="18"/>
                <w:szCs w:val="18"/>
                <w:lang w:eastAsia="en-AU"/>
              </w:rPr>
            </w:pPr>
            <w:r w:rsidRPr="002D7AE6">
              <w:rPr>
                <w:color w:val="000000"/>
                <w:sz w:val="18"/>
                <w:szCs w:val="18"/>
                <w:lang w:eastAsia="en-AU"/>
              </w:rPr>
              <w:t>*</w:t>
            </w:r>
          </w:p>
        </w:tc>
        <w:tc>
          <w:tcPr>
            <w:tcW w:w="1418" w:type="dxa"/>
            <w:vMerge/>
            <w:tcBorders>
              <w:top w:val="nil"/>
              <w:left w:val="single" w:sz="4" w:space="0" w:color="FFFFFF"/>
              <w:bottom w:val="single" w:sz="4" w:space="0" w:color="FFFFFF"/>
              <w:right w:val="single" w:sz="4" w:space="0" w:color="FFFFFF"/>
            </w:tcBorders>
            <w:vAlign w:val="center"/>
            <w:hideMark/>
          </w:tcPr>
          <w:p w14:paraId="0728EC33"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47FA22C4"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6214828E" w14:textId="77777777" w:rsidR="00052799" w:rsidRPr="002D7AE6" w:rsidRDefault="00052799" w:rsidP="00871631">
            <w:pPr>
              <w:rPr>
                <w:color w:val="000000"/>
                <w:sz w:val="18"/>
                <w:szCs w:val="18"/>
                <w:lang w:eastAsia="en-AU"/>
              </w:rPr>
            </w:pPr>
            <w:r w:rsidRPr="002D7AE6">
              <w:rPr>
                <w:color w:val="000000"/>
                <w:sz w:val="18"/>
                <w:szCs w:val="18"/>
                <w:lang w:eastAsia="en-AU"/>
              </w:rPr>
              <w:t>$1,176.2</w:t>
            </w:r>
          </w:p>
        </w:tc>
        <w:tc>
          <w:tcPr>
            <w:tcW w:w="831" w:type="dxa"/>
            <w:tcBorders>
              <w:top w:val="nil"/>
              <w:left w:val="nil"/>
              <w:bottom w:val="single" w:sz="4" w:space="0" w:color="FFFFFF"/>
              <w:right w:val="single" w:sz="4" w:space="0" w:color="FFFFFF"/>
            </w:tcBorders>
            <w:shd w:val="clear" w:color="000000" w:fill="D9E1F2"/>
            <w:vAlign w:val="bottom"/>
            <w:hideMark/>
          </w:tcPr>
          <w:p w14:paraId="47E17B1F" w14:textId="77777777" w:rsidR="00052799" w:rsidRPr="002D7AE6" w:rsidRDefault="00052799" w:rsidP="00871631">
            <w:pPr>
              <w:rPr>
                <w:color w:val="000000"/>
                <w:sz w:val="18"/>
                <w:szCs w:val="18"/>
                <w:lang w:eastAsia="en-AU"/>
              </w:rPr>
            </w:pPr>
            <w:r w:rsidRPr="002D7AE6">
              <w:rPr>
                <w:color w:val="000000"/>
                <w:sz w:val="18"/>
                <w:szCs w:val="18"/>
                <w:lang w:eastAsia="en-AU"/>
              </w:rPr>
              <w:t>*</w:t>
            </w:r>
          </w:p>
        </w:tc>
        <w:tc>
          <w:tcPr>
            <w:tcW w:w="1255" w:type="dxa"/>
            <w:vMerge/>
            <w:tcBorders>
              <w:top w:val="nil"/>
              <w:left w:val="single" w:sz="4" w:space="0" w:color="FFFFFF"/>
              <w:bottom w:val="single" w:sz="4" w:space="0" w:color="FFFFFF"/>
              <w:right w:val="single" w:sz="4" w:space="0" w:color="FFFFFF"/>
            </w:tcBorders>
            <w:vAlign w:val="center"/>
            <w:hideMark/>
          </w:tcPr>
          <w:p w14:paraId="303D1F91"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33F0C635" w14:textId="77777777" w:rsidR="00052799" w:rsidRPr="002D7AE6" w:rsidRDefault="00052799" w:rsidP="00871631">
            <w:pPr>
              <w:rPr>
                <w:color w:val="000000"/>
                <w:sz w:val="18"/>
                <w:szCs w:val="18"/>
                <w:lang w:eastAsia="en-AU"/>
              </w:rPr>
            </w:pPr>
          </w:p>
        </w:tc>
      </w:tr>
      <w:tr w:rsidR="00052799" w:rsidRPr="002D7AE6" w14:paraId="4954CA31"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4AFCAAC5" w14:textId="77777777" w:rsidR="00052799" w:rsidRPr="002D7AE6" w:rsidRDefault="00052799" w:rsidP="00871631">
            <w:pPr>
              <w:rPr>
                <w:color w:val="000000"/>
                <w:sz w:val="18"/>
                <w:szCs w:val="18"/>
                <w:lang w:eastAsia="en-AU"/>
              </w:rPr>
            </w:pPr>
            <w:r w:rsidRPr="002D7AE6">
              <w:rPr>
                <w:color w:val="000000"/>
                <w:sz w:val="18"/>
                <w:szCs w:val="18"/>
                <w:lang w:eastAsia="en-AU"/>
              </w:rPr>
              <w:t>Permit to acquire a category A longarm</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5A303257" w14:textId="77777777" w:rsidR="00052799" w:rsidRPr="002D7AE6" w:rsidRDefault="00052799" w:rsidP="00871631">
            <w:pPr>
              <w:rPr>
                <w:color w:val="000000"/>
                <w:sz w:val="18"/>
                <w:szCs w:val="18"/>
                <w:lang w:eastAsia="en-AU"/>
              </w:rPr>
            </w:pPr>
            <w:r w:rsidRPr="002D7AE6">
              <w:rPr>
                <w:color w:val="000000"/>
                <w:sz w:val="18"/>
                <w:szCs w:val="18"/>
                <w:lang w:eastAsia="en-AU"/>
              </w:rPr>
              <w:t>$9.2</w:t>
            </w:r>
          </w:p>
        </w:tc>
        <w:tc>
          <w:tcPr>
            <w:tcW w:w="1255"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0608073B" w14:textId="77777777" w:rsidR="00052799" w:rsidRPr="002D7AE6" w:rsidRDefault="00052799" w:rsidP="00871631">
            <w:pPr>
              <w:jc w:val="center"/>
              <w:rPr>
                <w:color w:val="000000"/>
                <w:sz w:val="18"/>
                <w:szCs w:val="18"/>
                <w:lang w:eastAsia="en-AU"/>
              </w:rPr>
            </w:pPr>
            <w:r w:rsidRPr="002D7AE6">
              <w:rPr>
                <w:color w:val="000000"/>
                <w:sz w:val="18"/>
                <w:szCs w:val="18"/>
                <w:lang w:eastAsia="en-AU"/>
              </w:rPr>
              <w:t>$710,533</w:t>
            </w:r>
          </w:p>
        </w:tc>
        <w:tc>
          <w:tcPr>
            <w:tcW w:w="927" w:type="dxa"/>
            <w:tcBorders>
              <w:top w:val="nil"/>
              <w:left w:val="nil"/>
              <w:bottom w:val="single" w:sz="4" w:space="0" w:color="FFFFFF"/>
              <w:right w:val="single" w:sz="4" w:space="0" w:color="FFFFFF"/>
            </w:tcBorders>
            <w:shd w:val="clear" w:color="000000" w:fill="D9E1F2"/>
            <w:vAlign w:val="bottom"/>
            <w:hideMark/>
          </w:tcPr>
          <w:p w14:paraId="7D0A0AD1" w14:textId="77777777" w:rsidR="00052799" w:rsidRPr="002D7AE6" w:rsidRDefault="00052799" w:rsidP="00871631">
            <w:pPr>
              <w:rPr>
                <w:color w:val="000000"/>
                <w:sz w:val="18"/>
                <w:szCs w:val="18"/>
                <w:lang w:eastAsia="en-AU"/>
              </w:rPr>
            </w:pPr>
            <w:r w:rsidRPr="002D7AE6">
              <w:rPr>
                <w:color w:val="000000"/>
                <w:sz w:val="18"/>
                <w:szCs w:val="18"/>
                <w:lang w:eastAsia="en-AU"/>
              </w:rPr>
              <w:t>$26.0</w:t>
            </w:r>
          </w:p>
        </w:tc>
        <w:tc>
          <w:tcPr>
            <w:tcW w:w="850" w:type="dxa"/>
            <w:tcBorders>
              <w:top w:val="nil"/>
              <w:left w:val="nil"/>
              <w:bottom w:val="single" w:sz="4" w:space="0" w:color="FFFFFF"/>
              <w:right w:val="single" w:sz="4" w:space="0" w:color="FFFFFF"/>
            </w:tcBorders>
            <w:shd w:val="clear" w:color="000000" w:fill="D9E1F2"/>
            <w:vAlign w:val="bottom"/>
            <w:hideMark/>
          </w:tcPr>
          <w:p w14:paraId="054DF076" w14:textId="77777777" w:rsidR="00052799" w:rsidRPr="002D7AE6" w:rsidRDefault="00052799" w:rsidP="00871631">
            <w:pPr>
              <w:jc w:val="right"/>
              <w:rPr>
                <w:color w:val="000000"/>
                <w:sz w:val="18"/>
                <w:szCs w:val="18"/>
                <w:lang w:eastAsia="en-AU"/>
              </w:rPr>
            </w:pPr>
            <w:r w:rsidRPr="002D7AE6">
              <w:rPr>
                <w:color w:val="000000"/>
                <w:sz w:val="18"/>
                <w:szCs w:val="18"/>
                <w:lang w:eastAsia="en-AU"/>
              </w:rPr>
              <w:t>183%</w:t>
            </w:r>
          </w:p>
        </w:tc>
        <w:tc>
          <w:tcPr>
            <w:tcW w:w="1418" w:type="dxa"/>
            <w:vMerge w:val="restart"/>
            <w:tcBorders>
              <w:top w:val="nil"/>
              <w:left w:val="single" w:sz="4" w:space="0" w:color="FFFFFF"/>
              <w:bottom w:val="single" w:sz="4" w:space="0" w:color="FFFFFF"/>
              <w:right w:val="single" w:sz="4" w:space="0" w:color="FFFFFF"/>
            </w:tcBorders>
            <w:shd w:val="clear" w:color="000000" w:fill="D9E1F2"/>
            <w:vAlign w:val="bottom"/>
            <w:hideMark/>
          </w:tcPr>
          <w:p w14:paraId="1A0E8E26" w14:textId="77777777" w:rsidR="00052799" w:rsidRPr="002D7AE6" w:rsidRDefault="00052799" w:rsidP="00871631">
            <w:pPr>
              <w:jc w:val="center"/>
              <w:rPr>
                <w:color w:val="000000"/>
                <w:sz w:val="18"/>
                <w:szCs w:val="18"/>
                <w:lang w:eastAsia="en-AU"/>
              </w:rPr>
            </w:pPr>
            <w:r w:rsidRPr="002D7AE6">
              <w:rPr>
                <w:color w:val="000000"/>
                <w:sz w:val="18"/>
                <w:szCs w:val="18"/>
                <w:lang w:eastAsia="en-AU"/>
              </w:rPr>
              <w:t>$1,906,522</w:t>
            </w:r>
          </w:p>
        </w:tc>
        <w:tc>
          <w:tcPr>
            <w:tcW w:w="1276"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3B7012E2" w14:textId="77777777" w:rsidR="00052799" w:rsidRPr="002D7AE6" w:rsidRDefault="00052799" w:rsidP="00871631">
            <w:pPr>
              <w:jc w:val="center"/>
              <w:rPr>
                <w:color w:val="000000"/>
                <w:sz w:val="18"/>
                <w:szCs w:val="18"/>
                <w:lang w:eastAsia="en-AU"/>
              </w:rPr>
            </w:pPr>
            <w:r w:rsidRPr="002D7AE6">
              <w:rPr>
                <w:color w:val="000000"/>
                <w:sz w:val="18"/>
                <w:szCs w:val="18"/>
                <w:lang w:eastAsia="en-AU"/>
              </w:rPr>
              <w:t>$1,195,990</w:t>
            </w:r>
          </w:p>
        </w:tc>
        <w:tc>
          <w:tcPr>
            <w:tcW w:w="925" w:type="dxa"/>
            <w:tcBorders>
              <w:top w:val="nil"/>
              <w:left w:val="nil"/>
              <w:bottom w:val="single" w:sz="4" w:space="0" w:color="FFFFFF"/>
              <w:right w:val="single" w:sz="4" w:space="0" w:color="FFFFFF"/>
            </w:tcBorders>
            <w:shd w:val="clear" w:color="000000" w:fill="D9E1F2"/>
            <w:vAlign w:val="bottom"/>
            <w:hideMark/>
          </w:tcPr>
          <w:p w14:paraId="55914217" w14:textId="77777777" w:rsidR="00052799" w:rsidRPr="002D7AE6" w:rsidRDefault="00052799" w:rsidP="00871631">
            <w:pPr>
              <w:rPr>
                <w:color w:val="000000"/>
                <w:sz w:val="18"/>
                <w:szCs w:val="18"/>
                <w:lang w:eastAsia="en-AU"/>
              </w:rPr>
            </w:pPr>
            <w:r w:rsidRPr="002D7AE6">
              <w:rPr>
                <w:color w:val="000000"/>
                <w:sz w:val="18"/>
                <w:szCs w:val="18"/>
                <w:lang w:eastAsia="en-AU"/>
              </w:rPr>
              <w:t>$17.6</w:t>
            </w:r>
          </w:p>
        </w:tc>
        <w:tc>
          <w:tcPr>
            <w:tcW w:w="831" w:type="dxa"/>
            <w:tcBorders>
              <w:top w:val="nil"/>
              <w:left w:val="nil"/>
              <w:bottom w:val="single" w:sz="4" w:space="0" w:color="FFFFFF"/>
              <w:right w:val="single" w:sz="4" w:space="0" w:color="FFFFFF"/>
            </w:tcBorders>
            <w:shd w:val="clear" w:color="000000" w:fill="D9E1F2"/>
            <w:vAlign w:val="bottom"/>
            <w:hideMark/>
          </w:tcPr>
          <w:p w14:paraId="40A14BF7" w14:textId="77777777" w:rsidR="00052799" w:rsidRPr="002D7AE6" w:rsidRDefault="00052799" w:rsidP="00871631">
            <w:pPr>
              <w:jc w:val="right"/>
              <w:rPr>
                <w:color w:val="000000"/>
                <w:sz w:val="18"/>
                <w:szCs w:val="18"/>
                <w:lang w:eastAsia="en-AU"/>
              </w:rPr>
            </w:pPr>
            <w:r w:rsidRPr="002D7AE6">
              <w:rPr>
                <w:color w:val="000000"/>
                <w:sz w:val="18"/>
                <w:szCs w:val="18"/>
                <w:lang w:eastAsia="en-AU"/>
              </w:rPr>
              <w:t>91%</w:t>
            </w:r>
          </w:p>
        </w:tc>
        <w:tc>
          <w:tcPr>
            <w:tcW w:w="1255" w:type="dxa"/>
            <w:vMerge w:val="restart"/>
            <w:tcBorders>
              <w:top w:val="nil"/>
              <w:left w:val="single" w:sz="4" w:space="0" w:color="FFFFFF"/>
              <w:bottom w:val="single" w:sz="4" w:space="0" w:color="FFFFFF"/>
              <w:right w:val="single" w:sz="4" w:space="0" w:color="FFFFFF"/>
            </w:tcBorders>
            <w:shd w:val="clear" w:color="000000" w:fill="D9E1F2"/>
            <w:vAlign w:val="bottom"/>
            <w:hideMark/>
          </w:tcPr>
          <w:p w14:paraId="06EC13E2" w14:textId="77777777" w:rsidR="00052799" w:rsidRPr="002D7AE6" w:rsidRDefault="00052799" w:rsidP="00871631">
            <w:pPr>
              <w:jc w:val="center"/>
              <w:rPr>
                <w:color w:val="000000"/>
                <w:sz w:val="18"/>
                <w:szCs w:val="18"/>
                <w:lang w:eastAsia="en-AU"/>
              </w:rPr>
            </w:pPr>
            <w:r w:rsidRPr="002D7AE6">
              <w:rPr>
                <w:color w:val="000000"/>
                <w:sz w:val="18"/>
                <w:szCs w:val="18"/>
                <w:lang w:eastAsia="en-AU"/>
              </w:rPr>
              <w:t>$1,308,528</w:t>
            </w:r>
          </w:p>
        </w:tc>
        <w:tc>
          <w:tcPr>
            <w:tcW w:w="982"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29C36DB7" w14:textId="77777777" w:rsidR="00052799" w:rsidRPr="002D7AE6" w:rsidRDefault="00052799" w:rsidP="00871631">
            <w:pPr>
              <w:jc w:val="center"/>
              <w:rPr>
                <w:color w:val="000000"/>
                <w:sz w:val="18"/>
                <w:szCs w:val="18"/>
                <w:lang w:eastAsia="en-AU"/>
              </w:rPr>
            </w:pPr>
            <w:r w:rsidRPr="002D7AE6">
              <w:rPr>
                <w:color w:val="000000"/>
                <w:sz w:val="18"/>
                <w:szCs w:val="18"/>
                <w:lang w:eastAsia="en-AU"/>
              </w:rPr>
              <w:t>$597,995</w:t>
            </w:r>
          </w:p>
        </w:tc>
      </w:tr>
      <w:tr w:rsidR="00052799" w:rsidRPr="002D7AE6" w14:paraId="3FA8C336"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54DD82EE" w14:textId="77777777" w:rsidR="00052799" w:rsidRPr="002D7AE6" w:rsidRDefault="00052799" w:rsidP="00871631">
            <w:pPr>
              <w:rPr>
                <w:color w:val="000000"/>
                <w:sz w:val="18"/>
                <w:szCs w:val="18"/>
                <w:lang w:eastAsia="en-AU"/>
              </w:rPr>
            </w:pPr>
            <w:r w:rsidRPr="002D7AE6">
              <w:rPr>
                <w:color w:val="000000"/>
                <w:sz w:val="18"/>
                <w:szCs w:val="18"/>
                <w:lang w:eastAsia="en-AU"/>
              </w:rPr>
              <w:t xml:space="preserve">Permit to acquire a category B or C longarm </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50F4C917" w14:textId="77777777" w:rsidR="00052799" w:rsidRPr="002D7AE6" w:rsidRDefault="00052799" w:rsidP="00871631">
            <w:pPr>
              <w:rPr>
                <w:color w:val="000000"/>
                <w:sz w:val="18"/>
                <w:szCs w:val="18"/>
                <w:lang w:eastAsia="en-AU"/>
              </w:rPr>
            </w:pPr>
            <w:r w:rsidRPr="002D7AE6">
              <w:rPr>
                <w:color w:val="000000"/>
                <w:sz w:val="18"/>
                <w:szCs w:val="18"/>
                <w:lang w:eastAsia="en-AU"/>
              </w:rPr>
              <w:t>$9.2</w:t>
            </w:r>
          </w:p>
        </w:tc>
        <w:tc>
          <w:tcPr>
            <w:tcW w:w="1255" w:type="dxa"/>
            <w:vMerge/>
            <w:tcBorders>
              <w:top w:val="nil"/>
              <w:left w:val="single" w:sz="4" w:space="0" w:color="FFFFFF"/>
              <w:bottom w:val="single" w:sz="4" w:space="0" w:color="FFFFFF"/>
              <w:right w:val="single" w:sz="4" w:space="0" w:color="auto"/>
            </w:tcBorders>
            <w:vAlign w:val="center"/>
            <w:hideMark/>
          </w:tcPr>
          <w:p w14:paraId="59D34F05" w14:textId="77777777" w:rsidR="00052799" w:rsidRPr="002D7AE6" w:rsidRDefault="00052799" w:rsidP="00871631">
            <w:pPr>
              <w:jc w:val="cente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1A8B6097" w14:textId="77777777" w:rsidR="00052799" w:rsidRPr="002D7AE6" w:rsidRDefault="00052799" w:rsidP="00871631">
            <w:pPr>
              <w:rPr>
                <w:color w:val="000000"/>
                <w:sz w:val="18"/>
                <w:szCs w:val="18"/>
                <w:lang w:eastAsia="en-AU"/>
              </w:rPr>
            </w:pPr>
            <w:r w:rsidRPr="002D7AE6">
              <w:rPr>
                <w:color w:val="000000"/>
                <w:sz w:val="18"/>
                <w:szCs w:val="18"/>
                <w:lang w:eastAsia="en-AU"/>
              </w:rPr>
              <w:t>$30.6</w:t>
            </w:r>
          </w:p>
        </w:tc>
        <w:tc>
          <w:tcPr>
            <w:tcW w:w="850" w:type="dxa"/>
            <w:tcBorders>
              <w:top w:val="nil"/>
              <w:left w:val="nil"/>
              <w:bottom w:val="single" w:sz="4" w:space="0" w:color="FFFFFF"/>
              <w:right w:val="single" w:sz="4" w:space="0" w:color="FFFFFF"/>
            </w:tcBorders>
            <w:shd w:val="clear" w:color="000000" w:fill="D9E1F2"/>
            <w:vAlign w:val="bottom"/>
            <w:hideMark/>
          </w:tcPr>
          <w:p w14:paraId="7005384D" w14:textId="77777777" w:rsidR="00052799" w:rsidRPr="002D7AE6" w:rsidRDefault="00052799" w:rsidP="00871631">
            <w:pPr>
              <w:jc w:val="right"/>
              <w:rPr>
                <w:color w:val="000000"/>
                <w:sz w:val="18"/>
                <w:szCs w:val="18"/>
                <w:lang w:eastAsia="en-AU"/>
              </w:rPr>
            </w:pPr>
            <w:r w:rsidRPr="002D7AE6">
              <w:rPr>
                <w:color w:val="000000"/>
                <w:sz w:val="18"/>
                <w:szCs w:val="18"/>
                <w:lang w:eastAsia="en-AU"/>
              </w:rPr>
              <w:t>232%</w:t>
            </w:r>
          </w:p>
        </w:tc>
        <w:tc>
          <w:tcPr>
            <w:tcW w:w="1418" w:type="dxa"/>
            <w:vMerge/>
            <w:tcBorders>
              <w:top w:val="nil"/>
              <w:left w:val="single" w:sz="4" w:space="0" w:color="FFFFFF"/>
              <w:bottom w:val="single" w:sz="4" w:space="0" w:color="FFFFFF"/>
              <w:right w:val="single" w:sz="4" w:space="0" w:color="FFFFFF"/>
            </w:tcBorders>
            <w:vAlign w:val="center"/>
            <w:hideMark/>
          </w:tcPr>
          <w:p w14:paraId="134DCBB3" w14:textId="77777777" w:rsidR="00052799" w:rsidRPr="002D7AE6" w:rsidRDefault="00052799" w:rsidP="00871631">
            <w:pPr>
              <w:jc w:val="cente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2A8C50E5" w14:textId="77777777" w:rsidR="00052799" w:rsidRPr="002D7AE6" w:rsidRDefault="00052799" w:rsidP="00871631">
            <w:pPr>
              <w:jc w:val="cente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640823E0" w14:textId="77777777" w:rsidR="00052799" w:rsidRPr="002D7AE6" w:rsidRDefault="00052799" w:rsidP="00871631">
            <w:pPr>
              <w:rPr>
                <w:color w:val="000000"/>
                <w:sz w:val="18"/>
                <w:szCs w:val="18"/>
                <w:lang w:eastAsia="en-AU"/>
              </w:rPr>
            </w:pPr>
            <w:r w:rsidRPr="002D7AE6">
              <w:rPr>
                <w:color w:val="000000"/>
                <w:sz w:val="18"/>
                <w:szCs w:val="18"/>
                <w:lang w:eastAsia="en-AU"/>
              </w:rPr>
              <w:t>$19.9</w:t>
            </w:r>
          </w:p>
        </w:tc>
        <w:tc>
          <w:tcPr>
            <w:tcW w:w="831" w:type="dxa"/>
            <w:tcBorders>
              <w:top w:val="nil"/>
              <w:left w:val="nil"/>
              <w:bottom w:val="single" w:sz="4" w:space="0" w:color="FFFFFF"/>
              <w:right w:val="single" w:sz="4" w:space="0" w:color="FFFFFF"/>
            </w:tcBorders>
            <w:shd w:val="clear" w:color="000000" w:fill="D9E1F2"/>
            <w:vAlign w:val="bottom"/>
            <w:hideMark/>
          </w:tcPr>
          <w:p w14:paraId="27553B8B" w14:textId="77777777" w:rsidR="00052799" w:rsidRPr="002D7AE6" w:rsidRDefault="00052799" w:rsidP="00871631">
            <w:pPr>
              <w:jc w:val="right"/>
              <w:rPr>
                <w:color w:val="000000"/>
                <w:sz w:val="18"/>
                <w:szCs w:val="18"/>
                <w:lang w:eastAsia="en-AU"/>
              </w:rPr>
            </w:pPr>
            <w:r w:rsidRPr="002D7AE6">
              <w:rPr>
                <w:color w:val="000000"/>
                <w:sz w:val="18"/>
                <w:szCs w:val="18"/>
                <w:lang w:eastAsia="en-AU"/>
              </w:rPr>
              <w:t>116%</w:t>
            </w:r>
          </w:p>
        </w:tc>
        <w:tc>
          <w:tcPr>
            <w:tcW w:w="1255" w:type="dxa"/>
            <w:vMerge/>
            <w:tcBorders>
              <w:top w:val="nil"/>
              <w:left w:val="single" w:sz="4" w:space="0" w:color="FFFFFF"/>
              <w:bottom w:val="single" w:sz="4" w:space="0" w:color="FFFFFF"/>
              <w:right w:val="single" w:sz="4" w:space="0" w:color="FFFFFF"/>
            </w:tcBorders>
            <w:vAlign w:val="center"/>
            <w:hideMark/>
          </w:tcPr>
          <w:p w14:paraId="0BD9FDF2" w14:textId="77777777" w:rsidR="00052799" w:rsidRPr="002D7AE6" w:rsidRDefault="00052799" w:rsidP="00871631">
            <w:pPr>
              <w:jc w:val="cente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44EFD41A" w14:textId="77777777" w:rsidR="00052799" w:rsidRPr="002D7AE6" w:rsidRDefault="00052799" w:rsidP="00871631">
            <w:pPr>
              <w:jc w:val="center"/>
              <w:rPr>
                <w:color w:val="000000"/>
                <w:sz w:val="18"/>
                <w:szCs w:val="18"/>
                <w:lang w:eastAsia="en-AU"/>
              </w:rPr>
            </w:pPr>
          </w:p>
        </w:tc>
      </w:tr>
      <w:tr w:rsidR="00052799" w:rsidRPr="002D7AE6" w14:paraId="1C08CAF0"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4855B952" w14:textId="77777777" w:rsidR="00052799" w:rsidRPr="002D7AE6" w:rsidRDefault="00052799" w:rsidP="00871631">
            <w:pPr>
              <w:rPr>
                <w:color w:val="000000"/>
                <w:sz w:val="18"/>
                <w:szCs w:val="18"/>
                <w:lang w:eastAsia="en-AU"/>
              </w:rPr>
            </w:pPr>
            <w:r w:rsidRPr="002D7AE6">
              <w:rPr>
                <w:color w:val="000000"/>
                <w:sz w:val="18"/>
                <w:szCs w:val="18"/>
                <w:lang w:eastAsia="en-AU"/>
              </w:rPr>
              <w:t>Permit to acquire a category D or E longarm</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1BB35C4D" w14:textId="77777777" w:rsidR="00052799" w:rsidRPr="002D7AE6" w:rsidRDefault="00052799" w:rsidP="00871631">
            <w:pPr>
              <w:rPr>
                <w:color w:val="000000"/>
                <w:sz w:val="18"/>
                <w:szCs w:val="18"/>
                <w:lang w:eastAsia="en-AU"/>
              </w:rPr>
            </w:pPr>
            <w:r w:rsidRPr="002D7AE6">
              <w:rPr>
                <w:color w:val="000000"/>
                <w:sz w:val="18"/>
                <w:szCs w:val="18"/>
                <w:lang w:eastAsia="en-AU"/>
              </w:rPr>
              <w:t>$-</w:t>
            </w:r>
          </w:p>
        </w:tc>
        <w:tc>
          <w:tcPr>
            <w:tcW w:w="1255" w:type="dxa"/>
            <w:vMerge/>
            <w:tcBorders>
              <w:top w:val="nil"/>
              <w:left w:val="single" w:sz="4" w:space="0" w:color="FFFFFF"/>
              <w:bottom w:val="single" w:sz="4" w:space="0" w:color="FFFFFF"/>
              <w:right w:val="single" w:sz="4" w:space="0" w:color="auto"/>
            </w:tcBorders>
            <w:vAlign w:val="center"/>
            <w:hideMark/>
          </w:tcPr>
          <w:p w14:paraId="4AE8C3D3" w14:textId="77777777" w:rsidR="00052799" w:rsidRPr="002D7AE6" w:rsidRDefault="00052799" w:rsidP="00871631">
            <w:pPr>
              <w:jc w:val="cente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5EAD44ED" w14:textId="77777777" w:rsidR="00052799" w:rsidRPr="002D7AE6" w:rsidRDefault="00052799" w:rsidP="00871631">
            <w:pPr>
              <w:rPr>
                <w:color w:val="000000"/>
                <w:sz w:val="18"/>
                <w:szCs w:val="18"/>
                <w:lang w:eastAsia="en-AU"/>
              </w:rPr>
            </w:pPr>
            <w:r w:rsidRPr="002D7AE6">
              <w:rPr>
                <w:color w:val="000000"/>
                <w:sz w:val="18"/>
                <w:szCs w:val="18"/>
                <w:lang w:eastAsia="en-AU"/>
              </w:rPr>
              <w:t>$30.6</w:t>
            </w:r>
          </w:p>
        </w:tc>
        <w:tc>
          <w:tcPr>
            <w:tcW w:w="850" w:type="dxa"/>
            <w:tcBorders>
              <w:top w:val="nil"/>
              <w:left w:val="nil"/>
              <w:bottom w:val="single" w:sz="4" w:space="0" w:color="FFFFFF"/>
              <w:right w:val="single" w:sz="4" w:space="0" w:color="FFFFFF"/>
            </w:tcBorders>
            <w:shd w:val="clear" w:color="000000" w:fill="D9E1F2"/>
            <w:vAlign w:val="bottom"/>
            <w:hideMark/>
          </w:tcPr>
          <w:p w14:paraId="383A18AE" w14:textId="77777777" w:rsidR="00052799" w:rsidRPr="002D7AE6" w:rsidRDefault="00052799" w:rsidP="00871631">
            <w:pPr>
              <w:rPr>
                <w:color w:val="000000"/>
                <w:sz w:val="18"/>
                <w:szCs w:val="18"/>
                <w:lang w:eastAsia="en-AU"/>
              </w:rPr>
            </w:pPr>
            <w:r w:rsidRPr="002D7AE6">
              <w:rPr>
                <w:color w:val="000000"/>
                <w:sz w:val="18"/>
                <w:szCs w:val="18"/>
                <w:lang w:eastAsia="en-AU"/>
              </w:rPr>
              <w:t>*</w:t>
            </w:r>
          </w:p>
        </w:tc>
        <w:tc>
          <w:tcPr>
            <w:tcW w:w="1418" w:type="dxa"/>
            <w:vMerge/>
            <w:tcBorders>
              <w:top w:val="nil"/>
              <w:left w:val="single" w:sz="4" w:space="0" w:color="FFFFFF"/>
              <w:bottom w:val="single" w:sz="4" w:space="0" w:color="FFFFFF"/>
              <w:right w:val="single" w:sz="4" w:space="0" w:color="FFFFFF"/>
            </w:tcBorders>
            <w:vAlign w:val="center"/>
            <w:hideMark/>
          </w:tcPr>
          <w:p w14:paraId="27D1AA39" w14:textId="77777777" w:rsidR="00052799" w:rsidRPr="002D7AE6" w:rsidRDefault="00052799" w:rsidP="00871631">
            <w:pPr>
              <w:jc w:val="cente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317C0C79" w14:textId="77777777" w:rsidR="00052799" w:rsidRPr="002D7AE6" w:rsidRDefault="00052799" w:rsidP="00871631">
            <w:pPr>
              <w:jc w:val="cente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7EF74788" w14:textId="77777777" w:rsidR="00052799" w:rsidRPr="002D7AE6" w:rsidRDefault="00052799" w:rsidP="00871631">
            <w:pPr>
              <w:rPr>
                <w:color w:val="000000"/>
                <w:sz w:val="18"/>
                <w:szCs w:val="18"/>
                <w:lang w:eastAsia="en-AU"/>
              </w:rPr>
            </w:pPr>
            <w:r w:rsidRPr="002D7AE6">
              <w:rPr>
                <w:color w:val="000000"/>
                <w:sz w:val="18"/>
                <w:szCs w:val="18"/>
                <w:lang w:eastAsia="en-AU"/>
              </w:rPr>
              <w:t>$19.9</w:t>
            </w:r>
          </w:p>
        </w:tc>
        <w:tc>
          <w:tcPr>
            <w:tcW w:w="831" w:type="dxa"/>
            <w:tcBorders>
              <w:top w:val="nil"/>
              <w:left w:val="nil"/>
              <w:bottom w:val="single" w:sz="4" w:space="0" w:color="FFFFFF"/>
              <w:right w:val="single" w:sz="4" w:space="0" w:color="FFFFFF"/>
            </w:tcBorders>
            <w:shd w:val="clear" w:color="000000" w:fill="D9E1F2"/>
            <w:vAlign w:val="bottom"/>
            <w:hideMark/>
          </w:tcPr>
          <w:p w14:paraId="6F803AD8" w14:textId="77777777" w:rsidR="00052799" w:rsidRPr="002D7AE6" w:rsidRDefault="00052799" w:rsidP="00871631">
            <w:pPr>
              <w:rPr>
                <w:color w:val="000000"/>
                <w:sz w:val="18"/>
                <w:szCs w:val="18"/>
                <w:lang w:eastAsia="en-AU"/>
              </w:rPr>
            </w:pPr>
            <w:r w:rsidRPr="002D7AE6">
              <w:rPr>
                <w:color w:val="000000"/>
                <w:sz w:val="18"/>
                <w:szCs w:val="18"/>
                <w:lang w:eastAsia="en-AU"/>
              </w:rPr>
              <w:t>*</w:t>
            </w:r>
          </w:p>
        </w:tc>
        <w:tc>
          <w:tcPr>
            <w:tcW w:w="1255" w:type="dxa"/>
            <w:vMerge/>
            <w:tcBorders>
              <w:top w:val="nil"/>
              <w:left w:val="single" w:sz="4" w:space="0" w:color="FFFFFF"/>
              <w:bottom w:val="single" w:sz="4" w:space="0" w:color="FFFFFF"/>
              <w:right w:val="single" w:sz="4" w:space="0" w:color="FFFFFF"/>
            </w:tcBorders>
            <w:vAlign w:val="center"/>
            <w:hideMark/>
          </w:tcPr>
          <w:p w14:paraId="255E55D9" w14:textId="77777777" w:rsidR="00052799" w:rsidRPr="002D7AE6" w:rsidRDefault="00052799" w:rsidP="00871631">
            <w:pPr>
              <w:jc w:val="cente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2F103688" w14:textId="77777777" w:rsidR="00052799" w:rsidRPr="002D7AE6" w:rsidRDefault="00052799" w:rsidP="00871631">
            <w:pPr>
              <w:jc w:val="center"/>
              <w:rPr>
                <w:color w:val="000000"/>
                <w:sz w:val="18"/>
                <w:szCs w:val="18"/>
                <w:lang w:eastAsia="en-AU"/>
              </w:rPr>
            </w:pPr>
          </w:p>
        </w:tc>
      </w:tr>
      <w:tr w:rsidR="00052799" w:rsidRPr="002D7AE6" w14:paraId="73BB0DDA" w14:textId="77777777" w:rsidTr="00871631">
        <w:trPr>
          <w:trHeight w:val="324"/>
        </w:trPr>
        <w:tc>
          <w:tcPr>
            <w:tcW w:w="3681" w:type="dxa"/>
            <w:tcBorders>
              <w:top w:val="nil"/>
              <w:left w:val="nil"/>
              <w:bottom w:val="single" w:sz="4" w:space="0" w:color="FFFFFF"/>
              <w:right w:val="nil"/>
            </w:tcBorders>
            <w:shd w:val="clear" w:color="000000" w:fill="D9D9D9"/>
            <w:vAlign w:val="bottom"/>
            <w:hideMark/>
          </w:tcPr>
          <w:p w14:paraId="185E1043" w14:textId="77777777" w:rsidR="00052799" w:rsidRPr="002D7AE6" w:rsidRDefault="00052799" w:rsidP="00871631">
            <w:pPr>
              <w:rPr>
                <w:color w:val="000000"/>
                <w:sz w:val="18"/>
                <w:szCs w:val="18"/>
                <w:lang w:eastAsia="en-AU"/>
              </w:rPr>
            </w:pPr>
            <w:r w:rsidRPr="002D7AE6">
              <w:rPr>
                <w:color w:val="000000"/>
                <w:sz w:val="18"/>
                <w:szCs w:val="18"/>
                <w:lang w:eastAsia="en-AU"/>
              </w:rPr>
              <w:t xml:space="preserve">Permit to acquire a handgun </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6BA2A138" w14:textId="77777777" w:rsidR="00052799" w:rsidRPr="002D7AE6" w:rsidRDefault="00052799" w:rsidP="00871631">
            <w:pPr>
              <w:rPr>
                <w:color w:val="000000"/>
                <w:sz w:val="18"/>
                <w:szCs w:val="18"/>
                <w:lang w:eastAsia="en-AU"/>
              </w:rPr>
            </w:pPr>
            <w:r w:rsidRPr="002D7AE6">
              <w:rPr>
                <w:color w:val="000000"/>
                <w:sz w:val="18"/>
                <w:szCs w:val="18"/>
                <w:lang w:eastAsia="en-AU"/>
              </w:rPr>
              <w:t>$51.0</w:t>
            </w:r>
          </w:p>
        </w:tc>
        <w:tc>
          <w:tcPr>
            <w:tcW w:w="1255" w:type="dxa"/>
            <w:vMerge/>
            <w:tcBorders>
              <w:top w:val="nil"/>
              <w:left w:val="single" w:sz="4" w:space="0" w:color="FFFFFF"/>
              <w:bottom w:val="single" w:sz="4" w:space="0" w:color="FFFFFF"/>
              <w:right w:val="single" w:sz="4" w:space="0" w:color="auto"/>
            </w:tcBorders>
            <w:vAlign w:val="center"/>
            <w:hideMark/>
          </w:tcPr>
          <w:p w14:paraId="590FDB1A" w14:textId="77777777" w:rsidR="00052799" w:rsidRPr="002D7AE6" w:rsidRDefault="00052799" w:rsidP="00871631">
            <w:pPr>
              <w:jc w:val="cente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505554BA" w14:textId="77777777" w:rsidR="00052799" w:rsidRPr="002D7AE6" w:rsidRDefault="00052799" w:rsidP="00871631">
            <w:pPr>
              <w:rPr>
                <w:color w:val="000000"/>
                <w:sz w:val="18"/>
                <w:szCs w:val="18"/>
                <w:lang w:eastAsia="en-AU"/>
              </w:rPr>
            </w:pPr>
            <w:r w:rsidRPr="002D7AE6">
              <w:rPr>
                <w:color w:val="000000"/>
                <w:sz w:val="18"/>
                <w:szCs w:val="18"/>
                <w:lang w:eastAsia="en-AU"/>
              </w:rPr>
              <w:t>$69.1</w:t>
            </w:r>
          </w:p>
        </w:tc>
        <w:tc>
          <w:tcPr>
            <w:tcW w:w="850" w:type="dxa"/>
            <w:tcBorders>
              <w:top w:val="nil"/>
              <w:left w:val="nil"/>
              <w:bottom w:val="single" w:sz="4" w:space="0" w:color="FFFFFF"/>
              <w:right w:val="single" w:sz="4" w:space="0" w:color="FFFFFF"/>
            </w:tcBorders>
            <w:shd w:val="clear" w:color="000000" w:fill="D9E1F2"/>
            <w:vAlign w:val="bottom"/>
            <w:hideMark/>
          </w:tcPr>
          <w:p w14:paraId="74A04D11" w14:textId="77777777" w:rsidR="00052799" w:rsidRPr="002D7AE6" w:rsidRDefault="00052799" w:rsidP="00871631">
            <w:pPr>
              <w:jc w:val="right"/>
              <w:rPr>
                <w:color w:val="000000"/>
                <w:sz w:val="18"/>
                <w:szCs w:val="18"/>
                <w:lang w:eastAsia="en-AU"/>
              </w:rPr>
            </w:pPr>
            <w:r w:rsidRPr="002D7AE6">
              <w:rPr>
                <w:color w:val="000000"/>
                <w:sz w:val="18"/>
                <w:szCs w:val="18"/>
                <w:lang w:eastAsia="en-AU"/>
              </w:rPr>
              <w:t>35%</w:t>
            </w:r>
          </w:p>
        </w:tc>
        <w:tc>
          <w:tcPr>
            <w:tcW w:w="1418" w:type="dxa"/>
            <w:vMerge/>
            <w:tcBorders>
              <w:top w:val="nil"/>
              <w:left w:val="single" w:sz="4" w:space="0" w:color="FFFFFF"/>
              <w:bottom w:val="single" w:sz="4" w:space="0" w:color="FFFFFF"/>
              <w:right w:val="single" w:sz="4" w:space="0" w:color="FFFFFF"/>
            </w:tcBorders>
            <w:vAlign w:val="center"/>
            <w:hideMark/>
          </w:tcPr>
          <w:p w14:paraId="44B97BCA" w14:textId="77777777" w:rsidR="00052799" w:rsidRPr="002D7AE6" w:rsidRDefault="00052799" w:rsidP="00871631">
            <w:pPr>
              <w:jc w:val="cente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1ACEBC8B" w14:textId="77777777" w:rsidR="00052799" w:rsidRPr="002D7AE6" w:rsidRDefault="00052799" w:rsidP="00871631">
            <w:pPr>
              <w:jc w:val="cente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0823D0E7" w14:textId="77777777" w:rsidR="00052799" w:rsidRPr="002D7AE6" w:rsidRDefault="00052799" w:rsidP="00871631">
            <w:pPr>
              <w:rPr>
                <w:color w:val="000000"/>
                <w:sz w:val="18"/>
                <w:szCs w:val="18"/>
                <w:lang w:eastAsia="en-AU"/>
              </w:rPr>
            </w:pPr>
            <w:r w:rsidRPr="002D7AE6">
              <w:rPr>
                <w:color w:val="000000"/>
                <w:sz w:val="18"/>
                <w:szCs w:val="18"/>
                <w:lang w:eastAsia="en-AU"/>
              </w:rPr>
              <w:t>$60.1</w:t>
            </w:r>
          </w:p>
        </w:tc>
        <w:tc>
          <w:tcPr>
            <w:tcW w:w="831" w:type="dxa"/>
            <w:tcBorders>
              <w:top w:val="nil"/>
              <w:left w:val="nil"/>
              <w:bottom w:val="single" w:sz="4" w:space="0" w:color="FFFFFF"/>
              <w:right w:val="single" w:sz="4" w:space="0" w:color="FFFFFF"/>
            </w:tcBorders>
            <w:shd w:val="clear" w:color="000000" w:fill="D9E1F2"/>
            <w:vAlign w:val="bottom"/>
            <w:hideMark/>
          </w:tcPr>
          <w:p w14:paraId="6111EE6E" w14:textId="77777777" w:rsidR="00052799" w:rsidRPr="002D7AE6" w:rsidRDefault="00052799" w:rsidP="00871631">
            <w:pPr>
              <w:jc w:val="right"/>
              <w:rPr>
                <w:color w:val="000000"/>
                <w:sz w:val="18"/>
                <w:szCs w:val="18"/>
                <w:lang w:eastAsia="en-AU"/>
              </w:rPr>
            </w:pPr>
            <w:r w:rsidRPr="002D7AE6">
              <w:rPr>
                <w:color w:val="000000"/>
                <w:sz w:val="18"/>
                <w:szCs w:val="18"/>
                <w:lang w:eastAsia="en-AU"/>
              </w:rPr>
              <w:t>18%</w:t>
            </w:r>
          </w:p>
        </w:tc>
        <w:tc>
          <w:tcPr>
            <w:tcW w:w="1255" w:type="dxa"/>
            <w:vMerge/>
            <w:tcBorders>
              <w:top w:val="nil"/>
              <w:left w:val="single" w:sz="4" w:space="0" w:color="FFFFFF"/>
              <w:bottom w:val="single" w:sz="4" w:space="0" w:color="FFFFFF"/>
              <w:right w:val="single" w:sz="4" w:space="0" w:color="FFFFFF"/>
            </w:tcBorders>
            <w:vAlign w:val="center"/>
            <w:hideMark/>
          </w:tcPr>
          <w:p w14:paraId="07F4DADD" w14:textId="77777777" w:rsidR="00052799" w:rsidRPr="002D7AE6" w:rsidRDefault="00052799" w:rsidP="00871631">
            <w:pPr>
              <w:jc w:val="cente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577D0F26" w14:textId="77777777" w:rsidR="00052799" w:rsidRPr="002D7AE6" w:rsidRDefault="00052799" w:rsidP="00871631">
            <w:pPr>
              <w:jc w:val="center"/>
              <w:rPr>
                <w:color w:val="000000"/>
                <w:sz w:val="18"/>
                <w:szCs w:val="18"/>
                <w:lang w:eastAsia="en-AU"/>
              </w:rPr>
            </w:pPr>
          </w:p>
        </w:tc>
      </w:tr>
      <w:tr w:rsidR="00052799" w:rsidRPr="002D7AE6" w14:paraId="4877C8E4" w14:textId="77777777" w:rsidTr="00871631">
        <w:trPr>
          <w:trHeight w:val="324"/>
        </w:trPr>
        <w:tc>
          <w:tcPr>
            <w:tcW w:w="3681" w:type="dxa"/>
            <w:tcBorders>
              <w:top w:val="nil"/>
              <w:left w:val="nil"/>
              <w:bottom w:val="single" w:sz="4" w:space="0" w:color="FFFFFF"/>
              <w:right w:val="nil"/>
            </w:tcBorders>
            <w:shd w:val="clear" w:color="000000" w:fill="D9D9D9"/>
            <w:vAlign w:val="bottom"/>
            <w:hideMark/>
          </w:tcPr>
          <w:p w14:paraId="6A0F575C" w14:textId="77777777" w:rsidR="00052799" w:rsidRPr="002D7AE6" w:rsidRDefault="00052799" w:rsidP="00871631">
            <w:pPr>
              <w:rPr>
                <w:color w:val="000000"/>
                <w:sz w:val="18"/>
                <w:szCs w:val="18"/>
                <w:lang w:eastAsia="en-AU"/>
              </w:rPr>
            </w:pPr>
            <w:r w:rsidRPr="002D7AE6">
              <w:rPr>
                <w:color w:val="000000"/>
                <w:sz w:val="18"/>
                <w:szCs w:val="18"/>
                <w:lang w:eastAsia="en-AU"/>
              </w:rPr>
              <w:t>Permit to acquire a paintball marker</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6997454D" w14:textId="77777777" w:rsidR="00052799" w:rsidRPr="002D7AE6" w:rsidRDefault="00052799" w:rsidP="00871631">
            <w:pPr>
              <w:rPr>
                <w:color w:val="000000"/>
                <w:sz w:val="18"/>
                <w:szCs w:val="18"/>
                <w:lang w:eastAsia="en-AU"/>
              </w:rPr>
            </w:pPr>
            <w:r w:rsidRPr="002D7AE6">
              <w:rPr>
                <w:color w:val="000000"/>
                <w:sz w:val="18"/>
                <w:szCs w:val="18"/>
                <w:lang w:eastAsia="en-AU"/>
              </w:rPr>
              <w:t>$9.2</w:t>
            </w:r>
          </w:p>
        </w:tc>
        <w:tc>
          <w:tcPr>
            <w:tcW w:w="1255" w:type="dxa"/>
            <w:tcBorders>
              <w:top w:val="nil"/>
              <w:left w:val="nil"/>
              <w:bottom w:val="single" w:sz="4" w:space="0" w:color="FFFFFF"/>
              <w:right w:val="single" w:sz="4" w:space="0" w:color="auto"/>
            </w:tcBorders>
            <w:shd w:val="clear" w:color="000000" w:fill="D9E1F2"/>
            <w:vAlign w:val="bottom"/>
            <w:hideMark/>
          </w:tcPr>
          <w:p w14:paraId="6B4A95DA" w14:textId="77777777" w:rsidR="00052799" w:rsidRPr="002D7AE6" w:rsidRDefault="00052799" w:rsidP="00871631">
            <w:pPr>
              <w:jc w:val="center"/>
              <w:rPr>
                <w:color w:val="000000"/>
                <w:sz w:val="18"/>
                <w:szCs w:val="18"/>
                <w:lang w:eastAsia="en-AU"/>
              </w:rPr>
            </w:pPr>
            <w:r w:rsidRPr="002D7AE6">
              <w:rPr>
                <w:color w:val="000000"/>
                <w:sz w:val="18"/>
                <w:szCs w:val="18"/>
                <w:lang w:eastAsia="en-AU"/>
              </w:rPr>
              <w:t>$1,496</w:t>
            </w:r>
          </w:p>
        </w:tc>
        <w:tc>
          <w:tcPr>
            <w:tcW w:w="927" w:type="dxa"/>
            <w:tcBorders>
              <w:top w:val="nil"/>
              <w:left w:val="nil"/>
              <w:bottom w:val="single" w:sz="4" w:space="0" w:color="FFFFFF"/>
              <w:right w:val="single" w:sz="4" w:space="0" w:color="FFFFFF"/>
            </w:tcBorders>
            <w:shd w:val="clear" w:color="000000" w:fill="D9E1F2"/>
            <w:vAlign w:val="bottom"/>
            <w:hideMark/>
          </w:tcPr>
          <w:p w14:paraId="2763C834" w14:textId="77777777" w:rsidR="00052799" w:rsidRPr="002D7AE6" w:rsidRDefault="00052799" w:rsidP="00871631">
            <w:pPr>
              <w:rPr>
                <w:color w:val="000000"/>
                <w:sz w:val="18"/>
                <w:szCs w:val="18"/>
                <w:lang w:eastAsia="en-AU"/>
              </w:rPr>
            </w:pPr>
            <w:r w:rsidRPr="002D7AE6">
              <w:rPr>
                <w:color w:val="000000"/>
                <w:sz w:val="18"/>
                <w:szCs w:val="18"/>
                <w:lang w:eastAsia="en-AU"/>
              </w:rPr>
              <w:t>$26.0</w:t>
            </w:r>
          </w:p>
        </w:tc>
        <w:tc>
          <w:tcPr>
            <w:tcW w:w="850" w:type="dxa"/>
            <w:tcBorders>
              <w:top w:val="nil"/>
              <w:left w:val="nil"/>
              <w:bottom w:val="single" w:sz="4" w:space="0" w:color="FFFFFF"/>
              <w:right w:val="single" w:sz="4" w:space="0" w:color="FFFFFF"/>
            </w:tcBorders>
            <w:shd w:val="clear" w:color="000000" w:fill="D9E1F2"/>
            <w:vAlign w:val="bottom"/>
            <w:hideMark/>
          </w:tcPr>
          <w:p w14:paraId="3A043E0B" w14:textId="77777777" w:rsidR="00052799" w:rsidRPr="002D7AE6" w:rsidRDefault="00052799" w:rsidP="00871631">
            <w:pPr>
              <w:jc w:val="right"/>
              <w:rPr>
                <w:color w:val="000000"/>
                <w:sz w:val="18"/>
                <w:szCs w:val="18"/>
                <w:lang w:eastAsia="en-AU"/>
              </w:rPr>
            </w:pPr>
            <w:r w:rsidRPr="002D7AE6">
              <w:rPr>
                <w:color w:val="000000"/>
                <w:sz w:val="18"/>
                <w:szCs w:val="18"/>
                <w:lang w:eastAsia="en-AU"/>
              </w:rPr>
              <w:t>183%</w:t>
            </w:r>
          </w:p>
        </w:tc>
        <w:tc>
          <w:tcPr>
            <w:tcW w:w="1418" w:type="dxa"/>
            <w:tcBorders>
              <w:top w:val="nil"/>
              <w:left w:val="nil"/>
              <w:bottom w:val="single" w:sz="4" w:space="0" w:color="FFFFFF"/>
              <w:right w:val="single" w:sz="4" w:space="0" w:color="FFFFFF"/>
            </w:tcBorders>
            <w:shd w:val="clear" w:color="000000" w:fill="D9E1F2"/>
            <w:vAlign w:val="bottom"/>
            <w:hideMark/>
          </w:tcPr>
          <w:p w14:paraId="4FCD0CF4" w14:textId="77777777" w:rsidR="00052799" w:rsidRPr="002D7AE6" w:rsidRDefault="00052799" w:rsidP="00871631">
            <w:pPr>
              <w:jc w:val="center"/>
              <w:rPr>
                <w:color w:val="000000"/>
                <w:sz w:val="18"/>
                <w:szCs w:val="18"/>
                <w:lang w:eastAsia="en-AU"/>
              </w:rPr>
            </w:pPr>
            <w:r w:rsidRPr="002D7AE6">
              <w:rPr>
                <w:color w:val="000000"/>
                <w:sz w:val="18"/>
                <w:szCs w:val="18"/>
                <w:lang w:eastAsia="en-AU"/>
              </w:rPr>
              <w:t>$4,227</w:t>
            </w:r>
          </w:p>
        </w:tc>
        <w:tc>
          <w:tcPr>
            <w:tcW w:w="1276" w:type="dxa"/>
            <w:tcBorders>
              <w:top w:val="nil"/>
              <w:left w:val="nil"/>
              <w:bottom w:val="single" w:sz="4" w:space="0" w:color="FFFFFF"/>
              <w:right w:val="single" w:sz="4" w:space="0" w:color="auto"/>
            </w:tcBorders>
            <w:shd w:val="clear" w:color="000000" w:fill="D9E1F2"/>
            <w:vAlign w:val="bottom"/>
            <w:hideMark/>
          </w:tcPr>
          <w:p w14:paraId="0876C822" w14:textId="77777777" w:rsidR="00052799" w:rsidRPr="002D7AE6" w:rsidRDefault="00052799" w:rsidP="00871631">
            <w:pPr>
              <w:jc w:val="center"/>
              <w:rPr>
                <w:color w:val="000000"/>
                <w:sz w:val="18"/>
                <w:szCs w:val="18"/>
                <w:lang w:eastAsia="en-AU"/>
              </w:rPr>
            </w:pPr>
            <w:r w:rsidRPr="002D7AE6">
              <w:rPr>
                <w:color w:val="000000"/>
                <w:sz w:val="18"/>
                <w:szCs w:val="18"/>
                <w:lang w:eastAsia="en-AU"/>
              </w:rPr>
              <w:t>$2,731</w:t>
            </w:r>
          </w:p>
        </w:tc>
        <w:tc>
          <w:tcPr>
            <w:tcW w:w="925" w:type="dxa"/>
            <w:tcBorders>
              <w:top w:val="nil"/>
              <w:left w:val="nil"/>
              <w:bottom w:val="single" w:sz="4" w:space="0" w:color="FFFFFF"/>
              <w:right w:val="single" w:sz="4" w:space="0" w:color="FFFFFF"/>
            </w:tcBorders>
            <w:shd w:val="clear" w:color="000000" w:fill="D9E1F2"/>
            <w:vAlign w:val="bottom"/>
            <w:hideMark/>
          </w:tcPr>
          <w:p w14:paraId="4FE86B82" w14:textId="77777777" w:rsidR="00052799" w:rsidRPr="002D7AE6" w:rsidRDefault="00052799" w:rsidP="00871631">
            <w:pPr>
              <w:rPr>
                <w:color w:val="000000"/>
                <w:sz w:val="18"/>
                <w:szCs w:val="18"/>
                <w:lang w:eastAsia="en-AU"/>
              </w:rPr>
            </w:pPr>
            <w:r w:rsidRPr="002D7AE6">
              <w:rPr>
                <w:color w:val="000000"/>
                <w:sz w:val="18"/>
                <w:szCs w:val="18"/>
                <w:lang w:eastAsia="en-AU"/>
              </w:rPr>
              <w:t>$17.6</w:t>
            </w:r>
          </w:p>
        </w:tc>
        <w:tc>
          <w:tcPr>
            <w:tcW w:w="831" w:type="dxa"/>
            <w:tcBorders>
              <w:top w:val="nil"/>
              <w:left w:val="nil"/>
              <w:bottom w:val="single" w:sz="4" w:space="0" w:color="FFFFFF"/>
              <w:right w:val="single" w:sz="4" w:space="0" w:color="FFFFFF"/>
            </w:tcBorders>
            <w:shd w:val="clear" w:color="000000" w:fill="D9E1F2"/>
            <w:vAlign w:val="bottom"/>
            <w:hideMark/>
          </w:tcPr>
          <w:p w14:paraId="22714C0B" w14:textId="77777777" w:rsidR="00052799" w:rsidRPr="002D7AE6" w:rsidRDefault="00052799" w:rsidP="00871631">
            <w:pPr>
              <w:jc w:val="right"/>
              <w:rPr>
                <w:color w:val="000000"/>
                <w:sz w:val="18"/>
                <w:szCs w:val="18"/>
                <w:lang w:eastAsia="en-AU"/>
              </w:rPr>
            </w:pPr>
            <w:r w:rsidRPr="002D7AE6">
              <w:rPr>
                <w:color w:val="000000"/>
                <w:sz w:val="18"/>
                <w:szCs w:val="18"/>
                <w:lang w:eastAsia="en-AU"/>
              </w:rPr>
              <w:t>91%</w:t>
            </w:r>
          </w:p>
        </w:tc>
        <w:tc>
          <w:tcPr>
            <w:tcW w:w="1255" w:type="dxa"/>
            <w:tcBorders>
              <w:top w:val="nil"/>
              <w:left w:val="nil"/>
              <w:bottom w:val="single" w:sz="4" w:space="0" w:color="FFFFFF"/>
              <w:right w:val="single" w:sz="4" w:space="0" w:color="FFFFFF"/>
            </w:tcBorders>
            <w:shd w:val="clear" w:color="000000" w:fill="D9E1F2"/>
            <w:vAlign w:val="bottom"/>
            <w:hideMark/>
          </w:tcPr>
          <w:p w14:paraId="6F7F1876" w14:textId="77777777" w:rsidR="00052799" w:rsidRPr="002D7AE6" w:rsidRDefault="00052799" w:rsidP="00871631">
            <w:pPr>
              <w:jc w:val="center"/>
              <w:rPr>
                <w:color w:val="000000"/>
                <w:sz w:val="18"/>
                <w:szCs w:val="18"/>
                <w:lang w:eastAsia="en-AU"/>
              </w:rPr>
            </w:pPr>
            <w:r w:rsidRPr="002D7AE6">
              <w:rPr>
                <w:color w:val="000000"/>
                <w:sz w:val="18"/>
                <w:szCs w:val="18"/>
                <w:lang w:eastAsia="en-AU"/>
              </w:rPr>
              <w:t>$2,861</w:t>
            </w:r>
          </w:p>
        </w:tc>
        <w:tc>
          <w:tcPr>
            <w:tcW w:w="982" w:type="dxa"/>
            <w:tcBorders>
              <w:top w:val="nil"/>
              <w:left w:val="nil"/>
              <w:bottom w:val="single" w:sz="4" w:space="0" w:color="FFFFFF"/>
              <w:right w:val="single" w:sz="4" w:space="0" w:color="auto"/>
            </w:tcBorders>
            <w:shd w:val="clear" w:color="000000" w:fill="D9E1F2"/>
            <w:vAlign w:val="bottom"/>
            <w:hideMark/>
          </w:tcPr>
          <w:p w14:paraId="79DA583B" w14:textId="77777777" w:rsidR="00052799" w:rsidRPr="002D7AE6" w:rsidRDefault="00052799" w:rsidP="00871631">
            <w:pPr>
              <w:jc w:val="center"/>
              <w:rPr>
                <w:color w:val="000000"/>
                <w:sz w:val="18"/>
                <w:szCs w:val="18"/>
                <w:lang w:eastAsia="en-AU"/>
              </w:rPr>
            </w:pPr>
            <w:r w:rsidRPr="002D7AE6">
              <w:rPr>
                <w:color w:val="000000"/>
                <w:sz w:val="18"/>
                <w:szCs w:val="18"/>
                <w:lang w:eastAsia="en-AU"/>
              </w:rPr>
              <w:t>$1,366</w:t>
            </w:r>
          </w:p>
        </w:tc>
      </w:tr>
      <w:tr w:rsidR="00052799" w:rsidRPr="002D7AE6" w14:paraId="304412D8"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3662BD9A" w14:textId="77777777" w:rsidR="00052799" w:rsidRPr="002D7AE6" w:rsidRDefault="00052799" w:rsidP="00871631">
            <w:pPr>
              <w:rPr>
                <w:color w:val="000000"/>
                <w:sz w:val="18"/>
                <w:szCs w:val="18"/>
                <w:lang w:eastAsia="en-AU"/>
              </w:rPr>
            </w:pPr>
            <w:r w:rsidRPr="002D7AE6">
              <w:rPr>
                <w:color w:val="000000"/>
                <w:sz w:val="18"/>
                <w:szCs w:val="18"/>
                <w:lang w:eastAsia="en-AU"/>
              </w:rPr>
              <w:t>Display permits for dealers issued under section 91</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05109092" w14:textId="77777777" w:rsidR="00052799" w:rsidRPr="002D7AE6" w:rsidRDefault="00052799" w:rsidP="00871631">
            <w:pPr>
              <w:rPr>
                <w:color w:val="000000"/>
                <w:sz w:val="18"/>
                <w:szCs w:val="18"/>
                <w:lang w:eastAsia="en-AU"/>
              </w:rPr>
            </w:pPr>
            <w:r w:rsidRPr="002D7AE6">
              <w:rPr>
                <w:color w:val="000000"/>
                <w:sz w:val="18"/>
                <w:szCs w:val="18"/>
                <w:lang w:eastAsia="en-AU"/>
              </w:rPr>
              <w:t>$51.0</w:t>
            </w:r>
          </w:p>
        </w:tc>
        <w:tc>
          <w:tcPr>
            <w:tcW w:w="1255"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6786D96C" w14:textId="77777777" w:rsidR="00052799" w:rsidRPr="002D7AE6" w:rsidRDefault="00052799" w:rsidP="00871631">
            <w:pPr>
              <w:jc w:val="center"/>
              <w:rPr>
                <w:color w:val="000000"/>
                <w:sz w:val="18"/>
                <w:szCs w:val="18"/>
                <w:lang w:eastAsia="en-AU"/>
              </w:rPr>
            </w:pPr>
            <w:r w:rsidRPr="002D7AE6">
              <w:rPr>
                <w:color w:val="000000"/>
                <w:sz w:val="18"/>
                <w:szCs w:val="18"/>
                <w:lang w:eastAsia="en-AU"/>
              </w:rPr>
              <w:t>$5,251</w:t>
            </w:r>
          </w:p>
        </w:tc>
        <w:tc>
          <w:tcPr>
            <w:tcW w:w="927" w:type="dxa"/>
            <w:tcBorders>
              <w:top w:val="nil"/>
              <w:left w:val="nil"/>
              <w:bottom w:val="single" w:sz="4" w:space="0" w:color="FFFFFF"/>
              <w:right w:val="single" w:sz="4" w:space="0" w:color="FFFFFF"/>
            </w:tcBorders>
            <w:shd w:val="clear" w:color="000000" w:fill="D9E1F2"/>
            <w:vAlign w:val="bottom"/>
            <w:hideMark/>
          </w:tcPr>
          <w:p w14:paraId="3B5000C4" w14:textId="77777777" w:rsidR="00052799" w:rsidRPr="002D7AE6" w:rsidRDefault="00052799" w:rsidP="00871631">
            <w:pPr>
              <w:rPr>
                <w:color w:val="000000"/>
                <w:sz w:val="18"/>
                <w:szCs w:val="18"/>
                <w:lang w:eastAsia="en-AU"/>
              </w:rPr>
            </w:pPr>
            <w:r w:rsidRPr="002D7AE6">
              <w:rPr>
                <w:color w:val="000000"/>
                <w:sz w:val="18"/>
                <w:szCs w:val="18"/>
                <w:lang w:eastAsia="en-AU"/>
              </w:rPr>
              <w:t>$93.6</w:t>
            </w:r>
          </w:p>
        </w:tc>
        <w:tc>
          <w:tcPr>
            <w:tcW w:w="850" w:type="dxa"/>
            <w:tcBorders>
              <w:top w:val="nil"/>
              <w:left w:val="nil"/>
              <w:bottom w:val="single" w:sz="4" w:space="0" w:color="FFFFFF"/>
              <w:right w:val="single" w:sz="4" w:space="0" w:color="FFFFFF"/>
            </w:tcBorders>
            <w:shd w:val="clear" w:color="000000" w:fill="D9E1F2"/>
            <w:vAlign w:val="bottom"/>
            <w:hideMark/>
          </w:tcPr>
          <w:p w14:paraId="073A34B3" w14:textId="77777777" w:rsidR="00052799" w:rsidRPr="002D7AE6" w:rsidRDefault="00052799" w:rsidP="00871631">
            <w:pPr>
              <w:jc w:val="right"/>
              <w:rPr>
                <w:color w:val="000000"/>
                <w:sz w:val="18"/>
                <w:szCs w:val="18"/>
                <w:lang w:eastAsia="en-AU"/>
              </w:rPr>
            </w:pPr>
            <w:r w:rsidRPr="002D7AE6">
              <w:rPr>
                <w:color w:val="000000"/>
                <w:sz w:val="18"/>
                <w:szCs w:val="18"/>
                <w:lang w:eastAsia="en-AU"/>
              </w:rPr>
              <w:t>83%</w:t>
            </w:r>
          </w:p>
        </w:tc>
        <w:tc>
          <w:tcPr>
            <w:tcW w:w="1418" w:type="dxa"/>
            <w:vMerge w:val="restart"/>
            <w:tcBorders>
              <w:top w:val="nil"/>
              <w:left w:val="single" w:sz="4" w:space="0" w:color="FFFFFF"/>
              <w:bottom w:val="single" w:sz="4" w:space="0" w:color="FFFFFF"/>
              <w:right w:val="single" w:sz="4" w:space="0" w:color="FFFFFF"/>
            </w:tcBorders>
            <w:shd w:val="clear" w:color="000000" w:fill="D9E1F2"/>
            <w:vAlign w:val="bottom"/>
            <w:hideMark/>
          </w:tcPr>
          <w:p w14:paraId="5F04742B" w14:textId="77777777" w:rsidR="00052799" w:rsidRPr="002D7AE6" w:rsidRDefault="00052799" w:rsidP="00871631">
            <w:pPr>
              <w:jc w:val="center"/>
              <w:rPr>
                <w:color w:val="000000"/>
                <w:sz w:val="18"/>
                <w:szCs w:val="18"/>
                <w:lang w:eastAsia="en-AU"/>
              </w:rPr>
            </w:pPr>
            <w:r w:rsidRPr="002D7AE6">
              <w:rPr>
                <w:color w:val="000000"/>
                <w:sz w:val="18"/>
                <w:szCs w:val="18"/>
                <w:lang w:eastAsia="en-AU"/>
              </w:rPr>
              <w:t>$61,988</w:t>
            </w:r>
          </w:p>
        </w:tc>
        <w:tc>
          <w:tcPr>
            <w:tcW w:w="1276"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48E977DA" w14:textId="77777777" w:rsidR="00052799" w:rsidRPr="002D7AE6" w:rsidRDefault="00052799" w:rsidP="00871631">
            <w:pPr>
              <w:jc w:val="center"/>
              <w:rPr>
                <w:color w:val="000000"/>
                <w:sz w:val="18"/>
                <w:szCs w:val="18"/>
                <w:lang w:eastAsia="en-AU"/>
              </w:rPr>
            </w:pPr>
            <w:r w:rsidRPr="002D7AE6">
              <w:rPr>
                <w:color w:val="000000"/>
                <w:sz w:val="18"/>
                <w:szCs w:val="18"/>
                <w:lang w:eastAsia="en-AU"/>
              </w:rPr>
              <w:t>$56,738</w:t>
            </w:r>
          </w:p>
        </w:tc>
        <w:tc>
          <w:tcPr>
            <w:tcW w:w="925" w:type="dxa"/>
            <w:tcBorders>
              <w:top w:val="nil"/>
              <w:left w:val="nil"/>
              <w:bottom w:val="single" w:sz="4" w:space="0" w:color="FFFFFF"/>
              <w:right w:val="single" w:sz="4" w:space="0" w:color="FFFFFF"/>
            </w:tcBorders>
            <w:shd w:val="clear" w:color="000000" w:fill="D9E1F2"/>
            <w:vAlign w:val="bottom"/>
            <w:hideMark/>
          </w:tcPr>
          <w:p w14:paraId="3FA7C50E" w14:textId="77777777" w:rsidR="00052799" w:rsidRPr="002D7AE6" w:rsidRDefault="00052799" w:rsidP="00871631">
            <w:pPr>
              <w:rPr>
                <w:color w:val="000000"/>
                <w:sz w:val="18"/>
                <w:szCs w:val="18"/>
                <w:lang w:eastAsia="en-AU"/>
              </w:rPr>
            </w:pPr>
            <w:r w:rsidRPr="002D7AE6">
              <w:rPr>
                <w:color w:val="000000"/>
                <w:sz w:val="18"/>
                <w:szCs w:val="18"/>
                <w:lang w:eastAsia="en-AU"/>
              </w:rPr>
              <w:t>$72.3</w:t>
            </w:r>
          </w:p>
        </w:tc>
        <w:tc>
          <w:tcPr>
            <w:tcW w:w="831" w:type="dxa"/>
            <w:tcBorders>
              <w:top w:val="nil"/>
              <w:left w:val="nil"/>
              <w:bottom w:val="single" w:sz="4" w:space="0" w:color="FFFFFF"/>
              <w:right w:val="single" w:sz="4" w:space="0" w:color="FFFFFF"/>
            </w:tcBorders>
            <w:shd w:val="clear" w:color="000000" w:fill="D9E1F2"/>
            <w:vAlign w:val="bottom"/>
            <w:hideMark/>
          </w:tcPr>
          <w:p w14:paraId="223F8247" w14:textId="77777777" w:rsidR="00052799" w:rsidRPr="002D7AE6" w:rsidRDefault="00052799" w:rsidP="00871631">
            <w:pPr>
              <w:jc w:val="right"/>
              <w:rPr>
                <w:color w:val="000000"/>
                <w:sz w:val="18"/>
                <w:szCs w:val="18"/>
                <w:lang w:eastAsia="en-AU"/>
              </w:rPr>
            </w:pPr>
            <w:r w:rsidRPr="002D7AE6">
              <w:rPr>
                <w:color w:val="000000"/>
                <w:sz w:val="18"/>
                <w:szCs w:val="18"/>
                <w:lang w:eastAsia="en-AU"/>
              </w:rPr>
              <w:t>42%</w:t>
            </w:r>
          </w:p>
        </w:tc>
        <w:tc>
          <w:tcPr>
            <w:tcW w:w="1255" w:type="dxa"/>
            <w:vMerge w:val="restart"/>
            <w:tcBorders>
              <w:top w:val="nil"/>
              <w:left w:val="single" w:sz="4" w:space="0" w:color="FFFFFF"/>
              <w:bottom w:val="single" w:sz="4" w:space="0" w:color="FFFFFF"/>
              <w:right w:val="single" w:sz="4" w:space="0" w:color="FFFFFF"/>
            </w:tcBorders>
            <w:shd w:val="clear" w:color="000000" w:fill="D9E1F2"/>
            <w:vAlign w:val="bottom"/>
            <w:hideMark/>
          </w:tcPr>
          <w:p w14:paraId="7975AF9D" w14:textId="77777777" w:rsidR="00052799" w:rsidRPr="002D7AE6" w:rsidRDefault="00052799" w:rsidP="00871631">
            <w:pPr>
              <w:jc w:val="center"/>
              <w:rPr>
                <w:color w:val="000000"/>
                <w:sz w:val="18"/>
                <w:szCs w:val="18"/>
                <w:lang w:eastAsia="en-AU"/>
              </w:rPr>
            </w:pPr>
            <w:r w:rsidRPr="002D7AE6">
              <w:rPr>
                <w:color w:val="000000"/>
                <w:sz w:val="18"/>
                <w:szCs w:val="18"/>
                <w:lang w:eastAsia="en-AU"/>
              </w:rPr>
              <w:t>$47,585</w:t>
            </w:r>
          </w:p>
        </w:tc>
        <w:tc>
          <w:tcPr>
            <w:tcW w:w="982"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32DF015D" w14:textId="77777777" w:rsidR="00052799" w:rsidRPr="002D7AE6" w:rsidRDefault="00052799" w:rsidP="00871631">
            <w:pPr>
              <w:jc w:val="center"/>
              <w:rPr>
                <w:color w:val="000000"/>
                <w:sz w:val="18"/>
                <w:szCs w:val="18"/>
                <w:lang w:eastAsia="en-AU"/>
              </w:rPr>
            </w:pPr>
            <w:r w:rsidRPr="002D7AE6">
              <w:rPr>
                <w:color w:val="000000"/>
                <w:sz w:val="18"/>
                <w:szCs w:val="18"/>
                <w:lang w:eastAsia="en-AU"/>
              </w:rPr>
              <w:t>$42,334</w:t>
            </w:r>
          </w:p>
        </w:tc>
      </w:tr>
      <w:tr w:rsidR="00052799" w:rsidRPr="002D7AE6" w14:paraId="3ECFC39C"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3E93BBF0" w14:textId="77777777" w:rsidR="00052799" w:rsidRPr="002D7AE6" w:rsidRDefault="00052799" w:rsidP="00871631">
            <w:pPr>
              <w:rPr>
                <w:color w:val="000000"/>
                <w:sz w:val="18"/>
                <w:szCs w:val="18"/>
                <w:lang w:eastAsia="en-AU"/>
              </w:rPr>
            </w:pPr>
            <w:r w:rsidRPr="002D7AE6">
              <w:rPr>
                <w:color w:val="000000"/>
                <w:sz w:val="18"/>
                <w:szCs w:val="18"/>
                <w:lang w:eastAsia="en-AU"/>
              </w:rPr>
              <w:t>Permits for theatrical armourers under section 92A</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449DCD5D" w14:textId="77777777" w:rsidR="00052799" w:rsidRPr="002D7AE6" w:rsidRDefault="00052799" w:rsidP="00871631">
            <w:pPr>
              <w:rPr>
                <w:color w:val="000000"/>
                <w:sz w:val="18"/>
                <w:szCs w:val="18"/>
                <w:lang w:eastAsia="en-AU"/>
              </w:rPr>
            </w:pPr>
            <w:r w:rsidRPr="002D7AE6">
              <w:rPr>
                <w:color w:val="000000"/>
                <w:sz w:val="18"/>
                <w:szCs w:val="18"/>
                <w:lang w:eastAsia="en-AU"/>
              </w:rPr>
              <w:t>$51.0</w:t>
            </w:r>
          </w:p>
        </w:tc>
        <w:tc>
          <w:tcPr>
            <w:tcW w:w="1255" w:type="dxa"/>
            <w:vMerge/>
            <w:tcBorders>
              <w:top w:val="nil"/>
              <w:left w:val="single" w:sz="4" w:space="0" w:color="FFFFFF"/>
              <w:bottom w:val="single" w:sz="4" w:space="0" w:color="FFFFFF"/>
              <w:right w:val="single" w:sz="4" w:space="0" w:color="auto"/>
            </w:tcBorders>
            <w:vAlign w:val="center"/>
            <w:hideMark/>
          </w:tcPr>
          <w:p w14:paraId="74DC4731"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41A41DE8" w14:textId="77777777" w:rsidR="00052799" w:rsidRPr="002D7AE6" w:rsidRDefault="00052799" w:rsidP="00871631">
            <w:pPr>
              <w:rPr>
                <w:color w:val="000000"/>
                <w:sz w:val="18"/>
                <w:szCs w:val="18"/>
                <w:lang w:eastAsia="en-AU"/>
              </w:rPr>
            </w:pPr>
            <w:r w:rsidRPr="002D7AE6">
              <w:rPr>
                <w:color w:val="000000"/>
                <w:sz w:val="18"/>
                <w:szCs w:val="18"/>
                <w:lang w:eastAsia="en-AU"/>
              </w:rPr>
              <w:t>$93.6</w:t>
            </w:r>
          </w:p>
        </w:tc>
        <w:tc>
          <w:tcPr>
            <w:tcW w:w="850" w:type="dxa"/>
            <w:tcBorders>
              <w:top w:val="nil"/>
              <w:left w:val="nil"/>
              <w:bottom w:val="single" w:sz="4" w:space="0" w:color="FFFFFF"/>
              <w:right w:val="single" w:sz="4" w:space="0" w:color="FFFFFF"/>
            </w:tcBorders>
            <w:shd w:val="clear" w:color="000000" w:fill="D9E1F2"/>
            <w:vAlign w:val="bottom"/>
            <w:hideMark/>
          </w:tcPr>
          <w:p w14:paraId="501C37E7" w14:textId="77777777" w:rsidR="00052799" w:rsidRPr="002D7AE6" w:rsidRDefault="00052799" w:rsidP="00871631">
            <w:pPr>
              <w:jc w:val="right"/>
              <w:rPr>
                <w:color w:val="000000"/>
                <w:sz w:val="18"/>
                <w:szCs w:val="18"/>
                <w:lang w:eastAsia="en-AU"/>
              </w:rPr>
            </w:pPr>
            <w:r w:rsidRPr="002D7AE6">
              <w:rPr>
                <w:color w:val="000000"/>
                <w:sz w:val="18"/>
                <w:szCs w:val="18"/>
                <w:lang w:eastAsia="en-AU"/>
              </w:rPr>
              <w:t>83%</w:t>
            </w:r>
          </w:p>
        </w:tc>
        <w:tc>
          <w:tcPr>
            <w:tcW w:w="1418" w:type="dxa"/>
            <w:vMerge/>
            <w:tcBorders>
              <w:top w:val="nil"/>
              <w:left w:val="single" w:sz="4" w:space="0" w:color="FFFFFF"/>
              <w:bottom w:val="single" w:sz="4" w:space="0" w:color="FFFFFF"/>
              <w:right w:val="single" w:sz="4" w:space="0" w:color="FFFFFF"/>
            </w:tcBorders>
            <w:vAlign w:val="center"/>
            <w:hideMark/>
          </w:tcPr>
          <w:p w14:paraId="659984F6"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4D8ECEB9"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7A9D649F" w14:textId="77777777" w:rsidR="00052799" w:rsidRPr="002D7AE6" w:rsidRDefault="00052799" w:rsidP="00871631">
            <w:pPr>
              <w:rPr>
                <w:color w:val="000000"/>
                <w:sz w:val="18"/>
                <w:szCs w:val="18"/>
                <w:lang w:eastAsia="en-AU"/>
              </w:rPr>
            </w:pPr>
            <w:r w:rsidRPr="002D7AE6">
              <w:rPr>
                <w:color w:val="000000"/>
                <w:sz w:val="18"/>
                <w:szCs w:val="18"/>
                <w:lang w:eastAsia="en-AU"/>
              </w:rPr>
              <w:t>$72.3</w:t>
            </w:r>
          </w:p>
        </w:tc>
        <w:tc>
          <w:tcPr>
            <w:tcW w:w="831" w:type="dxa"/>
            <w:tcBorders>
              <w:top w:val="nil"/>
              <w:left w:val="nil"/>
              <w:bottom w:val="single" w:sz="4" w:space="0" w:color="FFFFFF"/>
              <w:right w:val="single" w:sz="4" w:space="0" w:color="FFFFFF"/>
            </w:tcBorders>
            <w:shd w:val="clear" w:color="000000" w:fill="D9E1F2"/>
            <w:vAlign w:val="bottom"/>
            <w:hideMark/>
          </w:tcPr>
          <w:p w14:paraId="032A2AAA" w14:textId="77777777" w:rsidR="00052799" w:rsidRPr="002D7AE6" w:rsidRDefault="00052799" w:rsidP="00871631">
            <w:pPr>
              <w:jc w:val="right"/>
              <w:rPr>
                <w:color w:val="000000"/>
                <w:sz w:val="18"/>
                <w:szCs w:val="18"/>
                <w:lang w:eastAsia="en-AU"/>
              </w:rPr>
            </w:pPr>
            <w:r w:rsidRPr="002D7AE6">
              <w:rPr>
                <w:color w:val="000000"/>
                <w:sz w:val="18"/>
                <w:szCs w:val="18"/>
                <w:lang w:eastAsia="en-AU"/>
              </w:rPr>
              <w:t>42%</w:t>
            </w:r>
          </w:p>
        </w:tc>
        <w:tc>
          <w:tcPr>
            <w:tcW w:w="1255" w:type="dxa"/>
            <w:vMerge/>
            <w:tcBorders>
              <w:top w:val="nil"/>
              <w:left w:val="single" w:sz="4" w:space="0" w:color="FFFFFF"/>
              <w:bottom w:val="single" w:sz="4" w:space="0" w:color="FFFFFF"/>
              <w:right w:val="single" w:sz="4" w:space="0" w:color="FFFFFF"/>
            </w:tcBorders>
            <w:vAlign w:val="center"/>
            <w:hideMark/>
          </w:tcPr>
          <w:p w14:paraId="03B37BD3"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17A20CBF" w14:textId="77777777" w:rsidR="00052799" w:rsidRPr="002D7AE6" w:rsidRDefault="00052799" w:rsidP="00871631">
            <w:pPr>
              <w:rPr>
                <w:color w:val="000000"/>
                <w:sz w:val="18"/>
                <w:szCs w:val="18"/>
                <w:lang w:eastAsia="en-AU"/>
              </w:rPr>
            </w:pPr>
          </w:p>
        </w:tc>
      </w:tr>
      <w:tr w:rsidR="00052799" w:rsidRPr="002D7AE6" w14:paraId="09DEB838" w14:textId="77777777" w:rsidTr="00871631">
        <w:trPr>
          <w:trHeight w:val="864"/>
        </w:trPr>
        <w:tc>
          <w:tcPr>
            <w:tcW w:w="3681" w:type="dxa"/>
            <w:tcBorders>
              <w:top w:val="nil"/>
              <w:left w:val="nil"/>
              <w:bottom w:val="single" w:sz="4" w:space="0" w:color="FFFFFF"/>
              <w:right w:val="nil"/>
            </w:tcBorders>
            <w:shd w:val="clear" w:color="000000" w:fill="D9D9D9"/>
            <w:vAlign w:val="bottom"/>
            <w:hideMark/>
          </w:tcPr>
          <w:p w14:paraId="43900629" w14:textId="77777777" w:rsidR="00052799" w:rsidRPr="002D7AE6" w:rsidRDefault="00052799" w:rsidP="00871631">
            <w:pPr>
              <w:rPr>
                <w:color w:val="000000"/>
                <w:sz w:val="18"/>
                <w:szCs w:val="18"/>
                <w:lang w:eastAsia="en-AU"/>
              </w:rPr>
            </w:pPr>
            <w:r w:rsidRPr="002D7AE6">
              <w:rPr>
                <w:color w:val="000000"/>
                <w:sz w:val="18"/>
                <w:szCs w:val="18"/>
                <w:lang w:eastAsia="en-AU"/>
              </w:rPr>
              <w:t>Permit to for individual holder of firearms collectors licence or firearms ammunition collectors licence to display firearms or ammunition collections</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074923D2" w14:textId="77777777" w:rsidR="00052799" w:rsidRPr="002D7AE6" w:rsidRDefault="00052799" w:rsidP="00871631">
            <w:pPr>
              <w:rPr>
                <w:color w:val="000000"/>
                <w:sz w:val="18"/>
                <w:szCs w:val="18"/>
                <w:lang w:eastAsia="en-AU"/>
              </w:rPr>
            </w:pPr>
            <w:r w:rsidRPr="002D7AE6">
              <w:rPr>
                <w:color w:val="000000"/>
                <w:sz w:val="18"/>
                <w:szCs w:val="18"/>
                <w:lang w:eastAsia="en-AU"/>
              </w:rPr>
              <w:t>$33.4</w:t>
            </w:r>
          </w:p>
        </w:tc>
        <w:tc>
          <w:tcPr>
            <w:tcW w:w="1255" w:type="dxa"/>
            <w:vMerge/>
            <w:tcBorders>
              <w:top w:val="nil"/>
              <w:left w:val="single" w:sz="4" w:space="0" w:color="FFFFFF"/>
              <w:bottom w:val="single" w:sz="4" w:space="0" w:color="FFFFFF"/>
              <w:right w:val="single" w:sz="4" w:space="0" w:color="auto"/>
            </w:tcBorders>
            <w:vAlign w:val="center"/>
            <w:hideMark/>
          </w:tcPr>
          <w:p w14:paraId="1BEFE95C"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5DD83F7E" w14:textId="77777777" w:rsidR="00052799" w:rsidRPr="002D7AE6" w:rsidRDefault="00052799" w:rsidP="00871631">
            <w:pPr>
              <w:rPr>
                <w:color w:val="000000"/>
                <w:sz w:val="18"/>
                <w:szCs w:val="18"/>
                <w:lang w:eastAsia="en-AU"/>
              </w:rPr>
            </w:pPr>
            <w:r w:rsidRPr="002D7AE6">
              <w:rPr>
                <w:color w:val="000000"/>
                <w:sz w:val="18"/>
                <w:szCs w:val="18"/>
                <w:lang w:eastAsia="en-AU"/>
              </w:rPr>
              <w:t>$37.9</w:t>
            </w:r>
          </w:p>
        </w:tc>
        <w:tc>
          <w:tcPr>
            <w:tcW w:w="850" w:type="dxa"/>
            <w:tcBorders>
              <w:top w:val="nil"/>
              <w:left w:val="nil"/>
              <w:bottom w:val="single" w:sz="4" w:space="0" w:color="FFFFFF"/>
              <w:right w:val="single" w:sz="4" w:space="0" w:color="FFFFFF"/>
            </w:tcBorders>
            <w:shd w:val="clear" w:color="000000" w:fill="D9E1F2"/>
            <w:vAlign w:val="bottom"/>
            <w:hideMark/>
          </w:tcPr>
          <w:p w14:paraId="4C08B324" w14:textId="77777777" w:rsidR="00052799" w:rsidRPr="002D7AE6" w:rsidRDefault="00052799" w:rsidP="00871631">
            <w:pPr>
              <w:jc w:val="right"/>
              <w:rPr>
                <w:color w:val="000000"/>
                <w:sz w:val="18"/>
                <w:szCs w:val="18"/>
                <w:lang w:eastAsia="en-AU"/>
              </w:rPr>
            </w:pPr>
            <w:r w:rsidRPr="002D7AE6">
              <w:rPr>
                <w:color w:val="000000"/>
                <w:sz w:val="18"/>
                <w:szCs w:val="18"/>
                <w:lang w:eastAsia="en-AU"/>
              </w:rPr>
              <w:t>13%</w:t>
            </w:r>
          </w:p>
        </w:tc>
        <w:tc>
          <w:tcPr>
            <w:tcW w:w="1418" w:type="dxa"/>
            <w:vMerge/>
            <w:tcBorders>
              <w:top w:val="nil"/>
              <w:left w:val="single" w:sz="4" w:space="0" w:color="FFFFFF"/>
              <w:bottom w:val="single" w:sz="4" w:space="0" w:color="FFFFFF"/>
              <w:right w:val="single" w:sz="4" w:space="0" w:color="FFFFFF"/>
            </w:tcBorders>
            <w:vAlign w:val="center"/>
            <w:hideMark/>
          </w:tcPr>
          <w:p w14:paraId="04CD5B47"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5533552F"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2D57D43A" w14:textId="77777777" w:rsidR="00052799" w:rsidRPr="002D7AE6" w:rsidRDefault="00052799" w:rsidP="00871631">
            <w:pPr>
              <w:rPr>
                <w:color w:val="000000"/>
                <w:sz w:val="18"/>
                <w:szCs w:val="18"/>
                <w:lang w:eastAsia="en-AU"/>
              </w:rPr>
            </w:pPr>
            <w:r w:rsidRPr="002D7AE6">
              <w:rPr>
                <w:color w:val="000000"/>
                <w:sz w:val="18"/>
                <w:szCs w:val="18"/>
                <w:lang w:eastAsia="en-AU"/>
              </w:rPr>
              <w:t>$35.7</w:t>
            </w:r>
          </w:p>
        </w:tc>
        <w:tc>
          <w:tcPr>
            <w:tcW w:w="831" w:type="dxa"/>
            <w:tcBorders>
              <w:top w:val="nil"/>
              <w:left w:val="nil"/>
              <w:bottom w:val="single" w:sz="4" w:space="0" w:color="FFFFFF"/>
              <w:right w:val="single" w:sz="4" w:space="0" w:color="FFFFFF"/>
            </w:tcBorders>
            <w:shd w:val="clear" w:color="000000" w:fill="D9E1F2"/>
            <w:vAlign w:val="bottom"/>
            <w:hideMark/>
          </w:tcPr>
          <w:p w14:paraId="1D757AFB" w14:textId="77777777" w:rsidR="00052799" w:rsidRPr="002D7AE6" w:rsidRDefault="00052799" w:rsidP="00871631">
            <w:pPr>
              <w:jc w:val="right"/>
              <w:rPr>
                <w:color w:val="000000"/>
                <w:sz w:val="18"/>
                <w:szCs w:val="18"/>
                <w:lang w:eastAsia="en-AU"/>
              </w:rPr>
            </w:pPr>
            <w:r w:rsidRPr="002D7AE6">
              <w:rPr>
                <w:color w:val="000000"/>
                <w:sz w:val="18"/>
                <w:szCs w:val="18"/>
                <w:lang w:eastAsia="en-AU"/>
              </w:rPr>
              <w:t>7%</w:t>
            </w:r>
          </w:p>
        </w:tc>
        <w:tc>
          <w:tcPr>
            <w:tcW w:w="1255" w:type="dxa"/>
            <w:vMerge/>
            <w:tcBorders>
              <w:top w:val="nil"/>
              <w:left w:val="single" w:sz="4" w:space="0" w:color="FFFFFF"/>
              <w:bottom w:val="single" w:sz="4" w:space="0" w:color="FFFFFF"/>
              <w:right w:val="single" w:sz="4" w:space="0" w:color="FFFFFF"/>
            </w:tcBorders>
            <w:vAlign w:val="center"/>
            <w:hideMark/>
          </w:tcPr>
          <w:p w14:paraId="3EFBB4B8"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5950BFE6" w14:textId="77777777" w:rsidR="00052799" w:rsidRPr="002D7AE6" w:rsidRDefault="00052799" w:rsidP="00871631">
            <w:pPr>
              <w:rPr>
                <w:color w:val="000000"/>
                <w:sz w:val="18"/>
                <w:szCs w:val="18"/>
                <w:lang w:eastAsia="en-AU"/>
              </w:rPr>
            </w:pPr>
          </w:p>
        </w:tc>
      </w:tr>
      <w:tr w:rsidR="00052799" w:rsidRPr="002D7AE6" w14:paraId="0F12B508" w14:textId="77777777" w:rsidTr="00871631">
        <w:trPr>
          <w:trHeight w:val="576"/>
        </w:trPr>
        <w:tc>
          <w:tcPr>
            <w:tcW w:w="3681" w:type="dxa"/>
            <w:tcBorders>
              <w:top w:val="nil"/>
              <w:left w:val="nil"/>
              <w:bottom w:val="single" w:sz="4" w:space="0" w:color="FFFFFF"/>
              <w:right w:val="nil"/>
            </w:tcBorders>
            <w:shd w:val="clear" w:color="000000" w:fill="D9D9D9"/>
            <w:vAlign w:val="bottom"/>
            <w:hideMark/>
          </w:tcPr>
          <w:p w14:paraId="404DF1C5" w14:textId="77777777" w:rsidR="00052799" w:rsidRPr="002D7AE6" w:rsidRDefault="00052799" w:rsidP="00871631">
            <w:pPr>
              <w:rPr>
                <w:color w:val="000000"/>
                <w:sz w:val="18"/>
                <w:szCs w:val="18"/>
                <w:lang w:eastAsia="en-AU"/>
              </w:rPr>
            </w:pPr>
            <w:r w:rsidRPr="002D7AE6">
              <w:rPr>
                <w:color w:val="000000"/>
                <w:sz w:val="18"/>
                <w:szCs w:val="18"/>
                <w:lang w:eastAsia="en-AU"/>
              </w:rPr>
              <w:t>Permits to display firearms or ammunition collections for approved firearms collectors clubs</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0940D99A" w14:textId="77777777" w:rsidR="00052799" w:rsidRPr="002D7AE6" w:rsidRDefault="00052799" w:rsidP="00871631">
            <w:pPr>
              <w:rPr>
                <w:color w:val="000000"/>
                <w:sz w:val="18"/>
                <w:szCs w:val="18"/>
                <w:lang w:eastAsia="en-AU"/>
              </w:rPr>
            </w:pPr>
            <w:r w:rsidRPr="002D7AE6">
              <w:rPr>
                <w:color w:val="000000"/>
                <w:sz w:val="18"/>
                <w:szCs w:val="18"/>
                <w:lang w:eastAsia="en-AU"/>
              </w:rPr>
              <w:t>$33.4</w:t>
            </w:r>
          </w:p>
        </w:tc>
        <w:tc>
          <w:tcPr>
            <w:tcW w:w="1255" w:type="dxa"/>
            <w:vMerge/>
            <w:tcBorders>
              <w:top w:val="nil"/>
              <w:left w:val="single" w:sz="4" w:space="0" w:color="FFFFFF"/>
              <w:bottom w:val="single" w:sz="4" w:space="0" w:color="FFFFFF"/>
              <w:right w:val="single" w:sz="4" w:space="0" w:color="auto"/>
            </w:tcBorders>
            <w:vAlign w:val="center"/>
            <w:hideMark/>
          </w:tcPr>
          <w:p w14:paraId="17E8A3EB"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52E51FF9" w14:textId="77777777" w:rsidR="00052799" w:rsidRPr="002D7AE6" w:rsidRDefault="00052799" w:rsidP="00871631">
            <w:pPr>
              <w:rPr>
                <w:color w:val="000000"/>
                <w:sz w:val="18"/>
                <w:szCs w:val="18"/>
                <w:lang w:eastAsia="en-AU"/>
              </w:rPr>
            </w:pPr>
            <w:r w:rsidRPr="002D7AE6">
              <w:rPr>
                <w:color w:val="000000"/>
                <w:sz w:val="18"/>
                <w:szCs w:val="18"/>
                <w:lang w:eastAsia="en-AU"/>
              </w:rPr>
              <w:t>$44.7</w:t>
            </w:r>
          </w:p>
        </w:tc>
        <w:tc>
          <w:tcPr>
            <w:tcW w:w="850" w:type="dxa"/>
            <w:tcBorders>
              <w:top w:val="nil"/>
              <w:left w:val="nil"/>
              <w:bottom w:val="single" w:sz="4" w:space="0" w:color="FFFFFF"/>
              <w:right w:val="single" w:sz="4" w:space="0" w:color="FFFFFF"/>
            </w:tcBorders>
            <w:shd w:val="clear" w:color="000000" w:fill="D9E1F2"/>
            <w:vAlign w:val="bottom"/>
            <w:hideMark/>
          </w:tcPr>
          <w:p w14:paraId="3B0876BD" w14:textId="77777777" w:rsidR="00052799" w:rsidRPr="002D7AE6" w:rsidRDefault="00052799" w:rsidP="00871631">
            <w:pPr>
              <w:jc w:val="right"/>
              <w:rPr>
                <w:color w:val="000000"/>
                <w:sz w:val="18"/>
                <w:szCs w:val="18"/>
                <w:lang w:eastAsia="en-AU"/>
              </w:rPr>
            </w:pPr>
            <w:r w:rsidRPr="002D7AE6">
              <w:rPr>
                <w:color w:val="000000"/>
                <w:sz w:val="18"/>
                <w:szCs w:val="18"/>
                <w:lang w:eastAsia="en-AU"/>
              </w:rPr>
              <w:t>34%</w:t>
            </w:r>
          </w:p>
        </w:tc>
        <w:tc>
          <w:tcPr>
            <w:tcW w:w="1418" w:type="dxa"/>
            <w:vMerge/>
            <w:tcBorders>
              <w:top w:val="nil"/>
              <w:left w:val="single" w:sz="4" w:space="0" w:color="FFFFFF"/>
              <w:bottom w:val="single" w:sz="4" w:space="0" w:color="FFFFFF"/>
              <w:right w:val="single" w:sz="4" w:space="0" w:color="FFFFFF"/>
            </w:tcBorders>
            <w:vAlign w:val="center"/>
            <w:hideMark/>
          </w:tcPr>
          <w:p w14:paraId="4EBFFDFC"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367F97C5"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57EE37A2" w14:textId="77777777" w:rsidR="00052799" w:rsidRPr="002D7AE6" w:rsidRDefault="00052799" w:rsidP="00871631">
            <w:pPr>
              <w:rPr>
                <w:color w:val="000000"/>
                <w:sz w:val="18"/>
                <w:szCs w:val="18"/>
                <w:lang w:eastAsia="en-AU"/>
              </w:rPr>
            </w:pPr>
            <w:r w:rsidRPr="002D7AE6">
              <w:rPr>
                <w:color w:val="000000"/>
                <w:sz w:val="18"/>
                <w:szCs w:val="18"/>
                <w:lang w:eastAsia="en-AU"/>
              </w:rPr>
              <w:t>$39.0</w:t>
            </w:r>
          </w:p>
        </w:tc>
        <w:tc>
          <w:tcPr>
            <w:tcW w:w="831" w:type="dxa"/>
            <w:tcBorders>
              <w:top w:val="nil"/>
              <w:left w:val="nil"/>
              <w:bottom w:val="single" w:sz="4" w:space="0" w:color="FFFFFF"/>
              <w:right w:val="single" w:sz="4" w:space="0" w:color="FFFFFF"/>
            </w:tcBorders>
            <w:shd w:val="clear" w:color="000000" w:fill="D9E1F2"/>
            <w:vAlign w:val="bottom"/>
            <w:hideMark/>
          </w:tcPr>
          <w:p w14:paraId="68D91E3C" w14:textId="77777777" w:rsidR="00052799" w:rsidRPr="002D7AE6" w:rsidRDefault="00052799" w:rsidP="00871631">
            <w:pPr>
              <w:jc w:val="right"/>
              <w:rPr>
                <w:color w:val="000000"/>
                <w:sz w:val="18"/>
                <w:szCs w:val="18"/>
                <w:lang w:eastAsia="en-AU"/>
              </w:rPr>
            </w:pPr>
            <w:r w:rsidRPr="002D7AE6">
              <w:rPr>
                <w:color w:val="000000"/>
                <w:sz w:val="18"/>
                <w:szCs w:val="18"/>
                <w:lang w:eastAsia="en-AU"/>
              </w:rPr>
              <w:t>17%</w:t>
            </w:r>
          </w:p>
        </w:tc>
        <w:tc>
          <w:tcPr>
            <w:tcW w:w="1255" w:type="dxa"/>
            <w:vMerge/>
            <w:tcBorders>
              <w:top w:val="nil"/>
              <w:left w:val="single" w:sz="4" w:space="0" w:color="FFFFFF"/>
              <w:bottom w:val="single" w:sz="4" w:space="0" w:color="FFFFFF"/>
              <w:right w:val="single" w:sz="4" w:space="0" w:color="FFFFFF"/>
            </w:tcBorders>
            <w:vAlign w:val="center"/>
            <w:hideMark/>
          </w:tcPr>
          <w:p w14:paraId="6C69E293"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35260821" w14:textId="77777777" w:rsidR="00052799" w:rsidRPr="002D7AE6" w:rsidRDefault="00052799" w:rsidP="00871631">
            <w:pPr>
              <w:rPr>
                <w:color w:val="000000"/>
                <w:sz w:val="18"/>
                <w:szCs w:val="18"/>
                <w:lang w:eastAsia="en-AU"/>
              </w:rPr>
            </w:pPr>
          </w:p>
        </w:tc>
      </w:tr>
      <w:tr w:rsidR="00052799" w:rsidRPr="002D7AE6" w14:paraId="658A5BE8"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5BB79B9E" w14:textId="77777777" w:rsidR="00052799" w:rsidRPr="002D7AE6" w:rsidRDefault="00052799" w:rsidP="00871631">
            <w:pPr>
              <w:rPr>
                <w:color w:val="000000"/>
                <w:sz w:val="18"/>
                <w:szCs w:val="18"/>
                <w:lang w:eastAsia="en-AU"/>
              </w:rPr>
            </w:pPr>
            <w:r w:rsidRPr="002D7AE6">
              <w:rPr>
                <w:color w:val="000000"/>
                <w:sz w:val="18"/>
                <w:szCs w:val="18"/>
                <w:lang w:eastAsia="en-AU"/>
              </w:rPr>
              <w:t>Permit for silencer or prescribed items</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2DD9E094" w14:textId="77777777" w:rsidR="00052799" w:rsidRPr="002D7AE6" w:rsidRDefault="00052799" w:rsidP="00871631">
            <w:pPr>
              <w:rPr>
                <w:color w:val="000000"/>
                <w:sz w:val="18"/>
                <w:szCs w:val="18"/>
                <w:lang w:eastAsia="en-AU"/>
              </w:rPr>
            </w:pPr>
            <w:r w:rsidRPr="002D7AE6">
              <w:rPr>
                <w:color w:val="000000"/>
                <w:sz w:val="18"/>
                <w:szCs w:val="18"/>
                <w:lang w:eastAsia="en-AU"/>
              </w:rPr>
              <w:t>$84.5</w:t>
            </w:r>
          </w:p>
        </w:tc>
        <w:tc>
          <w:tcPr>
            <w:tcW w:w="1255" w:type="dxa"/>
            <w:vMerge/>
            <w:tcBorders>
              <w:top w:val="nil"/>
              <w:left w:val="single" w:sz="4" w:space="0" w:color="FFFFFF"/>
              <w:bottom w:val="single" w:sz="4" w:space="0" w:color="FFFFFF"/>
              <w:right w:val="single" w:sz="4" w:space="0" w:color="auto"/>
            </w:tcBorders>
            <w:vAlign w:val="center"/>
            <w:hideMark/>
          </w:tcPr>
          <w:p w14:paraId="1A8961FD"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2380E0AF" w14:textId="77777777" w:rsidR="00052799" w:rsidRPr="002D7AE6" w:rsidRDefault="00052799" w:rsidP="00871631">
            <w:pPr>
              <w:rPr>
                <w:color w:val="000000"/>
                <w:sz w:val="18"/>
                <w:szCs w:val="18"/>
                <w:lang w:eastAsia="en-AU"/>
              </w:rPr>
            </w:pPr>
            <w:r w:rsidRPr="002D7AE6">
              <w:rPr>
                <w:color w:val="000000"/>
                <w:sz w:val="18"/>
                <w:szCs w:val="18"/>
                <w:lang w:eastAsia="en-AU"/>
              </w:rPr>
              <w:t>$278.9</w:t>
            </w:r>
          </w:p>
        </w:tc>
        <w:tc>
          <w:tcPr>
            <w:tcW w:w="850" w:type="dxa"/>
            <w:tcBorders>
              <w:top w:val="nil"/>
              <w:left w:val="nil"/>
              <w:bottom w:val="single" w:sz="4" w:space="0" w:color="FFFFFF"/>
              <w:right w:val="single" w:sz="4" w:space="0" w:color="FFFFFF"/>
            </w:tcBorders>
            <w:shd w:val="clear" w:color="000000" w:fill="D9E1F2"/>
            <w:vAlign w:val="bottom"/>
            <w:hideMark/>
          </w:tcPr>
          <w:p w14:paraId="22384EC7" w14:textId="77777777" w:rsidR="00052799" w:rsidRPr="002D7AE6" w:rsidRDefault="00052799" w:rsidP="00871631">
            <w:pPr>
              <w:jc w:val="right"/>
              <w:rPr>
                <w:color w:val="000000"/>
                <w:sz w:val="18"/>
                <w:szCs w:val="18"/>
                <w:lang w:eastAsia="en-AU"/>
              </w:rPr>
            </w:pPr>
            <w:r w:rsidRPr="002D7AE6">
              <w:rPr>
                <w:color w:val="000000"/>
                <w:sz w:val="18"/>
                <w:szCs w:val="18"/>
                <w:lang w:eastAsia="en-AU"/>
              </w:rPr>
              <w:t>230%</w:t>
            </w:r>
          </w:p>
        </w:tc>
        <w:tc>
          <w:tcPr>
            <w:tcW w:w="1418" w:type="dxa"/>
            <w:vMerge/>
            <w:tcBorders>
              <w:top w:val="nil"/>
              <w:left w:val="single" w:sz="4" w:space="0" w:color="FFFFFF"/>
              <w:bottom w:val="single" w:sz="4" w:space="0" w:color="FFFFFF"/>
              <w:right w:val="single" w:sz="4" w:space="0" w:color="FFFFFF"/>
            </w:tcBorders>
            <w:vAlign w:val="center"/>
            <w:hideMark/>
          </w:tcPr>
          <w:p w14:paraId="6532DA6B"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6AF22890"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670B1984" w14:textId="77777777" w:rsidR="00052799" w:rsidRPr="002D7AE6" w:rsidRDefault="00052799" w:rsidP="00871631">
            <w:pPr>
              <w:rPr>
                <w:color w:val="000000"/>
                <w:sz w:val="18"/>
                <w:szCs w:val="18"/>
                <w:lang w:eastAsia="en-AU"/>
              </w:rPr>
            </w:pPr>
            <w:r w:rsidRPr="002D7AE6">
              <w:rPr>
                <w:color w:val="000000"/>
                <w:sz w:val="18"/>
                <w:szCs w:val="18"/>
                <w:lang w:eastAsia="en-AU"/>
              </w:rPr>
              <w:t>$181.7</w:t>
            </w:r>
          </w:p>
        </w:tc>
        <w:tc>
          <w:tcPr>
            <w:tcW w:w="831" w:type="dxa"/>
            <w:tcBorders>
              <w:top w:val="nil"/>
              <w:left w:val="nil"/>
              <w:bottom w:val="single" w:sz="4" w:space="0" w:color="FFFFFF"/>
              <w:right w:val="single" w:sz="4" w:space="0" w:color="FFFFFF"/>
            </w:tcBorders>
            <w:shd w:val="clear" w:color="000000" w:fill="D9E1F2"/>
            <w:vAlign w:val="bottom"/>
            <w:hideMark/>
          </w:tcPr>
          <w:p w14:paraId="2FDECAE0" w14:textId="77777777" w:rsidR="00052799" w:rsidRPr="002D7AE6" w:rsidRDefault="00052799" w:rsidP="00871631">
            <w:pPr>
              <w:jc w:val="right"/>
              <w:rPr>
                <w:color w:val="000000"/>
                <w:sz w:val="18"/>
                <w:szCs w:val="18"/>
                <w:lang w:eastAsia="en-AU"/>
              </w:rPr>
            </w:pPr>
            <w:r w:rsidRPr="002D7AE6">
              <w:rPr>
                <w:color w:val="000000"/>
                <w:sz w:val="18"/>
                <w:szCs w:val="18"/>
                <w:lang w:eastAsia="en-AU"/>
              </w:rPr>
              <w:t>115%</w:t>
            </w:r>
          </w:p>
        </w:tc>
        <w:tc>
          <w:tcPr>
            <w:tcW w:w="1255" w:type="dxa"/>
            <w:vMerge/>
            <w:tcBorders>
              <w:top w:val="nil"/>
              <w:left w:val="single" w:sz="4" w:space="0" w:color="FFFFFF"/>
              <w:bottom w:val="single" w:sz="4" w:space="0" w:color="FFFFFF"/>
              <w:right w:val="single" w:sz="4" w:space="0" w:color="FFFFFF"/>
            </w:tcBorders>
            <w:vAlign w:val="center"/>
            <w:hideMark/>
          </w:tcPr>
          <w:p w14:paraId="1119B8C3"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22D1CBF6" w14:textId="77777777" w:rsidR="00052799" w:rsidRPr="002D7AE6" w:rsidRDefault="00052799" w:rsidP="00871631">
            <w:pPr>
              <w:rPr>
                <w:color w:val="000000"/>
                <w:sz w:val="18"/>
                <w:szCs w:val="18"/>
                <w:lang w:eastAsia="en-AU"/>
              </w:rPr>
            </w:pPr>
          </w:p>
        </w:tc>
      </w:tr>
      <w:tr w:rsidR="00052799" w:rsidRPr="002D7AE6" w14:paraId="139CB9CE"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07F4AE53" w14:textId="77777777" w:rsidR="00052799" w:rsidRPr="002D7AE6" w:rsidRDefault="00052799" w:rsidP="00871631">
            <w:pPr>
              <w:rPr>
                <w:color w:val="000000"/>
                <w:sz w:val="18"/>
                <w:szCs w:val="18"/>
                <w:lang w:eastAsia="en-AU"/>
              </w:rPr>
            </w:pPr>
            <w:r w:rsidRPr="002D7AE6">
              <w:rPr>
                <w:color w:val="000000"/>
                <w:sz w:val="18"/>
                <w:szCs w:val="18"/>
                <w:lang w:eastAsia="en-AU"/>
              </w:rPr>
              <w:t>Populous place permit</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50D04DDD" w14:textId="77777777" w:rsidR="00052799" w:rsidRPr="002D7AE6" w:rsidRDefault="00052799" w:rsidP="00871631">
            <w:pPr>
              <w:rPr>
                <w:color w:val="000000"/>
                <w:sz w:val="18"/>
                <w:szCs w:val="18"/>
                <w:lang w:eastAsia="en-AU"/>
              </w:rPr>
            </w:pPr>
            <w:r w:rsidRPr="002D7AE6">
              <w:rPr>
                <w:color w:val="000000"/>
                <w:sz w:val="18"/>
                <w:szCs w:val="18"/>
                <w:lang w:eastAsia="en-AU"/>
              </w:rPr>
              <w:t>$-</w:t>
            </w:r>
          </w:p>
        </w:tc>
        <w:tc>
          <w:tcPr>
            <w:tcW w:w="1255" w:type="dxa"/>
            <w:vMerge/>
            <w:tcBorders>
              <w:top w:val="nil"/>
              <w:left w:val="single" w:sz="4" w:space="0" w:color="FFFFFF"/>
              <w:bottom w:val="single" w:sz="4" w:space="0" w:color="FFFFFF"/>
              <w:right w:val="single" w:sz="4" w:space="0" w:color="auto"/>
            </w:tcBorders>
            <w:vAlign w:val="center"/>
            <w:hideMark/>
          </w:tcPr>
          <w:p w14:paraId="6247FB76"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7E86D872" w14:textId="77777777" w:rsidR="00052799" w:rsidRPr="002D7AE6" w:rsidRDefault="00052799" w:rsidP="00871631">
            <w:pPr>
              <w:rPr>
                <w:color w:val="000000"/>
                <w:sz w:val="18"/>
                <w:szCs w:val="18"/>
                <w:lang w:eastAsia="en-AU"/>
              </w:rPr>
            </w:pPr>
            <w:r w:rsidRPr="002D7AE6">
              <w:rPr>
                <w:color w:val="000000"/>
                <w:sz w:val="18"/>
                <w:szCs w:val="18"/>
                <w:lang w:eastAsia="en-AU"/>
              </w:rPr>
              <w:t>$431.1</w:t>
            </w:r>
          </w:p>
        </w:tc>
        <w:tc>
          <w:tcPr>
            <w:tcW w:w="850" w:type="dxa"/>
            <w:tcBorders>
              <w:top w:val="nil"/>
              <w:left w:val="nil"/>
              <w:bottom w:val="single" w:sz="4" w:space="0" w:color="FFFFFF"/>
              <w:right w:val="single" w:sz="4" w:space="0" w:color="FFFFFF"/>
            </w:tcBorders>
            <w:shd w:val="clear" w:color="000000" w:fill="D9E1F2"/>
            <w:vAlign w:val="bottom"/>
            <w:hideMark/>
          </w:tcPr>
          <w:p w14:paraId="162A93EA" w14:textId="77777777" w:rsidR="00052799" w:rsidRPr="002D7AE6" w:rsidRDefault="00052799" w:rsidP="00871631">
            <w:pPr>
              <w:rPr>
                <w:color w:val="000000"/>
                <w:sz w:val="18"/>
                <w:szCs w:val="18"/>
                <w:lang w:eastAsia="en-AU"/>
              </w:rPr>
            </w:pPr>
            <w:r w:rsidRPr="002D7AE6">
              <w:rPr>
                <w:color w:val="000000"/>
                <w:sz w:val="18"/>
                <w:szCs w:val="18"/>
                <w:lang w:eastAsia="en-AU"/>
              </w:rPr>
              <w:t>*</w:t>
            </w:r>
          </w:p>
        </w:tc>
        <w:tc>
          <w:tcPr>
            <w:tcW w:w="1418" w:type="dxa"/>
            <w:vMerge/>
            <w:tcBorders>
              <w:top w:val="nil"/>
              <w:left w:val="single" w:sz="4" w:space="0" w:color="FFFFFF"/>
              <w:bottom w:val="single" w:sz="4" w:space="0" w:color="FFFFFF"/>
              <w:right w:val="single" w:sz="4" w:space="0" w:color="FFFFFF"/>
            </w:tcBorders>
            <w:vAlign w:val="center"/>
            <w:hideMark/>
          </w:tcPr>
          <w:p w14:paraId="7A792D47"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15CB029E"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28302AC3" w14:textId="77777777" w:rsidR="00052799" w:rsidRPr="002D7AE6" w:rsidRDefault="00052799" w:rsidP="00871631">
            <w:pPr>
              <w:rPr>
                <w:color w:val="000000"/>
                <w:sz w:val="18"/>
                <w:szCs w:val="18"/>
                <w:lang w:eastAsia="en-AU"/>
              </w:rPr>
            </w:pPr>
            <w:r w:rsidRPr="002D7AE6">
              <w:rPr>
                <w:color w:val="000000"/>
                <w:sz w:val="18"/>
                <w:szCs w:val="18"/>
                <w:lang w:eastAsia="en-AU"/>
              </w:rPr>
              <w:t>$333.9</w:t>
            </w:r>
          </w:p>
        </w:tc>
        <w:tc>
          <w:tcPr>
            <w:tcW w:w="831" w:type="dxa"/>
            <w:tcBorders>
              <w:top w:val="nil"/>
              <w:left w:val="nil"/>
              <w:bottom w:val="single" w:sz="4" w:space="0" w:color="FFFFFF"/>
              <w:right w:val="single" w:sz="4" w:space="0" w:color="FFFFFF"/>
            </w:tcBorders>
            <w:shd w:val="clear" w:color="000000" w:fill="D9E1F2"/>
            <w:vAlign w:val="bottom"/>
            <w:hideMark/>
          </w:tcPr>
          <w:p w14:paraId="5AE539A1" w14:textId="77777777" w:rsidR="00052799" w:rsidRPr="002D7AE6" w:rsidRDefault="00052799" w:rsidP="00871631">
            <w:pPr>
              <w:rPr>
                <w:color w:val="000000"/>
                <w:sz w:val="18"/>
                <w:szCs w:val="18"/>
                <w:lang w:eastAsia="en-AU"/>
              </w:rPr>
            </w:pPr>
            <w:r w:rsidRPr="002D7AE6">
              <w:rPr>
                <w:color w:val="000000"/>
                <w:sz w:val="18"/>
                <w:szCs w:val="18"/>
                <w:lang w:eastAsia="en-AU"/>
              </w:rPr>
              <w:t>*</w:t>
            </w:r>
          </w:p>
        </w:tc>
        <w:tc>
          <w:tcPr>
            <w:tcW w:w="1255" w:type="dxa"/>
            <w:vMerge/>
            <w:tcBorders>
              <w:top w:val="nil"/>
              <w:left w:val="single" w:sz="4" w:space="0" w:color="FFFFFF"/>
              <w:bottom w:val="single" w:sz="4" w:space="0" w:color="FFFFFF"/>
              <w:right w:val="single" w:sz="4" w:space="0" w:color="FFFFFF"/>
            </w:tcBorders>
            <w:vAlign w:val="center"/>
            <w:hideMark/>
          </w:tcPr>
          <w:p w14:paraId="26E0B792"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15EF2CF7" w14:textId="77777777" w:rsidR="00052799" w:rsidRPr="002D7AE6" w:rsidRDefault="00052799" w:rsidP="00871631">
            <w:pPr>
              <w:rPr>
                <w:color w:val="000000"/>
                <w:sz w:val="18"/>
                <w:szCs w:val="18"/>
                <w:lang w:eastAsia="en-AU"/>
              </w:rPr>
            </w:pPr>
          </w:p>
        </w:tc>
      </w:tr>
      <w:tr w:rsidR="00052799" w:rsidRPr="002D7AE6" w14:paraId="200AB46D" w14:textId="77777777" w:rsidTr="00871631">
        <w:trPr>
          <w:trHeight w:val="576"/>
        </w:trPr>
        <w:tc>
          <w:tcPr>
            <w:tcW w:w="3681" w:type="dxa"/>
            <w:tcBorders>
              <w:top w:val="nil"/>
              <w:left w:val="nil"/>
              <w:bottom w:val="single" w:sz="4" w:space="0" w:color="FFFFFF"/>
              <w:right w:val="nil"/>
            </w:tcBorders>
            <w:shd w:val="clear" w:color="000000" w:fill="D9D9D9"/>
            <w:vAlign w:val="bottom"/>
            <w:hideMark/>
          </w:tcPr>
          <w:p w14:paraId="7E90BE8B" w14:textId="77777777" w:rsidR="00052799" w:rsidRPr="002D7AE6" w:rsidRDefault="00052799" w:rsidP="00871631">
            <w:pPr>
              <w:rPr>
                <w:color w:val="000000"/>
                <w:sz w:val="18"/>
                <w:szCs w:val="18"/>
                <w:lang w:eastAsia="en-AU"/>
              </w:rPr>
            </w:pPr>
            <w:r w:rsidRPr="002D7AE6">
              <w:rPr>
                <w:color w:val="000000"/>
                <w:sz w:val="18"/>
                <w:szCs w:val="18"/>
                <w:lang w:eastAsia="en-AU"/>
              </w:rPr>
              <w:t>Permit for holder of handgun security guard licence to possess, carry or use restricted ammunition</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11EAC8DE" w14:textId="77777777" w:rsidR="00052799" w:rsidRPr="002D7AE6" w:rsidRDefault="00052799" w:rsidP="00871631">
            <w:pPr>
              <w:rPr>
                <w:color w:val="000000"/>
                <w:sz w:val="18"/>
                <w:szCs w:val="18"/>
                <w:lang w:eastAsia="en-AU"/>
              </w:rPr>
            </w:pPr>
            <w:r w:rsidRPr="002D7AE6">
              <w:rPr>
                <w:color w:val="000000"/>
                <w:sz w:val="18"/>
                <w:szCs w:val="18"/>
                <w:lang w:eastAsia="en-AU"/>
              </w:rPr>
              <w:t>$84.5</w:t>
            </w:r>
          </w:p>
        </w:tc>
        <w:tc>
          <w:tcPr>
            <w:tcW w:w="1255" w:type="dxa"/>
            <w:vMerge/>
            <w:tcBorders>
              <w:top w:val="nil"/>
              <w:left w:val="single" w:sz="4" w:space="0" w:color="FFFFFF"/>
              <w:bottom w:val="single" w:sz="4" w:space="0" w:color="FFFFFF"/>
              <w:right w:val="single" w:sz="4" w:space="0" w:color="auto"/>
            </w:tcBorders>
            <w:vAlign w:val="center"/>
            <w:hideMark/>
          </w:tcPr>
          <w:p w14:paraId="7728B58D"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6FC9D84F" w14:textId="77777777" w:rsidR="00052799" w:rsidRPr="002D7AE6" w:rsidRDefault="00052799" w:rsidP="00871631">
            <w:pPr>
              <w:rPr>
                <w:color w:val="000000"/>
                <w:sz w:val="18"/>
                <w:szCs w:val="18"/>
                <w:lang w:eastAsia="en-AU"/>
              </w:rPr>
            </w:pPr>
            <w:r w:rsidRPr="002D7AE6">
              <w:rPr>
                <w:color w:val="000000"/>
                <w:sz w:val="18"/>
                <w:szCs w:val="18"/>
                <w:lang w:eastAsia="en-AU"/>
              </w:rPr>
              <w:t>$295.9</w:t>
            </w:r>
          </w:p>
        </w:tc>
        <w:tc>
          <w:tcPr>
            <w:tcW w:w="850" w:type="dxa"/>
            <w:tcBorders>
              <w:top w:val="nil"/>
              <w:left w:val="nil"/>
              <w:bottom w:val="single" w:sz="4" w:space="0" w:color="FFFFFF"/>
              <w:right w:val="single" w:sz="4" w:space="0" w:color="FFFFFF"/>
            </w:tcBorders>
            <w:shd w:val="clear" w:color="000000" w:fill="D9E1F2"/>
            <w:vAlign w:val="bottom"/>
            <w:hideMark/>
          </w:tcPr>
          <w:p w14:paraId="2D7C32BB" w14:textId="77777777" w:rsidR="00052799" w:rsidRPr="002D7AE6" w:rsidRDefault="00052799" w:rsidP="00871631">
            <w:pPr>
              <w:jc w:val="right"/>
              <w:rPr>
                <w:color w:val="000000"/>
                <w:sz w:val="18"/>
                <w:szCs w:val="18"/>
                <w:lang w:eastAsia="en-AU"/>
              </w:rPr>
            </w:pPr>
            <w:r w:rsidRPr="002D7AE6">
              <w:rPr>
                <w:color w:val="000000"/>
                <w:sz w:val="18"/>
                <w:szCs w:val="18"/>
                <w:lang w:eastAsia="en-AU"/>
              </w:rPr>
              <w:t>250%</w:t>
            </w:r>
          </w:p>
        </w:tc>
        <w:tc>
          <w:tcPr>
            <w:tcW w:w="1418" w:type="dxa"/>
            <w:vMerge/>
            <w:tcBorders>
              <w:top w:val="nil"/>
              <w:left w:val="single" w:sz="4" w:space="0" w:color="FFFFFF"/>
              <w:bottom w:val="single" w:sz="4" w:space="0" w:color="FFFFFF"/>
              <w:right w:val="single" w:sz="4" w:space="0" w:color="FFFFFF"/>
            </w:tcBorders>
            <w:vAlign w:val="center"/>
            <w:hideMark/>
          </w:tcPr>
          <w:p w14:paraId="10B2F64B"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3C9F643A"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49D4DBC3" w14:textId="77777777" w:rsidR="00052799" w:rsidRPr="002D7AE6" w:rsidRDefault="00052799" w:rsidP="00871631">
            <w:pPr>
              <w:rPr>
                <w:color w:val="000000"/>
                <w:sz w:val="18"/>
                <w:szCs w:val="18"/>
                <w:lang w:eastAsia="en-AU"/>
              </w:rPr>
            </w:pPr>
            <w:r w:rsidRPr="002D7AE6">
              <w:rPr>
                <w:color w:val="000000"/>
                <w:sz w:val="18"/>
                <w:szCs w:val="18"/>
                <w:lang w:eastAsia="en-AU"/>
              </w:rPr>
              <w:t>$190.2</w:t>
            </w:r>
          </w:p>
        </w:tc>
        <w:tc>
          <w:tcPr>
            <w:tcW w:w="831" w:type="dxa"/>
            <w:tcBorders>
              <w:top w:val="nil"/>
              <w:left w:val="nil"/>
              <w:bottom w:val="single" w:sz="4" w:space="0" w:color="FFFFFF"/>
              <w:right w:val="single" w:sz="4" w:space="0" w:color="FFFFFF"/>
            </w:tcBorders>
            <w:shd w:val="clear" w:color="000000" w:fill="D9E1F2"/>
            <w:vAlign w:val="bottom"/>
            <w:hideMark/>
          </w:tcPr>
          <w:p w14:paraId="05FFA7C0" w14:textId="77777777" w:rsidR="00052799" w:rsidRPr="002D7AE6" w:rsidRDefault="00052799" w:rsidP="00871631">
            <w:pPr>
              <w:jc w:val="right"/>
              <w:rPr>
                <w:color w:val="000000"/>
                <w:sz w:val="18"/>
                <w:szCs w:val="18"/>
                <w:lang w:eastAsia="en-AU"/>
              </w:rPr>
            </w:pPr>
            <w:r w:rsidRPr="002D7AE6">
              <w:rPr>
                <w:color w:val="000000"/>
                <w:sz w:val="18"/>
                <w:szCs w:val="18"/>
                <w:lang w:eastAsia="en-AU"/>
              </w:rPr>
              <w:t>125%</w:t>
            </w:r>
          </w:p>
        </w:tc>
        <w:tc>
          <w:tcPr>
            <w:tcW w:w="1255" w:type="dxa"/>
            <w:vMerge/>
            <w:tcBorders>
              <w:top w:val="nil"/>
              <w:left w:val="single" w:sz="4" w:space="0" w:color="FFFFFF"/>
              <w:bottom w:val="single" w:sz="4" w:space="0" w:color="FFFFFF"/>
              <w:right w:val="single" w:sz="4" w:space="0" w:color="FFFFFF"/>
            </w:tcBorders>
            <w:vAlign w:val="center"/>
            <w:hideMark/>
          </w:tcPr>
          <w:p w14:paraId="3BD33768"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310175A3" w14:textId="77777777" w:rsidR="00052799" w:rsidRPr="002D7AE6" w:rsidRDefault="00052799" w:rsidP="00871631">
            <w:pPr>
              <w:rPr>
                <w:color w:val="000000"/>
                <w:sz w:val="18"/>
                <w:szCs w:val="18"/>
                <w:lang w:eastAsia="en-AU"/>
              </w:rPr>
            </w:pPr>
          </w:p>
        </w:tc>
      </w:tr>
      <w:tr w:rsidR="00052799" w:rsidRPr="002D7AE6" w14:paraId="190A2525" w14:textId="77777777" w:rsidTr="00871631">
        <w:trPr>
          <w:trHeight w:val="864"/>
        </w:trPr>
        <w:tc>
          <w:tcPr>
            <w:tcW w:w="3681" w:type="dxa"/>
            <w:tcBorders>
              <w:top w:val="nil"/>
              <w:left w:val="nil"/>
              <w:bottom w:val="single" w:sz="4" w:space="0" w:color="FFFFFF"/>
              <w:right w:val="nil"/>
            </w:tcBorders>
            <w:shd w:val="clear" w:color="000000" w:fill="D9D9D9"/>
            <w:vAlign w:val="bottom"/>
            <w:hideMark/>
          </w:tcPr>
          <w:p w14:paraId="55B874A4" w14:textId="77777777" w:rsidR="00052799" w:rsidRPr="002D7AE6" w:rsidRDefault="00052799" w:rsidP="00871631">
            <w:pPr>
              <w:rPr>
                <w:color w:val="000000"/>
                <w:sz w:val="18"/>
                <w:szCs w:val="18"/>
                <w:lang w:eastAsia="en-AU"/>
              </w:rPr>
            </w:pPr>
            <w:r w:rsidRPr="002D7AE6">
              <w:rPr>
                <w:color w:val="000000"/>
                <w:sz w:val="18"/>
                <w:szCs w:val="18"/>
                <w:lang w:eastAsia="en-AU"/>
              </w:rPr>
              <w:t xml:space="preserve">Permit issued for individual holder of collectors firearms licence to carry or use firearms at commemorative or historical events. </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205F9684" w14:textId="77777777" w:rsidR="00052799" w:rsidRPr="002D7AE6" w:rsidRDefault="00052799" w:rsidP="00871631">
            <w:pPr>
              <w:rPr>
                <w:color w:val="000000"/>
                <w:sz w:val="18"/>
                <w:szCs w:val="18"/>
                <w:lang w:eastAsia="en-AU"/>
              </w:rPr>
            </w:pPr>
            <w:r w:rsidRPr="002D7AE6">
              <w:rPr>
                <w:color w:val="000000"/>
                <w:sz w:val="18"/>
                <w:szCs w:val="18"/>
                <w:lang w:eastAsia="en-AU"/>
              </w:rPr>
              <w:t>$42.4</w:t>
            </w:r>
          </w:p>
        </w:tc>
        <w:tc>
          <w:tcPr>
            <w:tcW w:w="1255" w:type="dxa"/>
            <w:vMerge/>
            <w:tcBorders>
              <w:top w:val="nil"/>
              <w:left w:val="single" w:sz="4" w:space="0" w:color="FFFFFF"/>
              <w:bottom w:val="single" w:sz="4" w:space="0" w:color="FFFFFF"/>
              <w:right w:val="single" w:sz="4" w:space="0" w:color="auto"/>
            </w:tcBorders>
            <w:vAlign w:val="center"/>
            <w:hideMark/>
          </w:tcPr>
          <w:p w14:paraId="0E1DFEC1"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2FC2D974" w14:textId="77777777" w:rsidR="00052799" w:rsidRPr="002D7AE6" w:rsidRDefault="00052799" w:rsidP="00871631">
            <w:pPr>
              <w:rPr>
                <w:color w:val="000000"/>
                <w:sz w:val="18"/>
                <w:szCs w:val="18"/>
                <w:lang w:eastAsia="en-AU"/>
              </w:rPr>
            </w:pPr>
            <w:r w:rsidRPr="002D7AE6">
              <w:rPr>
                <w:color w:val="000000"/>
                <w:sz w:val="18"/>
                <w:szCs w:val="18"/>
                <w:lang w:eastAsia="en-AU"/>
              </w:rPr>
              <w:t>$46.8</w:t>
            </w:r>
          </w:p>
        </w:tc>
        <w:tc>
          <w:tcPr>
            <w:tcW w:w="850" w:type="dxa"/>
            <w:tcBorders>
              <w:top w:val="nil"/>
              <w:left w:val="nil"/>
              <w:bottom w:val="single" w:sz="4" w:space="0" w:color="FFFFFF"/>
              <w:right w:val="single" w:sz="4" w:space="0" w:color="FFFFFF"/>
            </w:tcBorders>
            <w:shd w:val="clear" w:color="000000" w:fill="D9E1F2"/>
            <w:vAlign w:val="bottom"/>
            <w:hideMark/>
          </w:tcPr>
          <w:p w14:paraId="611CF87A" w14:textId="77777777" w:rsidR="00052799" w:rsidRPr="002D7AE6" w:rsidRDefault="00052799" w:rsidP="00871631">
            <w:pPr>
              <w:jc w:val="right"/>
              <w:rPr>
                <w:color w:val="000000"/>
                <w:sz w:val="18"/>
                <w:szCs w:val="18"/>
                <w:lang w:eastAsia="en-AU"/>
              </w:rPr>
            </w:pPr>
            <w:r w:rsidRPr="002D7AE6">
              <w:rPr>
                <w:color w:val="000000"/>
                <w:sz w:val="18"/>
                <w:szCs w:val="18"/>
                <w:lang w:eastAsia="en-AU"/>
              </w:rPr>
              <w:t>10%</w:t>
            </w:r>
          </w:p>
        </w:tc>
        <w:tc>
          <w:tcPr>
            <w:tcW w:w="1418" w:type="dxa"/>
            <w:vMerge/>
            <w:tcBorders>
              <w:top w:val="nil"/>
              <w:left w:val="single" w:sz="4" w:space="0" w:color="FFFFFF"/>
              <w:bottom w:val="single" w:sz="4" w:space="0" w:color="FFFFFF"/>
              <w:right w:val="single" w:sz="4" w:space="0" w:color="FFFFFF"/>
            </w:tcBorders>
            <w:vAlign w:val="center"/>
            <w:hideMark/>
          </w:tcPr>
          <w:p w14:paraId="2F754925"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4183EEB4"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7D693632" w14:textId="77777777" w:rsidR="00052799" w:rsidRPr="002D7AE6" w:rsidRDefault="00052799" w:rsidP="00871631">
            <w:pPr>
              <w:rPr>
                <w:color w:val="000000"/>
                <w:sz w:val="18"/>
                <w:szCs w:val="18"/>
                <w:lang w:eastAsia="en-AU"/>
              </w:rPr>
            </w:pPr>
            <w:r w:rsidRPr="002D7AE6">
              <w:rPr>
                <w:color w:val="000000"/>
                <w:sz w:val="18"/>
                <w:szCs w:val="18"/>
                <w:lang w:eastAsia="en-AU"/>
              </w:rPr>
              <w:t>$44.6</w:t>
            </w:r>
          </w:p>
        </w:tc>
        <w:tc>
          <w:tcPr>
            <w:tcW w:w="831" w:type="dxa"/>
            <w:tcBorders>
              <w:top w:val="nil"/>
              <w:left w:val="nil"/>
              <w:bottom w:val="single" w:sz="4" w:space="0" w:color="FFFFFF"/>
              <w:right w:val="single" w:sz="4" w:space="0" w:color="FFFFFF"/>
            </w:tcBorders>
            <w:shd w:val="clear" w:color="000000" w:fill="D9E1F2"/>
            <w:vAlign w:val="bottom"/>
            <w:hideMark/>
          </w:tcPr>
          <w:p w14:paraId="48510EF4" w14:textId="77777777" w:rsidR="00052799" w:rsidRPr="002D7AE6" w:rsidRDefault="00052799" w:rsidP="00871631">
            <w:pPr>
              <w:jc w:val="right"/>
              <w:rPr>
                <w:color w:val="000000"/>
                <w:sz w:val="18"/>
                <w:szCs w:val="18"/>
                <w:lang w:eastAsia="en-AU"/>
              </w:rPr>
            </w:pPr>
            <w:r w:rsidRPr="002D7AE6">
              <w:rPr>
                <w:color w:val="000000"/>
                <w:sz w:val="18"/>
                <w:szCs w:val="18"/>
                <w:lang w:eastAsia="en-AU"/>
              </w:rPr>
              <w:t>5%</w:t>
            </w:r>
          </w:p>
        </w:tc>
        <w:tc>
          <w:tcPr>
            <w:tcW w:w="1255" w:type="dxa"/>
            <w:vMerge/>
            <w:tcBorders>
              <w:top w:val="nil"/>
              <w:left w:val="single" w:sz="4" w:space="0" w:color="FFFFFF"/>
              <w:bottom w:val="single" w:sz="4" w:space="0" w:color="FFFFFF"/>
              <w:right w:val="single" w:sz="4" w:space="0" w:color="FFFFFF"/>
            </w:tcBorders>
            <w:vAlign w:val="center"/>
            <w:hideMark/>
          </w:tcPr>
          <w:p w14:paraId="68B78AF8"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645B2E3F" w14:textId="77777777" w:rsidR="00052799" w:rsidRPr="002D7AE6" w:rsidRDefault="00052799" w:rsidP="00871631">
            <w:pPr>
              <w:rPr>
                <w:color w:val="000000"/>
                <w:sz w:val="18"/>
                <w:szCs w:val="18"/>
                <w:lang w:eastAsia="en-AU"/>
              </w:rPr>
            </w:pPr>
          </w:p>
        </w:tc>
      </w:tr>
      <w:tr w:rsidR="00052799" w:rsidRPr="002D7AE6" w14:paraId="16F843D9" w14:textId="77777777" w:rsidTr="00871631">
        <w:trPr>
          <w:trHeight w:val="876"/>
        </w:trPr>
        <w:tc>
          <w:tcPr>
            <w:tcW w:w="3681" w:type="dxa"/>
            <w:tcBorders>
              <w:top w:val="nil"/>
              <w:left w:val="nil"/>
              <w:bottom w:val="single" w:sz="4" w:space="0" w:color="FFFFFF"/>
              <w:right w:val="nil"/>
            </w:tcBorders>
            <w:shd w:val="clear" w:color="000000" w:fill="D9D9D9"/>
            <w:vAlign w:val="bottom"/>
            <w:hideMark/>
          </w:tcPr>
          <w:p w14:paraId="353FB264" w14:textId="77777777" w:rsidR="00052799" w:rsidRPr="002D7AE6" w:rsidRDefault="00052799" w:rsidP="00871631">
            <w:pPr>
              <w:rPr>
                <w:color w:val="000000"/>
                <w:sz w:val="18"/>
                <w:szCs w:val="18"/>
                <w:lang w:eastAsia="en-AU"/>
              </w:rPr>
            </w:pPr>
            <w:r w:rsidRPr="002D7AE6">
              <w:rPr>
                <w:color w:val="000000"/>
                <w:sz w:val="18"/>
                <w:szCs w:val="18"/>
                <w:lang w:eastAsia="en-AU"/>
              </w:rPr>
              <w:t xml:space="preserve">Permit issued to carry or use firearms held under a collectors licence—approved firearms collectors clubs for  approved firearms collectors club </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67AB77C6" w14:textId="77777777" w:rsidR="00052799" w:rsidRPr="002D7AE6" w:rsidRDefault="00052799" w:rsidP="00871631">
            <w:pPr>
              <w:rPr>
                <w:color w:val="000000"/>
                <w:sz w:val="18"/>
                <w:szCs w:val="18"/>
                <w:lang w:eastAsia="en-AU"/>
              </w:rPr>
            </w:pPr>
            <w:r w:rsidRPr="002D7AE6">
              <w:rPr>
                <w:color w:val="000000"/>
                <w:sz w:val="18"/>
                <w:szCs w:val="18"/>
                <w:lang w:eastAsia="en-AU"/>
              </w:rPr>
              <w:t>$33.4</w:t>
            </w:r>
          </w:p>
        </w:tc>
        <w:tc>
          <w:tcPr>
            <w:tcW w:w="1255" w:type="dxa"/>
            <w:vMerge/>
            <w:tcBorders>
              <w:top w:val="nil"/>
              <w:left w:val="single" w:sz="4" w:space="0" w:color="FFFFFF"/>
              <w:bottom w:val="single" w:sz="4" w:space="0" w:color="FFFFFF"/>
              <w:right w:val="single" w:sz="4" w:space="0" w:color="auto"/>
            </w:tcBorders>
            <w:vAlign w:val="center"/>
            <w:hideMark/>
          </w:tcPr>
          <w:p w14:paraId="381ED1C7"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116299E2" w14:textId="77777777" w:rsidR="00052799" w:rsidRPr="002D7AE6" w:rsidRDefault="00052799" w:rsidP="00871631">
            <w:pPr>
              <w:rPr>
                <w:color w:val="000000"/>
                <w:sz w:val="18"/>
                <w:szCs w:val="18"/>
                <w:lang w:eastAsia="en-AU"/>
              </w:rPr>
            </w:pPr>
            <w:r w:rsidRPr="002D7AE6">
              <w:rPr>
                <w:color w:val="000000"/>
                <w:sz w:val="18"/>
                <w:szCs w:val="18"/>
                <w:lang w:eastAsia="en-AU"/>
              </w:rPr>
              <w:t>$55.1</w:t>
            </w:r>
          </w:p>
        </w:tc>
        <w:tc>
          <w:tcPr>
            <w:tcW w:w="850" w:type="dxa"/>
            <w:tcBorders>
              <w:top w:val="nil"/>
              <w:left w:val="nil"/>
              <w:bottom w:val="single" w:sz="4" w:space="0" w:color="FFFFFF"/>
              <w:right w:val="single" w:sz="4" w:space="0" w:color="FFFFFF"/>
            </w:tcBorders>
            <w:shd w:val="clear" w:color="000000" w:fill="D9E1F2"/>
            <w:vAlign w:val="bottom"/>
            <w:hideMark/>
          </w:tcPr>
          <w:p w14:paraId="0EB63DBC" w14:textId="77777777" w:rsidR="00052799" w:rsidRPr="002D7AE6" w:rsidRDefault="00052799" w:rsidP="00871631">
            <w:pPr>
              <w:jc w:val="right"/>
              <w:rPr>
                <w:color w:val="000000"/>
                <w:sz w:val="18"/>
                <w:szCs w:val="18"/>
                <w:lang w:eastAsia="en-AU"/>
              </w:rPr>
            </w:pPr>
            <w:r w:rsidRPr="002D7AE6">
              <w:rPr>
                <w:color w:val="000000"/>
                <w:sz w:val="18"/>
                <w:szCs w:val="18"/>
                <w:lang w:eastAsia="en-AU"/>
              </w:rPr>
              <w:t>65%</w:t>
            </w:r>
          </w:p>
        </w:tc>
        <w:tc>
          <w:tcPr>
            <w:tcW w:w="1418" w:type="dxa"/>
            <w:vMerge/>
            <w:tcBorders>
              <w:top w:val="nil"/>
              <w:left w:val="single" w:sz="4" w:space="0" w:color="FFFFFF"/>
              <w:bottom w:val="single" w:sz="4" w:space="0" w:color="FFFFFF"/>
              <w:right w:val="single" w:sz="4" w:space="0" w:color="FFFFFF"/>
            </w:tcBorders>
            <w:vAlign w:val="center"/>
            <w:hideMark/>
          </w:tcPr>
          <w:p w14:paraId="006B057B"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24BDEB4B"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24F86B26" w14:textId="77777777" w:rsidR="00052799" w:rsidRPr="002D7AE6" w:rsidRDefault="00052799" w:rsidP="00871631">
            <w:pPr>
              <w:rPr>
                <w:color w:val="000000"/>
                <w:sz w:val="18"/>
                <w:szCs w:val="18"/>
                <w:lang w:eastAsia="en-AU"/>
              </w:rPr>
            </w:pPr>
            <w:r w:rsidRPr="002D7AE6">
              <w:rPr>
                <w:color w:val="000000"/>
                <w:sz w:val="18"/>
                <w:szCs w:val="18"/>
                <w:lang w:eastAsia="en-AU"/>
              </w:rPr>
              <w:t>$44.2</w:t>
            </w:r>
          </w:p>
        </w:tc>
        <w:tc>
          <w:tcPr>
            <w:tcW w:w="831" w:type="dxa"/>
            <w:tcBorders>
              <w:top w:val="nil"/>
              <w:left w:val="nil"/>
              <w:bottom w:val="single" w:sz="4" w:space="0" w:color="FFFFFF"/>
              <w:right w:val="single" w:sz="4" w:space="0" w:color="FFFFFF"/>
            </w:tcBorders>
            <w:shd w:val="clear" w:color="000000" w:fill="D9E1F2"/>
            <w:vAlign w:val="bottom"/>
            <w:hideMark/>
          </w:tcPr>
          <w:p w14:paraId="69335A0B" w14:textId="77777777" w:rsidR="00052799" w:rsidRPr="002D7AE6" w:rsidRDefault="00052799" w:rsidP="00871631">
            <w:pPr>
              <w:jc w:val="right"/>
              <w:rPr>
                <w:color w:val="000000"/>
                <w:sz w:val="18"/>
                <w:szCs w:val="18"/>
                <w:lang w:eastAsia="en-AU"/>
              </w:rPr>
            </w:pPr>
            <w:r w:rsidRPr="002D7AE6">
              <w:rPr>
                <w:color w:val="000000"/>
                <w:sz w:val="18"/>
                <w:szCs w:val="18"/>
                <w:lang w:eastAsia="en-AU"/>
              </w:rPr>
              <w:t>32%</w:t>
            </w:r>
          </w:p>
        </w:tc>
        <w:tc>
          <w:tcPr>
            <w:tcW w:w="1255" w:type="dxa"/>
            <w:vMerge/>
            <w:tcBorders>
              <w:top w:val="nil"/>
              <w:left w:val="single" w:sz="4" w:space="0" w:color="FFFFFF"/>
              <w:bottom w:val="single" w:sz="4" w:space="0" w:color="FFFFFF"/>
              <w:right w:val="single" w:sz="4" w:space="0" w:color="FFFFFF"/>
            </w:tcBorders>
            <w:vAlign w:val="center"/>
            <w:hideMark/>
          </w:tcPr>
          <w:p w14:paraId="72125A42"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451D7AAE" w14:textId="77777777" w:rsidR="00052799" w:rsidRPr="002D7AE6" w:rsidRDefault="00052799" w:rsidP="00871631">
            <w:pPr>
              <w:rPr>
                <w:color w:val="000000"/>
                <w:sz w:val="18"/>
                <w:szCs w:val="18"/>
                <w:lang w:eastAsia="en-AU"/>
              </w:rPr>
            </w:pPr>
          </w:p>
        </w:tc>
      </w:tr>
      <w:tr w:rsidR="00052799" w:rsidRPr="002D7AE6" w14:paraId="4E9A3C83" w14:textId="77777777" w:rsidTr="00871631">
        <w:trPr>
          <w:trHeight w:val="312"/>
        </w:trPr>
        <w:tc>
          <w:tcPr>
            <w:tcW w:w="3681" w:type="dxa"/>
            <w:tcBorders>
              <w:top w:val="nil"/>
              <w:left w:val="nil"/>
              <w:bottom w:val="single" w:sz="4" w:space="0" w:color="FFFFFF"/>
              <w:right w:val="nil"/>
            </w:tcBorders>
            <w:shd w:val="clear" w:color="000000" w:fill="D9D9D9"/>
            <w:vAlign w:val="bottom"/>
            <w:hideMark/>
          </w:tcPr>
          <w:p w14:paraId="4D4F9F1E" w14:textId="77777777" w:rsidR="00052799" w:rsidRPr="002D7AE6" w:rsidRDefault="00052799" w:rsidP="00871631">
            <w:pPr>
              <w:rPr>
                <w:color w:val="000000"/>
                <w:sz w:val="18"/>
                <w:szCs w:val="18"/>
                <w:lang w:eastAsia="en-AU"/>
              </w:rPr>
            </w:pPr>
            <w:r w:rsidRPr="002D7AE6">
              <w:rPr>
                <w:color w:val="000000"/>
                <w:sz w:val="18"/>
                <w:szCs w:val="18"/>
                <w:lang w:eastAsia="en-AU"/>
              </w:rPr>
              <w:t>Approval for handgun target shooting club</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02982016" w14:textId="77777777" w:rsidR="00052799" w:rsidRPr="002D7AE6" w:rsidRDefault="00052799" w:rsidP="00871631">
            <w:pPr>
              <w:rPr>
                <w:color w:val="000000"/>
                <w:sz w:val="18"/>
                <w:szCs w:val="18"/>
                <w:lang w:eastAsia="en-AU"/>
              </w:rPr>
            </w:pPr>
            <w:r w:rsidRPr="002D7AE6">
              <w:rPr>
                <w:color w:val="000000"/>
                <w:sz w:val="18"/>
                <w:szCs w:val="18"/>
                <w:lang w:eastAsia="en-AU"/>
              </w:rPr>
              <w:t>$185.1</w:t>
            </w:r>
          </w:p>
        </w:tc>
        <w:tc>
          <w:tcPr>
            <w:tcW w:w="1255"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2113ABD5" w14:textId="77777777" w:rsidR="00052799" w:rsidRPr="002D7AE6" w:rsidRDefault="00052799" w:rsidP="00871631">
            <w:pPr>
              <w:jc w:val="center"/>
              <w:rPr>
                <w:color w:val="000000"/>
                <w:sz w:val="18"/>
                <w:szCs w:val="18"/>
                <w:lang w:eastAsia="en-AU"/>
              </w:rPr>
            </w:pPr>
            <w:r w:rsidRPr="002D7AE6">
              <w:rPr>
                <w:color w:val="000000"/>
                <w:sz w:val="18"/>
                <w:szCs w:val="18"/>
                <w:lang w:eastAsia="en-AU"/>
              </w:rPr>
              <w:t>$4,184</w:t>
            </w:r>
          </w:p>
        </w:tc>
        <w:tc>
          <w:tcPr>
            <w:tcW w:w="927" w:type="dxa"/>
            <w:tcBorders>
              <w:top w:val="nil"/>
              <w:left w:val="nil"/>
              <w:bottom w:val="single" w:sz="4" w:space="0" w:color="FFFFFF"/>
              <w:right w:val="single" w:sz="4" w:space="0" w:color="FFFFFF"/>
            </w:tcBorders>
            <w:shd w:val="clear" w:color="000000" w:fill="D9E1F2"/>
            <w:vAlign w:val="bottom"/>
            <w:hideMark/>
          </w:tcPr>
          <w:p w14:paraId="0AB3DAEF" w14:textId="77777777" w:rsidR="00052799" w:rsidRPr="002D7AE6" w:rsidRDefault="00052799" w:rsidP="00871631">
            <w:pPr>
              <w:rPr>
                <w:color w:val="000000"/>
                <w:sz w:val="18"/>
                <w:szCs w:val="18"/>
                <w:lang w:eastAsia="en-AU"/>
              </w:rPr>
            </w:pPr>
            <w:r w:rsidRPr="002D7AE6">
              <w:rPr>
                <w:color w:val="000000"/>
                <w:sz w:val="18"/>
                <w:szCs w:val="18"/>
                <w:lang w:eastAsia="en-AU"/>
              </w:rPr>
              <w:t>$402.3</w:t>
            </w:r>
          </w:p>
        </w:tc>
        <w:tc>
          <w:tcPr>
            <w:tcW w:w="850" w:type="dxa"/>
            <w:tcBorders>
              <w:top w:val="nil"/>
              <w:left w:val="nil"/>
              <w:bottom w:val="single" w:sz="4" w:space="0" w:color="FFFFFF"/>
              <w:right w:val="single" w:sz="4" w:space="0" w:color="FFFFFF"/>
            </w:tcBorders>
            <w:shd w:val="clear" w:color="000000" w:fill="D9E1F2"/>
            <w:vAlign w:val="bottom"/>
            <w:hideMark/>
          </w:tcPr>
          <w:p w14:paraId="30E2B10E" w14:textId="77777777" w:rsidR="00052799" w:rsidRPr="002D7AE6" w:rsidRDefault="00052799" w:rsidP="00871631">
            <w:pPr>
              <w:jc w:val="right"/>
              <w:rPr>
                <w:color w:val="000000"/>
                <w:sz w:val="18"/>
                <w:szCs w:val="18"/>
                <w:lang w:eastAsia="en-AU"/>
              </w:rPr>
            </w:pPr>
            <w:r w:rsidRPr="002D7AE6">
              <w:rPr>
                <w:color w:val="000000"/>
                <w:sz w:val="18"/>
                <w:szCs w:val="18"/>
                <w:lang w:eastAsia="en-AU"/>
              </w:rPr>
              <w:t>117%</w:t>
            </w:r>
          </w:p>
        </w:tc>
        <w:tc>
          <w:tcPr>
            <w:tcW w:w="1418" w:type="dxa"/>
            <w:vMerge w:val="restart"/>
            <w:tcBorders>
              <w:top w:val="nil"/>
              <w:left w:val="single" w:sz="4" w:space="0" w:color="FFFFFF"/>
              <w:bottom w:val="single" w:sz="4" w:space="0" w:color="FFFFFF"/>
              <w:right w:val="single" w:sz="4" w:space="0" w:color="FFFFFF"/>
            </w:tcBorders>
            <w:shd w:val="clear" w:color="000000" w:fill="D9E1F2"/>
            <w:vAlign w:val="bottom"/>
            <w:hideMark/>
          </w:tcPr>
          <w:p w14:paraId="03AF42B4" w14:textId="77777777" w:rsidR="00052799" w:rsidRPr="002D7AE6" w:rsidRDefault="00052799" w:rsidP="00871631">
            <w:pPr>
              <w:jc w:val="center"/>
              <w:rPr>
                <w:color w:val="000000"/>
                <w:sz w:val="18"/>
                <w:szCs w:val="18"/>
                <w:lang w:eastAsia="en-AU"/>
              </w:rPr>
            </w:pPr>
            <w:r w:rsidRPr="002D7AE6">
              <w:rPr>
                <w:color w:val="000000"/>
                <w:sz w:val="18"/>
                <w:szCs w:val="18"/>
                <w:lang w:eastAsia="en-AU"/>
              </w:rPr>
              <w:t>$9,091</w:t>
            </w:r>
          </w:p>
        </w:tc>
        <w:tc>
          <w:tcPr>
            <w:tcW w:w="1276"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759E93FB" w14:textId="77777777" w:rsidR="00052799" w:rsidRPr="002D7AE6" w:rsidRDefault="00052799" w:rsidP="00871631">
            <w:pPr>
              <w:jc w:val="center"/>
              <w:rPr>
                <w:color w:val="000000"/>
                <w:sz w:val="18"/>
                <w:szCs w:val="18"/>
                <w:lang w:eastAsia="en-AU"/>
              </w:rPr>
            </w:pPr>
            <w:r w:rsidRPr="002D7AE6">
              <w:rPr>
                <w:color w:val="000000"/>
                <w:sz w:val="18"/>
                <w:szCs w:val="18"/>
                <w:lang w:eastAsia="en-AU"/>
              </w:rPr>
              <w:t>$4,907</w:t>
            </w:r>
          </w:p>
        </w:tc>
        <w:tc>
          <w:tcPr>
            <w:tcW w:w="925" w:type="dxa"/>
            <w:tcBorders>
              <w:top w:val="nil"/>
              <w:left w:val="nil"/>
              <w:bottom w:val="single" w:sz="4" w:space="0" w:color="FFFFFF"/>
              <w:right w:val="single" w:sz="4" w:space="0" w:color="FFFFFF"/>
            </w:tcBorders>
            <w:shd w:val="clear" w:color="000000" w:fill="D9E1F2"/>
            <w:vAlign w:val="bottom"/>
            <w:hideMark/>
          </w:tcPr>
          <w:p w14:paraId="5FA004E9" w14:textId="77777777" w:rsidR="00052799" w:rsidRPr="002D7AE6" w:rsidRDefault="00052799" w:rsidP="00871631">
            <w:pPr>
              <w:rPr>
                <w:color w:val="000000"/>
                <w:sz w:val="18"/>
                <w:szCs w:val="18"/>
                <w:lang w:eastAsia="en-AU"/>
              </w:rPr>
            </w:pPr>
            <w:r w:rsidRPr="002D7AE6">
              <w:rPr>
                <w:color w:val="000000"/>
                <w:sz w:val="18"/>
                <w:szCs w:val="18"/>
                <w:lang w:eastAsia="en-AU"/>
              </w:rPr>
              <w:t>$293.7</w:t>
            </w:r>
          </w:p>
        </w:tc>
        <w:tc>
          <w:tcPr>
            <w:tcW w:w="831" w:type="dxa"/>
            <w:tcBorders>
              <w:top w:val="nil"/>
              <w:left w:val="nil"/>
              <w:bottom w:val="single" w:sz="4" w:space="0" w:color="FFFFFF"/>
              <w:right w:val="single" w:sz="4" w:space="0" w:color="FFFFFF"/>
            </w:tcBorders>
            <w:shd w:val="clear" w:color="000000" w:fill="D9E1F2"/>
            <w:vAlign w:val="bottom"/>
            <w:hideMark/>
          </w:tcPr>
          <w:p w14:paraId="18E93AE2" w14:textId="77777777" w:rsidR="00052799" w:rsidRPr="002D7AE6" w:rsidRDefault="00052799" w:rsidP="00871631">
            <w:pPr>
              <w:jc w:val="right"/>
              <w:rPr>
                <w:color w:val="000000"/>
                <w:sz w:val="18"/>
                <w:szCs w:val="18"/>
                <w:lang w:eastAsia="en-AU"/>
              </w:rPr>
            </w:pPr>
            <w:r w:rsidRPr="002D7AE6">
              <w:rPr>
                <w:color w:val="000000"/>
                <w:sz w:val="18"/>
                <w:szCs w:val="18"/>
                <w:lang w:eastAsia="en-AU"/>
              </w:rPr>
              <w:t>59%</w:t>
            </w:r>
          </w:p>
        </w:tc>
        <w:tc>
          <w:tcPr>
            <w:tcW w:w="1255" w:type="dxa"/>
            <w:vMerge w:val="restart"/>
            <w:tcBorders>
              <w:top w:val="nil"/>
              <w:left w:val="single" w:sz="4" w:space="0" w:color="FFFFFF"/>
              <w:bottom w:val="single" w:sz="4" w:space="0" w:color="FFFFFF"/>
              <w:right w:val="single" w:sz="4" w:space="0" w:color="FFFFFF"/>
            </w:tcBorders>
            <w:shd w:val="clear" w:color="000000" w:fill="D9E1F2"/>
            <w:vAlign w:val="bottom"/>
            <w:hideMark/>
          </w:tcPr>
          <w:p w14:paraId="4684BA95" w14:textId="77777777" w:rsidR="00052799" w:rsidRPr="002D7AE6" w:rsidRDefault="00052799" w:rsidP="00871631">
            <w:pPr>
              <w:jc w:val="center"/>
              <w:rPr>
                <w:color w:val="000000"/>
                <w:sz w:val="18"/>
                <w:szCs w:val="18"/>
                <w:lang w:eastAsia="en-AU"/>
              </w:rPr>
            </w:pPr>
            <w:r w:rsidRPr="002D7AE6">
              <w:rPr>
                <w:color w:val="000000"/>
                <w:sz w:val="18"/>
                <w:szCs w:val="18"/>
                <w:lang w:eastAsia="en-AU"/>
              </w:rPr>
              <w:t>$6,638</w:t>
            </w:r>
          </w:p>
        </w:tc>
        <w:tc>
          <w:tcPr>
            <w:tcW w:w="982" w:type="dxa"/>
            <w:vMerge w:val="restart"/>
            <w:tcBorders>
              <w:top w:val="nil"/>
              <w:left w:val="single" w:sz="4" w:space="0" w:color="FFFFFF"/>
              <w:bottom w:val="single" w:sz="4" w:space="0" w:color="FFFFFF"/>
              <w:right w:val="single" w:sz="4" w:space="0" w:color="auto"/>
            </w:tcBorders>
            <w:shd w:val="clear" w:color="000000" w:fill="D9E1F2"/>
            <w:vAlign w:val="bottom"/>
            <w:hideMark/>
          </w:tcPr>
          <w:p w14:paraId="6CF6AEBB" w14:textId="77777777" w:rsidR="00052799" w:rsidRPr="002D7AE6" w:rsidRDefault="00052799" w:rsidP="00871631">
            <w:pPr>
              <w:jc w:val="center"/>
              <w:rPr>
                <w:color w:val="000000"/>
                <w:sz w:val="18"/>
                <w:szCs w:val="18"/>
                <w:lang w:eastAsia="en-AU"/>
              </w:rPr>
            </w:pPr>
            <w:r w:rsidRPr="002D7AE6">
              <w:rPr>
                <w:color w:val="000000"/>
                <w:sz w:val="18"/>
                <w:szCs w:val="18"/>
                <w:lang w:eastAsia="en-AU"/>
              </w:rPr>
              <w:t>$2,453</w:t>
            </w:r>
          </w:p>
        </w:tc>
      </w:tr>
      <w:tr w:rsidR="00052799" w:rsidRPr="002D7AE6" w14:paraId="2022E2D5" w14:textId="77777777" w:rsidTr="00871631">
        <w:trPr>
          <w:trHeight w:val="324"/>
        </w:trPr>
        <w:tc>
          <w:tcPr>
            <w:tcW w:w="3681" w:type="dxa"/>
            <w:tcBorders>
              <w:top w:val="nil"/>
              <w:left w:val="nil"/>
              <w:bottom w:val="single" w:sz="4" w:space="0" w:color="FFFFFF"/>
              <w:right w:val="nil"/>
            </w:tcBorders>
            <w:shd w:val="clear" w:color="000000" w:fill="D9D9D9"/>
            <w:vAlign w:val="bottom"/>
            <w:hideMark/>
          </w:tcPr>
          <w:p w14:paraId="0E103BBE" w14:textId="77777777" w:rsidR="00052799" w:rsidRPr="002D7AE6" w:rsidRDefault="00052799" w:rsidP="00871631">
            <w:pPr>
              <w:rPr>
                <w:color w:val="000000"/>
                <w:sz w:val="18"/>
                <w:szCs w:val="18"/>
                <w:lang w:eastAsia="en-AU"/>
              </w:rPr>
            </w:pPr>
            <w:r w:rsidRPr="002D7AE6">
              <w:rPr>
                <w:color w:val="000000"/>
                <w:sz w:val="18"/>
                <w:szCs w:val="18"/>
                <w:lang w:eastAsia="en-AU"/>
              </w:rPr>
              <w:t>Approval for firearms collectors club</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1FD0ACCF" w14:textId="77777777" w:rsidR="00052799" w:rsidRPr="002D7AE6" w:rsidRDefault="00052799" w:rsidP="00871631">
            <w:pPr>
              <w:rPr>
                <w:color w:val="000000"/>
                <w:sz w:val="18"/>
                <w:szCs w:val="18"/>
                <w:lang w:eastAsia="en-AU"/>
              </w:rPr>
            </w:pPr>
            <w:r w:rsidRPr="002D7AE6">
              <w:rPr>
                <w:color w:val="000000"/>
                <w:sz w:val="18"/>
                <w:szCs w:val="18"/>
                <w:lang w:eastAsia="en-AU"/>
              </w:rPr>
              <w:t>$185.1</w:t>
            </w:r>
          </w:p>
        </w:tc>
        <w:tc>
          <w:tcPr>
            <w:tcW w:w="1255" w:type="dxa"/>
            <w:vMerge/>
            <w:tcBorders>
              <w:top w:val="nil"/>
              <w:left w:val="single" w:sz="4" w:space="0" w:color="FFFFFF"/>
              <w:bottom w:val="single" w:sz="4" w:space="0" w:color="FFFFFF"/>
              <w:right w:val="single" w:sz="4" w:space="0" w:color="auto"/>
            </w:tcBorders>
            <w:vAlign w:val="center"/>
            <w:hideMark/>
          </w:tcPr>
          <w:p w14:paraId="2382514D" w14:textId="77777777" w:rsidR="00052799" w:rsidRPr="002D7AE6" w:rsidRDefault="00052799" w:rsidP="00871631">
            <w:pPr>
              <w:rPr>
                <w:color w:val="000000"/>
                <w:sz w:val="18"/>
                <w:szCs w:val="18"/>
                <w:lang w:eastAsia="en-AU"/>
              </w:rPr>
            </w:pPr>
          </w:p>
        </w:tc>
        <w:tc>
          <w:tcPr>
            <w:tcW w:w="927" w:type="dxa"/>
            <w:tcBorders>
              <w:top w:val="nil"/>
              <w:left w:val="nil"/>
              <w:bottom w:val="single" w:sz="4" w:space="0" w:color="FFFFFF"/>
              <w:right w:val="single" w:sz="4" w:space="0" w:color="FFFFFF"/>
            </w:tcBorders>
            <w:shd w:val="clear" w:color="000000" w:fill="D9E1F2"/>
            <w:vAlign w:val="bottom"/>
            <w:hideMark/>
          </w:tcPr>
          <w:p w14:paraId="5975B11E" w14:textId="77777777" w:rsidR="00052799" w:rsidRPr="002D7AE6" w:rsidRDefault="00052799" w:rsidP="00871631">
            <w:pPr>
              <w:rPr>
                <w:color w:val="000000"/>
                <w:sz w:val="18"/>
                <w:szCs w:val="18"/>
                <w:lang w:eastAsia="en-AU"/>
              </w:rPr>
            </w:pPr>
            <w:r w:rsidRPr="002D7AE6">
              <w:rPr>
                <w:color w:val="000000"/>
                <w:sz w:val="18"/>
                <w:szCs w:val="18"/>
                <w:lang w:eastAsia="en-AU"/>
              </w:rPr>
              <w:t>$402.3</w:t>
            </w:r>
          </w:p>
        </w:tc>
        <w:tc>
          <w:tcPr>
            <w:tcW w:w="850" w:type="dxa"/>
            <w:tcBorders>
              <w:top w:val="nil"/>
              <w:left w:val="nil"/>
              <w:bottom w:val="single" w:sz="4" w:space="0" w:color="FFFFFF"/>
              <w:right w:val="single" w:sz="4" w:space="0" w:color="FFFFFF"/>
            </w:tcBorders>
            <w:shd w:val="clear" w:color="000000" w:fill="D9E1F2"/>
            <w:vAlign w:val="bottom"/>
            <w:hideMark/>
          </w:tcPr>
          <w:p w14:paraId="1318A3F1" w14:textId="77777777" w:rsidR="00052799" w:rsidRPr="002D7AE6" w:rsidRDefault="00052799" w:rsidP="00871631">
            <w:pPr>
              <w:jc w:val="right"/>
              <w:rPr>
                <w:color w:val="000000"/>
                <w:sz w:val="18"/>
                <w:szCs w:val="18"/>
                <w:lang w:eastAsia="en-AU"/>
              </w:rPr>
            </w:pPr>
            <w:r w:rsidRPr="002D7AE6">
              <w:rPr>
                <w:color w:val="000000"/>
                <w:sz w:val="18"/>
                <w:szCs w:val="18"/>
                <w:lang w:eastAsia="en-AU"/>
              </w:rPr>
              <w:t>117%</w:t>
            </w:r>
          </w:p>
        </w:tc>
        <w:tc>
          <w:tcPr>
            <w:tcW w:w="1418" w:type="dxa"/>
            <w:vMerge/>
            <w:tcBorders>
              <w:top w:val="nil"/>
              <w:left w:val="single" w:sz="4" w:space="0" w:color="FFFFFF"/>
              <w:bottom w:val="single" w:sz="4" w:space="0" w:color="FFFFFF"/>
              <w:right w:val="single" w:sz="4" w:space="0" w:color="FFFFFF"/>
            </w:tcBorders>
            <w:vAlign w:val="center"/>
            <w:hideMark/>
          </w:tcPr>
          <w:p w14:paraId="33561870" w14:textId="77777777" w:rsidR="00052799" w:rsidRPr="002D7AE6" w:rsidRDefault="00052799" w:rsidP="00871631">
            <w:pPr>
              <w:rPr>
                <w:color w:val="000000"/>
                <w:sz w:val="18"/>
                <w:szCs w:val="18"/>
                <w:lang w:eastAsia="en-AU"/>
              </w:rPr>
            </w:pPr>
          </w:p>
        </w:tc>
        <w:tc>
          <w:tcPr>
            <w:tcW w:w="1276" w:type="dxa"/>
            <w:vMerge/>
            <w:tcBorders>
              <w:top w:val="nil"/>
              <w:left w:val="single" w:sz="4" w:space="0" w:color="FFFFFF"/>
              <w:bottom w:val="single" w:sz="4" w:space="0" w:color="FFFFFF"/>
              <w:right w:val="single" w:sz="4" w:space="0" w:color="auto"/>
            </w:tcBorders>
            <w:vAlign w:val="center"/>
            <w:hideMark/>
          </w:tcPr>
          <w:p w14:paraId="08F449E5" w14:textId="77777777" w:rsidR="00052799" w:rsidRPr="002D7AE6" w:rsidRDefault="00052799" w:rsidP="00871631">
            <w:pP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vAlign w:val="bottom"/>
            <w:hideMark/>
          </w:tcPr>
          <w:p w14:paraId="1EC39B6D" w14:textId="77777777" w:rsidR="00052799" w:rsidRPr="002D7AE6" w:rsidRDefault="00052799" w:rsidP="00871631">
            <w:pPr>
              <w:rPr>
                <w:color w:val="000000"/>
                <w:sz w:val="18"/>
                <w:szCs w:val="18"/>
                <w:lang w:eastAsia="en-AU"/>
              </w:rPr>
            </w:pPr>
            <w:r w:rsidRPr="002D7AE6">
              <w:rPr>
                <w:color w:val="000000"/>
                <w:sz w:val="18"/>
                <w:szCs w:val="18"/>
                <w:lang w:eastAsia="en-AU"/>
              </w:rPr>
              <w:t>$293.7</w:t>
            </w:r>
          </w:p>
        </w:tc>
        <w:tc>
          <w:tcPr>
            <w:tcW w:w="831" w:type="dxa"/>
            <w:tcBorders>
              <w:top w:val="nil"/>
              <w:left w:val="nil"/>
              <w:bottom w:val="single" w:sz="4" w:space="0" w:color="FFFFFF"/>
              <w:right w:val="single" w:sz="4" w:space="0" w:color="FFFFFF"/>
            </w:tcBorders>
            <w:shd w:val="clear" w:color="000000" w:fill="D9E1F2"/>
            <w:vAlign w:val="bottom"/>
            <w:hideMark/>
          </w:tcPr>
          <w:p w14:paraId="512E7824" w14:textId="77777777" w:rsidR="00052799" w:rsidRPr="002D7AE6" w:rsidRDefault="00052799" w:rsidP="00871631">
            <w:pPr>
              <w:jc w:val="right"/>
              <w:rPr>
                <w:color w:val="000000"/>
                <w:sz w:val="18"/>
                <w:szCs w:val="18"/>
                <w:lang w:eastAsia="en-AU"/>
              </w:rPr>
            </w:pPr>
            <w:r w:rsidRPr="002D7AE6">
              <w:rPr>
                <w:color w:val="000000"/>
                <w:sz w:val="18"/>
                <w:szCs w:val="18"/>
                <w:lang w:eastAsia="en-AU"/>
              </w:rPr>
              <w:t>59%</w:t>
            </w:r>
          </w:p>
        </w:tc>
        <w:tc>
          <w:tcPr>
            <w:tcW w:w="1255" w:type="dxa"/>
            <w:vMerge/>
            <w:tcBorders>
              <w:top w:val="nil"/>
              <w:left w:val="single" w:sz="4" w:space="0" w:color="FFFFFF"/>
              <w:bottom w:val="single" w:sz="4" w:space="0" w:color="FFFFFF"/>
              <w:right w:val="single" w:sz="4" w:space="0" w:color="FFFFFF"/>
            </w:tcBorders>
            <w:vAlign w:val="center"/>
            <w:hideMark/>
          </w:tcPr>
          <w:p w14:paraId="7EC3EB38" w14:textId="77777777" w:rsidR="00052799" w:rsidRPr="002D7AE6" w:rsidRDefault="00052799" w:rsidP="00871631">
            <w:pPr>
              <w:rPr>
                <w:color w:val="000000"/>
                <w:sz w:val="18"/>
                <w:szCs w:val="18"/>
                <w:lang w:eastAsia="en-AU"/>
              </w:rPr>
            </w:pPr>
          </w:p>
        </w:tc>
        <w:tc>
          <w:tcPr>
            <w:tcW w:w="982" w:type="dxa"/>
            <w:vMerge/>
            <w:tcBorders>
              <w:top w:val="nil"/>
              <w:left w:val="single" w:sz="4" w:space="0" w:color="FFFFFF"/>
              <w:bottom w:val="single" w:sz="4" w:space="0" w:color="FFFFFF"/>
              <w:right w:val="single" w:sz="4" w:space="0" w:color="auto"/>
            </w:tcBorders>
            <w:vAlign w:val="center"/>
            <w:hideMark/>
          </w:tcPr>
          <w:p w14:paraId="3D23C3FF" w14:textId="77777777" w:rsidR="00052799" w:rsidRPr="002D7AE6" w:rsidRDefault="00052799" w:rsidP="00871631">
            <w:pPr>
              <w:rPr>
                <w:color w:val="000000"/>
                <w:sz w:val="18"/>
                <w:szCs w:val="18"/>
                <w:lang w:eastAsia="en-AU"/>
              </w:rPr>
            </w:pPr>
          </w:p>
        </w:tc>
      </w:tr>
      <w:tr w:rsidR="00052799" w:rsidRPr="002D7AE6" w14:paraId="4F137A7B" w14:textId="77777777" w:rsidTr="00871631">
        <w:trPr>
          <w:trHeight w:val="324"/>
        </w:trPr>
        <w:tc>
          <w:tcPr>
            <w:tcW w:w="3681" w:type="dxa"/>
            <w:tcBorders>
              <w:top w:val="nil"/>
              <w:left w:val="nil"/>
              <w:bottom w:val="single" w:sz="4" w:space="0" w:color="FFFFFF"/>
              <w:right w:val="nil"/>
            </w:tcBorders>
            <w:shd w:val="clear" w:color="000000" w:fill="D9D9D9"/>
            <w:vAlign w:val="bottom"/>
            <w:hideMark/>
          </w:tcPr>
          <w:p w14:paraId="7564CD02" w14:textId="77777777" w:rsidR="00052799" w:rsidRPr="002D7AE6" w:rsidRDefault="00052799" w:rsidP="00871631">
            <w:pPr>
              <w:rPr>
                <w:color w:val="000000"/>
                <w:sz w:val="18"/>
                <w:szCs w:val="18"/>
                <w:lang w:eastAsia="en-AU"/>
              </w:rPr>
            </w:pPr>
            <w:r w:rsidRPr="002D7AE6">
              <w:rPr>
                <w:color w:val="000000"/>
                <w:sz w:val="18"/>
                <w:szCs w:val="18"/>
                <w:lang w:eastAsia="en-AU"/>
              </w:rPr>
              <w:t>Review of decision</w:t>
            </w:r>
          </w:p>
        </w:tc>
        <w:tc>
          <w:tcPr>
            <w:tcW w:w="1220" w:type="dxa"/>
            <w:tcBorders>
              <w:top w:val="nil"/>
              <w:left w:val="single" w:sz="4" w:space="0" w:color="auto"/>
              <w:bottom w:val="single" w:sz="4" w:space="0" w:color="FFFFFF"/>
              <w:right w:val="single" w:sz="4" w:space="0" w:color="FFFFFF"/>
            </w:tcBorders>
            <w:shd w:val="clear" w:color="000000" w:fill="D9E1F2"/>
            <w:vAlign w:val="bottom"/>
            <w:hideMark/>
          </w:tcPr>
          <w:p w14:paraId="3719B871" w14:textId="77777777" w:rsidR="00052799" w:rsidRPr="002D7AE6" w:rsidRDefault="00052799" w:rsidP="00871631">
            <w:pPr>
              <w:rPr>
                <w:color w:val="000000"/>
                <w:sz w:val="18"/>
                <w:szCs w:val="18"/>
                <w:lang w:eastAsia="en-AU"/>
              </w:rPr>
            </w:pPr>
            <w:r w:rsidRPr="002D7AE6">
              <w:rPr>
                <w:color w:val="000000"/>
                <w:sz w:val="18"/>
                <w:szCs w:val="18"/>
                <w:lang w:eastAsia="en-AU"/>
              </w:rPr>
              <w:t>$42.7</w:t>
            </w:r>
          </w:p>
        </w:tc>
        <w:tc>
          <w:tcPr>
            <w:tcW w:w="1255" w:type="dxa"/>
            <w:tcBorders>
              <w:top w:val="nil"/>
              <w:left w:val="nil"/>
              <w:bottom w:val="single" w:sz="4" w:space="0" w:color="FFFFFF"/>
              <w:right w:val="single" w:sz="4" w:space="0" w:color="auto"/>
            </w:tcBorders>
            <w:shd w:val="clear" w:color="000000" w:fill="D9E1F2"/>
            <w:vAlign w:val="bottom"/>
            <w:hideMark/>
          </w:tcPr>
          <w:p w14:paraId="70C5A47C" w14:textId="77777777" w:rsidR="00052799" w:rsidRPr="002D7AE6" w:rsidRDefault="00052799" w:rsidP="004B487D">
            <w:pPr>
              <w:jc w:val="center"/>
              <w:rPr>
                <w:color w:val="000000"/>
                <w:sz w:val="18"/>
                <w:szCs w:val="18"/>
                <w:lang w:eastAsia="en-AU"/>
              </w:rPr>
            </w:pPr>
            <w:r w:rsidRPr="002D7AE6">
              <w:rPr>
                <w:color w:val="000000"/>
                <w:sz w:val="18"/>
                <w:szCs w:val="18"/>
                <w:lang w:eastAsia="en-AU"/>
              </w:rPr>
              <w:t>$3,242</w:t>
            </w:r>
          </w:p>
        </w:tc>
        <w:tc>
          <w:tcPr>
            <w:tcW w:w="927" w:type="dxa"/>
            <w:tcBorders>
              <w:top w:val="nil"/>
              <w:left w:val="nil"/>
              <w:bottom w:val="single" w:sz="4" w:space="0" w:color="FFFFFF"/>
              <w:right w:val="single" w:sz="4" w:space="0" w:color="FFFFFF"/>
            </w:tcBorders>
            <w:shd w:val="clear" w:color="000000" w:fill="D9E1F2"/>
            <w:vAlign w:val="bottom"/>
            <w:hideMark/>
          </w:tcPr>
          <w:p w14:paraId="6944164A" w14:textId="6DC5898B" w:rsidR="00052799" w:rsidRPr="002D7AE6" w:rsidRDefault="00052799" w:rsidP="00871631">
            <w:pPr>
              <w:rPr>
                <w:color w:val="000000"/>
                <w:sz w:val="18"/>
                <w:szCs w:val="18"/>
                <w:lang w:eastAsia="en-AU"/>
              </w:rPr>
            </w:pPr>
            <w:r w:rsidRPr="002D7AE6">
              <w:rPr>
                <w:color w:val="000000"/>
                <w:sz w:val="18"/>
                <w:szCs w:val="18"/>
                <w:lang w:eastAsia="en-AU"/>
              </w:rPr>
              <w:t>$</w:t>
            </w:r>
            <w:r w:rsidR="002406E1">
              <w:rPr>
                <w:color w:val="000000"/>
                <w:sz w:val="18"/>
                <w:szCs w:val="18"/>
                <w:lang w:eastAsia="en-AU"/>
              </w:rPr>
              <w:t>332.6</w:t>
            </w:r>
          </w:p>
        </w:tc>
        <w:tc>
          <w:tcPr>
            <w:tcW w:w="850" w:type="dxa"/>
            <w:tcBorders>
              <w:top w:val="nil"/>
              <w:left w:val="nil"/>
              <w:bottom w:val="single" w:sz="4" w:space="0" w:color="FFFFFF"/>
              <w:right w:val="single" w:sz="4" w:space="0" w:color="FFFFFF"/>
            </w:tcBorders>
            <w:shd w:val="clear" w:color="000000" w:fill="D9E1F2"/>
            <w:vAlign w:val="bottom"/>
            <w:hideMark/>
          </w:tcPr>
          <w:p w14:paraId="74180ECA" w14:textId="4E3A816C" w:rsidR="00052799" w:rsidRPr="002D7AE6" w:rsidRDefault="002406E1" w:rsidP="00871631">
            <w:pPr>
              <w:jc w:val="right"/>
              <w:rPr>
                <w:color w:val="000000"/>
                <w:sz w:val="18"/>
                <w:szCs w:val="18"/>
                <w:lang w:eastAsia="en-AU"/>
              </w:rPr>
            </w:pPr>
            <w:r>
              <w:rPr>
                <w:color w:val="000000"/>
                <w:sz w:val="18"/>
                <w:szCs w:val="18"/>
                <w:lang w:eastAsia="en-AU"/>
              </w:rPr>
              <w:t>679</w:t>
            </w:r>
            <w:r w:rsidR="00052799" w:rsidRPr="002D7AE6">
              <w:rPr>
                <w:color w:val="000000"/>
                <w:sz w:val="18"/>
                <w:szCs w:val="18"/>
                <w:lang w:eastAsia="en-AU"/>
              </w:rPr>
              <w:t>%</w:t>
            </w:r>
          </w:p>
        </w:tc>
        <w:tc>
          <w:tcPr>
            <w:tcW w:w="1418" w:type="dxa"/>
            <w:tcBorders>
              <w:top w:val="nil"/>
              <w:left w:val="nil"/>
              <w:bottom w:val="single" w:sz="4" w:space="0" w:color="FFFFFF"/>
              <w:right w:val="single" w:sz="4" w:space="0" w:color="FFFFFF"/>
            </w:tcBorders>
            <w:shd w:val="clear" w:color="000000" w:fill="D9E1F2"/>
            <w:vAlign w:val="bottom"/>
            <w:hideMark/>
          </w:tcPr>
          <w:p w14:paraId="59FC4987" w14:textId="1FC23CB7" w:rsidR="00052799" w:rsidRPr="002D7AE6" w:rsidRDefault="00052799" w:rsidP="004B487D">
            <w:pPr>
              <w:jc w:val="center"/>
              <w:rPr>
                <w:color w:val="000000"/>
                <w:sz w:val="18"/>
                <w:szCs w:val="18"/>
                <w:lang w:eastAsia="en-AU"/>
              </w:rPr>
            </w:pPr>
            <w:r w:rsidRPr="002D7AE6">
              <w:rPr>
                <w:color w:val="000000"/>
                <w:sz w:val="18"/>
                <w:szCs w:val="18"/>
                <w:lang w:eastAsia="en-AU"/>
              </w:rPr>
              <w:t>$</w:t>
            </w:r>
            <w:r w:rsidR="002406E1">
              <w:rPr>
                <w:color w:val="000000"/>
                <w:sz w:val="18"/>
                <w:szCs w:val="18"/>
                <w:lang w:eastAsia="en-AU"/>
              </w:rPr>
              <w:t>25</w:t>
            </w:r>
            <w:r w:rsidRPr="002D7AE6">
              <w:rPr>
                <w:color w:val="000000"/>
                <w:sz w:val="18"/>
                <w:szCs w:val="18"/>
                <w:lang w:eastAsia="en-AU"/>
              </w:rPr>
              <w:t>,</w:t>
            </w:r>
            <w:r w:rsidR="002406E1">
              <w:rPr>
                <w:color w:val="000000"/>
                <w:sz w:val="18"/>
                <w:szCs w:val="18"/>
                <w:lang w:eastAsia="en-AU"/>
              </w:rPr>
              <w:t>250</w:t>
            </w:r>
          </w:p>
        </w:tc>
        <w:tc>
          <w:tcPr>
            <w:tcW w:w="1276" w:type="dxa"/>
            <w:tcBorders>
              <w:top w:val="nil"/>
              <w:left w:val="nil"/>
              <w:bottom w:val="single" w:sz="4" w:space="0" w:color="FFFFFF"/>
              <w:right w:val="single" w:sz="4" w:space="0" w:color="auto"/>
            </w:tcBorders>
            <w:shd w:val="clear" w:color="000000" w:fill="D9E1F2"/>
            <w:vAlign w:val="bottom"/>
            <w:hideMark/>
          </w:tcPr>
          <w:p w14:paraId="3E9D9A7B" w14:textId="799FFC4A" w:rsidR="00052799" w:rsidRPr="002D7AE6" w:rsidRDefault="00052799" w:rsidP="004B487D">
            <w:pPr>
              <w:jc w:val="center"/>
              <w:rPr>
                <w:color w:val="000000"/>
                <w:sz w:val="18"/>
                <w:szCs w:val="18"/>
                <w:lang w:eastAsia="en-AU"/>
              </w:rPr>
            </w:pPr>
            <w:r w:rsidRPr="002D7AE6">
              <w:rPr>
                <w:color w:val="000000"/>
                <w:sz w:val="18"/>
                <w:szCs w:val="18"/>
                <w:lang w:eastAsia="en-AU"/>
              </w:rPr>
              <w:t>$</w:t>
            </w:r>
            <w:r w:rsidR="002406E1">
              <w:rPr>
                <w:color w:val="000000"/>
                <w:sz w:val="18"/>
                <w:szCs w:val="18"/>
                <w:lang w:eastAsia="en-AU"/>
              </w:rPr>
              <w:t>22,000</w:t>
            </w:r>
          </w:p>
        </w:tc>
        <w:tc>
          <w:tcPr>
            <w:tcW w:w="925" w:type="dxa"/>
            <w:tcBorders>
              <w:top w:val="nil"/>
              <w:left w:val="nil"/>
              <w:bottom w:val="single" w:sz="4" w:space="0" w:color="FFFFFF"/>
              <w:right w:val="single" w:sz="4" w:space="0" w:color="FFFFFF"/>
            </w:tcBorders>
            <w:shd w:val="clear" w:color="000000" w:fill="ACB9CA"/>
            <w:vAlign w:val="bottom"/>
            <w:hideMark/>
          </w:tcPr>
          <w:p w14:paraId="3F3C43BD" w14:textId="77777777" w:rsidR="00052799" w:rsidRPr="002D7AE6" w:rsidRDefault="00052799" w:rsidP="00871631">
            <w:pPr>
              <w:rPr>
                <w:color w:val="000000"/>
                <w:sz w:val="18"/>
                <w:szCs w:val="18"/>
                <w:lang w:eastAsia="en-AU"/>
              </w:rPr>
            </w:pPr>
            <w:r w:rsidRPr="002D7AE6">
              <w:rPr>
                <w:color w:val="000000"/>
                <w:sz w:val="18"/>
                <w:szCs w:val="18"/>
                <w:lang w:eastAsia="en-AU"/>
              </w:rPr>
              <w:t>$42.7</w:t>
            </w:r>
          </w:p>
        </w:tc>
        <w:tc>
          <w:tcPr>
            <w:tcW w:w="831" w:type="dxa"/>
            <w:tcBorders>
              <w:top w:val="nil"/>
              <w:left w:val="nil"/>
              <w:bottom w:val="single" w:sz="4" w:space="0" w:color="FFFFFF"/>
              <w:right w:val="single" w:sz="4" w:space="0" w:color="FFFFFF"/>
            </w:tcBorders>
            <w:shd w:val="clear" w:color="000000" w:fill="ACB9CA"/>
            <w:vAlign w:val="bottom"/>
            <w:hideMark/>
          </w:tcPr>
          <w:p w14:paraId="05FF8873" w14:textId="77777777" w:rsidR="00052799" w:rsidRPr="002D7AE6" w:rsidRDefault="00052799" w:rsidP="00871631">
            <w:pPr>
              <w:jc w:val="right"/>
              <w:rPr>
                <w:color w:val="000000"/>
                <w:sz w:val="18"/>
                <w:szCs w:val="18"/>
                <w:lang w:eastAsia="en-AU"/>
              </w:rPr>
            </w:pPr>
            <w:r w:rsidRPr="002D7AE6">
              <w:rPr>
                <w:color w:val="000000"/>
                <w:sz w:val="18"/>
                <w:szCs w:val="18"/>
                <w:lang w:eastAsia="en-AU"/>
              </w:rPr>
              <w:t>0%</w:t>
            </w:r>
          </w:p>
        </w:tc>
        <w:tc>
          <w:tcPr>
            <w:tcW w:w="1255" w:type="dxa"/>
            <w:tcBorders>
              <w:top w:val="nil"/>
              <w:left w:val="nil"/>
              <w:bottom w:val="single" w:sz="4" w:space="0" w:color="FFFFFF"/>
              <w:right w:val="single" w:sz="4" w:space="0" w:color="FFFFFF"/>
            </w:tcBorders>
            <w:shd w:val="clear" w:color="000000" w:fill="ACB9CA"/>
            <w:vAlign w:val="bottom"/>
            <w:hideMark/>
          </w:tcPr>
          <w:p w14:paraId="37224EA3" w14:textId="77777777" w:rsidR="00052799" w:rsidRPr="002D7AE6" w:rsidRDefault="00052799" w:rsidP="004B487D">
            <w:pPr>
              <w:jc w:val="center"/>
              <w:rPr>
                <w:color w:val="000000"/>
                <w:sz w:val="18"/>
                <w:szCs w:val="18"/>
                <w:lang w:eastAsia="en-AU"/>
              </w:rPr>
            </w:pPr>
            <w:r w:rsidRPr="002D7AE6">
              <w:rPr>
                <w:color w:val="000000"/>
                <w:sz w:val="18"/>
                <w:szCs w:val="18"/>
                <w:lang w:eastAsia="en-AU"/>
              </w:rPr>
              <w:t>$3,242</w:t>
            </w:r>
          </w:p>
        </w:tc>
        <w:tc>
          <w:tcPr>
            <w:tcW w:w="982" w:type="dxa"/>
            <w:tcBorders>
              <w:top w:val="nil"/>
              <w:left w:val="nil"/>
              <w:bottom w:val="single" w:sz="4" w:space="0" w:color="FFFFFF"/>
              <w:right w:val="single" w:sz="4" w:space="0" w:color="auto"/>
            </w:tcBorders>
            <w:shd w:val="clear" w:color="000000" w:fill="ACB9CA"/>
            <w:vAlign w:val="bottom"/>
            <w:hideMark/>
          </w:tcPr>
          <w:p w14:paraId="3A2F9929" w14:textId="77777777" w:rsidR="00052799" w:rsidRPr="002D7AE6" w:rsidRDefault="00052799" w:rsidP="004B487D">
            <w:pPr>
              <w:jc w:val="center"/>
              <w:rPr>
                <w:color w:val="000000"/>
                <w:sz w:val="18"/>
                <w:szCs w:val="18"/>
                <w:lang w:eastAsia="en-AU"/>
              </w:rPr>
            </w:pPr>
            <w:r w:rsidRPr="002D7AE6">
              <w:rPr>
                <w:color w:val="000000"/>
                <w:sz w:val="18"/>
                <w:szCs w:val="18"/>
                <w:lang w:eastAsia="en-AU"/>
              </w:rPr>
              <w:t>$-</w:t>
            </w:r>
          </w:p>
        </w:tc>
      </w:tr>
      <w:tr w:rsidR="00052799" w:rsidRPr="002D7AE6" w14:paraId="2F479DFF" w14:textId="77777777" w:rsidTr="00871631">
        <w:trPr>
          <w:trHeight w:val="588"/>
        </w:trPr>
        <w:tc>
          <w:tcPr>
            <w:tcW w:w="3681" w:type="dxa"/>
            <w:tcBorders>
              <w:top w:val="nil"/>
              <w:left w:val="nil"/>
              <w:bottom w:val="single" w:sz="4" w:space="0" w:color="auto"/>
              <w:right w:val="nil"/>
            </w:tcBorders>
            <w:shd w:val="clear" w:color="000000" w:fill="D9D9D9"/>
            <w:vAlign w:val="bottom"/>
            <w:hideMark/>
          </w:tcPr>
          <w:p w14:paraId="394EB08D" w14:textId="77777777" w:rsidR="00052799" w:rsidRPr="002D7AE6" w:rsidRDefault="00052799" w:rsidP="00871631">
            <w:pPr>
              <w:rPr>
                <w:color w:val="000000"/>
                <w:sz w:val="18"/>
                <w:szCs w:val="18"/>
                <w:lang w:eastAsia="en-AU"/>
              </w:rPr>
            </w:pPr>
            <w:r w:rsidRPr="002D7AE6">
              <w:rPr>
                <w:color w:val="000000"/>
                <w:sz w:val="18"/>
                <w:szCs w:val="18"/>
                <w:lang w:eastAsia="en-AU"/>
              </w:rPr>
              <w:t>Duplicate licence for any of the licences under Schedule 4</w:t>
            </w:r>
          </w:p>
        </w:tc>
        <w:tc>
          <w:tcPr>
            <w:tcW w:w="1220" w:type="dxa"/>
            <w:tcBorders>
              <w:top w:val="nil"/>
              <w:left w:val="single" w:sz="4" w:space="0" w:color="auto"/>
              <w:bottom w:val="single" w:sz="4" w:space="0" w:color="auto"/>
              <w:right w:val="single" w:sz="4" w:space="0" w:color="FFFFFF"/>
            </w:tcBorders>
            <w:shd w:val="clear" w:color="000000" w:fill="D9E1F2"/>
            <w:vAlign w:val="bottom"/>
            <w:hideMark/>
          </w:tcPr>
          <w:p w14:paraId="1AD7F255" w14:textId="77777777" w:rsidR="00052799" w:rsidRPr="002D7AE6" w:rsidRDefault="00052799" w:rsidP="00871631">
            <w:pPr>
              <w:rPr>
                <w:color w:val="000000"/>
                <w:sz w:val="18"/>
                <w:szCs w:val="18"/>
                <w:lang w:eastAsia="en-AU"/>
              </w:rPr>
            </w:pPr>
            <w:r w:rsidRPr="002D7AE6">
              <w:rPr>
                <w:color w:val="000000"/>
                <w:sz w:val="18"/>
                <w:szCs w:val="18"/>
                <w:lang w:eastAsia="en-AU"/>
              </w:rPr>
              <w:t>$25.6</w:t>
            </w:r>
          </w:p>
        </w:tc>
        <w:tc>
          <w:tcPr>
            <w:tcW w:w="1255" w:type="dxa"/>
            <w:tcBorders>
              <w:top w:val="nil"/>
              <w:left w:val="nil"/>
              <w:bottom w:val="single" w:sz="4" w:space="0" w:color="auto"/>
              <w:right w:val="single" w:sz="4" w:space="0" w:color="auto"/>
            </w:tcBorders>
            <w:shd w:val="clear" w:color="000000" w:fill="D9E1F2"/>
            <w:vAlign w:val="bottom"/>
            <w:hideMark/>
          </w:tcPr>
          <w:p w14:paraId="697869F0" w14:textId="77777777" w:rsidR="00052799" w:rsidRPr="002D7AE6" w:rsidRDefault="00052799" w:rsidP="004B487D">
            <w:pPr>
              <w:jc w:val="center"/>
              <w:rPr>
                <w:color w:val="000000"/>
                <w:sz w:val="18"/>
                <w:szCs w:val="18"/>
                <w:lang w:eastAsia="en-AU"/>
              </w:rPr>
            </w:pPr>
            <w:r w:rsidRPr="002D7AE6">
              <w:rPr>
                <w:color w:val="000000"/>
                <w:sz w:val="18"/>
                <w:szCs w:val="18"/>
                <w:lang w:eastAsia="en-AU"/>
              </w:rPr>
              <w:t>$5,119</w:t>
            </w:r>
          </w:p>
        </w:tc>
        <w:tc>
          <w:tcPr>
            <w:tcW w:w="927" w:type="dxa"/>
            <w:tcBorders>
              <w:top w:val="nil"/>
              <w:left w:val="nil"/>
              <w:bottom w:val="single" w:sz="4" w:space="0" w:color="auto"/>
              <w:right w:val="single" w:sz="4" w:space="0" w:color="FFFFFF"/>
            </w:tcBorders>
            <w:shd w:val="clear" w:color="000000" w:fill="D9E1F2"/>
            <w:vAlign w:val="bottom"/>
            <w:hideMark/>
          </w:tcPr>
          <w:p w14:paraId="4B850BD5" w14:textId="77777777" w:rsidR="00052799" w:rsidRPr="002D7AE6" w:rsidRDefault="00052799" w:rsidP="00871631">
            <w:pPr>
              <w:rPr>
                <w:color w:val="000000"/>
                <w:sz w:val="18"/>
                <w:szCs w:val="18"/>
                <w:lang w:eastAsia="en-AU"/>
              </w:rPr>
            </w:pPr>
            <w:r w:rsidRPr="002D7AE6">
              <w:rPr>
                <w:color w:val="000000"/>
                <w:sz w:val="18"/>
                <w:szCs w:val="18"/>
                <w:lang w:eastAsia="en-AU"/>
              </w:rPr>
              <w:t>$41.9</w:t>
            </w:r>
          </w:p>
        </w:tc>
        <w:tc>
          <w:tcPr>
            <w:tcW w:w="850" w:type="dxa"/>
            <w:tcBorders>
              <w:top w:val="nil"/>
              <w:left w:val="nil"/>
              <w:bottom w:val="single" w:sz="4" w:space="0" w:color="auto"/>
              <w:right w:val="single" w:sz="4" w:space="0" w:color="FFFFFF"/>
            </w:tcBorders>
            <w:shd w:val="clear" w:color="000000" w:fill="D9E1F2"/>
            <w:vAlign w:val="bottom"/>
            <w:hideMark/>
          </w:tcPr>
          <w:p w14:paraId="4A23B695" w14:textId="77777777" w:rsidR="00052799" w:rsidRPr="002D7AE6" w:rsidRDefault="00052799" w:rsidP="00871631">
            <w:pPr>
              <w:jc w:val="right"/>
              <w:rPr>
                <w:color w:val="000000"/>
                <w:sz w:val="18"/>
                <w:szCs w:val="18"/>
                <w:lang w:eastAsia="en-AU"/>
              </w:rPr>
            </w:pPr>
            <w:r w:rsidRPr="002D7AE6">
              <w:rPr>
                <w:color w:val="000000"/>
                <w:sz w:val="18"/>
                <w:szCs w:val="18"/>
                <w:lang w:eastAsia="en-AU"/>
              </w:rPr>
              <w:t>64%</w:t>
            </w:r>
          </w:p>
        </w:tc>
        <w:tc>
          <w:tcPr>
            <w:tcW w:w="1418" w:type="dxa"/>
            <w:tcBorders>
              <w:top w:val="nil"/>
              <w:left w:val="nil"/>
              <w:bottom w:val="single" w:sz="4" w:space="0" w:color="auto"/>
              <w:right w:val="single" w:sz="4" w:space="0" w:color="FFFFFF"/>
            </w:tcBorders>
            <w:shd w:val="clear" w:color="000000" w:fill="D9E1F2"/>
            <w:vAlign w:val="bottom"/>
            <w:hideMark/>
          </w:tcPr>
          <w:p w14:paraId="5720418D" w14:textId="77777777" w:rsidR="00052799" w:rsidRPr="002D7AE6" w:rsidRDefault="00052799" w:rsidP="004B487D">
            <w:pPr>
              <w:jc w:val="center"/>
              <w:rPr>
                <w:color w:val="000000"/>
                <w:sz w:val="18"/>
                <w:szCs w:val="18"/>
                <w:lang w:eastAsia="en-AU"/>
              </w:rPr>
            </w:pPr>
            <w:r w:rsidRPr="002D7AE6">
              <w:rPr>
                <w:color w:val="000000"/>
                <w:sz w:val="18"/>
                <w:szCs w:val="18"/>
                <w:lang w:eastAsia="en-AU"/>
              </w:rPr>
              <w:t>$8,378</w:t>
            </w:r>
          </w:p>
        </w:tc>
        <w:tc>
          <w:tcPr>
            <w:tcW w:w="1276" w:type="dxa"/>
            <w:tcBorders>
              <w:top w:val="nil"/>
              <w:left w:val="nil"/>
              <w:bottom w:val="single" w:sz="4" w:space="0" w:color="auto"/>
              <w:right w:val="single" w:sz="4" w:space="0" w:color="auto"/>
            </w:tcBorders>
            <w:shd w:val="clear" w:color="000000" w:fill="D9E1F2"/>
            <w:vAlign w:val="bottom"/>
            <w:hideMark/>
          </w:tcPr>
          <w:p w14:paraId="0B7FACBF" w14:textId="77777777" w:rsidR="00052799" w:rsidRPr="002D7AE6" w:rsidRDefault="00052799" w:rsidP="004B487D">
            <w:pPr>
              <w:jc w:val="center"/>
              <w:rPr>
                <w:color w:val="000000"/>
                <w:sz w:val="18"/>
                <w:szCs w:val="18"/>
                <w:lang w:eastAsia="en-AU"/>
              </w:rPr>
            </w:pPr>
            <w:r w:rsidRPr="002D7AE6">
              <w:rPr>
                <w:color w:val="000000"/>
                <w:sz w:val="18"/>
                <w:szCs w:val="18"/>
                <w:lang w:eastAsia="en-AU"/>
              </w:rPr>
              <w:t>$3,258</w:t>
            </w:r>
          </w:p>
        </w:tc>
        <w:tc>
          <w:tcPr>
            <w:tcW w:w="925" w:type="dxa"/>
            <w:tcBorders>
              <w:top w:val="nil"/>
              <w:left w:val="nil"/>
              <w:bottom w:val="single" w:sz="4" w:space="0" w:color="auto"/>
              <w:right w:val="single" w:sz="4" w:space="0" w:color="FFFFFF"/>
            </w:tcBorders>
            <w:shd w:val="clear" w:color="000000" w:fill="D9E1F2"/>
            <w:vAlign w:val="bottom"/>
            <w:hideMark/>
          </w:tcPr>
          <w:p w14:paraId="3C12CBCA" w14:textId="77777777" w:rsidR="00052799" w:rsidRPr="002D7AE6" w:rsidRDefault="00052799" w:rsidP="00871631">
            <w:pPr>
              <w:rPr>
                <w:color w:val="000000"/>
                <w:sz w:val="18"/>
                <w:szCs w:val="18"/>
                <w:lang w:eastAsia="en-AU"/>
              </w:rPr>
            </w:pPr>
            <w:r w:rsidRPr="002D7AE6">
              <w:rPr>
                <w:color w:val="000000"/>
                <w:sz w:val="18"/>
                <w:szCs w:val="18"/>
                <w:lang w:eastAsia="en-AU"/>
              </w:rPr>
              <w:t>$33.7</w:t>
            </w:r>
          </w:p>
        </w:tc>
        <w:tc>
          <w:tcPr>
            <w:tcW w:w="831" w:type="dxa"/>
            <w:tcBorders>
              <w:top w:val="nil"/>
              <w:left w:val="nil"/>
              <w:bottom w:val="single" w:sz="4" w:space="0" w:color="auto"/>
              <w:right w:val="single" w:sz="4" w:space="0" w:color="FFFFFF"/>
            </w:tcBorders>
            <w:shd w:val="clear" w:color="000000" w:fill="D9E1F2"/>
            <w:vAlign w:val="bottom"/>
            <w:hideMark/>
          </w:tcPr>
          <w:p w14:paraId="3820EB43" w14:textId="77777777" w:rsidR="00052799" w:rsidRPr="002D7AE6" w:rsidRDefault="00052799" w:rsidP="00871631">
            <w:pPr>
              <w:jc w:val="right"/>
              <w:rPr>
                <w:color w:val="000000"/>
                <w:sz w:val="18"/>
                <w:szCs w:val="18"/>
                <w:lang w:eastAsia="en-AU"/>
              </w:rPr>
            </w:pPr>
            <w:r w:rsidRPr="002D7AE6">
              <w:rPr>
                <w:color w:val="000000"/>
                <w:sz w:val="18"/>
                <w:szCs w:val="18"/>
                <w:lang w:eastAsia="en-AU"/>
              </w:rPr>
              <w:t>32%</w:t>
            </w:r>
          </w:p>
        </w:tc>
        <w:tc>
          <w:tcPr>
            <w:tcW w:w="1255" w:type="dxa"/>
            <w:tcBorders>
              <w:top w:val="nil"/>
              <w:left w:val="nil"/>
              <w:bottom w:val="single" w:sz="4" w:space="0" w:color="auto"/>
              <w:right w:val="single" w:sz="4" w:space="0" w:color="FFFFFF"/>
            </w:tcBorders>
            <w:shd w:val="clear" w:color="000000" w:fill="D9E1F2"/>
            <w:vAlign w:val="bottom"/>
            <w:hideMark/>
          </w:tcPr>
          <w:p w14:paraId="61EE2BE0" w14:textId="77777777" w:rsidR="00052799" w:rsidRPr="002D7AE6" w:rsidRDefault="00052799" w:rsidP="004B487D">
            <w:pPr>
              <w:jc w:val="center"/>
              <w:rPr>
                <w:color w:val="000000"/>
                <w:sz w:val="18"/>
                <w:szCs w:val="18"/>
                <w:lang w:eastAsia="en-AU"/>
              </w:rPr>
            </w:pPr>
            <w:r w:rsidRPr="002D7AE6">
              <w:rPr>
                <w:color w:val="000000"/>
                <w:sz w:val="18"/>
                <w:szCs w:val="18"/>
                <w:lang w:eastAsia="en-AU"/>
              </w:rPr>
              <w:t>$6,748</w:t>
            </w:r>
          </w:p>
        </w:tc>
        <w:tc>
          <w:tcPr>
            <w:tcW w:w="982" w:type="dxa"/>
            <w:tcBorders>
              <w:top w:val="nil"/>
              <w:left w:val="nil"/>
              <w:bottom w:val="single" w:sz="4" w:space="0" w:color="auto"/>
              <w:right w:val="single" w:sz="4" w:space="0" w:color="auto"/>
            </w:tcBorders>
            <w:shd w:val="clear" w:color="000000" w:fill="D9E1F2"/>
            <w:vAlign w:val="bottom"/>
            <w:hideMark/>
          </w:tcPr>
          <w:p w14:paraId="0916159B" w14:textId="77777777" w:rsidR="00052799" w:rsidRPr="002D7AE6" w:rsidRDefault="00052799" w:rsidP="004B487D">
            <w:pPr>
              <w:jc w:val="center"/>
              <w:rPr>
                <w:color w:val="000000"/>
                <w:sz w:val="18"/>
                <w:szCs w:val="18"/>
                <w:lang w:eastAsia="en-AU"/>
              </w:rPr>
            </w:pPr>
            <w:r w:rsidRPr="002D7AE6">
              <w:rPr>
                <w:color w:val="000000"/>
                <w:sz w:val="18"/>
                <w:szCs w:val="18"/>
                <w:lang w:eastAsia="en-AU"/>
              </w:rPr>
              <w:t>$1,629</w:t>
            </w:r>
          </w:p>
        </w:tc>
      </w:tr>
      <w:tr w:rsidR="00052799" w:rsidRPr="002D7AE6" w14:paraId="09D7CB30" w14:textId="77777777" w:rsidTr="00871631">
        <w:trPr>
          <w:trHeight w:val="288"/>
        </w:trPr>
        <w:tc>
          <w:tcPr>
            <w:tcW w:w="3681" w:type="dxa"/>
            <w:tcBorders>
              <w:top w:val="nil"/>
              <w:left w:val="single" w:sz="4" w:space="0" w:color="FFFFFF"/>
              <w:bottom w:val="single" w:sz="4" w:space="0" w:color="FFFFFF"/>
              <w:right w:val="single" w:sz="4" w:space="0" w:color="auto"/>
            </w:tcBorders>
            <w:shd w:val="clear" w:color="000000" w:fill="D9D9D9"/>
            <w:vAlign w:val="bottom"/>
            <w:hideMark/>
          </w:tcPr>
          <w:p w14:paraId="69850C70" w14:textId="77777777" w:rsidR="00052799" w:rsidRPr="002D7AE6" w:rsidRDefault="00052799" w:rsidP="00871631">
            <w:pPr>
              <w:rPr>
                <w:b/>
                <w:bCs/>
                <w:color w:val="000000"/>
                <w:sz w:val="18"/>
                <w:szCs w:val="18"/>
                <w:lang w:eastAsia="en-AU"/>
              </w:rPr>
            </w:pPr>
            <w:r w:rsidRPr="002D7AE6">
              <w:rPr>
                <w:b/>
                <w:bCs/>
                <w:color w:val="000000"/>
                <w:sz w:val="18"/>
                <w:szCs w:val="18"/>
                <w:lang w:eastAsia="en-AU"/>
              </w:rPr>
              <w:t>Total</w:t>
            </w:r>
          </w:p>
        </w:tc>
        <w:tc>
          <w:tcPr>
            <w:tcW w:w="1220" w:type="dxa"/>
            <w:tcBorders>
              <w:top w:val="single" w:sz="4" w:space="0" w:color="auto"/>
              <w:left w:val="nil"/>
              <w:bottom w:val="single" w:sz="4" w:space="0" w:color="FFFFFF"/>
              <w:right w:val="single" w:sz="4" w:space="0" w:color="FFFFFF"/>
            </w:tcBorders>
            <w:shd w:val="clear" w:color="000000" w:fill="D9E1F2"/>
            <w:vAlign w:val="bottom"/>
            <w:hideMark/>
          </w:tcPr>
          <w:p w14:paraId="303B057F" w14:textId="77777777" w:rsidR="00052799" w:rsidRPr="002D7AE6" w:rsidRDefault="00052799" w:rsidP="00871631">
            <w:pPr>
              <w:rPr>
                <w:color w:val="000000"/>
                <w:sz w:val="18"/>
                <w:szCs w:val="18"/>
                <w:lang w:eastAsia="en-AU"/>
              </w:rPr>
            </w:pPr>
          </w:p>
        </w:tc>
        <w:tc>
          <w:tcPr>
            <w:tcW w:w="1255" w:type="dxa"/>
            <w:tcBorders>
              <w:top w:val="single" w:sz="4" w:space="0" w:color="auto"/>
              <w:left w:val="nil"/>
              <w:bottom w:val="single" w:sz="4" w:space="0" w:color="FFFFFF"/>
              <w:right w:val="nil"/>
            </w:tcBorders>
            <w:shd w:val="clear" w:color="000000" w:fill="D9E1F2"/>
            <w:vAlign w:val="bottom"/>
            <w:hideMark/>
          </w:tcPr>
          <w:p w14:paraId="634EA6B0" w14:textId="77777777" w:rsidR="00052799" w:rsidRPr="002D7AE6" w:rsidRDefault="00052799" w:rsidP="00871631">
            <w:pPr>
              <w:rPr>
                <w:b/>
                <w:bCs/>
                <w:color w:val="000000"/>
                <w:sz w:val="18"/>
                <w:szCs w:val="18"/>
                <w:lang w:eastAsia="en-AU"/>
              </w:rPr>
            </w:pPr>
            <w:r w:rsidRPr="002D7AE6">
              <w:rPr>
                <w:b/>
                <w:bCs/>
                <w:color w:val="000000"/>
                <w:sz w:val="18"/>
                <w:szCs w:val="18"/>
                <w:lang w:eastAsia="en-AU"/>
              </w:rPr>
              <w:t>$12,684,450</w:t>
            </w:r>
          </w:p>
        </w:tc>
        <w:tc>
          <w:tcPr>
            <w:tcW w:w="927" w:type="dxa"/>
            <w:tcBorders>
              <w:top w:val="single" w:sz="4" w:space="0" w:color="auto"/>
              <w:left w:val="single" w:sz="4" w:space="0" w:color="auto"/>
              <w:bottom w:val="single" w:sz="4" w:space="0" w:color="FFFFFF"/>
              <w:right w:val="single" w:sz="4" w:space="0" w:color="FFFFFF"/>
            </w:tcBorders>
            <w:shd w:val="clear" w:color="000000" w:fill="D9E1F2"/>
            <w:vAlign w:val="bottom"/>
            <w:hideMark/>
          </w:tcPr>
          <w:p w14:paraId="5B5D87B3" w14:textId="77777777" w:rsidR="00052799" w:rsidRPr="002D7AE6" w:rsidRDefault="00052799" w:rsidP="00871631">
            <w:pPr>
              <w:rPr>
                <w:b/>
                <w:bCs/>
                <w:color w:val="000000"/>
                <w:sz w:val="18"/>
                <w:szCs w:val="18"/>
                <w:lang w:eastAsia="en-AU"/>
              </w:rPr>
            </w:pPr>
          </w:p>
        </w:tc>
        <w:tc>
          <w:tcPr>
            <w:tcW w:w="850" w:type="dxa"/>
            <w:tcBorders>
              <w:top w:val="nil"/>
              <w:left w:val="nil"/>
              <w:bottom w:val="single" w:sz="4" w:space="0" w:color="FFFFFF"/>
              <w:right w:val="single" w:sz="4" w:space="0" w:color="FFFFFF"/>
            </w:tcBorders>
            <w:shd w:val="clear" w:color="000000" w:fill="D9E1F2"/>
            <w:vAlign w:val="bottom"/>
            <w:hideMark/>
          </w:tcPr>
          <w:p w14:paraId="2E2BCF18" w14:textId="77777777" w:rsidR="00052799" w:rsidRPr="002D7AE6" w:rsidRDefault="00052799" w:rsidP="00871631">
            <w:pPr>
              <w:rPr>
                <w:b/>
                <w:bCs/>
                <w:color w:val="000000"/>
                <w:sz w:val="18"/>
                <w:szCs w:val="18"/>
                <w:lang w:eastAsia="en-AU"/>
              </w:rPr>
            </w:pPr>
          </w:p>
        </w:tc>
        <w:tc>
          <w:tcPr>
            <w:tcW w:w="1418" w:type="dxa"/>
            <w:tcBorders>
              <w:top w:val="nil"/>
              <w:left w:val="nil"/>
              <w:bottom w:val="single" w:sz="4" w:space="0" w:color="FFFFFF"/>
              <w:right w:val="single" w:sz="4" w:space="0" w:color="FFFFFF"/>
            </w:tcBorders>
            <w:shd w:val="clear" w:color="000000" w:fill="D9E1F2"/>
            <w:vAlign w:val="bottom"/>
            <w:hideMark/>
          </w:tcPr>
          <w:p w14:paraId="61B4A93A" w14:textId="77777777" w:rsidR="00052799" w:rsidRPr="002D7AE6" w:rsidRDefault="00052799" w:rsidP="00871631">
            <w:pPr>
              <w:rPr>
                <w:b/>
                <w:bCs/>
                <w:color w:val="000000"/>
                <w:sz w:val="18"/>
                <w:szCs w:val="18"/>
                <w:lang w:eastAsia="en-AU"/>
              </w:rPr>
            </w:pPr>
            <w:r w:rsidRPr="002D7AE6">
              <w:rPr>
                <w:b/>
                <w:bCs/>
                <w:color w:val="000000"/>
                <w:sz w:val="18"/>
                <w:szCs w:val="18"/>
                <w:lang w:eastAsia="en-AU"/>
              </w:rPr>
              <w:t>$13,738,909</w:t>
            </w:r>
          </w:p>
        </w:tc>
        <w:tc>
          <w:tcPr>
            <w:tcW w:w="1276" w:type="dxa"/>
            <w:tcBorders>
              <w:top w:val="single" w:sz="4" w:space="0" w:color="auto"/>
              <w:left w:val="nil"/>
              <w:bottom w:val="single" w:sz="4" w:space="0" w:color="FFFFFF"/>
              <w:right w:val="single" w:sz="4" w:space="0" w:color="auto"/>
            </w:tcBorders>
            <w:shd w:val="clear" w:color="000000" w:fill="D9E1F2"/>
            <w:vAlign w:val="bottom"/>
            <w:hideMark/>
          </w:tcPr>
          <w:p w14:paraId="6ACD0A48" w14:textId="77777777" w:rsidR="00052799" w:rsidRPr="002D7AE6" w:rsidRDefault="00052799" w:rsidP="00871631">
            <w:pPr>
              <w:rPr>
                <w:b/>
                <w:bCs/>
                <w:color w:val="000000"/>
                <w:sz w:val="18"/>
                <w:szCs w:val="18"/>
                <w:lang w:eastAsia="en-AU"/>
              </w:rPr>
            </w:pPr>
            <w:r w:rsidRPr="002D7AE6">
              <w:rPr>
                <w:b/>
                <w:bCs/>
                <w:color w:val="000000"/>
                <w:sz w:val="18"/>
                <w:szCs w:val="18"/>
                <w:lang w:eastAsia="en-AU"/>
              </w:rPr>
              <w:t>$1,054,458</w:t>
            </w:r>
          </w:p>
        </w:tc>
        <w:tc>
          <w:tcPr>
            <w:tcW w:w="925" w:type="dxa"/>
            <w:tcBorders>
              <w:top w:val="single" w:sz="4" w:space="0" w:color="auto"/>
              <w:left w:val="nil"/>
              <w:bottom w:val="single" w:sz="4" w:space="0" w:color="FFFFFF"/>
              <w:right w:val="single" w:sz="4" w:space="0" w:color="FFFFFF"/>
            </w:tcBorders>
            <w:shd w:val="clear" w:color="000000" w:fill="D9E1F2"/>
            <w:vAlign w:val="bottom"/>
            <w:hideMark/>
          </w:tcPr>
          <w:p w14:paraId="571061CB" w14:textId="77777777" w:rsidR="00052799" w:rsidRPr="002D7AE6" w:rsidRDefault="00052799" w:rsidP="00871631">
            <w:pPr>
              <w:rPr>
                <w:b/>
                <w:bCs/>
                <w:color w:val="000000"/>
                <w:sz w:val="18"/>
                <w:szCs w:val="18"/>
                <w:lang w:eastAsia="en-AU"/>
              </w:rPr>
            </w:pPr>
          </w:p>
        </w:tc>
        <w:tc>
          <w:tcPr>
            <w:tcW w:w="831" w:type="dxa"/>
            <w:tcBorders>
              <w:top w:val="nil"/>
              <w:left w:val="nil"/>
              <w:bottom w:val="single" w:sz="4" w:space="0" w:color="FFFFFF"/>
              <w:right w:val="single" w:sz="4" w:space="0" w:color="FFFFFF"/>
            </w:tcBorders>
            <w:shd w:val="clear" w:color="000000" w:fill="D9E1F2"/>
            <w:vAlign w:val="bottom"/>
            <w:hideMark/>
          </w:tcPr>
          <w:p w14:paraId="2A84897B" w14:textId="77777777" w:rsidR="00052799" w:rsidRPr="002D7AE6" w:rsidRDefault="00052799" w:rsidP="00871631">
            <w:pPr>
              <w:rPr>
                <w:b/>
                <w:bCs/>
                <w:color w:val="000000"/>
                <w:sz w:val="18"/>
                <w:szCs w:val="18"/>
                <w:lang w:eastAsia="en-AU"/>
              </w:rPr>
            </w:pPr>
          </w:p>
        </w:tc>
        <w:tc>
          <w:tcPr>
            <w:tcW w:w="1255" w:type="dxa"/>
            <w:tcBorders>
              <w:top w:val="nil"/>
              <w:left w:val="nil"/>
              <w:bottom w:val="single" w:sz="4" w:space="0" w:color="FFFFFF"/>
              <w:right w:val="single" w:sz="4" w:space="0" w:color="FFFFFF"/>
            </w:tcBorders>
            <w:shd w:val="clear" w:color="000000" w:fill="D9E1F2"/>
            <w:vAlign w:val="bottom"/>
            <w:hideMark/>
          </w:tcPr>
          <w:p w14:paraId="399AFA44" w14:textId="77777777" w:rsidR="00052799" w:rsidRPr="002D7AE6" w:rsidRDefault="00052799" w:rsidP="00871631">
            <w:pPr>
              <w:rPr>
                <w:b/>
                <w:bCs/>
                <w:color w:val="000000"/>
                <w:sz w:val="18"/>
                <w:szCs w:val="18"/>
                <w:lang w:eastAsia="en-AU"/>
              </w:rPr>
            </w:pPr>
            <w:r w:rsidRPr="002D7AE6">
              <w:rPr>
                <w:b/>
                <w:bCs/>
                <w:color w:val="000000"/>
                <w:sz w:val="18"/>
                <w:szCs w:val="18"/>
                <w:lang w:eastAsia="en-AU"/>
              </w:rPr>
              <w:t>$13,574,367</w:t>
            </w:r>
          </w:p>
        </w:tc>
        <w:tc>
          <w:tcPr>
            <w:tcW w:w="982" w:type="dxa"/>
            <w:tcBorders>
              <w:top w:val="single" w:sz="4" w:space="0" w:color="auto"/>
              <w:left w:val="nil"/>
              <w:bottom w:val="single" w:sz="4" w:space="0" w:color="FFFFFF"/>
              <w:right w:val="single" w:sz="4" w:space="0" w:color="FFFFFF"/>
            </w:tcBorders>
            <w:shd w:val="clear" w:color="000000" w:fill="D9E1F2"/>
            <w:vAlign w:val="bottom"/>
            <w:hideMark/>
          </w:tcPr>
          <w:p w14:paraId="097FE098" w14:textId="77777777" w:rsidR="00052799" w:rsidRPr="002D7AE6" w:rsidRDefault="00052799" w:rsidP="00871631">
            <w:pPr>
              <w:rPr>
                <w:b/>
                <w:bCs/>
                <w:color w:val="000000"/>
                <w:sz w:val="18"/>
                <w:szCs w:val="18"/>
                <w:lang w:eastAsia="en-AU"/>
              </w:rPr>
            </w:pPr>
          </w:p>
        </w:tc>
      </w:tr>
      <w:tr w:rsidR="00052799" w:rsidRPr="002D7AE6" w14:paraId="4577E833" w14:textId="77777777" w:rsidTr="00871631">
        <w:trPr>
          <w:trHeight w:val="288"/>
        </w:trPr>
        <w:tc>
          <w:tcPr>
            <w:tcW w:w="3681" w:type="dxa"/>
            <w:tcBorders>
              <w:top w:val="nil"/>
              <w:left w:val="single" w:sz="4" w:space="0" w:color="FFFFFF"/>
              <w:bottom w:val="single" w:sz="4" w:space="0" w:color="FFFFFF"/>
              <w:right w:val="single" w:sz="4" w:space="0" w:color="auto"/>
            </w:tcBorders>
            <w:shd w:val="clear" w:color="000000" w:fill="D9D9D9"/>
            <w:noWrap/>
            <w:vAlign w:val="bottom"/>
            <w:hideMark/>
          </w:tcPr>
          <w:p w14:paraId="369AAB1B" w14:textId="77777777" w:rsidR="00052799" w:rsidRPr="002D7AE6" w:rsidRDefault="00052799" w:rsidP="00871631">
            <w:pPr>
              <w:rPr>
                <w:b/>
                <w:bCs/>
                <w:color w:val="000000"/>
                <w:sz w:val="18"/>
                <w:szCs w:val="18"/>
                <w:lang w:eastAsia="en-AU"/>
              </w:rPr>
            </w:pPr>
            <w:r w:rsidRPr="002D7AE6">
              <w:rPr>
                <w:b/>
                <w:bCs/>
                <w:color w:val="000000"/>
                <w:sz w:val="18"/>
                <w:szCs w:val="18"/>
                <w:lang w:eastAsia="en-AU"/>
              </w:rPr>
              <w:t>Impact of primary production waiver</w:t>
            </w:r>
          </w:p>
        </w:tc>
        <w:tc>
          <w:tcPr>
            <w:tcW w:w="1220" w:type="dxa"/>
            <w:tcBorders>
              <w:top w:val="nil"/>
              <w:left w:val="nil"/>
              <w:bottom w:val="single" w:sz="4" w:space="0" w:color="FFFFFF"/>
              <w:right w:val="single" w:sz="4" w:space="0" w:color="FFFFFF"/>
            </w:tcBorders>
            <w:shd w:val="clear" w:color="000000" w:fill="D9E1F2"/>
            <w:noWrap/>
            <w:vAlign w:val="bottom"/>
            <w:hideMark/>
          </w:tcPr>
          <w:p w14:paraId="66A30D43" w14:textId="77777777" w:rsidR="00052799" w:rsidRPr="002D7AE6" w:rsidRDefault="00052799" w:rsidP="00871631">
            <w:pPr>
              <w:rPr>
                <w:color w:val="000000"/>
                <w:sz w:val="18"/>
                <w:szCs w:val="18"/>
                <w:lang w:eastAsia="en-AU"/>
              </w:rPr>
            </w:pPr>
          </w:p>
        </w:tc>
        <w:tc>
          <w:tcPr>
            <w:tcW w:w="1255" w:type="dxa"/>
            <w:tcBorders>
              <w:top w:val="nil"/>
              <w:left w:val="nil"/>
              <w:bottom w:val="single" w:sz="4" w:space="0" w:color="FFFFFF"/>
              <w:right w:val="nil"/>
            </w:tcBorders>
            <w:shd w:val="clear" w:color="000000" w:fill="D9E1F2"/>
            <w:noWrap/>
            <w:vAlign w:val="bottom"/>
            <w:hideMark/>
          </w:tcPr>
          <w:p w14:paraId="1840B71B" w14:textId="77777777" w:rsidR="00052799" w:rsidRPr="002D7AE6" w:rsidRDefault="00052799" w:rsidP="00871631">
            <w:pPr>
              <w:rPr>
                <w:b/>
                <w:bCs/>
                <w:color w:val="000000"/>
                <w:sz w:val="18"/>
                <w:szCs w:val="18"/>
                <w:lang w:eastAsia="en-AU"/>
              </w:rPr>
            </w:pPr>
            <w:r w:rsidRPr="002D7AE6">
              <w:rPr>
                <w:b/>
                <w:bCs/>
                <w:color w:val="000000"/>
                <w:sz w:val="18"/>
                <w:szCs w:val="18"/>
                <w:lang w:eastAsia="en-AU"/>
              </w:rPr>
              <w:t>$(1,994,542)</w:t>
            </w:r>
          </w:p>
        </w:tc>
        <w:tc>
          <w:tcPr>
            <w:tcW w:w="927" w:type="dxa"/>
            <w:tcBorders>
              <w:top w:val="nil"/>
              <w:left w:val="single" w:sz="4" w:space="0" w:color="auto"/>
              <w:bottom w:val="single" w:sz="4" w:space="0" w:color="FFFFFF"/>
              <w:right w:val="single" w:sz="4" w:space="0" w:color="FFFFFF"/>
            </w:tcBorders>
            <w:shd w:val="clear" w:color="000000" w:fill="D9E1F2"/>
            <w:noWrap/>
            <w:vAlign w:val="bottom"/>
            <w:hideMark/>
          </w:tcPr>
          <w:p w14:paraId="05BD52A4" w14:textId="77777777" w:rsidR="00052799" w:rsidRPr="002D7AE6" w:rsidRDefault="00052799" w:rsidP="00871631">
            <w:pPr>
              <w:rPr>
                <w:color w:val="000000"/>
                <w:sz w:val="18"/>
                <w:szCs w:val="18"/>
                <w:lang w:eastAsia="en-AU"/>
              </w:rPr>
            </w:pPr>
          </w:p>
        </w:tc>
        <w:tc>
          <w:tcPr>
            <w:tcW w:w="850" w:type="dxa"/>
            <w:tcBorders>
              <w:top w:val="nil"/>
              <w:left w:val="nil"/>
              <w:bottom w:val="single" w:sz="4" w:space="0" w:color="FFFFFF"/>
              <w:right w:val="single" w:sz="4" w:space="0" w:color="FFFFFF"/>
            </w:tcBorders>
            <w:shd w:val="clear" w:color="000000" w:fill="D9E1F2"/>
            <w:noWrap/>
            <w:vAlign w:val="bottom"/>
            <w:hideMark/>
          </w:tcPr>
          <w:p w14:paraId="4B180A29" w14:textId="77777777" w:rsidR="00052799" w:rsidRPr="002D7AE6" w:rsidRDefault="00052799" w:rsidP="00871631">
            <w:pPr>
              <w:rPr>
                <w:b/>
                <w:bCs/>
                <w:color w:val="000000"/>
                <w:sz w:val="18"/>
                <w:szCs w:val="18"/>
                <w:lang w:eastAsia="en-AU"/>
              </w:rPr>
            </w:pPr>
          </w:p>
        </w:tc>
        <w:tc>
          <w:tcPr>
            <w:tcW w:w="1418" w:type="dxa"/>
            <w:tcBorders>
              <w:top w:val="nil"/>
              <w:left w:val="nil"/>
              <w:bottom w:val="single" w:sz="4" w:space="0" w:color="FFFFFF"/>
              <w:right w:val="single" w:sz="4" w:space="0" w:color="FFFFFF"/>
            </w:tcBorders>
            <w:shd w:val="clear" w:color="000000" w:fill="D9E1F2"/>
            <w:noWrap/>
            <w:vAlign w:val="bottom"/>
            <w:hideMark/>
          </w:tcPr>
          <w:p w14:paraId="744AA3A7" w14:textId="77777777" w:rsidR="00052799" w:rsidRPr="002D7AE6" w:rsidRDefault="00052799" w:rsidP="00871631">
            <w:pPr>
              <w:rPr>
                <w:b/>
                <w:bCs/>
                <w:color w:val="000000"/>
                <w:sz w:val="18"/>
                <w:szCs w:val="18"/>
                <w:lang w:eastAsia="en-AU"/>
              </w:rPr>
            </w:pPr>
            <w:r w:rsidRPr="002D7AE6">
              <w:rPr>
                <w:b/>
                <w:bCs/>
                <w:color w:val="000000"/>
                <w:sz w:val="18"/>
                <w:szCs w:val="18"/>
                <w:lang w:eastAsia="en-AU"/>
              </w:rPr>
              <w:t>$-</w:t>
            </w:r>
          </w:p>
        </w:tc>
        <w:tc>
          <w:tcPr>
            <w:tcW w:w="1276" w:type="dxa"/>
            <w:tcBorders>
              <w:top w:val="nil"/>
              <w:left w:val="nil"/>
              <w:bottom w:val="single" w:sz="4" w:space="0" w:color="FFFFFF"/>
              <w:right w:val="single" w:sz="4" w:space="0" w:color="auto"/>
            </w:tcBorders>
            <w:shd w:val="clear" w:color="000000" w:fill="D9E1F2"/>
            <w:noWrap/>
            <w:vAlign w:val="bottom"/>
            <w:hideMark/>
          </w:tcPr>
          <w:p w14:paraId="6E7538EC" w14:textId="77777777" w:rsidR="00052799" w:rsidRPr="002D7AE6" w:rsidRDefault="00052799" w:rsidP="00871631">
            <w:pPr>
              <w:rPr>
                <w:b/>
                <w:bCs/>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noWrap/>
            <w:vAlign w:val="bottom"/>
            <w:hideMark/>
          </w:tcPr>
          <w:p w14:paraId="2215AE4C" w14:textId="77777777" w:rsidR="00052799" w:rsidRPr="002D7AE6" w:rsidRDefault="00052799" w:rsidP="00871631">
            <w:pPr>
              <w:rPr>
                <w:b/>
                <w:bCs/>
                <w:color w:val="000000"/>
                <w:sz w:val="18"/>
                <w:szCs w:val="18"/>
                <w:lang w:eastAsia="en-AU"/>
              </w:rPr>
            </w:pPr>
          </w:p>
        </w:tc>
        <w:tc>
          <w:tcPr>
            <w:tcW w:w="831" w:type="dxa"/>
            <w:tcBorders>
              <w:top w:val="nil"/>
              <w:left w:val="nil"/>
              <w:bottom w:val="single" w:sz="4" w:space="0" w:color="FFFFFF"/>
              <w:right w:val="single" w:sz="4" w:space="0" w:color="FFFFFF"/>
            </w:tcBorders>
            <w:shd w:val="clear" w:color="000000" w:fill="D9E1F2"/>
            <w:noWrap/>
            <w:vAlign w:val="bottom"/>
            <w:hideMark/>
          </w:tcPr>
          <w:p w14:paraId="34CC5720" w14:textId="77777777" w:rsidR="00052799" w:rsidRPr="002D7AE6" w:rsidRDefault="00052799" w:rsidP="00871631">
            <w:pPr>
              <w:rPr>
                <w:b/>
                <w:bCs/>
                <w:color w:val="000000"/>
                <w:sz w:val="18"/>
                <w:szCs w:val="18"/>
                <w:lang w:eastAsia="en-AU"/>
              </w:rPr>
            </w:pPr>
          </w:p>
        </w:tc>
        <w:tc>
          <w:tcPr>
            <w:tcW w:w="1255" w:type="dxa"/>
            <w:tcBorders>
              <w:top w:val="nil"/>
              <w:left w:val="nil"/>
              <w:bottom w:val="single" w:sz="4" w:space="0" w:color="FFFFFF"/>
              <w:right w:val="single" w:sz="4" w:space="0" w:color="FFFFFF"/>
            </w:tcBorders>
            <w:shd w:val="clear" w:color="000000" w:fill="D9E1F2"/>
            <w:noWrap/>
            <w:vAlign w:val="bottom"/>
            <w:hideMark/>
          </w:tcPr>
          <w:p w14:paraId="1E374556" w14:textId="77777777" w:rsidR="00052799" w:rsidRPr="002D7AE6" w:rsidRDefault="00052799" w:rsidP="00871631">
            <w:pPr>
              <w:rPr>
                <w:b/>
                <w:bCs/>
                <w:color w:val="000000"/>
                <w:sz w:val="18"/>
                <w:szCs w:val="18"/>
                <w:lang w:eastAsia="en-AU"/>
              </w:rPr>
            </w:pPr>
            <w:r w:rsidRPr="002D7AE6">
              <w:rPr>
                <w:b/>
                <w:bCs/>
                <w:color w:val="000000"/>
                <w:sz w:val="18"/>
                <w:szCs w:val="18"/>
                <w:lang w:eastAsia="en-AU"/>
              </w:rPr>
              <w:t>$(2,016,036)</w:t>
            </w:r>
          </w:p>
        </w:tc>
        <w:tc>
          <w:tcPr>
            <w:tcW w:w="982" w:type="dxa"/>
            <w:tcBorders>
              <w:top w:val="nil"/>
              <w:left w:val="nil"/>
              <w:bottom w:val="single" w:sz="4" w:space="0" w:color="FFFFFF"/>
              <w:right w:val="single" w:sz="4" w:space="0" w:color="FFFFFF"/>
            </w:tcBorders>
            <w:shd w:val="clear" w:color="000000" w:fill="D9E1F2"/>
            <w:noWrap/>
            <w:vAlign w:val="bottom"/>
            <w:hideMark/>
          </w:tcPr>
          <w:p w14:paraId="496BBE7F" w14:textId="77777777" w:rsidR="00052799" w:rsidRPr="002D7AE6" w:rsidRDefault="00052799" w:rsidP="00871631">
            <w:pPr>
              <w:rPr>
                <w:b/>
                <w:bCs/>
                <w:color w:val="000000"/>
                <w:sz w:val="18"/>
                <w:szCs w:val="18"/>
                <w:lang w:eastAsia="en-AU"/>
              </w:rPr>
            </w:pPr>
          </w:p>
        </w:tc>
      </w:tr>
      <w:tr w:rsidR="00052799" w:rsidRPr="002D7AE6" w14:paraId="7307232A" w14:textId="77777777" w:rsidTr="00871631">
        <w:trPr>
          <w:trHeight w:val="288"/>
        </w:trPr>
        <w:tc>
          <w:tcPr>
            <w:tcW w:w="3681" w:type="dxa"/>
            <w:tcBorders>
              <w:top w:val="nil"/>
              <w:left w:val="single" w:sz="4" w:space="0" w:color="FFFFFF"/>
              <w:bottom w:val="single" w:sz="4" w:space="0" w:color="FFFFFF"/>
              <w:right w:val="single" w:sz="4" w:space="0" w:color="auto"/>
            </w:tcBorders>
            <w:shd w:val="clear" w:color="000000" w:fill="D9D9D9"/>
            <w:noWrap/>
            <w:vAlign w:val="bottom"/>
            <w:hideMark/>
          </w:tcPr>
          <w:p w14:paraId="2413D31B" w14:textId="49C5E4BF" w:rsidR="00052799" w:rsidRPr="002D7AE6" w:rsidRDefault="00052799" w:rsidP="00F84193">
            <w:pPr>
              <w:rPr>
                <w:b/>
                <w:bCs/>
                <w:color w:val="000000"/>
                <w:sz w:val="18"/>
                <w:szCs w:val="18"/>
                <w:lang w:eastAsia="en-AU"/>
              </w:rPr>
            </w:pPr>
            <w:r w:rsidRPr="002D7AE6">
              <w:rPr>
                <w:b/>
                <w:bCs/>
                <w:color w:val="000000"/>
                <w:sz w:val="18"/>
                <w:szCs w:val="18"/>
                <w:lang w:eastAsia="en-AU"/>
              </w:rPr>
              <w:t>Impact of concession for older licensees</w:t>
            </w:r>
            <w:r w:rsidR="00C22CF5">
              <w:rPr>
                <w:b/>
                <w:bCs/>
                <w:color w:val="000000"/>
                <w:sz w:val="18"/>
                <w:szCs w:val="18"/>
                <w:lang w:eastAsia="en-AU"/>
              </w:rPr>
              <w:t xml:space="preserve"> and </w:t>
            </w:r>
            <w:r w:rsidR="00F84193">
              <w:rPr>
                <w:b/>
                <w:bCs/>
                <w:color w:val="000000"/>
                <w:sz w:val="18"/>
                <w:szCs w:val="18"/>
                <w:lang w:eastAsia="en-AU"/>
              </w:rPr>
              <w:t>pensioners</w:t>
            </w:r>
          </w:p>
        </w:tc>
        <w:tc>
          <w:tcPr>
            <w:tcW w:w="1220" w:type="dxa"/>
            <w:tcBorders>
              <w:top w:val="nil"/>
              <w:left w:val="nil"/>
              <w:bottom w:val="single" w:sz="4" w:space="0" w:color="FFFFFF"/>
              <w:right w:val="single" w:sz="4" w:space="0" w:color="FFFFFF"/>
            </w:tcBorders>
            <w:shd w:val="clear" w:color="000000" w:fill="D9E1F2"/>
            <w:noWrap/>
            <w:vAlign w:val="bottom"/>
            <w:hideMark/>
          </w:tcPr>
          <w:p w14:paraId="27967FD6" w14:textId="77777777" w:rsidR="00052799" w:rsidRPr="002D7AE6" w:rsidRDefault="00052799" w:rsidP="00871631">
            <w:pPr>
              <w:rPr>
                <w:color w:val="000000"/>
                <w:sz w:val="18"/>
                <w:szCs w:val="18"/>
                <w:lang w:eastAsia="en-AU"/>
              </w:rPr>
            </w:pPr>
          </w:p>
        </w:tc>
        <w:tc>
          <w:tcPr>
            <w:tcW w:w="1255" w:type="dxa"/>
            <w:tcBorders>
              <w:top w:val="nil"/>
              <w:left w:val="nil"/>
              <w:bottom w:val="single" w:sz="4" w:space="0" w:color="FFFFFF"/>
              <w:right w:val="nil"/>
            </w:tcBorders>
            <w:shd w:val="clear" w:color="000000" w:fill="D9E1F2"/>
            <w:noWrap/>
            <w:vAlign w:val="bottom"/>
            <w:hideMark/>
          </w:tcPr>
          <w:p w14:paraId="53B30417" w14:textId="77777777" w:rsidR="00052799" w:rsidRPr="002D7AE6" w:rsidRDefault="00052799" w:rsidP="00871631">
            <w:pPr>
              <w:rPr>
                <w:b/>
                <w:bCs/>
                <w:color w:val="000000"/>
                <w:sz w:val="18"/>
                <w:szCs w:val="18"/>
                <w:lang w:eastAsia="en-AU"/>
              </w:rPr>
            </w:pPr>
            <w:r w:rsidRPr="002D7AE6">
              <w:rPr>
                <w:b/>
                <w:bCs/>
                <w:color w:val="000000"/>
                <w:sz w:val="18"/>
                <w:szCs w:val="18"/>
                <w:lang w:eastAsia="en-AU"/>
              </w:rPr>
              <w:t>$-</w:t>
            </w:r>
          </w:p>
        </w:tc>
        <w:tc>
          <w:tcPr>
            <w:tcW w:w="927" w:type="dxa"/>
            <w:tcBorders>
              <w:top w:val="nil"/>
              <w:left w:val="single" w:sz="4" w:space="0" w:color="auto"/>
              <w:bottom w:val="single" w:sz="4" w:space="0" w:color="FFFFFF"/>
              <w:right w:val="single" w:sz="4" w:space="0" w:color="FFFFFF"/>
            </w:tcBorders>
            <w:shd w:val="clear" w:color="000000" w:fill="D9E1F2"/>
            <w:noWrap/>
            <w:vAlign w:val="bottom"/>
            <w:hideMark/>
          </w:tcPr>
          <w:p w14:paraId="15B0CDE9" w14:textId="77777777" w:rsidR="00052799" w:rsidRPr="002D7AE6" w:rsidRDefault="00052799" w:rsidP="00871631">
            <w:pPr>
              <w:rPr>
                <w:color w:val="000000"/>
                <w:sz w:val="18"/>
                <w:szCs w:val="18"/>
                <w:lang w:eastAsia="en-AU"/>
              </w:rPr>
            </w:pPr>
          </w:p>
        </w:tc>
        <w:tc>
          <w:tcPr>
            <w:tcW w:w="850" w:type="dxa"/>
            <w:tcBorders>
              <w:top w:val="nil"/>
              <w:left w:val="nil"/>
              <w:bottom w:val="single" w:sz="4" w:space="0" w:color="FFFFFF"/>
              <w:right w:val="single" w:sz="4" w:space="0" w:color="FFFFFF"/>
            </w:tcBorders>
            <w:shd w:val="clear" w:color="000000" w:fill="D9E1F2"/>
            <w:noWrap/>
            <w:vAlign w:val="bottom"/>
            <w:hideMark/>
          </w:tcPr>
          <w:p w14:paraId="3AD8182B" w14:textId="77777777" w:rsidR="00052799" w:rsidRPr="002D7AE6" w:rsidRDefault="00052799" w:rsidP="00871631">
            <w:pPr>
              <w:rPr>
                <w:b/>
                <w:bCs/>
                <w:color w:val="000000"/>
                <w:sz w:val="18"/>
                <w:szCs w:val="18"/>
                <w:lang w:eastAsia="en-AU"/>
              </w:rPr>
            </w:pPr>
          </w:p>
        </w:tc>
        <w:tc>
          <w:tcPr>
            <w:tcW w:w="1418" w:type="dxa"/>
            <w:tcBorders>
              <w:top w:val="nil"/>
              <w:left w:val="nil"/>
              <w:bottom w:val="single" w:sz="4" w:space="0" w:color="FFFFFF"/>
              <w:right w:val="nil"/>
            </w:tcBorders>
            <w:shd w:val="clear" w:color="000000" w:fill="D9E1F2"/>
            <w:noWrap/>
            <w:vAlign w:val="bottom"/>
            <w:hideMark/>
          </w:tcPr>
          <w:p w14:paraId="0F241020" w14:textId="77777777" w:rsidR="00052799" w:rsidRPr="002D7AE6" w:rsidRDefault="00052799" w:rsidP="00871631">
            <w:pPr>
              <w:rPr>
                <w:b/>
                <w:bCs/>
                <w:color w:val="000000"/>
                <w:sz w:val="18"/>
                <w:szCs w:val="18"/>
                <w:lang w:eastAsia="en-AU"/>
              </w:rPr>
            </w:pPr>
            <w:r w:rsidRPr="002D7AE6">
              <w:rPr>
                <w:b/>
                <w:bCs/>
                <w:color w:val="000000"/>
                <w:sz w:val="18"/>
                <w:szCs w:val="18"/>
                <w:lang w:eastAsia="en-AU"/>
              </w:rPr>
              <w:t>$-</w:t>
            </w:r>
          </w:p>
        </w:tc>
        <w:tc>
          <w:tcPr>
            <w:tcW w:w="1276" w:type="dxa"/>
            <w:tcBorders>
              <w:top w:val="nil"/>
              <w:left w:val="single" w:sz="4" w:space="0" w:color="FFFFFF"/>
              <w:bottom w:val="single" w:sz="4" w:space="0" w:color="FFFFFF"/>
              <w:right w:val="single" w:sz="4" w:space="0" w:color="auto"/>
            </w:tcBorders>
            <w:shd w:val="clear" w:color="000000" w:fill="D9E1F2"/>
            <w:noWrap/>
            <w:vAlign w:val="bottom"/>
            <w:hideMark/>
          </w:tcPr>
          <w:p w14:paraId="758B61AE" w14:textId="77777777" w:rsidR="00052799" w:rsidRPr="002D7AE6" w:rsidRDefault="00052799" w:rsidP="00871631">
            <w:pPr>
              <w:rPr>
                <w:b/>
                <w:bCs/>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noWrap/>
            <w:vAlign w:val="bottom"/>
            <w:hideMark/>
          </w:tcPr>
          <w:p w14:paraId="7F2F4A0A" w14:textId="77777777" w:rsidR="00052799" w:rsidRPr="002D7AE6" w:rsidRDefault="00052799" w:rsidP="00871631">
            <w:pPr>
              <w:rPr>
                <w:b/>
                <w:bCs/>
                <w:color w:val="000000"/>
                <w:sz w:val="18"/>
                <w:szCs w:val="18"/>
                <w:lang w:eastAsia="en-AU"/>
              </w:rPr>
            </w:pPr>
          </w:p>
        </w:tc>
        <w:tc>
          <w:tcPr>
            <w:tcW w:w="831" w:type="dxa"/>
            <w:tcBorders>
              <w:top w:val="nil"/>
              <w:left w:val="nil"/>
              <w:bottom w:val="single" w:sz="4" w:space="0" w:color="FFFFFF"/>
              <w:right w:val="single" w:sz="4" w:space="0" w:color="FFFFFF"/>
            </w:tcBorders>
            <w:shd w:val="clear" w:color="000000" w:fill="D9E1F2"/>
            <w:noWrap/>
            <w:vAlign w:val="bottom"/>
            <w:hideMark/>
          </w:tcPr>
          <w:p w14:paraId="54386F52" w14:textId="77777777" w:rsidR="00052799" w:rsidRPr="002D7AE6" w:rsidRDefault="00052799" w:rsidP="00871631">
            <w:pPr>
              <w:rPr>
                <w:b/>
                <w:bCs/>
                <w:color w:val="000000"/>
                <w:sz w:val="18"/>
                <w:szCs w:val="18"/>
                <w:lang w:eastAsia="en-AU"/>
              </w:rPr>
            </w:pPr>
          </w:p>
        </w:tc>
        <w:tc>
          <w:tcPr>
            <w:tcW w:w="1255" w:type="dxa"/>
            <w:tcBorders>
              <w:top w:val="nil"/>
              <w:left w:val="nil"/>
              <w:bottom w:val="single" w:sz="4" w:space="0" w:color="FFFFFF"/>
              <w:right w:val="nil"/>
            </w:tcBorders>
            <w:shd w:val="clear" w:color="000000" w:fill="D9E1F2"/>
            <w:noWrap/>
            <w:vAlign w:val="bottom"/>
            <w:hideMark/>
          </w:tcPr>
          <w:p w14:paraId="14138937" w14:textId="77777777" w:rsidR="00052799" w:rsidRPr="002D7AE6" w:rsidRDefault="00052799" w:rsidP="00871631">
            <w:pPr>
              <w:rPr>
                <w:b/>
                <w:bCs/>
                <w:color w:val="000000"/>
                <w:sz w:val="18"/>
                <w:szCs w:val="18"/>
                <w:lang w:eastAsia="en-AU"/>
              </w:rPr>
            </w:pPr>
            <w:r w:rsidRPr="002D7AE6">
              <w:rPr>
                <w:b/>
                <w:bCs/>
                <w:color w:val="000000"/>
                <w:sz w:val="18"/>
                <w:szCs w:val="18"/>
                <w:lang w:eastAsia="en-AU"/>
              </w:rPr>
              <w:t>$(430,195)</w:t>
            </w:r>
          </w:p>
        </w:tc>
        <w:tc>
          <w:tcPr>
            <w:tcW w:w="982" w:type="dxa"/>
            <w:tcBorders>
              <w:top w:val="nil"/>
              <w:left w:val="single" w:sz="4" w:space="0" w:color="FFFFFF"/>
              <w:bottom w:val="single" w:sz="4" w:space="0" w:color="FFFFFF"/>
              <w:right w:val="single" w:sz="4" w:space="0" w:color="FFFFFF"/>
            </w:tcBorders>
            <w:shd w:val="clear" w:color="000000" w:fill="D9E1F2"/>
            <w:noWrap/>
            <w:vAlign w:val="bottom"/>
            <w:hideMark/>
          </w:tcPr>
          <w:p w14:paraId="4C83B016" w14:textId="77777777" w:rsidR="00052799" w:rsidRPr="002D7AE6" w:rsidRDefault="00052799" w:rsidP="00871631">
            <w:pPr>
              <w:rPr>
                <w:b/>
                <w:bCs/>
                <w:color w:val="000000"/>
                <w:sz w:val="18"/>
                <w:szCs w:val="18"/>
                <w:lang w:eastAsia="en-AU"/>
              </w:rPr>
            </w:pPr>
          </w:p>
        </w:tc>
      </w:tr>
      <w:tr w:rsidR="00052799" w:rsidRPr="002D7AE6" w14:paraId="30855678" w14:textId="77777777" w:rsidTr="00871631">
        <w:trPr>
          <w:trHeight w:val="288"/>
        </w:trPr>
        <w:tc>
          <w:tcPr>
            <w:tcW w:w="3681" w:type="dxa"/>
            <w:tcBorders>
              <w:top w:val="nil"/>
              <w:left w:val="single" w:sz="4" w:space="0" w:color="FFFFFF"/>
              <w:bottom w:val="single" w:sz="4" w:space="0" w:color="FFFFFF"/>
              <w:right w:val="single" w:sz="4" w:space="0" w:color="auto"/>
            </w:tcBorders>
            <w:shd w:val="clear" w:color="000000" w:fill="D9D9D9"/>
            <w:noWrap/>
            <w:vAlign w:val="bottom"/>
            <w:hideMark/>
          </w:tcPr>
          <w:p w14:paraId="73DD0707" w14:textId="77777777" w:rsidR="00052799" w:rsidRPr="002D7AE6" w:rsidRDefault="00052799" w:rsidP="00871631">
            <w:pPr>
              <w:rPr>
                <w:b/>
                <w:bCs/>
                <w:color w:val="000000"/>
                <w:sz w:val="18"/>
                <w:szCs w:val="18"/>
                <w:lang w:eastAsia="en-AU"/>
              </w:rPr>
            </w:pPr>
            <w:r w:rsidRPr="002D7AE6">
              <w:rPr>
                <w:b/>
                <w:bCs/>
                <w:color w:val="000000"/>
                <w:sz w:val="18"/>
                <w:szCs w:val="18"/>
                <w:lang w:eastAsia="en-AU"/>
              </w:rPr>
              <w:t>Total revenue</w:t>
            </w:r>
          </w:p>
        </w:tc>
        <w:tc>
          <w:tcPr>
            <w:tcW w:w="1220" w:type="dxa"/>
            <w:tcBorders>
              <w:top w:val="nil"/>
              <w:left w:val="nil"/>
              <w:bottom w:val="single" w:sz="4" w:space="0" w:color="FFFFFF"/>
              <w:right w:val="single" w:sz="4" w:space="0" w:color="FFFFFF"/>
            </w:tcBorders>
            <w:shd w:val="clear" w:color="000000" w:fill="D9E1F2"/>
            <w:noWrap/>
            <w:vAlign w:val="bottom"/>
            <w:hideMark/>
          </w:tcPr>
          <w:p w14:paraId="016392A8" w14:textId="77777777" w:rsidR="00052799" w:rsidRPr="002D7AE6" w:rsidRDefault="00052799" w:rsidP="00871631">
            <w:pPr>
              <w:rPr>
                <w:color w:val="000000"/>
                <w:sz w:val="18"/>
                <w:szCs w:val="18"/>
                <w:lang w:eastAsia="en-AU"/>
              </w:rPr>
            </w:pPr>
          </w:p>
        </w:tc>
        <w:tc>
          <w:tcPr>
            <w:tcW w:w="1255" w:type="dxa"/>
            <w:tcBorders>
              <w:top w:val="nil"/>
              <w:left w:val="nil"/>
              <w:bottom w:val="single" w:sz="4" w:space="0" w:color="FFFFFF"/>
              <w:right w:val="nil"/>
            </w:tcBorders>
            <w:shd w:val="clear" w:color="000000" w:fill="D9E1F2"/>
            <w:noWrap/>
            <w:vAlign w:val="bottom"/>
            <w:hideMark/>
          </w:tcPr>
          <w:p w14:paraId="63FDD4ED" w14:textId="77777777" w:rsidR="00052799" w:rsidRPr="002D7AE6" w:rsidRDefault="00052799" w:rsidP="00871631">
            <w:pPr>
              <w:rPr>
                <w:b/>
                <w:bCs/>
                <w:color w:val="000000"/>
                <w:sz w:val="18"/>
                <w:szCs w:val="18"/>
                <w:lang w:eastAsia="en-AU"/>
              </w:rPr>
            </w:pPr>
            <w:r w:rsidRPr="002D7AE6">
              <w:rPr>
                <w:b/>
                <w:bCs/>
                <w:color w:val="000000"/>
                <w:sz w:val="18"/>
                <w:szCs w:val="18"/>
                <w:lang w:eastAsia="en-AU"/>
              </w:rPr>
              <w:t>$10,689,908</w:t>
            </w:r>
          </w:p>
        </w:tc>
        <w:tc>
          <w:tcPr>
            <w:tcW w:w="927" w:type="dxa"/>
            <w:tcBorders>
              <w:top w:val="nil"/>
              <w:left w:val="single" w:sz="4" w:space="0" w:color="auto"/>
              <w:bottom w:val="single" w:sz="4" w:space="0" w:color="FFFFFF"/>
              <w:right w:val="single" w:sz="4" w:space="0" w:color="FFFFFF"/>
            </w:tcBorders>
            <w:shd w:val="clear" w:color="000000" w:fill="D9E1F2"/>
            <w:noWrap/>
            <w:vAlign w:val="bottom"/>
            <w:hideMark/>
          </w:tcPr>
          <w:p w14:paraId="1BDE7426" w14:textId="77777777" w:rsidR="00052799" w:rsidRPr="002D7AE6" w:rsidRDefault="00052799" w:rsidP="00871631">
            <w:pPr>
              <w:rPr>
                <w:color w:val="000000"/>
                <w:sz w:val="18"/>
                <w:szCs w:val="18"/>
                <w:lang w:eastAsia="en-AU"/>
              </w:rPr>
            </w:pPr>
          </w:p>
        </w:tc>
        <w:tc>
          <w:tcPr>
            <w:tcW w:w="850" w:type="dxa"/>
            <w:tcBorders>
              <w:top w:val="nil"/>
              <w:left w:val="nil"/>
              <w:bottom w:val="single" w:sz="4" w:space="0" w:color="FFFFFF"/>
              <w:right w:val="single" w:sz="4" w:space="0" w:color="FFFFFF"/>
            </w:tcBorders>
            <w:shd w:val="clear" w:color="000000" w:fill="D9E1F2"/>
            <w:noWrap/>
            <w:vAlign w:val="bottom"/>
            <w:hideMark/>
          </w:tcPr>
          <w:p w14:paraId="401A91E6" w14:textId="77777777" w:rsidR="00052799" w:rsidRPr="002D7AE6" w:rsidRDefault="00052799" w:rsidP="00871631">
            <w:pPr>
              <w:rPr>
                <w:b/>
                <w:bCs/>
                <w:color w:val="000000"/>
                <w:sz w:val="18"/>
                <w:szCs w:val="18"/>
                <w:lang w:eastAsia="en-AU"/>
              </w:rPr>
            </w:pPr>
          </w:p>
        </w:tc>
        <w:tc>
          <w:tcPr>
            <w:tcW w:w="1418" w:type="dxa"/>
            <w:tcBorders>
              <w:top w:val="nil"/>
              <w:left w:val="nil"/>
              <w:bottom w:val="single" w:sz="4" w:space="0" w:color="FFFFFF"/>
              <w:right w:val="single" w:sz="4" w:space="0" w:color="FFFFFF"/>
            </w:tcBorders>
            <w:shd w:val="clear" w:color="000000" w:fill="D9E1F2"/>
            <w:noWrap/>
            <w:vAlign w:val="bottom"/>
            <w:hideMark/>
          </w:tcPr>
          <w:p w14:paraId="565BF1F4" w14:textId="77777777" w:rsidR="00052799" w:rsidRPr="002D7AE6" w:rsidRDefault="00052799" w:rsidP="00871631">
            <w:pPr>
              <w:rPr>
                <w:b/>
                <w:bCs/>
                <w:color w:val="000000"/>
                <w:sz w:val="18"/>
                <w:szCs w:val="18"/>
                <w:lang w:eastAsia="en-AU"/>
              </w:rPr>
            </w:pPr>
            <w:r w:rsidRPr="002D7AE6">
              <w:rPr>
                <w:b/>
                <w:bCs/>
                <w:color w:val="000000"/>
                <w:sz w:val="18"/>
                <w:szCs w:val="18"/>
                <w:lang w:eastAsia="en-AU"/>
              </w:rPr>
              <w:t>$13,738,909</w:t>
            </w:r>
          </w:p>
        </w:tc>
        <w:tc>
          <w:tcPr>
            <w:tcW w:w="1276" w:type="dxa"/>
            <w:tcBorders>
              <w:top w:val="nil"/>
              <w:left w:val="nil"/>
              <w:bottom w:val="single" w:sz="4" w:space="0" w:color="FFFFFF"/>
              <w:right w:val="single" w:sz="4" w:space="0" w:color="auto"/>
            </w:tcBorders>
            <w:shd w:val="clear" w:color="000000" w:fill="D9E1F2"/>
            <w:noWrap/>
            <w:vAlign w:val="bottom"/>
            <w:hideMark/>
          </w:tcPr>
          <w:p w14:paraId="205E0FD5" w14:textId="77777777" w:rsidR="00052799" w:rsidRPr="002D7AE6" w:rsidRDefault="00052799" w:rsidP="00871631">
            <w:pPr>
              <w:rPr>
                <w:b/>
                <w:bCs/>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noWrap/>
            <w:vAlign w:val="bottom"/>
            <w:hideMark/>
          </w:tcPr>
          <w:p w14:paraId="53923153" w14:textId="77777777" w:rsidR="00052799" w:rsidRPr="002D7AE6" w:rsidRDefault="00052799" w:rsidP="00871631">
            <w:pPr>
              <w:rPr>
                <w:b/>
                <w:bCs/>
                <w:color w:val="000000"/>
                <w:sz w:val="18"/>
                <w:szCs w:val="18"/>
                <w:lang w:eastAsia="en-AU"/>
              </w:rPr>
            </w:pPr>
          </w:p>
        </w:tc>
        <w:tc>
          <w:tcPr>
            <w:tcW w:w="831" w:type="dxa"/>
            <w:tcBorders>
              <w:top w:val="nil"/>
              <w:left w:val="nil"/>
              <w:bottom w:val="single" w:sz="4" w:space="0" w:color="FFFFFF"/>
              <w:right w:val="single" w:sz="4" w:space="0" w:color="FFFFFF"/>
            </w:tcBorders>
            <w:shd w:val="clear" w:color="000000" w:fill="D9E1F2"/>
            <w:noWrap/>
            <w:vAlign w:val="bottom"/>
            <w:hideMark/>
          </w:tcPr>
          <w:p w14:paraId="2A7B19EA" w14:textId="77777777" w:rsidR="00052799" w:rsidRPr="002D7AE6" w:rsidRDefault="00052799" w:rsidP="00871631">
            <w:pPr>
              <w:rPr>
                <w:b/>
                <w:bCs/>
                <w:color w:val="000000"/>
                <w:sz w:val="18"/>
                <w:szCs w:val="18"/>
                <w:lang w:eastAsia="en-AU"/>
              </w:rPr>
            </w:pPr>
          </w:p>
        </w:tc>
        <w:tc>
          <w:tcPr>
            <w:tcW w:w="1255" w:type="dxa"/>
            <w:tcBorders>
              <w:top w:val="nil"/>
              <w:left w:val="nil"/>
              <w:bottom w:val="single" w:sz="4" w:space="0" w:color="FFFFFF"/>
              <w:right w:val="single" w:sz="4" w:space="0" w:color="FFFFFF"/>
            </w:tcBorders>
            <w:shd w:val="clear" w:color="000000" w:fill="D9E1F2"/>
            <w:noWrap/>
            <w:vAlign w:val="bottom"/>
            <w:hideMark/>
          </w:tcPr>
          <w:p w14:paraId="4F9DFAE7" w14:textId="77777777" w:rsidR="00052799" w:rsidRPr="002D7AE6" w:rsidRDefault="00052799" w:rsidP="00871631">
            <w:pPr>
              <w:rPr>
                <w:b/>
                <w:bCs/>
                <w:color w:val="000000"/>
                <w:sz w:val="18"/>
                <w:szCs w:val="18"/>
                <w:lang w:eastAsia="en-AU"/>
              </w:rPr>
            </w:pPr>
            <w:r w:rsidRPr="002D7AE6">
              <w:rPr>
                <w:b/>
                <w:bCs/>
                <w:color w:val="000000"/>
                <w:sz w:val="18"/>
                <w:szCs w:val="18"/>
                <w:lang w:eastAsia="en-AU"/>
              </w:rPr>
              <w:t>$11,128,135</w:t>
            </w:r>
          </w:p>
        </w:tc>
        <w:tc>
          <w:tcPr>
            <w:tcW w:w="982" w:type="dxa"/>
            <w:tcBorders>
              <w:top w:val="nil"/>
              <w:left w:val="nil"/>
              <w:bottom w:val="single" w:sz="4" w:space="0" w:color="FFFFFF"/>
              <w:right w:val="single" w:sz="4" w:space="0" w:color="FFFFFF"/>
            </w:tcBorders>
            <w:shd w:val="clear" w:color="000000" w:fill="D9E1F2"/>
            <w:noWrap/>
            <w:vAlign w:val="bottom"/>
            <w:hideMark/>
          </w:tcPr>
          <w:p w14:paraId="7AAF4209" w14:textId="77777777" w:rsidR="00052799" w:rsidRPr="002D7AE6" w:rsidRDefault="00052799" w:rsidP="00871631">
            <w:pPr>
              <w:rPr>
                <w:b/>
                <w:bCs/>
                <w:color w:val="000000"/>
                <w:sz w:val="18"/>
                <w:szCs w:val="18"/>
                <w:lang w:eastAsia="en-AU"/>
              </w:rPr>
            </w:pPr>
          </w:p>
        </w:tc>
      </w:tr>
      <w:tr w:rsidR="00052799" w:rsidRPr="002D7AE6" w14:paraId="0B9BD757" w14:textId="77777777" w:rsidTr="00871631">
        <w:trPr>
          <w:trHeight w:val="288"/>
        </w:trPr>
        <w:tc>
          <w:tcPr>
            <w:tcW w:w="3681" w:type="dxa"/>
            <w:tcBorders>
              <w:top w:val="nil"/>
              <w:left w:val="single" w:sz="4" w:space="0" w:color="FFFFFF"/>
              <w:bottom w:val="single" w:sz="4" w:space="0" w:color="FFFFFF"/>
              <w:right w:val="single" w:sz="4" w:space="0" w:color="auto"/>
            </w:tcBorders>
            <w:shd w:val="clear" w:color="000000" w:fill="D9D9D9"/>
            <w:noWrap/>
            <w:vAlign w:val="bottom"/>
            <w:hideMark/>
          </w:tcPr>
          <w:p w14:paraId="06531589" w14:textId="77777777" w:rsidR="00052799" w:rsidRPr="002D7AE6" w:rsidRDefault="00052799" w:rsidP="00871631">
            <w:pPr>
              <w:rPr>
                <w:b/>
                <w:bCs/>
                <w:color w:val="000000"/>
                <w:sz w:val="18"/>
                <w:szCs w:val="18"/>
                <w:lang w:eastAsia="en-AU"/>
              </w:rPr>
            </w:pPr>
            <w:r w:rsidRPr="002D7AE6">
              <w:rPr>
                <w:b/>
                <w:bCs/>
                <w:color w:val="000000"/>
                <w:sz w:val="18"/>
                <w:szCs w:val="18"/>
                <w:lang w:eastAsia="en-AU"/>
              </w:rPr>
              <w:t>Percentage of costs recovered</w:t>
            </w:r>
          </w:p>
        </w:tc>
        <w:tc>
          <w:tcPr>
            <w:tcW w:w="1220" w:type="dxa"/>
            <w:tcBorders>
              <w:top w:val="nil"/>
              <w:left w:val="nil"/>
              <w:bottom w:val="single" w:sz="4" w:space="0" w:color="FFFFFF"/>
              <w:right w:val="single" w:sz="4" w:space="0" w:color="FFFFFF"/>
            </w:tcBorders>
            <w:shd w:val="clear" w:color="000000" w:fill="D9E1F2"/>
            <w:noWrap/>
            <w:vAlign w:val="bottom"/>
            <w:hideMark/>
          </w:tcPr>
          <w:p w14:paraId="3C6DD760" w14:textId="77777777" w:rsidR="00052799" w:rsidRPr="002D7AE6" w:rsidRDefault="00052799" w:rsidP="00871631">
            <w:pPr>
              <w:rPr>
                <w:color w:val="000000"/>
                <w:sz w:val="18"/>
                <w:szCs w:val="18"/>
                <w:lang w:eastAsia="en-AU"/>
              </w:rPr>
            </w:pPr>
          </w:p>
        </w:tc>
        <w:tc>
          <w:tcPr>
            <w:tcW w:w="1255" w:type="dxa"/>
            <w:tcBorders>
              <w:top w:val="nil"/>
              <w:left w:val="nil"/>
              <w:bottom w:val="single" w:sz="4" w:space="0" w:color="FFFFFF"/>
              <w:right w:val="nil"/>
            </w:tcBorders>
            <w:shd w:val="clear" w:color="000000" w:fill="D9E1F2"/>
            <w:noWrap/>
            <w:vAlign w:val="center"/>
            <w:hideMark/>
          </w:tcPr>
          <w:p w14:paraId="5CEC56F7" w14:textId="77777777" w:rsidR="00052799" w:rsidRPr="002D7AE6" w:rsidRDefault="00052799" w:rsidP="00871631">
            <w:pPr>
              <w:jc w:val="center"/>
              <w:rPr>
                <w:b/>
                <w:bCs/>
                <w:color w:val="000000"/>
                <w:sz w:val="18"/>
                <w:szCs w:val="18"/>
                <w:lang w:eastAsia="en-AU"/>
              </w:rPr>
            </w:pPr>
            <w:r w:rsidRPr="002D7AE6">
              <w:rPr>
                <w:b/>
                <w:bCs/>
                <w:color w:val="000000"/>
                <w:sz w:val="18"/>
                <w:szCs w:val="18"/>
                <w:lang w:eastAsia="en-AU"/>
              </w:rPr>
              <w:t>78%</w:t>
            </w:r>
          </w:p>
        </w:tc>
        <w:tc>
          <w:tcPr>
            <w:tcW w:w="927" w:type="dxa"/>
            <w:tcBorders>
              <w:top w:val="nil"/>
              <w:left w:val="single" w:sz="4" w:space="0" w:color="auto"/>
              <w:bottom w:val="single" w:sz="4" w:space="0" w:color="FFFFFF"/>
              <w:right w:val="single" w:sz="4" w:space="0" w:color="FFFFFF"/>
            </w:tcBorders>
            <w:shd w:val="clear" w:color="000000" w:fill="D9E1F2"/>
            <w:noWrap/>
            <w:vAlign w:val="center"/>
            <w:hideMark/>
          </w:tcPr>
          <w:p w14:paraId="71D11A71" w14:textId="77777777" w:rsidR="00052799" w:rsidRPr="002D7AE6" w:rsidRDefault="00052799" w:rsidP="00871631">
            <w:pPr>
              <w:jc w:val="center"/>
              <w:rPr>
                <w:color w:val="000000"/>
                <w:sz w:val="18"/>
                <w:szCs w:val="18"/>
                <w:lang w:eastAsia="en-AU"/>
              </w:rPr>
            </w:pPr>
          </w:p>
        </w:tc>
        <w:tc>
          <w:tcPr>
            <w:tcW w:w="850" w:type="dxa"/>
            <w:tcBorders>
              <w:top w:val="nil"/>
              <w:left w:val="nil"/>
              <w:bottom w:val="single" w:sz="4" w:space="0" w:color="FFFFFF"/>
              <w:right w:val="single" w:sz="4" w:space="0" w:color="FFFFFF"/>
            </w:tcBorders>
            <w:shd w:val="clear" w:color="000000" w:fill="D9E1F2"/>
            <w:noWrap/>
            <w:vAlign w:val="center"/>
            <w:hideMark/>
          </w:tcPr>
          <w:p w14:paraId="7DF063A6" w14:textId="77777777" w:rsidR="00052799" w:rsidRPr="002D7AE6" w:rsidRDefault="00052799" w:rsidP="00871631">
            <w:pPr>
              <w:jc w:val="center"/>
              <w:rPr>
                <w:color w:val="000000"/>
                <w:sz w:val="18"/>
                <w:szCs w:val="18"/>
                <w:lang w:eastAsia="en-AU"/>
              </w:rPr>
            </w:pPr>
          </w:p>
        </w:tc>
        <w:tc>
          <w:tcPr>
            <w:tcW w:w="1418" w:type="dxa"/>
            <w:tcBorders>
              <w:top w:val="nil"/>
              <w:left w:val="nil"/>
              <w:bottom w:val="single" w:sz="4" w:space="0" w:color="FFFFFF"/>
              <w:right w:val="single" w:sz="4" w:space="0" w:color="FFFFFF"/>
            </w:tcBorders>
            <w:shd w:val="clear" w:color="000000" w:fill="D9E1F2"/>
            <w:noWrap/>
            <w:vAlign w:val="center"/>
            <w:hideMark/>
          </w:tcPr>
          <w:p w14:paraId="0A2BC83A" w14:textId="77777777" w:rsidR="00052799" w:rsidRPr="002D7AE6" w:rsidRDefault="00052799" w:rsidP="00871631">
            <w:pPr>
              <w:jc w:val="center"/>
              <w:rPr>
                <w:b/>
                <w:bCs/>
                <w:color w:val="000000"/>
                <w:sz w:val="18"/>
                <w:szCs w:val="18"/>
                <w:lang w:eastAsia="en-AU"/>
              </w:rPr>
            </w:pPr>
            <w:r w:rsidRPr="002D7AE6">
              <w:rPr>
                <w:b/>
                <w:bCs/>
                <w:color w:val="000000"/>
                <w:sz w:val="18"/>
                <w:szCs w:val="18"/>
                <w:lang w:eastAsia="en-AU"/>
              </w:rPr>
              <w:t>100%</w:t>
            </w:r>
          </w:p>
        </w:tc>
        <w:tc>
          <w:tcPr>
            <w:tcW w:w="1276" w:type="dxa"/>
            <w:tcBorders>
              <w:top w:val="nil"/>
              <w:left w:val="nil"/>
              <w:bottom w:val="single" w:sz="4" w:space="0" w:color="FFFFFF"/>
              <w:right w:val="single" w:sz="4" w:space="0" w:color="auto"/>
            </w:tcBorders>
            <w:shd w:val="clear" w:color="000000" w:fill="D9E1F2"/>
            <w:noWrap/>
            <w:vAlign w:val="center"/>
            <w:hideMark/>
          </w:tcPr>
          <w:p w14:paraId="4CAD025B" w14:textId="77777777" w:rsidR="00052799" w:rsidRPr="002D7AE6" w:rsidRDefault="00052799" w:rsidP="00871631">
            <w:pPr>
              <w:jc w:val="center"/>
              <w:rPr>
                <w:color w:val="000000"/>
                <w:sz w:val="18"/>
                <w:szCs w:val="18"/>
                <w:lang w:eastAsia="en-AU"/>
              </w:rPr>
            </w:pPr>
          </w:p>
        </w:tc>
        <w:tc>
          <w:tcPr>
            <w:tcW w:w="925" w:type="dxa"/>
            <w:tcBorders>
              <w:top w:val="nil"/>
              <w:left w:val="nil"/>
              <w:bottom w:val="single" w:sz="4" w:space="0" w:color="FFFFFF"/>
              <w:right w:val="single" w:sz="4" w:space="0" w:color="FFFFFF"/>
            </w:tcBorders>
            <w:shd w:val="clear" w:color="000000" w:fill="D9E1F2"/>
            <w:noWrap/>
            <w:vAlign w:val="center"/>
            <w:hideMark/>
          </w:tcPr>
          <w:p w14:paraId="24403A1F" w14:textId="77777777" w:rsidR="00052799" w:rsidRPr="002D7AE6" w:rsidRDefault="00052799" w:rsidP="00871631">
            <w:pPr>
              <w:jc w:val="center"/>
              <w:rPr>
                <w:b/>
                <w:bCs/>
                <w:color w:val="000000"/>
                <w:sz w:val="18"/>
                <w:szCs w:val="18"/>
                <w:lang w:eastAsia="en-AU"/>
              </w:rPr>
            </w:pPr>
          </w:p>
        </w:tc>
        <w:tc>
          <w:tcPr>
            <w:tcW w:w="831" w:type="dxa"/>
            <w:tcBorders>
              <w:top w:val="nil"/>
              <w:left w:val="nil"/>
              <w:bottom w:val="single" w:sz="4" w:space="0" w:color="FFFFFF"/>
              <w:right w:val="single" w:sz="4" w:space="0" w:color="FFFFFF"/>
            </w:tcBorders>
            <w:shd w:val="clear" w:color="000000" w:fill="D9E1F2"/>
            <w:noWrap/>
            <w:vAlign w:val="center"/>
            <w:hideMark/>
          </w:tcPr>
          <w:p w14:paraId="4F0281AA" w14:textId="77777777" w:rsidR="00052799" w:rsidRPr="002D7AE6" w:rsidRDefault="00052799" w:rsidP="00871631">
            <w:pPr>
              <w:jc w:val="center"/>
              <w:rPr>
                <w:color w:val="000000"/>
                <w:sz w:val="18"/>
                <w:szCs w:val="18"/>
                <w:lang w:eastAsia="en-AU"/>
              </w:rPr>
            </w:pPr>
          </w:p>
        </w:tc>
        <w:tc>
          <w:tcPr>
            <w:tcW w:w="1255" w:type="dxa"/>
            <w:tcBorders>
              <w:top w:val="nil"/>
              <w:left w:val="nil"/>
              <w:bottom w:val="single" w:sz="4" w:space="0" w:color="FFFFFF"/>
              <w:right w:val="single" w:sz="4" w:space="0" w:color="FFFFFF"/>
            </w:tcBorders>
            <w:shd w:val="clear" w:color="000000" w:fill="D9E1F2"/>
            <w:noWrap/>
            <w:vAlign w:val="center"/>
            <w:hideMark/>
          </w:tcPr>
          <w:p w14:paraId="2E353EC2" w14:textId="77777777" w:rsidR="00052799" w:rsidRPr="002D7AE6" w:rsidRDefault="00052799" w:rsidP="00871631">
            <w:pPr>
              <w:jc w:val="center"/>
              <w:rPr>
                <w:b/>
                <w:bCs/>
                <w:color w:val="000000"/>
                <w:sz w:val="18"/>
                <w:szCs w:val="18"/>
                <w:lang w:eastAsia="en-AU"/>
              </w:rPr>
            </w:pPr>
            <w:r w:rsidRPr="002D7AE6">
              <w:rPr>
                <w:b/>
                <w:bCs/>
                <w:color w:val="000000"/>
                <w:sz w:val="18"/>
                <w:szCs w:val="18"/>
                <w:lang w:eastAsia="en-AU"/>
              </w:rPr>
              <w:t>81%</w:t>
            </w:r>
          </w:p>
        </w:tc>
        <w:tc>
          <w:tcPr>
            <w:tcW w:w="982" w:type="dxa"/>
            <w:tcBorders>
              <w:top w:val="nil"/>
              <w:left w:val="nil"/>
              <w:bottom w:val="single" w:sz="4" w:space="0" w:color="FFFFFF"/>
              <w:right w:val="single" w:sz="4" w:space="0" w:color="FFFFFF"/>
            </w:tcBorders>
            <w:shd w:val="clear" w:color="000000" w:fill="D9E1F2"/>
            <w:noWrap/>
            <w:vAlign w:val="bottom"/>
            <w:hideMark/>
          </w:tcPr>
          <w:p w14:paraId="4BB576D0" w14:textId="77777777" w:rsidR="00052799" w:rsidRPr="002D7AE6" w:rsidRDefault="00052799" w:rsidP="00871631">
            <w:pPr>
              <w:rPr>
                <w:color w:val="000000"/>
                <w:sz w:val="18"/>
                <w:szCs w:val="18"/>
                <w:lang w:eastAsia="en-AU"/>
              </w:rPr>
            </w:pPr>
          </w:p>
        </w:tc>
      </w:tr>
    </w:tbl>
    <w:p w14:paraId="74A0ECE9" w14:textId="2259DD67" w:rsidR="00052799" w:rsidRDefault="00052799" w:rsidP="00052799">
      <w:pPr>
        <w:pStyle w:val="Body"/>
        <w:rPr>
          <w:noProof/>
          <w:lang w:eastAsia="en-AU"/>
        </w:rPr>
      </w:pPr>
      <w:r>
        <w:rPr>
          <w:noProof/>
          <w:lang w:eastAsia="en-AU"/>
        </w:rPr>
        <w:t xml:space="preserve">Note: </w:t>
      </w:r>
      <w:r w:rsidR="000514BF">
        <w:rPr>
          <w:noProof/>
          <w:lang w:eastAsia="en-AU"/>
        </w:rPr>
        <w:t>‘</w:t>
      </w:r>
      <w:r>
        <w:rPr>
          <w:noProof/>
          <w:lang w:eastAsia="en-AU"/>
        </w:rPr>
        <w:t>*</w:t>
      </w:r>
      <w:r w:rsidR="000514BF">
        <w:rPr>
          <w:noProof/>
          <w:lang w:eastAsia="en-AU"/>
        </w:rPr>
        <w:t>’</w:t>
      </w:r>
      <w:r>
        <w:rPr>
          <w:noProof/>
          <w:lang w:eastAsia="en-AU"/>
        </w:rPr>
        <w:t xml:space="preserve"> indicates that a fee category is new, and there is therefore no current fee to compare it against.</w:t>
      </w:r>
    </w:p>
    <w:p w14:paraId="704FF460" w14:textId="77777777" w:rsidR="00052799" w:rsidRDefault="00052799" w:rsidP="00052799">
      <w:pPr>
        <w:pStyle w:val="Body"/>
        <w:rPr>
          <w:noProof/>
          <w:lang w:eastAsia="en-AU"/>
        </w:rPr>
        <w:sectPr w:rsidR="00052799" w:rsidSect="00871631">
          <w:headerReference w:type="default" r:id="rId19"/>
          <w:footerReference w:type="default" r:id="rId20"/>
          <w:pgSz w:w="16838" w:h="11906" w:orient="landscape" w:code="9"/>
          <w:pgMar w:top="1134" w:right="1134" w:bottom="851" w:left="567" w:header="284" w:footer="284" w:gutter="0"/>
          <w:cols w:space="708"/>
          <w:docGrid w:linePitch="381"/>
        </w:sectPr>
      </w:pPr>
    </w:p>
    <w:p w14:paraId="465F0B6C" w14:textId="77777777" w:rsidR="00052799" w:rsidRPr="00610D49" w:rsidRDefault="00052799" w:rsidP="00052799">
      <w:pPr>
        <w:pStyle w:val="Appendixheader"/>
      </w:pPr>
      <w:bookmarkStart w:id="454" w:name="_Toc497493026"/>
      <w:bookmarkStart w:id="455" w:name="_Ref500446681"/>
      <w:bookmarkStart w:id="456" w:name="_Toc500505504"/>
      <w:bookmarkStart w:id="457" w:name="_Toc501539199"/>
      <w:r w:rsidRPr="00610D49">
        <w:t>Summary of activity-based costing</w:t>
      </w:r>
      <w:bookmarkEnd w:id="454"/>
      <w:bookmarkEnd w:id="455"/>
      <w:bookmarkEnd w:id="456"/>
      <w:bookmarkEnd w:id="457"/>
    </w:p>
    <w:p w14:paraId="47461483" w14:textId="02328175" w:rsidR="00052799" w:rsidRPr="00610D49" w:rsidRDefault="00052799" w:rsidP="00052799">
      <w:pPr>
        <w:pStyle w:val="BodyText"/>
      </w:pPr>
      <w:r w:rsidRPr="00610D49">
        <w:t xml:space="preserve">The approach in the ABC </w:t>
      </w:r>
      <w:r>
        <w:t xml:space="preserve">modelling </w:t>
      </w:r>
      <w:r w:rsidRPr="00610D49">
        <w:t>was based on the Depar</w:t>
      </w:r>
      <w:r w:rsidR="001C7D77">
        <w:t>tment of Treasury and Finance’s</w:t>
      </w:r>
      <w:r w:rsidRPr="00610D49">
        <w:t xml:space="preserve"> </w:t>
      </w:r>
      <w:r w:rsidRPr="001C7D77">
        <w:rPr>
          <w:i/>
        </w:rPr>
        <w:t>Cost Recovery Guidelines</w:t>
      </w:r>
      <w:r w:rsidRPr="00610D49">
        <w:t>.</w:t>
      </w:r>
    </w:p>
    <w:p w14:paraId="668DBD1B" w14:textId="77777777" w:rsidR="00052799" w:rsidRPr="00610D49" w:rsidRDefault="00052799" w:rsidP="00052799">
      <w:pPr>
        <w:pStyle w:val="BodyText"/>
      </w:pPr>
      <w:r w:rsidRPr="00610D49">
        <w:t>To inform the development of the ABC model, the activities undertaken by Victoria Police associated with regulating firearms were identified and mapped. Estimates of time spent on each activity were obtained through detailed consultation. These time allocations were settled in consultation with LRD. They are generally current as at February 2017 (with some being more recent due to subsequent verification).</w:t>
      </w:r>
    </w:p>
    <w:p w14:paraId="669C94A4" w14:textId="403139FF" w:rsidR="00052799" w:rsidRPr="00610D49" w:rsidRDefault="00052799" w:rsidP="00052799">
      <w:pPr>
        <w:pStyle w:val="BodyText"/>
      </w:pPr>
      <w:r w:rsidRPr="00610D49">
        <w:t>In order to verify the cost attributions remained up to date, tables outlining the time estimates for processing key licen</w:t>
      </w:r>
      <w:r>
        <w:t>c</w:t>
      </w:r>
      <w:r w:rsidRPr="00610D49">
        <w:t xml:space="preserve">e and permit categories were provided to Victoria Police for verification. Examples of the material provided are included below in </w:t>
      </w:r>
      <w:r w:rsidR="001C7D77" w:rsidRPr="00610D49">
        <w:t xml:space="preserve">Table </w:t>
      </w:r>
      <w:r w:rsidR="001C7D77">
        <w:rPr>
          <w:noProof/>
        </w:rPr>
        <w:t>40</w:t>
      </w:r>
      <w:r w:rsidRPr="00610D49">
        <w:t xml:space="preserve"> and </w:t>
      </w:r>
      <w:r w:rsidR="001C7D77" w:rsidRPr="00610D49">
        <w:t xml:space="preserve">Table </w:t>
      </w:r>
      <w:r w:rsidR="001C7D77">
        <w:rPr>
          <w:noProof/>
        </w:rPr>
        <w:t>41</w:t>
      </w:r>
      <w:r w:rsidRPr="00610D49">
        <w:t xml:space="preserve">. These tables reflect the final state of these estimates following minor revisions by Victoria police. </w:t>
      </w:r>
    </w:p>
    <w:p w14:paraId="1FFF3DA2" w14:textId="5049E1A3" w:rsidR="00052799" w:rsidRPr="00610D49" w:rsidRDefault="00052799" w:rsidP="00052799">
      <w:pPr>
        <w:pStyle w:val="Body"/>
        <w:rPr>
          <w:rFonts w:ascii="Times New Roman" w:hAnsi="Times New Roman" w:cs="Times New Roman"/>
          <w:sz w:val="24"/>
          <w:lang w:eastAsia="en-AU"/>
        </w:rPr>
      </w:pPr>
      <w:r>
        <w:t>Licence applications take much longer than permits to acquire to process, given that there is a greater quantity of information provided, and a greater level of risk involved (i.e. a licence allows someone to hold a firearm, whereas a permit to acquire allows an approved person to hold the firearm that they are licensed for).Each application for a licence or permit to acquire is assessed separately, given that each decision is separate and requires consideration of the individual risks associated with the individual applicant, and the type and number of relevant firearms they are licensed to hold. It is important to note that the time estimates use averages across the time taken for new and renewal applications, noting that renewal applications are generally faster to process – as these estimates relate to attribution of LRD’s costs alone, this is an appropriate approach given that there is not the risk of overstating costs.</w:t>
      </w:r>
    </w:p>
    <w:p w14:paraId="1DEC3277" w14:textId="793203A1" w:rsidR="00052799" w:rsidRPr="00610D49" w:rsidRDefault="00052799" w:rsidP="00052799">
      <w:pPr>
        <w:pStyle w:val="Caption"/>
      </w:pPr>
      <w:bookmarkStart w:id="458" w:name="_Ref496784081"/>
      <w:r w:rsidRPr="00610D49">
        <w:t xml:space="preserve">Table </w:t>
      </w:r>
      <w:r w:rsidR="001C7D77">
        <w:rPr>
          <w:noProof/>
        </w:rPr>
        <w:t>40</w:t>
      </w:r>
      <w:bookmarkEnd w:id="458"/>
      <w:r w:rsidR="00803D5B">
        <w:t xml:space="preserve">: </w:t>
      </w:r>
      <w:r w:rsidRPr="00610D49">
        <w:t>Time estimates for processing individual longarm licen</w:t>
      </w:r>
      <w:r>
        <w:t>c</w:t>
      </w:r>
      <w:r w:rsidRPr="00610D49">
        <w:t>e applications (minutes)</w:t>
      </w:r>
    </w:p>
    <w:tbl>
      <w:tblPr>
        <w:tblW w:w="8816" w:type="dxa"/>
        <w:tblInd w:w="816"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ook w:val="04A0" w:firstRow="1" w:lastRow="0" w:firstColumn="1" w:lastColumn="0" w:noHBand="0" w:noVBand="1"/>
        <w:tblCaption w:val="Table 40: Time estimates for processing individual longarm licence applications (minutes)"/>
      </w:tblPr>
      <w:tblGrid>
        <w:gridCol w:w="2818"/>
        <w:gridCol w:w="988"/>
        <w:gridCol w:w="989"/>
        <w:gridCol w:w="988"/>
        <w:gridCol w:w="988"/>
        <w:gridCol w:w="988"/>
        <w:gridCol w:w="1057"/>
      </w:tblGrid>
      <w:tr w:rsidR="00052799" w:rsidRPr="001C7D77" w14:paraId="2AE00F49" w14:textId="77777777" w:rsidTr="001C7D77">
        <w:trPr>
          <w:trHeight w:val="84"/>
        </w:trPr>
        <w:tc>
          <w:tcPr>
            <w:tcW w:w="2833" w:type="dxa"/>
            <w:shd w:val="clear" w:color="auto" w:fill="002060"/>
            <w:tcMar>
              <w:top w:w="0" w:type="dxa"/>
              <w:left w:w="0" w:type="dxa"/>
              <w:bottom w:w="0" w:type="dxa"/>
              <w:right w:w="0" w:type="dxa"/>
            </w:tcMar>
            <w:vAlign w:val="center"/>
            <w:hideMark/>
          </w:tcPr>
          <w:p w14:paraId="0958C511" w14:textId="77777777" w:rsidR="00052799" w:rsidRPr="001C7D77" w:rsidRDefault="00052799" w:rsidP="001C7D77">
            <w:pPr>
              <w:pStyle w:val="TableHeader"/>
              <w:spacing w:before="40" w:after="40"/>
              <w:jc w:val="center"/>
              <w:rPr>
                <w:sz w:val="18"/>
                <w:szCs w:val="18"/>
              </w:rPr>
            </w:pPr>
            <w:r w:rsidRPr="001C7D77">
              <w:rPr>
                <w:sz w:val="18"/>
                <w:szCs w:val="18"/>
              </w:rPr>
              <w:t>Process</w:t>
            </w:r>
          </w:p>
        </w:tc>
        <w:tc>
          <w:tcPr>
            <w:tcW w:w="990" w:type="dxa"/>
            <w:shd w:val="clear" w:color="auto" w:fill="002060"/>
            <w:tcMar>
              <w:top w:w="0" w:type="dxa"/>
              <w:left w:w="0" w:type="dxa"/>
              <w:bottom w:w="0" w:type="dxa"/>
              <w:right w:w="0" w:type="dxa"/>
            </w:tcMar>
            <w:vAlign w:val="center"/>
            <w:hideMark/>
          </w:tcPr>
          <w:p w14:paraId="2D8CDBBE" w14:textId="25341397" w:rsidR="00052799" w:rsidRPr="004B487D" w:rsidRDefault="001C7D77" w:rsidP="001C7D77">
            <w:pPr>
              <w:pStyle w:val="TableHeader"/>
              <w:spacing w:before="40" w:after="40"/>
              <w:jc w:val="center"/>
              <w:rPr>
                <w:sz w:val="18"/>
                <w:szCs w:val="18"/>
              </w:rPr>
            </w:pPr>
            <w:r>
              <w:rPr>
                <w:sz w:val="18"/>
                <w:szCs w:val="18"/>
              </w:rPr>
              <w:t>Longarm cat</w:t>
            </w:r>
            <w:r w:rsidR="00052799" w:rsidRPr="001C7D77">
              <w:rPr>
                <w:sz w:val="18"/>
                <w:szCs w:val="18"/>
              </w:rPr>
              <w:t xml:space="preserve"> A individual</w:t>
            </w:r>
          </w:p>
        </w:tc>
        <w:tc>
          <w:tcPr>
            <w:tcW w:w="990" w:type="dxa"/>
            <w:shd w:val="clear" w:color="auto" w:fill="002060"/>
            <w:tcMar>
              <w:top w:w="0" w:type="dxa"/>
              <w:left w:w="0" w:type="dxa"/>
              <w:bottom w:w="0" w:type="dxa"/>
              <w:right w:w="0" w:type="dxa"/>
            </w:tcMar>
            <w:vAlign w:val="center"/>
            <w:hideMark/>
          </w:tcPr>
          <w:p w14:paraId="0FD6D534" w14:textId="0EDA494E" w:rsidR="00052799" w:rsidRPr="004B487D" w:rsidRDefault="00052799" w:rsidP="001C7D77">
            <w:pPr>
              <w:pStyle w:val="TableHeader"/>
              <w:spacing w:before="40" w:after="40"/>
              <w:jc w:val="center"/>
              <w:rPr>
                <w:sz w:val="18"/>
                <w:szCs w:val="18"/>
              </w:rPr>
            </w:pPr>
            <w:r w:rsidRPr="001C7D77">
              <w:rPr>
                <w:sz w:val="18"/>
                <w:szCs w:val="18"/>
              </w:rPr>
              <w:t>Long</w:t>
            </w:r>
            <w:r w:rsidR="001C7D77">
              <w:rPr>
                <w:sz w:val="18"/>
                <w:szCs w:val="18"/>
              </w:rPr>
              <w:t>arm cat</w:t>
            </w:r>
            <w:r w:rsidRPr="001C7D77">
              <w:rPr>
                <w:sz w:val="18"/>
                <w:szCs w:val="18"/>
              </w:rPr>
              <w:t xml:space="preserve"> B individual</w:t>
            </w:r>
          </w:p>
        </w:tc>
        <w:tc>
          <w:tcPr>
            <w:tcW w:w="989" w:type="dxa"/>
            <w:shd w:val="clear" w:color="auto" w:fill="002060"/>
            <w:tcMar>
              <w:top w:w="0" w:type="dxa"/>
              <w:left w:w="0" w:type="dxa"/>
              <w:bottom w:w="0" w:type="dxa"/>
              <w:right w:w="0" w:type="dxa"/>
            </w:tcMar>
            <w:vAlign w:val="center"/>
            <w:hideMark/>
          </w:tcPr>
          <w:p w14:paraId="3FBDE2D0" w14:textId="5D665E2D" w:rsidR="00052799" w:rsidRPr="004B487D" w:rsidRDefault="001C7D77" w:rsidP="001C7D77">
            <w:pPr>
              <w:pStyle w:val="TableHeader"/>
              <w:spacing w:before="40" w:after="40"/>
              <w:jc w:val="center"/>
              <w:rPr>
                <w:sz w:val="18"/>
                <w:szCs w:val="18"/>
              </w:rPr>
            </w:pPr>
            <w:r>
              <w:rPr>
                <w:sz w:val="18"/>
                <w:szCs w:val="18"/>
              </w:rPr>
              <w:t>Longarm cat</w:t>
            </w:r>
            <w:r w:rsidR="00052799" w:rsidRPr="001C7D77">
              <w:rPr>
                <w:sz w:val="18"/>
                <w:szCs w:val="18"/>
              </w:rPr>
              <w:t xml:space="preserve"> C individual</w:t>
            </w:r>
          </w:p>
        </w:tc>
        <w:tc>
          <w:tcPr>
            <w:tcW w:w="989" w:type="dxa"/>
            <w:shd w:val="clear" w:color="auto" w:fill="002060"/>
            <w:tcMar>
              <w:top w:w="0" w:type="dxa"/>
              <w:left w:w="0" w:type="dxa"/>
              <w:bottom w:w="0" w:type="dxa"/>
              <w:right w:w="0" w:type="dxa"/>
            </w:tcMar>
            <w:vAlign w:val="center"/>
            <w:hideMark/>
          </w:tcPr>
          <w:p w14:paraId="72B324DE" w14:textId="67ACE4E5" w:rsidR="00052799" w:rsidRPr="004B487D" w:rsidRDefault="001C7D77" w:rsidP="001C7D77">
            <w:pPr>
              <w:pStyle w:val="TableHeader"/>
              <w:spacing w:before="40" w:after="40"/>
              <w:jc w:val="center"/>
              <w:rPr>
                <w:sz w:val="18"/>
                <w:szCs w:val="18"/>
              </w:rPr>
            </w:pPr>
            <w:r>
              <w:rPr>
                <w:sz w:val="18"/>
                <w:szCs w:val="18"/>
              </w:rPr>
              <w:t>Longarm cat</w:t>
            </w:r>
            <w:r w:rsidR="00052799" w:rsidRPr="001C7D77">
              <w:rPr>
                <w:sz w:val="18"/>
                <w:szCs w:val="18"/>
              </w:rPr>
              <w:t xml:space="preserve"> D individual</w:t>
            </w:r>
          </w:p>
        </w:tc>
        <w:tc>
          <w:tcPr>
            <w:tcW w:w="989" w:type="dxa"/>
            <w:shd w:val="clear" w:color="auto" w:fill="002060"/>
            <w:tcMar>
              <w:top w:w="0" w:type="dxa"/>
              <w:left w:w="0" w:type="dxa"/>
              <w:bottom w:w="0" w:type="dxa"/>
              <w:right w:w="0" w:type="dxa"/>
            </w:tcMar>
            <w:vAlign w:val="center"/>
            <w:hideMark/>
          </w:tcPr>
          <w:p w14:paraId="5D9A5AA6" w14:textId="27E12B50" w:rsidR="00052799" w:rsidRPr="004B487D" w:rsidRDefault="001C7D77" w:rsidP="001C7D77">
            <w:pPr>
              <w:pStyle w:val="TableHeader"/>
              <w:spacing w:before="40" w:after="40"/>
              <w:jc w:val="center"/>
              <w:rPr>
                <w:sz w:val="18"/>
                <w:szCs w:val="18"/>
              </w:rPr>
            </w:pPr>
            <w:r>
              <w:rPr>
                <w:sz w:val="18"/>
                <w:szCs w:val="18"/>
              </w:rPr>
              <w:t>Longarm cat</w:t>
            </w:r>
            <w:r w:rsidR="00052799" w:rsidRPr="001C7D77">
              <w:rPr>
                <w:sz w:val="18"/>
                <w:szCs w:val="18"/>
              </w:rPr>
              <w:t xml:space="preserve"> E individual</w:t>
            </w:r>
          </w:p>
        </w:tc>
        <w:tc>
          <w:tcPr>
            <w:tcW w:w="1036" w:type="dxa"/>
            <w:shd w:val="clear" w:color="auto" w:fill="002060"/>
          </w:tcPr>
          <w:p w14:paraId="059471D8" w14:textId="77777777" w:rsidR="00052799" w:rsidRPr="001C7D77" w:rsidRDefault="00052799" w:rsidP="001C7D77">
            <w:pPr>
              <w:pStyle w:val="TableHeader"/>
              <w:spacing w:before="40" w:after="40"/>
              <w:jc w:val="center"/>
              <w:rPr>
                <w:sz w:val="18"/>
                <w:szCs w:val="18"/>
              </w:rPr>
            </w:pPr>
            <w:r w:rsidRPr="001C7D77">
              <w:rPr>
                <w:sz w:val="18"/>
                <w:szCs w:val="18"/>
              </w:rPr>
              <w:t>Handgun individual</w:t>
            </w:r>
          </w:p>
        </w:tc>
      </w:tr>
      <w:tr w:rsidR="00052799" w:rsidRPr="00610D49" w14:paraId="2043D92C" w14:textId="77777777" w:rsidTr="001C7D77">
        <w:trPr>
          <w:trHeight w:val="84"/>
        </w:trPr>
        <w:tc>
          <w:tcPr>
            <w:tcW w:w="2862" w:type="dxa"/>
            <w:tcMar>
              <w:top w:w="0" w:type="dxa"/>
              <w:left w:w="0" w:type="dxa"/>
              <w:bottom w:w="0" w:type="dxa"/>
              <w:right w:w="0" w:type="dxa"/>
            </w:tcMar>
            <w:vAlign w:val="center"/>
            <w:hideMark/>
          </w:tcPr>
          <w:p w14:paraId="70B7369D" w14:textId="77777777" w:rsidR="00052799" w:rsidRPr="004B487D" w:rsidRDefault="00052799" w:rsidP="001C7D77">
            <w:pPr>
              <w:spacing w:before="40" w:after="40"/>
              <w:rPr>
                <w:sz w:val="18"/>
                <w:szCs w:val="18"/>
              </w:rPr>
            </w:pPr>
            <w:r w:rsidRPr="004B487D">
              <w:rPr>
                <w:sz w:val="18"/>
                <w:szCs w:val="18"/>
              </w:rPr>
              <w:t>Receive docs and enter onto the Licensing and Registration System</w:t>
            </w:r>
          </w:p>
        </w:tc>
        <w:tc>
          <w:tcPr>
            <w:tcW w:w="992" w:type="dxa"/>
            <w:tcMar>
              <w:top w:w="0" w:type="dxa"/>
              <w:left w:w="0" w:type="dxa"/>
              <w:bottom w:w="0" w:type="dxa"/>
              <w:right w:w="0" w:type="dxa"/>
            </w:tcMar>
            <w:vAlign w:val="center"/>
            <w:hideMark/>
          </w:tcPr>
          <w:p w14:paraId="3FB70FBC" w14:textId="77777777" w:rsidR="00052799" w:rsidRPr="004B487D" w:rsidRDefault="00052799" w:rsidP="001C7D77">
            <w:pPr>
              <w:spacing w:before="40" w:after="40"/>
              <w:jc w:val="center"/>
              <w:rPr>
                <w:sz w:val="18"/>
                <w:szCs w:val="18"/>
              </w:rPr>
            </w:pPr>
            <w:r w:rsidRPr="004B487D">
              <w:rPr>
                <w:sz w:val="18"/>
                <w:szCs w:val="18"/>
              </w:rPr>
              <w:t>6.1</w:t>
            </w:r>
          </w:p>
        </w:tc>
        <w:tc>
          <w:tcPr>
            <w:tcW w:w="993" w:type="dxa"/>
            <w:tcMar>
              <w:top w:w="0" w:type="dxa"/>
              <w:left w:w="0" w:type="dxa"/>
              <w:bottom w:w="0" w:type="dxa"/>
              <w:right w:w="0" w:type="dxa"/>
            </w:tcMar>
            <w:vAlign w:val="center"/>
            <w:hideMark/>
          </w:tcPr>
          <w:p w14:paraId="6CE36BF2" w14:textId="77777777" w:rsidR="00052799" w:rsidRPr="004B487D" w:rsidRDefault="00052799" w:rsidP="001C7D77">
            <w:pPr>
              <w:spacing w:before="40" w:after="40"/>
              <w:jc w:val="center"/>
              <w:rPr>
                <w:sz w:val="18"/>
                <w:szCs w:val="18"/>
              </w:rPr>
            </w:pPr>
            <w:r w:rsidRPr="004B487D">
              <w:rPr>
                <w:sz w:val="18"/>
                <w:szCs w:val="18"/>
              </w:rPr>
              <w:t>6.1</w:t>
            </w:r>
          </w:p>
        </w:tc>
        <w:tc>
          <w:tcPr>
            <w:tcW w:w="992" w:type="dxa"/>
            <w:tcMar>
              <w:top w:w="0" w:type="dxa"/>
              <w:left w:w="0" w:type="dxa"/>
              <w:bottom w:w="0" w:type="dxa"/>
              <w:right w:w="0" w:type="dxa"/>
            </w:tcMar>
            <w:vAlign w:val="center"/>
            <w:hideMark/>
          </w:tcPr>
          <w:p w14:paraId="6BB11C25" w14:textId="77777777" w:rsidR="00052799" w:rsidRPr="004B487D" w:rsidRDefault="00052799" w:rsidP="001C7D77">
            <w:pPr>
              <w:spacing w:before="40" w:after="40"/>
              <w:jc w:val="center"/>
              <w:rPr>
                <w:sz w:val="18"/>
                <w:szCs w:val="18"/>
              </w:rPr>
            </w:pPr>
            <w:r w:rsidRPr="004B487D">
              <w:rPr>
                <w:sz w:val="18"/>
                <w:szCs w:val="18"/>
              </w:rPr>
              <w:t>6.1</w:t>
            </w:r>
          </w:p>
        </w:tc>
        <w:tc>
          <w:tcPr>
            <w:tcW w:w="992" w:type="dxa"/>
            <w:tcMar>
              <w:top w:w="0" w:type="dxa"/>
              <w:left w:w="0" w:type="dxa"/>
              <w:bottom w:w="0" w:type="dxa"/>
              <w:right w:w="0" w:type="dxa"/>
            </w:tcMar>
            <w:vAlign w:val="center"/>
            <w:hideMark/>
          </w:tcPr>
          <w:p w14:paraId="0491B3C0" w14:textId="77777777" w:rsidR="00052799" w:rsidRPr="004B487D" w:rsidRDefault="00052799" w:rsidP="001C7D77">
            <w:pPr>
              <w:spacing w:before="40" w:after="40"/>
              <w:jc w:val="center"/>
              <w:rPr>
                <w:sz w:val="18"/>
                <w:szCs w:val="18"/>
              </w:rPr>
            </w:pPr>
            <w:r w:rsidRPr="004B487D">
              <w:rPr>
                <w:sz w:val="18"/>
                <w:szCs w:val="18"/>
              </w:rPr>
              <w:t>6.1</w:t>
            </w:r>
          </w:p>
        </w:tc>
        <w:tc>
          <w:tcPr>
            <w:tcW w:w="992" w:type="dxa"/>
            <w:tcMar>
              <w:top w:w="0" w:type="dxa"/>
              <w:left w:w="0" w:type="dxa"/>
              <w:bottom w:w="0" w:type="dxa"/>
              <w:right w:w="0" w:type="dxa"/>
            </w:tcMar>
            <w:vAlign w:val="center"/>
            <w:hideMark/>
          </w:tcPr>
          <w:p w14:paraId="64A98D69" w14:textId="77777777" w:rsidR="00052799" w:rsidRPr="004B487D" w:rsidRDefault="00052799" w:rsidP="001C7D77">
            <w:pPr>
              <w:spacing w:before="40" w:after="40"/>
              <w:jc w:val="center"/>
              <w:rPr>
                <w:sz w:val="18"/>
                <w:szCs w:val="18"/>
              </w:rPr>
            </w:pPr>
            <w:r w:rsidRPr="004B487D">
              <w:rPr>
                <w:sz w:val="18"/>
                <w:szCs w:val="18"/>
              </w:rPr>
              <w:t>6.1</w:t>
            </w:r>
          </w:p>
        </w:tc>
        <w:tc>
          <w:tcPr>
            <w:tcW w:w="993" w:type="dxa"/>
            <w:vAlign w:val="center"/>
          </w:tcPr>
          <w:p w14:paraId="57A2EBFB" w14:textId="77777777" w:rsidR="00052799" w:rsidRPr="004B487D" w:rsidRDefault="00052799" w:rsidP="001C7D77">
            <w:pPr>
              <w:spacing w:before="40" w:after="40"/>
              <w:jc w:val="center"/>
              <w:rPr>
                <w:sz w:val="18"/>
                <w:szCs w:val="18"/>
              </w:rPr>
            </w:pPr>
            <w:r w:rsidRPr="004B487D">
              <w:rPr>
                <w:sz w:val="18"/>
                <w:szCs w:val="18"/>
              </w:rPr>
              <w:t>6.1</w:t>
            </w:r>
          </w:p>
        </w:tc>
      </w:tr>
      <w:tr w:rsidR="00052799" w:rsidRPr="00610D49" w14:paraId="16A00194" w14:textId="77777777" w:rsidTr="001C7D77">
        <w:trPr>
          <w:trHeight w:val="84"/>
        </w:trPr>
        <w:tc>
          <w:tcPr>
            <w:tcW w:w="2862" w:type="dxa"/>
            <w:tcMar>
              <w:top w:w="0" w:type="dxa"/>
              <w:left w:w="0" w:type="dxa"/>
              <w:bottom w:w="0" w:type="dxa"/>
              <w:right w:w="0" w:type="dxa"/>
            </w:tcMar>
            <w:vAlign w:val="center"/>
            <w:hideMark/>
          </w:tcPr>
          <w:p w14:paraId="65EF306B" w14:textId="77777777" w:rsidR="00052799" w:rsidRPr="004B487D" w:rsidRDefault="00052799" w:rsidP="001C7D77">
            <w:pPr>
              <w:spacing w:before="40" w:after="40"/>
              <w:rPr>
                <w:sz w:val="18"/>
                <w:szCs w:val="18"/>
              </w:rPr>
            </w:pPr>
            <w:r w:rsidRPr="004B487D">
              <w:rPr>
                <w:sz w:val="18"/>
                <w:szCs w:val="18"/>
              </w:rPr>
              <w:t xml:space="preserve">Assessment of details: prohibited person, competency assessment and physical/mental health, and genuine reason </w:t>
            </w:r>
          </w:p>
        </w:tc>
        <w:tc>
          <w:tcPr>
            <w:tcW w:w="992" w:type="dxa"/>
            <w:shd w:val="clear" w:color="auto" w:fill="auto"/>
            <w:tcMar>
              <w:top w:w="0" w:type="dxa"/>
              <w:left w:w="0" w:type="dxa"/>
              <w:bottom w:w="0" w:type="dxa"/>
              <w:right w:w="0" w:type="dxa"/>
            </w:tcMar>
            <w:vAlign w:val="center"/>
            <w:hideMark/>
          </w:tcPr>
          <w:p w14:paraId="242164FF" w14:textId="77777777" w:rsidR="00052799" w:rsidRPr="004B487D" w:rsidRDefault="00052799" w:rsidP="001C7D77">
            <w:pPr>
              <w:spacing w:before="40" w:after="40"/>
              <w:jc w:val="center"/>
              <w:rPr>
                <w:sz w:val="18"/>
                <w:szCs w:val="18"/>
              </w:rPr>
            </w:pPr>
            <w:r w:rsidRPr="004B487D">
              <w:rPr>
                <w:sz w:val="18"/>
                <w:szCs w:val="18"/>
              </w:rPr>
              <w:t>19.4</w:t>
            </w:r>
          </w:p>
        </w:tc>
        <w:tc>
          <w:tcPr>
            <w:tcW w:w="993" w:type="dxa"/>
            <w:shd w:val="clear" w:color="auto" w:fill="auto"/>
            <w:tcMar>
              <w:top w:w="0" w:type="dxa"/>
              <w:left w:w="0" w:type="dxa"/>
              <w:bottom w:w="0" w:type="dxa"/>
              <w:right w:w="0" w:type="dxa"/>
            </w:tcMar>
            <w:vAlign w:val="center"/>
            <w:hideMark/>
          </w:tcPr>
          <w:p w14:paraId="302C423C" w14:textId="77777777" w:rsidR="00052799" w:rsidRPr="004B487D" w:rsidRDefault="00052799" w:rsidP="001C7D77">
            <w:pPr>
              <w:spacing w:before="40" w:after="40"/>
              <w:jc w:val="center"/>
              <w:rPr>
                <w:sz w:val="18"/>
                <w:szCs w:val="18"/>
              </w:rPr>
            </w:pPr>
            <w:r w:rsidRPr="004B487D">
              <w:rPr>
                <w:sz w:val="18"/>
                <w:szCs w:val="18"/>
              </w:rPr>
              <w:t>23.4</w:t>
            </w:r>
          </w:p>
        </w:tc>
        <w:tc>
          <w:tcPr>
            <w:tcW w:w="992" w:type="dxa"/>
            <w:shd w:val="clear" w:color="auto" w:fill="auto"/>
            <w:tcMar>
              <w:top w:w="0" w:type="dxa"/>
              <w:left w:w="0" w:type="dxa"/>
              <w:bottom w:w="0" w:type="dxa"/>
              <w:right w:w="0" w:type="dxa"/>
            </w:tcMar>
            <w:vAlign w:val="center"/>
            <w:hideMark/>
          </w:tcPr>
          <w:p w14:paraId="2CF5C918" w14:textId="77777777" w:rsidR="00052799" w:rsidRPr="004B487D" w:rsidRDefault="00052799" w:rsidP="001C7D77">
            <w:pPr>
              <w:spacing w:before="40" w:after="40"/>
              <w:jc w:val="center"/>
              <w:rPr>
                <w:sz w:val="18"/>
                <w:szCs w:val="18"/>
              </w:rPr>
            </w:pPr>
            <w:r w:rsidRPr="004B487D">
              <w:rPr>
                <w:sz w:val="18"/>
                <w:szCs w:val="18"/>
              </w:rPr>
              <w:t>57.4</w:t>
            </w:r>
          </w:p>
        </w:tc>
        <w:tc>
          <w:tcPr>
            <w:tcW w:w="992" w:type="dxa"/>
            <w:shd w:val="clear" w:color="auto" w:fill="auto"/>
            <w:tcMar>
              <w:top w:w="0" w:type="dxa"/>
              <w:left w:w="0" w:type="dxa"/>
              <w:bottom w:w="0" w:type="dxa"/>
              <w:right w:w="0" w:type="dxa"/>
            </w:tcMar>
            <w:vAlign w:val="center"/>
            <w:hideMark/>
          </w:tcPr>
          <w:p w14:paraId="6C307AA1" w14:textId="48DD3801" w:rsidR="00052799" w:rsidRPr="004B487D" w:rsidRDefault="00052799" w:rsidP="001C7D77">
            <w:pPr>
              <w:spacing w:before="40" w:after="40"/>
              <w:jc w:val="center"/>
              <w:rPr>
                <w:sz w:val="18"/>
                <w:szCs w:val="18"/>
              </w:rPr>
            </w:pPr>
            <w:r w:rsidRPr="004B487D">
              <w:rPr>
                <w:sz w:val="18"/>
                <w:szCs w:val="18"/>
              </w:rPr>
              <w:t>75.0</w:t>
            </w:r>
          </w:p>
        </w:tc>
        <w:tc>
          <w:tcPr>
            <w:tcW w:w="992" w:type="dxa"/>
            <w:shd w:val="clear" w:color="auto" w:fill="auto"/>
            <w:tcMar>
              <w:top w:w="0" w:type="dxa"/>
              <w:left w:w="0" w:type="dxa"/>
              <w:bottom w:w="0" w:type="dxa"/>
              <w:right w:w="0" w:type="dxa"/>
            </w:tcMar>
            <w:vAlign w:val="center"/>
            <w:hideMark/>
          </w:tcPr>
          <w:p w14:paraId="1ADD5552" w14:textId="69BA573A" w:rsidR="00052799" w:rsidRPr="004B487D" w:rsidRDefault="00052799" w:rsidP="001C7D77">
            <w:pPr>
              <w:spacing w:before="40" w:after="40"/>
              <w:jc w:val="center"/>
              <w:rPr>
                <w:sz w:val="18"/>
                <w:szCs w:val="18"/>
              </w:rPr>
            </w:pPr>
            <w:r w:rsidRPr="004B487D">
              <w:rPr>
                <w:sz w:val="18"/>
                <w:szCs w:val="18"/>
              </w:rPr>
              <w:t>75.0</w:t>
            </w:r>
          </w:p>
        </w:tc>
        <w:tc>
          <w:tcPr>
            <w:tcW w:w="993" w:type="dxa"/>
            <w:vAlign w:val="center"/>
          </w:tcPr>
          <w:p w14:paraId="381EF4BE" w14:textId="77777777" w:rsidR="00052799" w:rsidRPr="004B487D" w:rsidRDefault="00052799" w:rsidP="001C7D77">
            <w:pPr>
              <w:spacing w:before="40" w:after="40"/>
              <w:jc w:val="center"/>
              <w:rPr>
                <w:sz w:val="18"/>
                <w:szCs w:val="18"/>
              </w:rPr>
            </w:pPr>
            <w:r w:rsidRPr="004B487D">
              <w:rPr>
                <w:sz w:val="18"/>
                <w:szCs w:val="18"/>
              </w:rPr>
              <w:t>41.0</w:t>
            </w:r>
          </w:p>
        </w:tc>
      </w:tr>
      <w:tr w:rsidR="00052799" w:rsidRPr="00610D49" w14:paraId="59417AFB" w14:textId="77777777" w:rsidTr="001C7D77">
        <w:trPr>
          <w:trHeight w:val="84"/>
        </w:trPr>
        <w:tc>
          <w:tcPr>
            <w:tcW w:w="2862" w:type="dxa"/>
            <w:tcMar>
              <w:top w:w="0" w:type="dxa"/>
              <w:left w:w="0" w:type="dxa"/>
              <w:bottom w:w="0" w:type="dxa"/>
              <w:right w:w="0" w:type="dxa"/>
            </w:tcMar>
            <w:vAlign w:val="center"/>
            <w:hideMark/>
          </w:tcPr>
          <w:p w14:paraId="13695B77" w14:textId="77777777" w:rsidR="00052799" w:rsidRPr="004B487D" w:rsidRDefault="00052799" w:rsidP="001C7D77">
            <w:pPr>
              <w:spacing w:before="40" w:after="40"/>
              <w:rPr>
                <w:sz w:val="18"/>
                <w:szCs w:val="18"/>
              </w:rPr>
            </w:pPr>
            <w:r w:rsidRPr="004B487D">
              <w:rPr>
                <w:sz w:val="18"/>
                <w:szCs w:val="18"/>
              </w:rPr>
              <w:t xml:space="preserve">Potential involvement of sworn officers (cover sheet, assessment, decision) </w:t>
            </w:r>
          </w:p>
        </w:tc>
        <w:tc>
          <w:tcPr>
            <w:tcW w:w="992" w:type="dxa"/>
            <w:tcMar>
              <w:top w:w="0" w:type="dxa"/>
              <w:left w:w="0" w:type="dxa"/>
              <w:bottom w:w="0" w:type="dxa"/>
              <w:right w:w="0" w:type="dxa"/>
            </w:tcMar>
            <w:vAlign w:val="center"/>
            <w:hideMark/>
          </w:tcPr>
          <w:p w14:paraId="4BE6AFC2" w14:textId="77777777" w:rsidR="00052799" w:rsidRPr="004B487D" w:rsidRDefault="00052799" w:rsidP="001C7D77">
            <w:pPr>
              <w:spacing w:before="40" w:after="40"/>
              <w:jc w:val="center"/>
              <w:rPr>
                <w:sz w:val="18"/>
                <w:szCs w:val="18"/>
              </w:rPr>
            </w:pPr>
            <w:r w:rsidRPr="004B487D">
              <w:rPr>
                <w:sz w:val="18"/>
                <w:szCs w:val="18"/>
              </w:rPr>
              <w:t>19.2</w:t>
            </w:r>
          </w:p>
        </w:tc>
        <w:tc>
          <w:tcPr>
            <w:tcW w:w="993" w:type="dxa"/>
            <w:tcMar>
              <w:top w:w="0" w:type="dxa"/>
              <w:left w:w="0" w:type="dxa"/>
              <w:bottom w:w="0" w:type="dxa"/>
              <w:right w:w="0" w:type="dxa"/>
            </w:tcMar>
            <w:vAlign w:val="center"/>
            <w:hideMark/>
          </w:tcPr>
          <w:p w14:paraId="6BF182E9" w14:textId="77777777" w:rsidR="00052799" w:rsidRPr="004B487D" w:rsidRDefault="00052799" w:rsidP="001C7D77">
            <w:pPr>
              <w:spacing w:before="40" w:after="40"/>
              <w:jc w:val="center"/>
              <w:rPr>
                <w:sz w:val="18"/>
                <w:szCs w:val="18"/>
              </w:rPr>
            </w:pPr>
            <w:r w:rsidRPr="004B487D">
              <w:rPr>
                <w:sz w:val="18"/>
                <w:szCs w:val="18"/>
              </w:rPr>
              <w:t>19.2</w:t>
            </w:r>
          </w:p>
        </w:tc>
        <w:tc>
          <w:tcPr>
            <w:tcW w:w="992" w:type="dxa"/>
            <w:tcMar>
              <w:top w:w="0" w:type="dxa"/>
              <w:left w:w="0" w:type="dxa"/>
              <w:bottom w:w="0" w:type="dxa"/>
              <w:right w:w="0" w:type="dxa"/>
            </w:tcMar>
            <w:vAlign w:val="center"/>
            <w:hideMark/>
          </w:tcPr>
          <w:p w14:paraId="2B3811E4" w14:textId="77777777" w:rsidR="00052799" w:rsidRPr="004B487D" w:rsidRDefault="00052799" w:rsidP="001C7D77">
            <w:pPr>
              <w:spacing w:before="40" w:after="40"/>
              <w:jc w:val="center"/>
              <w:rPr>
                <w:sz w:val="18"/>
                <w:szCs w:val="18"/>
              </w:rPr>
            </w:pPr>
            <w:r w:rsidRPr="004B487D">
              <w:rPr>
                <w:sz w:val="18"/>
                <w:szCs w:val="18"/>
              </w:rPr>
              <w:t>19.2</w:t>
            </w:r>
          </w:p>
        </w:tc>
        <w:tc>
          <w:tcPr>
            <w:tcW w:w="992" w:type="dxa"/>
            <w:tcMar>
              <w:top w:w="0" w:type="dxa"/>
              <w:left w:w="0" w:type="dxa"/>
              <w:bottom w:w="0" w:type="dxa"/>
              <w:right w:w="0" w:type="dxa"/>
            </w:tcMar>
            <w:vAlign w:val="center"/>
            <w:hideMark/>
          </w:tcPr>
          <w:p w14:paraId="21132B60" w14:textId="77777777" w:rsidR="00052799" w:rsidRPr="004B487D" w:rsidRDefault="00052799" w:rsidP="001C7D77">
            <w:pPr>
              <w:spacing w:before="40" w:after="40"/>
              <w:jc w:val="center"/>
              <w:rPr>
                <w:sz w:val="18"/>
                <w:szCs w:val="18"/>
              </w:rPr>
            </w:pPr>
            <w:r w:rsidRPr="004B487D">
              <w:rPr>
                <w:sz w:val="18"/>
                <w:szCs w:val="18"/>
              </w:rPr>
              <w:t>19.2</w:t>
            </w:r>
          </w:p>
        </w:tc>
        <w:tc>
          <w:tcPr>
            <w:tcW w:w="992" w:type="dxa"/>
            <w:tcMar>
              <w:top w:w="0" w:type="dxa"/>
              <w:left w:w="0" w:type="dxa"/>
              <w:bottom w:w="0" w:type="dxa"/>
              <w:right w:w="0" w:type="dxa"/>
            </w:tcMar>
            <w:vAlign w:val="center"/>
            <w:hideMark/>
          </w:tcPr>
          <w:p w14:paraId="7773C9A7" w14:textId="77777777" w:rsidR="00052799" w:rsidRPr="004B487D" w:rsidRDefault="00052799" w:rsidP="001C7D77">
            <w:pPr>
              <w:spacing w:before="40" w:after="40"/>
              <w:jc w:val="center"/>
              <w:rPr>
                <w:sz w:val="18"/>
                <w:szCs w:val="18"/>
              </w:rPr>
            </w:pPr>
            <w:r w:rsidRPr="004B487D">
              <w:rPr>
                <w:sz w:val="18"/>
                <w:szCs w:val="18"/>
              </w:rPr>
              <w:t>19.2</w:t>
            </w:r>
          </w:p>
        </w:tc>
        <w:tc>
          <w:tcPr>
            <w:tcW w:w="993" w:type="dxa"/>
            <w:vAlign w:val="center"/>
          </w:tcPr>
          <w:p w14:paraId="300C0C52" w14:textId="77777777" w:rsidR="00052799" w:rsidRPr="004B487D" w:rsidRDefault="00052799" w:rsidP="001C7D77">
            <w:pPr>
              <w:spacing w:before="40" w:after="40"/>
              <w:jc w:val="center"/>
              <w:rPr>
                <w:sz w:val="18"/>
                <w:szCs w:val="18"/>
              </w:rPr>
            </w:pPr>
            <w:r w:rsidRPr="004B487D">
              <w:rPr>
                <w:sz w:val="18"/>
                <w:szCs w:val="18"/>
              </w:rPr>
              <w:t>19.2</w:t>
            </w:r>
          </w:p>
        </w:tc>
      </w:tr>
      <w:tr w:rsidR="00052799" w:rsidRPr="00610D49" w14:paraId="58A6E7F3" w14:textId="77777777" w:rsidTr="001C7D77">
        <w:trPr>
          <w:trHeight w:val="84"/>
        </w:trPr>
        <w:tc>
          <w:tcPr>
            <w:tcW w:w="2862" w:type="dxa"/>
            <w:tcMar>
              <w:top w:w="0" w:type="dxa"/>
              <w:left w:w="0" w:type="dxa"/>
              <w:bottom w:w="0" w:type="dxa"/>
              <w:right w:w="0" w:type="dxa"/>
            </w:tcMar>
            <w:vAlign w:val="center"/>
            <w:hideMark/>
          </w:tcPr>
          <w:p w14:paraId="4017DD2E" w14:textId="77777777" w:rsidR="00052799" w:rsidRPr="004B487D" w:rsidRDefault="00052799" w:rsidP="001C7D77">
            <w:pPr>
              <w:spacing w:before="40" w:after="40"/>
              <w:rPr>
                <w:sz w:val="18"/>
                <w:szCs w:val="18"/>
              </w:rPr>
            </w:pPr>
            <w:r w:rsidRPr="004B487D">
              <w:rPr>
                <w:sz w:val="18"/>
                <w:szCs w:val="18"/>
              </w:rPr>
              <w:t xml:space="preserve">Finalising administration (approval and imaging) </w:t>
            </w:r>
          </w:p>
        </w:tc>
        <w:tc>
          <w:tcPr>
            <w:tcW w:w="992" w:type="dxa"/>
            <w:tcMar>
              <w:top w:w="0" w:type="dxa"/>
              <w:left w:w="0" w:type="dxa"/>
              <w:bottom w:w="0" w:type="dxa"/>
              <w:right w:w="0" w:type="dxa"/>
            </w:tcMar>
            <w:vAlign w:val="center"/>
            <w:hideMark/>
          </w:tcPr>
          <w:p w14:paraId="6E8CFA0F" w14:textId="77777777" w:rsidR="00052799" w:rsidRPr="004B487D" w:rsidRDefault="00052799" w:rsidP="001C7D77">
            <w:pPr>
              <w:spacing w:before="40" w:after="40"/>
              <w:jc w:val="center"/>
              <w:rPr>
                <w:sz w:val="18"/>
                <w:szCs w:val="18"/>
              </w:rPr>
            </w:pPr>
            <w:r w:rsidRPr="004B487D">
              <w:rPr>
                <w:sz w:val="18"/>
                <w:szCs w:val="18"/>
              </w:rPr>
              <w:t>8.9</w:t>
            </w:r>
          </w:p>
        </w:tc>
        <w:tc>
          <w:tcPr>
            <w:tcW w:w="993" w:type="dxa"/>
            <w:tcMar>
              <w:top w:w="0" w:type="dxa"/>
              <w:left w:w="0" w:type="dxa"/>
              <w:bottom w:w="0" w:type="dxa"/>
              <w:right w:w="0" w:type="dxa"/>
            </w:tcMar>
            <w:vAlign w:val="center"/>
            <w:hideMark/>
          </w:tcPr>
          <w:p w14:paraId="3162152D" w14:textId="77777777" w:rsidR="00052799" w:rsidRPr="004B487D" w:rsidRDefault="00052799" w:rsidP="001C7D77">
            <w:pPr>
              <w:spacing w:before="40" w:after="40"/>
              <w:jc w:val="center"/>
              <w:rPr>
                <w:sz w:val="18"/>
                <w:szCs w:val="18"/>
              </w:rPr>
            </w:pPr>
            <w:r w:rsidRPr="004B487D">
              <w:rPr>
                <w:sz w:val="18"/>
                <w:szCs w:val="18"/>
              </w:rPr>
              <w:t>8.9</w:t>
            </w:r>
          </w:p>
        </w:tc>
        <w:tc>
          <w:tcPr>
            <w:tcW w:w="992" w:type="dxa"/>
            <w:tcMar>
              <w:top w:w="0" w:type="dxa"/>
              <w:left w:w="0" w:type="dxa"/>
              <w:bottom w:w="0" w:type="dxa"/>
              <w:right w:w="0" w:type="dxa"/>
            </w:tcMar>
            <w:vAlign w:val="center"/>
            <w:hideMark/>
          </w:tcPr>
          <w:p w14:paraId="1AD31F6A" w14:textId="77777777" w:rsidR="00052799" w:rsidRPr="004B487D" w:rsidRDefault="00052799" w:rsidP="001C7D77">
            <w:pPr>
              <w:spacing w:before="40" w:after="40"/>
              <w:jc w:val="center"/>
              <w:rPr>
                <w:sz w:val="18"/>
                <w:szCs w:val="18"/>
              </w:rPr>
            </w:pPr>
            <w:r w:rsidRPr="004B487D">
              <w:rPr>
                <w:sz w:val="18"/>
                <w:szCs w:val="18"/>
              </w:rPr>
              <w:t>8.9</w:t>
            </w:r>
          </w:p>
        </w:tc>
        <w:tc>
          <w:tcPr>
            <w:tcW w:w="992" w:type="dxa"/>
            <w:tcMar>
              <w:top w:w="0" w:type="dxa"/>
              <w:left w:w="0" w:type="dxa"/>
              <w:bottom w:w="0" w:type="dxa"/>
              <w:right w:w="0" w:type="dxa"/>
            </w:tcMar>
            <w:vAlign w:val="center"/>
            <w:hideMark/>
          </w:tcPr>
          <w:p w14:paraId="3068E499" w14:textId="77777777" w:rsidR="00052799" w:rsidRPr="004B487D" w:rsidRDefault="00052799" w:rsidP="001C7D77">
            <w:pPr>
              <w:spacing w:before="40" w:after="40"/>
              <w:jc w:val="center"/>
              <w:rPr>
                <w:sz w:val="18"/>
                <w:szCs w:val="18"/>
              </w:rPr>
            </w:pPr>
            <w:r w:rsidRPr="004B487D">
              <w:rPr>
                <w:sz w:val="18"/>
                <w:szCs w:val="18"/>
              </w:rPr>
              <w:t>8.9</w:t>
            </w:r>
          </w:p>
        </w:tc>
        <w:tc>
          <w:tcPr>
            <w:tcW w:w="992" w:type="dxa"/>
            <w:tcMar>
              <w:top w:w="0" w:type="dxa"/>
              <w:left w:w="0" w:type="dxa"/>
              <w:bottom w:w="0" w:type="dxa"/>
              <w:right w:w="0" w:type="dxa"/>
            </w:tcMar>
            <w:vAlign w:val="center"/>
            <w:hideMark/>
          </w:tcPr>
          <w:p w14:paraId="4316992C" w14:textId="77777777" w:rsidR="00052799" w:rsidRPr="004B487D" w:rsidRDefault="00052799" w:rsidP="001C7D77">
            <w:pPr>
              <w:spacing w:before="40" w:after="40"/>
              <w:jc w:val="center"/>
              <w:rPr>
                <w:sz w:val="18"/>
                <w:szCs w:val="18"/>
              </w:rPr>
            </w:pPr>
            <w:r w:rsidRPr="004B487D">
              <w:rPr>
                <w:sz w:val="18"/>
                <w:szCs w:val="18"/>
              </w:rPr>
              <w:t>8.9</w:t>
            </w:r>
          </w:p>
        </w:tc>
        <w:tc>
          <w:tcPr>
            <w:tcW w:w="993" w:type="dxa"/>
            <w:vAlign w:val="center"/>
          </w:tcPr>
          <w:p w14:paraId="54FF13C9" w14:textId="77777777" w:rsidR="00052799" w:rsidRPr="004B487D" w:rsidRDefault="00052799" w:rsidP="001C7D77">
            <w:pPr>
              <w:spacing w:before="40" w:after="40"/>
              <w:jc w:val="center"/>
              <w:rPr>
                <w:sz w:val="18"/>
                <w:szCs w:val="18"/>
              </w:rPr>
            </w:pPr>
            <w:r w:rsidRPr="004B487D">
              <w:rPr>
                <w:sz w:val="18"/>
                <w:szCs w:val="18"/>
              </w:rPr>
              <w:t>8.9</w:t>
            </w:r>
          </w:p>
        </w:tc>
      </w:tr>
      <w:tr w:rsidR="00052799" w:rsidRPr="00610D49" w14:paraId="1718F3E2" w14:textId="77777777" w:rsidTr="001C7D77">
        <w:trPr>
          <w:trHeight w:val="84"/>
        </w:trPr>
        <w:tc>
          <w:tcPr>
            <w:tcW w:w="2833" w:type="dxa"/>
            <w:tcMar>
              <w:top w:w="0" w:type="dxa"/>
              <w:left w:w="0" w:type="dxa"/>
              <w:bottom w:w="0" w:type="dxa"/>
              <w:right w:w="0" w:type="dxa"/>
            </w:tcMar>
            <w:vAlign w:val="center"/>
            <w:hideMark/>
          </w:tcPr>
          <w:p w14:paraId="161D3EA1" w14:textId="77777777" w:rsidR="00052799" w:rsidRPr="004B487D" w:rsidRDefault="00052799" w:rsidP="001C7D77">
            <w:pPr>
              <w:spacing w:before="40" w:after="40"/>
              <w:jc w:val="right"/>
              <w:rPr>
                <w:sz w:val="18"/>
                <w:szCs w:val="18"/>
              </w:rPr>
            </w:pPr>
            <w:r w:rsidRPr="004B487D">
              <w:rPr>
                <w:b/>
                <w:bCs/>
                <w:sz w:val="18"/>
                <w:szCs w:val="18"/>
              </w:rPr>
              <w:t>Total</w:t>
            </w:r>
          </w:p>
        </w:tc>
        <w:tc>
          <w:tcPr>
            <w:tcW w:w="990" w:type="dxa"/>
            <w:tcMar>
              <w:top w:w="0" w:type="dxa"/>
              <w:left w:w="0" w:type="dxa"/>
              <w:bottom w:w="0" w:type="dxa"/>
              <w:right w:w="0" w:type="dxa"/>
            </w:tcMar>
            <w:vAlign w:val="center"/>
            <w:hideMark/>
          </w:tcPr>
          <w:p w14:paraId="7AF868CC" w14:textId="77777777" w:rsidR="00052799" w:rsidRPr="004B487D" w:rsidRDefault="00052799" w:rsidP="001C7D77">
            <w:pPr>
              <w:spacing w:before="40" w:after="40"/>
              <w:jc w:val="center"/>
              <w:rPr>
                <w:sz w:val="18"/>
                <w:szCs w:val="18"/>
              </w:rPr>
            </w:pPr>
            <w:r w:rsidRPr="004B487D">
              <w:rPr>
                <w:sz w:val="18"/>
                <w:szCs w:val="18"/>
              </w:rPr>
              <w:t>53.6</w:t>
            </w:r>
          </w:p>
        </w:tc>
        <w:tc>
          <w:tcPr>
            <w:tcW w:w="990" w:type="dxa"/>
            <w:tcMar>
              <w:top w:w="0" w:type="dxa"/>
              <w:left w:w="0" w:type="dxa"/>
              <w:bottom w:w="0" w:type="dxa"/>
              <w:right w:w="0" w:type="dxa"/>
            </w:tcMar>
            <w:vAlign w:val="center"/>
            <w:hideMark/>
          </w:tcPr>
          <w:p w14:paraId="26D950CC" w14:textId="77777777" w:rsidR="00052799" w:rsidRPr="004B487D" w:rsidRDefault="00052799" w:rsidP="001C7D77">
            <w:pPr>
              <w:spacing w:before="40" w:after="40"/>
              <w:jc w:val="center"/>
              <w:rPr>
                <w:sz w:val="18"/>
                <w:szCs w:val="18"/>
              </w:rPr>
            </w:pPr>
            <w:r w:rsidRPr="004B487D">
              <w:rPr>
                <w:sz w:val="18"/>
                <w:szCs w:val="18"/>
              </w:rPr>
              <w:t>57.6</w:t>
            </w:r>
          </w:p>
        </w:tc>
        <w:tc>
          <w:tcPr>
            <w:tcW w:w="989" w:type="dxa"/>
            <w:tcMar>
              <w:top w:w="0" w:type="dxa"/>
              <w:left w:w="0" w:type="dxa"/>
              <w:bottom w:w="0" w:type="dxa"/>
              <w:right w:w="0" w:type="dxa"/>
            </w:tcMar>
            <w:vAlign w:val="center"/>
            <w:hideMark/>
          </w:tcPr>
          <w:p w14:paraId="79FD7128" w14:textId="77777777" w:rsidR="00052799" w:rsidRPr="004B487D" w:rsidRDefault="00052799" w:rsidP="001C7D77">
            <w:pPr>
              <w:spacing w:before="40" w:after="40"/>
              <w:jc w:val="center"/>
              <w:rPr>
                <w:sz w:val="18"/>
                <w:szCs w:val="18"/>
              </w:rPr>
            </w:pPr>
            <w:r w:rsidRPr="004B487D">
              <w:rPr>
                <w:sz w:val="18"/>
                <w:szCs w:val="18"/>
              </w:rPr>
              <w:t>91.6</w:t>
            </w:r>
          </w:p>
        </w:tc>
        <w:tc>
          <w:tcPr>
            <w:tcW w:w="989" w:type="dxa"/>
            <w:tcMar>
              <w:top w:w="0" w:type="dxa"/>
              <w:left w:w="0" w:type="dxa"/>
              <w:bottom w:w="0" w:type="dxa"/>
              <w:right w:w="0" w:type="dxa"/>
            </w:tcMar>
            <w:vAlign w:val="center"/>
            <w:hideMark/>
          </w:tcPr>
          <w:p w14:paraId="0AEAFD93" w14:textId="77777777" w:rsidR="00052799" w:rsidRPr="004B487D" w:rsidRDefault="00052799" w:rsidP="001C7D77">
            <w:pPr>
              <w:spacing w:before="40" w:after="40"/>
              <w:jc w:val="center"/>
              <w:rPr>
                <w:sz w:val="18"/>
                <w:szCs w:val="18"/>
              </w:rPr>
            </w:pPr>
            <w:r w:rsidRPr="004B487D">
              <w:rPr>
                <w:sz w:val="18"/>
                <w:szCs w:val="18"/>
              </w:rPr>
              <w:t>126.6</w:t>
            </w:r>
          </w:p>
        </w:tc>
        <w:tc>
          <w:tcPr>
            <w:tcW w:w="989" w:type="dxa"/>
            <w:tcMar>
              <w:top w:w="0" w:type="dxa"/>
              <w:left w:w="0" w:type="dxa"/>
              <w:bottom w:w="0" w:type="dxa"/>
              <w:right w:w="0" w:type="dxa"/>
            </w:tcMar>
            <w:vAlign w:val="center"/>
            <w:hideMark/>
          </w:tcPr>
          <w:p w14:paraId="740EB58F" w14:textId="77777777" w:rsidR="00052799" w:rsidRPr="004B487D" w:rsidRDefault="00052799" w:rsidP="001C7D77">
            <w:pPr>
              <w:spacing w:before="40" w:after="40"/>
              <w:jc w:val="center"/>
              <w:rPr>
                <w:sz w:val="18"/>
                <w:szCs w:val="18"/>
              </w:rPr>
            </w:pPr>
            <w:r w:rsidRPr="004B487D">
              <w:rPr>
                <w:sz w:val="18"/>
                <w:szCs w:val="18"/>
              </w:rPr>
              <w:t>126.6</w:t>
            </w:r>
          </w:p>
        </w:tc>
        <w:tc>
          <w:tcPr>
            <w:tcW w:w="1036" w:type="dxa"/>
            <w:vAlign w:val="center"/>
          </w:tcPr>
          <w:p w14:paraId="735821E3" w14:textId="77777777" w:rsidR="00052799" w:rsidRPr="004B487D" w:rsidRDefault="00052799" w:rsidP="001C7D77">
            <w:pPr>
              <w:spacing w:before="40" w:after="40"/>
              <w:jc w:val="center"/>
              <w:rPr>
                <w:sz w:val="18"/>
                <w:szCs w:val="18"/>
              </w:rPr>
            </w:pPr>
            <w:r w:rsidRPr="004B487D">
              <w:rPr>
                <w:sz w:val="18"/>
                <w:szCs w:val="18"/>
              </w:rPr>
              <w:t>75.2</w:t>
            </w:r>
          </w:p>
        </w:tc>
      </w:tr>
    </w:tbl>
    <w:p w14:paraId="3350E6AA" w14:textId="77777777" w:rsidR="00052799" w:rsidRPr="00610D49" w:rsidRDefault="00052799" w:rsidP="00052799">
      <w:pPr>
        <w:pStyle w:val="BodyText"/>
        <w:ind w:left="0"/>
      </w:pPr>
    </w:p>
    <w:p w14:paraId="41ADDF20" w14:textId="2A227BEA" w:rsidR="00052799" w:rsidRPr="00610D49" w:rsidRDefault="00052799" w:rsidP="00052799">
      <w:pPr>
        <w:pStyle w:val="Caption"/>
      </w:pPr>
      <w:bookmarkStart w:id="459" w:name="_Ref496784082"/>
      <w:r w:rsidRPr="00610D49">
        <w:t xml:space="preserve">Table </w:t>
      </w:r>
      <w:r w:rsidR="001C7D77">
        <w:rPr>
          <w:noProof/>
        </w:rPr>
        <w:t>41</w:t>
      </w:r>
      <w:bookmarkEnd w:id="459"/>
      <w:r w:rsidRPr="00610D49">
        <w:t>: Time estimates for processing permits to acquire (minutes)</w:t>
      </w:r>
    </w:p>
    <w:tbl>
      <w:tblPr>
        <w:tblW w:w="8998" w:type="dxa"/>
        <w:tblInd w:w="816" w:type="dxa"/>
        <w:tblBorders>
          <w:top w:val="single" w:sz="6" w:space="0" w:color="000000"/>
          <w:left w:val="single" w:sz="6" w:space="0" w:color="000000"/>
          <w:bottom w:val="single" w:sz="6" w:space="0" w:color="000000"/>
          <w:right w:val="single" w:sz="4" w:space="0" w:color="000000"/>
          <w:insideH w:val="single" w:sz="4" w:space="0" w:color="000000"/>
          <w:insideV w:val="single" w:sz="4" w:space="0" w:color="000000"/>
        </w:tblBorders>
        <w:tblLook w:val="04A0" w:firstRow="1" w:lastRow="0" w:firstColumn="1" w:lastColumn="0" w:noHBand="0" w:noVBand="1"/>
        <w:tblCaption w:val="Table 41: Time estimates for processing permits to acquire (minutes)"/>
      </w:tblPr>
      <w:tblGrid>
        <w:gridCol w:w="2862"/>
        <w:gridCol w:w="1534"/>
        <w:gridCol w:w="1534"/>
        <w:gridCol w:w="1534"/>
        <w:gridCol w:w="1534"/>
      </w:tblGrid>
      <w:tr w:rsidR="00052799" w:rsidRPr="00610D49" w14:paraId="1FEA9B18" w14:textId="77777777" w:rsidTr="001C7D77">
        <w:trPr>
          <w:trHeight w:val="83"/>
        </w:trPr>
        <w:tc>
          <w:tcPr>
            <w:tcW w:w="2862" w:type="dxa"/>
            <w:shd w:val="clear" w:color="auto" w:fill="002060"/>
            <w:tcMar>
              <w:top w:w="0" w:type="dxa"/>
              <w:left w:w="0" w:type="dxa"/>
              <w:bottom w:w="0" w:type="dxa"/>
              <w:right w:w="0" w:type="dxa"/>
            </w:tcMar>
            <w:vAlign w:val="center"/>
            <w:hideMark/>
          </w:tcPr>
          <w:p w14:paraId="4655A086" w14:textId="77777777" w:rsidR="00052799" w:rsidRPr="004B487D" w:rsidRDefault="00052799" w:rsidP="001C7D77">
            <w:pPr>
              <w:spacing w:before="40" w:after="40"/>
              <w:jc w:val="center"/>
              <w:rPr>
                <w:b/>
                <w:bCs/>
                <w:color w:val="FFFFFF"/>
                <w:sz w:val="18"/>
                <w:szCs w:val="18"/>
              </w:rPr>
            </w:pPr>
            <w:r w:rsidRPr="004B487D">
              <w:rPr>
                <w:b/>
                <w:bCs/>
                <w:color w:val="FFFFFF"/>
                <w:sz w:val="18"/>
                <w:szCs w:val="18"/>
              </w:rPr>
              <w:t>Process</w:t>
            </w:r>
          </w:p>
        </w:tc>
        <w:tc>
          <w:tcPr>
            <w:tcW w:w="1534" w:type="dxa"/>
            <w:shd w:val="clear" w:color="auto" w:fill="002060"/>
            <w:tcMar>
              <w:top w:w="0" w:type="dxa"/>
              <w:left w:w="0" w:type="dxa"/>
              <w:bottom w:w="0" w:type="dxa"/>
              <w:right w:w="0" w:type="dxa"/>
            </w:tcMar>
            <w:hideMark/>
          </w:tcPr>
          <w:p w14:paraId="5DFBFC9C" w14:textId="4A58B9D0" w:rsidR="00052799" w:rsidRPr="004B487D" w:rsidRDefault="001C7D77" w:rsidP="001C7D77">
            <w:pPr>
              <w:spacing w:before="40" w:after="40"/>
              <w:jc w:val="center"/>
              <w:rPr>
                <w:b/>
                <w:bCs/>
                <w:color w:val="FFFFFF"/>
                <w:sz w:val="18"/>
                <w:szCs w:val="18"/>
              </w:rPr>
            </w:pPr>
            <w:r>
              <w:rPr>
                <w:b/>
                <w:bCs/>
                <w:color w:val="FFFFFF"/>
                <w:sz w:val="18"/>
                <w:szCs w:val="18"/>
              </w:rPr>
              <w:t>Permit to acquire a cat</w:t>
            </w:r>
            <w:r w:rsidR="00052799" w:rsidRPr="004B487D">
              <w:rPr>
                <w:b/>
                <w:bCs/>
                <w:color w:val="FFFFFF"/>
                <w:sz w:val="18"/>
                <w:szCs w:val="18"/>
              </w:rPr>
              <w:t xml:space="preserve"> A longarm</w:t>
            </w:r>
          </w:p>
        </w:tc>
        <w:tc>
          <w:tcPr>
            <w:tcW w:w="1534" w:type="dxa"/>
            <w:shd w:val="clear" w:color="auto" w:fill="002060"/>
            <w:tcMar>
              <w:top w:w="0" w:type="dxa"/>
              <w:left w:w="0" w:type="dxa"/>
              <w:bottom w:w="0" w:type="dxa"/>
              <w:right w:w="0" w:type="dxa"/>
            </w:tcMar>
            <w:hideMark/>
          </w:tcPr>
          <w:p w14:paraId="2716D4E6" w14:textId="441B753F" w:rsidR="00052799" w:rsidRPr="004B487D" w:rsidRDefault="001C7D77" w:rsidP="001C7D77">
            <w:pPr>
              <w:spacing w:before="40" w:after="40"/>
              <w:jc w:val="center"/>
              <w:rPr>
                <w:b/>
                <w:bCs/>
                <w:color w:val="FFFFFF"/>
                <w:sz w:val="18"/>
                <w:szCs w:val="18"/>
              </w:rPr>
            </w:pPr>
            <w:r>
              <w:rPr>
                <w:b/>
                <w:bCs/>
                <w:color w:val="FFFFFF"/>
                <w:sz w:val="18"/>
                <w:szCs w:val="18"/>
              </w:rPr>
              <w:t>Permit to acquire a cat</w:t>
            </w:r>
            <w:r w:rsidR="00052799" w:rsidRPr="004B487D">
              <w:rPr>
                <w:b/>
                <w:bCs/>
                <w:color w:val="FFFFFF"/>
                <w:sz w:val="18"/>
                <w:szCs w:val="18"/>
              </w:rPr>
              <w:t xml:space="preserve"> B or C longarm </w:t>
            </w:r>
          </w:p>
        </w:tc>
        <w:tc>
          <w:tcPr>
            <w:tcW w:w="1534" w:type="dxa"/>
            <w:shd w:val="clear" w:color="auto" w:fill="002060"/>
            <w:tcMar>
              <w:top w:w="0" w:type="dxa"/>
              <w:left w:w="0" w:type="dxa"/>
              <w:bottom w:w="0" w:type="dxa"/>
              <w:right w:w="0" w:type="dxa"/>
            </w:tcMar>
            <w:hideMark/>
          </w:tcPr>
          <w:p w14:paraId="31F2486F" w14:textId="77777777" w:rsidR="00052799" w:rsidRPr="004B487D" w:rsidRDefault="00052799" w:rsidP="001C7D77">
            <w:pPr>
              <w:spacing w:before="40" w:after="40"/>
              <w:jc w:val="center"/>
              <w:rPr>
                <w:b/>
                <w:bCs/>
                <w:color w:val="FFFFFF"/>
                <w:sz w:val="18"/>
                <w:szCs w:val="18"/>
              </w:rPr>
            </w:pPr>
            <w:r w:rsidRPr="004B487D">
              <w:rPr>
                <w:b/>
                <w:bCs/>
                <w:color w:val="FFFFFF"/>
                <w:sz w:val="18"/>
                <w:szCs w:val="18"/>
              </w:rPr>
              <w:t xml:space="preserve">Permit to acquire a handgun </w:t>
            </w:r>
          </w:p>
        </w:tc>
        <w:tc>
          <w:tcPr>
            <w:tcW w:w="1534" w:type="dxa"/>
            <w:shd w:val="clear" w:color="auto" w:fill="002060"/>
            <w:tcMar>
              <w:top w:w="0" w:type="dxa"/>
              <w:left w:w="0" w:type="dxa"/>
              <w:bottom w:w="0" w:type="dxa"/>
              <w:right w:w="0" w:type="dxa"/>
            </w:tcMar>
            <w:hideMark/>
          </w:tcPr>
          <w:p w14:paraId="36D18BBD" w14:textId="77777777" w:rsidR="00052799" w:rsidRPr="004B487D" w:rsidRDefault="00052799" w:rsidP="001C7D77">
            <w:pPr>
              <w:spacing w:before="40" w:after="40"/>
              <w:jc w:val="center"/>
              <w:rPr>
                <w:b/>
                <w:bCs/>
                <w:color w:val="FFFFFF"/>
                <w:sz w:val="18"/>
                <w:szCs w:val="18"/>
              </w:rPr>
            </w:pPr>
            <w:r w:rsidRPr="004B487D">
              <w:rPr>
                <w:b/>
                <w:bCs/>
                <w:color w:val="FFFFFF"/>
                <w:sz w:val="18"/>
                <w:szCs w:val="18"/>
              </w:rPr>
              <w:t>Permit to acquire a paintball marker</w:t>
            </w:r>
          </w:p>
        </w:tc>
      </w:tr>
      <w:tr w:rsidR="00052799" w:rsidRPr="00610D49" w14:paraId="43D565EB" w14:textId="77777777" w:rsidTr="001C7D77">
        <w:trPr>
          <w:trHeight w:val="83"/>
        </w:trPr>
        <w:tc>
          <w:tcPr>
            <w:tcW w:w="2862" w:type="dxa"/>
            <w:tcMar>
              <w:top w:w="0" w:type="dxa"/>
              <w:left w:w="0" w:type="dxa"/>
              <w:bottom w:w="0" w:type="dxa"/>
              <w:right w:w="0" w:type="dxa"/>
            </w:tcMar>
            <w:vAlign w:val="center"/>
            <w:hideMark/>
          </w:tcPr>
          <w:p w14:paraId="064C9B80" w14:textId="77777777" w:rsidR="00052799" w:rsidRPr="004B487D" w:rsidRDefault="00052799" w:rsidP="001C7D77">
            <w:pPr>
              <w:spacing w:before="40" w:after="40"/>
              <w:rPr>
                <w:sz w:val="18"/>
                <w:szCs w:val="18"/>
              </w:rPr>
            </w:pPr>
            <w:r w:rsidRPr="004B487D">
              <w:rPr>
                <w:sz w:val="18"/>
                <w:szCs w:val="18"/>
              </w:rPr>
              <w:t>Receive docs and enter onto the Licensing and Registration System</w:t>
            </w:r>
          </w:p>
        </w:tc>
        <w:tc>
          <w:tcPr>
            <w:tcW w:w="1534" w:type="dxa"/>
            <w:tcMar>
              <w:top w:w="0" w:type="dxa"/>
              <w:left w:w="0" w:type="dxa"/>
              <w:bottom w:w="0" w:type="dxa"/>
              <w:right w:w="0" w:type="dxa"/>
            </w:tcMar>
            <w:vAlign w:val="center"/>
            <w:hideMark/>
          </w:tcPr>
          <w:p w14:paraId="43F61E52" w14:textId="77777777" w:rsidR="00052799" w:rsidRPr="004B487D" w:rsidRDefault="00052799" w:rsidP="001C7D77">
            <w:pPr>
              <w:spacing w:before="40" w:after="40"/>
              <w:jc w:val="center"/>
              <w:rPr>
                <w:sz w:val="18"/>
                <w:szCs w:val="18"/>
              </w:rPr>
            </w:pPr>
            <w:r w:rsidRPr="004B487D">
              <w:rPr>
                <w:sz w:val="18"/>
                <w:szCs w:val="18"/>
              </w:rPr>
              <w:t>2.9</w:t>
            </w:r>
          </w:p>
        </w:tc>
        <w:tc>
          <w:tcPr>
            <w:tcW w:w="1534" w:type="dxa"/>
            <w:tcMar>
              <w:top w:w="0" w:type="dxa"/>
              <w:left w:w="0" w:type="dxa"/>
              <w:bottom w:w="0" w:type="dxa"/>
              <w:right w:w="0" w:type="dxa"/>
            </w:tcMar>
            <w:vAlign w:val="center"/>
            <w:hideMark/>
          </w:tcPr>
          <w:p w14:paraId="53F5F8B2" w14:textId="77777777" w:rsidR="00052799" w:rsidRPr="004B487D" w:rsidRDefault="00052799" w:rsidP="001C7D77">
            <w:pPr>
              <w:spacing w:before="40" w:after="40"/>
              <w:jc w:val="center"/>
              <w:rPr>
                <w:sz w:val="18"/>
                <w:szCs w:val="18"/>
              </w:rPr>
            </w:pPr>
            <w:r w:rsidRPr="004B487D">
              <w:rPr>
                <w:sz w:val="18"/>
                <w:szCs w:val="18"/>
              </w:rPr>
              <w:t>2.9</w:t>
            </w:r>
          </w:p>
        </w:tc>
        <w:tc>
          <w:tcPr>
            <w:tcW w:w="1534" w:type="dxa"/>
            <w:tcMar>
              <w:top w:w="0" w:type="dxa"/>
              <w:left w:w="0" w:type="dxa"/>
              <w:bottom w:w="0" w:type="dxa"/>
              <w:right w:w="0" w:type="dxa"/>
            </w:tcMar>
            <w:vAlign w:val="center"/>
            <w:hideMark/>
          </w:tcPr>
          <w:p w14:paraId="1E529464" w14:textId="77777777" w:rsidR="00052799" w:rsidRPr="004B487D" w:rsidRDefault="00052799" w:rsidP="001C7D77">
            <w:pPr>
              <w:spacing w:before="40" w:after="40"/>
              <w:jc w:val="center"/>
              <w:rPr>
                <w:sz w:val="18"/>
                <w:szCs w:val="18"/>
              </w:rPr>
            </w:pPr>
            <w:r w:rsidRPr="004B487D">
              <w:rPr>
                <w:sz w:val="18"/>
                <w:szCs w:val="18"/>
              </w:rPr>
              <w:t>2.9</w:t>
            </w:r>
          </w:p>
        </w:tc>
        <w:tc>
          <w:tcPr>
            <w:tcW w:w="1534" w:type="dxa"/>
            <w:tcMar>
              <w:top w:w="0" w:type="dxa"/>
              <w:left w:w="0" w:type="dxa"/>
              <w:bottom w:w="0" w:type="dxa"/>
              <w:right w:w="0" w:type="dxa"/>
            </w:tcMar>
            <w:vAlign w:val="center"/>
            <w:hideMark/>
          </w:tcPr>
          <w:p w14:paraId="61137DFE" w14:textId="77777777" w:rsidR="00052799" w:rsidRPr="004B487D" w:rsidRDefault="00052799" w:rsidP="001C7D77">
            <w:pPr>
              <w:spacing w:before="40" w:after="40"/>
              <w:jc w:val="center"/>
              <w:rPr>
                <w:sz w:val="18"/>
                <w:szCs w:val="18"/>
              </w:rPr>
            </w:pPr>
            <w:r w:rsidRPr="004B487D">
              <w:rPr>
                <w:sz w:val="18"/>
                <w:szCs w:val="18"/>
              </w:rPr>
              <w:t>2.9</w:t>
            </w:r>
          </w:p>
        </w:tc>
      </w:tr>
      <w:tr w:rsidR="00052799" w:rsidRPr="00610D49" w14:paraId="169EDCAA" w14:textId="77777777" w:rsidTr="001C7D77">
        <w:trPr>
          <w:trHeight w:val="83"/>
        </w:trPr>
        <w:tc>
          <w:tcPr>
            <w:tcW w:w="2862" w:type="dxa"/>
            <w:tcMar>
              <w:top w:w="0" w:type="dxa"/>
              <w:left w:w="0" w:type="dxa"/>
              <w:bottom w:w="0" w:type="dxa"/>
              <w:right w:w="0" w:type="dxa"/>
            </w:tcMar>
            <w:vAlign w:val="center"/>
            <w:hideMark/>
          </w:tcPr>
          <w:p w14:paraId="6CB3D0BE" w14:textId="77777777" w:rsidR="00052799" w:rsidRPr="004B487D" w:rsidRDefault="00052799" w:rsidP="001C7D77">
            <w:pPr>
              <w:spacing w:before="40" w:after="40"/>
              <w:rPr>
                <w:sz w:val="18"/>
                <w:szCs w:val="18"/>
              </w:rPr>
            </w:pPr>
            <w:r w:rsidRPr="004B487D">
              <w:rPr>
                <w:sz w:val="18"/>
                <w:szCs w:val="18"/>
              </w:rPr>
              <w:t xml:space="preserve">Assessment of details: prohibited person, competency assessment and physical/mental health, and genuine reason </w:t>
            </w:r>
          </w:p>
        </w:tc>
        <w:tc>
          <w:tcPr>
            <w:tcW w:w="1534" w:type="dxa"/>
            <w:shd w:val="clear" w:color="auto" w:fill="auto"/>
            <w:tcMar>
              <w:top w:w="0" w:type="dxa"/>
              <w:left w:w="0" w:type="dxa"/>
              <w:bottom w:w="0" w:type="dxa"/>
              <w:right w:w="0" w:type="dxa"/>
            </w:tcMar>
            <w:vAlign w:val="center"/>
            <w:hideMark/>
          </w:tcPr>
          <w:p w14:paraId="495C0A33" w14:textId="77777777" w:rsidR="00052799" w:rsidRPr="004B487D" w:rsidRDefault="00052799" w:rsidP="001C7D77">
            <w:pPr>
              <w:spacing w:before="40" w:after="40"/>
              <w:jc w:val="center"/>
              <w:rPr>
                <w:sz w:val="18"/>
                <w:szCs w:val="18"/>
              </w:rPr>
            </w:pPr>
            <w:r w:rsidRPr="004B487D">
              <w:rPr>
                <w:sz w:val="18"/>
                <w:szCs w:val="18"/>
              </w:rPr>
              <w:t>6.6</w:t>
            </w:r>
          </w:p>
        </w:tc>
        <w:tc>
          <w:tcPr>
            <w:tcW w:w="1534" w:type="dxa"/>
            <w:shd w:val="clear" w:color="auto" w:fill="auto"/>
            <w:tcMar>
              <w:top w:w="0" w:type="dxa"/>
              <w:left w:w="0" w:type="dxa"/>
              <w:bottom w:w="0" w:type="dxa"/>
              <w:right w:w="0" w:type="dxa"/>
            </w:tcMar>
            <w:vAlign w:val="center"/>
            <w:hideMark/>
          </w:tcPr>
          <w:p w14:paraId="6B00260F" w14:textId="77777777" w:rsidR="00052799" w:rsidRPr="004B487D" w:rsidRDefault="00052799" w:rsidP="001C7D77">
            <w:pPr>
              <w:spacing w:before="40" w:after="40"/>
              <w:jc w:val="center"/>
              <w:rPr>
                <w:sz w:val="18"/>
                <w:szCs w:val="18"/>
              </w:rPr>
            </w:pPr>
            <w:r w:rsidRPr="004B487D">
              <w:rPr>
                <w:sz w:val="18"/>
                <w:szCs w:val="18"/>
              </w:rPr>
              <w:t>9.6</w:t>
            </w:r>
          </w:p>
        </w:tc>
        <w:tc>
          <w:tcPr>
            <w:tcW w:w="1534" w:type="dxa"/>
            <w:shd w:val="clear" w:color="auto" w:fill="auto"/>
            <w:tcMar>
              <w:top w:w="0" w:type="dxa"/>
              <w:left w:w="0" w:type="dxa"/>
              <w:bottom w:w="0" w:type="dxa"/>
              <w:right w:w="0" w:type="dxa"/>
            </w:tcMar>
            <w:vAlign w:val="center"/>
            <w:hideMark/>
          </w:tcPr>
          <w:p w14:paraId="7FC0FDFD" w14:textId="77777777" w:rsidR="00052799" w:rsidRPr="004B487D" w:rsidRDefault="00052799" w:rsidP="001C7D77">
            <w:pPr>
              <w:spacing w:before="40" w:after="40"/>
              <w:jc w:val="center"/>
              <w:rPr>
                <w:sz w:val="18"/>
                <w:szCs w:val="18"/>
              </w:rPr>
            </w:pPr>
            <w:r w:rsidRPr="004B487D">
              <w:rPr>
                <w:sz w:val="18"/>
                <w:szCs w:val="18"/>
              </w:rPr>
              <w:t>29.6</w:t>
            </w:r>
          </w:p>
        </w:tc>
        <w:tc>
          <w:tcPr>
            <w:tcW w:w="1534" w:type="dxa"/>
            <w:shd w:val="clear" w:color="auto" w:fill="auto"/>
            <w:tcMar>
              <w:top w:w="0" w:type="dxa"/>
              <w:left w:w="0" w:type="dxa"/>
              <w:bottom w:w="0" w:type="dxa"/>
              <w:right w:w="0" w:type="dxa"/>
            </w:tcMar>
            <w:vAlign w:val="center"/>
            <w:hideMark/>
          </w:tcPr>
          <w:p w14:paraId="29DCCC85" w14:textId="77777777" w:rsidR="00052799" w:rsidRPr="004B487D" w:rsidRDefault="00052799" w:rsidP="001C7D77">
            <w:pPr>
              <w:spacing w:before="40" w:after="40"/>
              <w:jc w:val="center"/>
              <w:rPr>
                <w:sz w:val="18"/>
                <w:szCs w:val="18"/>
              </w:rPr>
            </w:pPr>
            <w:r w:rsidRPr="004B487D">
              <w:rPr>
                <w:sz w:val="18"/>
                <w:szCs w:val="18"/>
              </w:rPr>
              <w:t>6.6</w:t>
            </w:r>
          </w:p>
        </w:tc>
      </w:tr>
      <w:tr w:rsidR="00052799" w:rsidRPr="00610D49" w14:paraId="4F64C0B5" w14:textId="77777777" w:rsidTr="001C7D77">
        <w:trPr>
          <w:trHeight w:val="83"/>
        </w:trPr>
        <w:tc>
          <w:tcPr>
            <w:tcW w:w="2862" w:type="dxa"/>
            <w:tcMar>
              <w:top w:w="0" w:type="dxa"/>
              <w:left w:w="0" w:type="dxa"/>
              <w:bottom w:w="0" w:type="dxa"/>
              <w:right w:w="0" w:type="dxa"/>
            </w:tcMar>
            <w:vAlign w:val="center"/>
            <w:hideMark/>
          </w:tcPr>
          <w:p w14:paraId="67843122" w14:textId="77777777" w:rsidR="00052799" w:rsidRPr="004B487D" w:rsidRDefault="00052799" w:rsidP="001C7D77">
            <w:pPr>
              <w:spacing w:before="40" w:after="40"/>
              <w:rPr>
                <w:sz w:val="18"/>
                <w:szCs w:val="18"/>
              </w:rPr>
            </w:pPr>
            <w:r w:rsidRPr="004B487D">
              <w:rPr>
                <w:sz w:val="18"/>
                <w:szCs w:val="18"/>
              </w:rPr>
              <w:t xml:space="preserve">Potential involvement of sworn officers (cover sheet, assessment, decision) </w:t>
            </w:r>
          </w:p>
        </w:tc>
        <w:tc>
          <w:tcPr>
            <w:tcW w:w="1534" w:type="dxa"/>
            <w:tcMar>
              <w:top w:w="0" w:type="dxa"/>
              <w:left w:w="0" w:type="dxa"/>
              <w:bottom w:w="0" w:type="dxa"/>
              <w:right w:w="0" w:type="dxa"/>
            </w:tcMar>
            <w:vAlign w:val="center"/>
            <w:hideMark/>
          </w:tcPr>
          <w:p w14:paraId="555DDB36" w14:textId="77777777" w:rsidR="00052799" w:rsidRPr="004B487D" w:rsidRDefault="00052799" w:rsidP="001C7D77">
            <w:pPr>
              <w:spacing w:before="40" w:after="40"/>
              <w:jc w:val="center"/>
              <w:rPr>
                <w:sz w:val="18"/>
                <w:szCs w:val="18"/>
              </w:rPr>
            </w:pPr>
            <w:r w:rsidRPr="004B487D">
              <w:rPr>
                <w:sz w:val="18"/>
                <w:szCs w:val="18"/>
              </w:rPr>
              <w:t>0.5</w:t>
            </w:r>
          </w:p>
        </w:tc>
        <w:tc>
          <w:tcPr>
            <w:tcW w:w="1534" w:type="dxa"/>
            <w:tcMar>
              <w:top w:w="0" w:type="dxa"/>
              <w:left w:w="0" w:type="dxa"/>
              <w:bottom w:w="0" w:type="dxa"/>
              <w:right w:w="0" w:type="dxa"/>
            </w:tcMar>
            <w:vAlign w:val="center"/>
            <w:hideMark/>
          </w:tcPr>
          <w:p w14:paraId="0CAF9C1C" w14:textId="77777777" w:rsidR="00052799" w:rsidRPr="004B487D" w:rsidRDefault="00052799" w:rsidP="001C7D77">
            <w:pPr>
              <w:spacing w:before="40" w:after="40"/>
              <w:jc w:val="center"/>
              <w:rPr>
                <w:sz w:val="18"/>
                <w:szCs w:val="18"/>
              </w:rPr>
            </w:pPr>
            <w:r w:rsidRPr="004B487D">
              <w:rPr>
                <w:sz w:val="18"/>
                <w:szCs w:val="18"/>
              </w:rPr>
              <w:t>0.5</w:t>
            </w:r>
          </w:p>
        </w:tc>
        <w:tc>
          <w:tcPr>
            <w:tcW w:w="1534" w:type="dxa"/>
            <w:tcMar>
              <w:top w:w="0" w:type="dxa"/>
              <w:left w:w="0" w:type="dxa"/>
              <w:bottom w:w="0" w:type="dxa"/>
              <w:right w:w="0" w:type="dxa"/>
            </w:tcMar>
            <w:vAlign w:val="center"/>
            <w:hideMark/>
          </w:tcPr>
          <w:p w14:paraId="48048A74" w14:textId="77777777" w:rsidR="00052799" w:rsidRPr="004B487D" w:rsidRDefault="00052799" w:rsidP="001C7D77">
            <w:pPr>
              <w:spacing w:before="40" w:after="40"/>
              <w:jc w:val="center"/>
              <w:rPr>
                <w:sz w:val="18"/>
                <w:szCs w:val="18"/>
              </w:rPr>
            </w:pPr>
            <w:r w:rsidRPr="004B487D">
              <w:rPr>
                <w:sz w:val="18"/>
                <w:szCs w:val="18"/>
              </w:rPr>
              <w:t>1.3</w:t>
            </w:r>
          </w:p>
        </w:tc>
        <w:tc>
          <w:tcPr>
            <w:tcW w:w="1534" w:type="dxa"/>
            <w:tcMar>
              <w:top w:w="0" w:type="dxa"/>
              <w:left w:w="0" w:type="dxa"/>
              <w:bottom w:w="0" w:type="dxa"/>
              <w:right w:w="0" w:type="dxa"/>
            </w:tcMar>
            <w:vAlign w:val="center"/>
            <w:hideMark/>
          </w:tcPr>
          <w:p w14:paraId="71406B64" w14:textId="77777777" w:rsidR="00052799" w:rsidRPr="004B487D" w:rsidRDefault="00052799" w:rsidP="001C7D77">
            <w:pPr>
              <w:spacing w:before="40" w:after="40"/>
              <w:jc w:val="center"/>
              <w:rPr>
                <w:sz w:val="18"/>
                <w:szCs w:val="18"/>
              </w:rPr>
            </w:pPr>
            <w:r w:rsidRPr="004B487D">
              <w:rPr>
                <w:sz w:val="18"/>
                <w:szCs w:val="18"/>
              </w:rPr>
              <w:t>0.5</w:t>
            </w:r>
          </w:p>
        </w:tc>
      </w:tr>
      <w:tr w:rsidR="00052799" w:rsidRPr="00610D49" w14:paraId="76148422" w14:textId="77777777" w:rsidTr="001C7D77">
        <w:trPr>
          <w:trHeight w:val="83"/>
        </w:trPr>
        <w:tc>
          <w:tcPr>
            <w:tcW w:w="2862" w:type="dxa"/>
            <w:tcMar>
              <w:top w:w="0" w:type="dxa"/>
              <w:left w:w="0" w:type="dxa"/>
              <w:bottom w:w="0" w:type="dxa"/>
              <w:right w:w="0" w:type="dxa"/>
            </w:tcMar>
            <w:vAlign w:val="center"/>
            <w:hideMark/>
          </w:tcPr>
          <w:p w14:paraId="6741B073" w14:textId="77777777" w:rsidR="00052799" w:rsidRPr="004B487D" w:rsidRDefault="00052799" w:rsidP="001C7D77">
            <w:pPr>
              <w:spacing w:before="40" w:after="40"/>
              <w:rPr>
                <w:sz w:val="18"/>
                <w:szCs w:val="18"/>
              </w:rPr>
            </w:pPr>
            <w:r w:rsidRPr="004B487D">
              <w:rPr>
                <w:sz w:val="18"/>
                <w:szCs w:val="18"/>
              </w:rPr>
              <w:t xml:space="preserve">Finalising administration (approval and imaging) </w:t>
            </w:r>
          </w:p>
        </w:tc>
        <w:tc>
          <w:tcPr>
            <w:tcW w:w="1534" w:type="dxa"/>
            <w:tcMar>
              <w:top w:w="0" w:type="dxa"/>
              <w:left w:w="0" w:type="dxa"/>
              <w:bottom w:w="0" w:type="dxa"/>
              <w:right w:w="0" w:type="dxa"/>
            </w:tcMar>
            <w:vAlign w:val="center"/>
            <w:hideMark/>
          </w:tcPr>
          <w:p w14:paraId="5E1B1DAB" w14:textId="77777777" w:rsidR="00052799" w:rsidRPr="004B487D" w:rsidRDefault="00052799" w:rsidP="001C7D77">
            <w:pPr>
              <w:spacing w:before="40" w:after="40"/>
              <w:jc w:val="center"/>
              <w:rPr>
                <w:sz w:val="18"/>
                <w:szCs w:val="18"/>
              </w:rPr>
            </w:pPr>
            <w:r w:rsidRPr="004B487D">
              <w:rPr>
                <w:sz w:val="18"/>
                <w:szCs w:val="18"/>
              </w:rPr>
              <w:t>8.9</w:t>
            </w:r>
          </w:p>
        </w:tc>
        <w:tc>
          <w:tcPr>
            <w:tcW w:w="1534" w:type="dxa"/>
            <w:tcMar>
              <w:top w:w="0" w:type="dxa"/>
              <w:left w:w="0" w:type="dxa"/>
              <w:bottom w:w="0" w:type="dxa"/>
              <w:right w:w="0" w:type="dxa"/>
            </w:tcMar>
            <w:vAlign w:val="center"/>
            <w:hideMark/>
          </w:tcPr>
          <w:p w14:paraId="514E068E" w14:textId="77777777" w:rsidR="00052799" w:rsidRPr="004B487D" w:rsidRDefault="00052799" w:rsidP="001C7D77">
            <w:pPr>
              <w:spacing w:before="40" w:after="40"/>
              <w:jc w:val="center"/>
              <w:rPr>
                <w:sz w:val="18"/>
                <w:szCs w:val="18"/>
              </w:rPr>
            </w:pPr>
            <w:r w:rsidRPr="004B487D">
              <w:rPr>
                <w:sz w:val="18"/>
                <w:szCs w:val="18"/>
              </w:rPr>
              <w:t>8.9</w:t>
            </w:r>
          </w:p>
        </w:tc>
        <w:tc>
          <w:tcPr>
            <w:tcW w:w="1534" w:type="dxa"/>
            <w:tcMar>
              <w:top w:w="0" w:type="dxa"/>
              <w:left w:w="0" w:type="dxa"/>
              <w:bottom w:w="0" w:type="dxa"/>
              <w:right w:w="0" w:type="dxa"/>
            </w:tcMar>
            <w:vAlign w:val="center"/>
            <w:hideMark/>
          </w:tcPr>
          <w:p w14:paraId="395E62D5" w14:textId="77777777" w:rsidR="00052799" w:rsidRPr="004B487D" w:rsidRDefault="00052799" w:rsidP="001C7D77">
            <w:pPr>
              <w:spacing w:before="40" w:after="40"/>
              <w:jc w:val="center"/>
              <w:rPr>
                <w:sz w:val="18"/>
                <w:szCs w:val="18"/>
              </w:rPr>
            </w:pPr>
            <w:r w:rsidRPr="004B487D">
              <w:rPr>
                <w:sz w:val="18"/>
                <w:szCs w:val="18"/>
              </w:rPr>
              <w:t>8.9</w:t>
            </w:r>
          </w:p>
        </w:tc>
        <w:tc>
          <w:tcPr>
            <w:tcW w:w="1534" w:type="dxa"/>
            <w:tcMar>
              <w:top w:w="0" w:type="dxa"/>
              <w:left w:w="0" w:type="dxa"/>
              <w:bottom w:w="0" w:type="dxa"/>
              <w:right w:w="0" w:type="dxa"/>
            </w:tcMar>
            <w:vAlign w:val="center"/>
            <w:hideMark/>
          </w:tcPr>
          <w:p w14:paraId="750258C5" w14:textId="77777777" w:rsidR="00052799" w:rsidRPr="004B487D" w:rsidRDefault="00052799" w:rsidP="001C7D77">
            <w:pPr>
              <w:spacing w:before="40" w:after="40"/>
              <w:jc w:val="center"/>
              <w:rPr>
                <w:sz w:val="18"/>
                <w:szCs w:val="18"/>
              </w:rPr>
            </w:pPr>
            <w:r w:rsidRPr="004B487D">
              <w:rPr>
                <w:sz w:val="18"/>
                <w:szCs w:val="18"/>
              </w:rPr>
              <w:t>8.9</w:t>
            </w:r>
          </w:p>
        </w:tc>
      </w:tr>
      <w:tr w:rsidR="00052799" w:rsidRPr="00176ADE" w14:paraId="6E6DD8E9" w14:textId="77777777" w:rsidTr="001C7D77">
        <w:trPr>
          <w:trHeight w:val="83"/>
        </w:trPr>
        <w:tc>
          <w:tcPr>
            <w:tcW w:w="2862" w:type="dxa"/>
            <w:tcMar>
              <w:top w:w="0" w:type="dxa"/>
              <w:left w:w="0" w:type="dxa"/>
              <w:bottom w:w="0" w:type="dxa"/>
              <w:right w:w="0" w:type="dxa"/>
            </w:tcMar>
            <w:vAlign w:val="center"/>
            <w:hideMark/>
          </w:tcPr>
          <w:p w14:paraId="0C1E1540" w14:textId="77777777" w:rsidR="00052799" w:rsidRPr="004B487D" w:rsidRDefault="00052799" w:rsidP="001C7D77">
            <w:pPr>
              <w:spacing w:before="40" w:after="40"/>
              <w:jc w:val="right"/>
              <w:rPr>
                <w:sz w:val="18"/>
                <w:szCs w:val="18"/>
              </w:rPr>
            </w:pPr>
            <w:r w:rsidRPr="004B487D">
              <w:rPr>
                <w:b/>
                <w:bCs/>
                <w:sz w:val="18"/>
                <w:szCs w:val="18"/>
              </w:rPr>
              <w:t>Total</w:t>
            </w:r>
          </w:p>
        </w:tc>
        <w:tc>
          <w:tcPr>
            <w:tcW w:w="1534" w:type="dxa"/>
            <w:tcMar>
              <w:top w:w="0" w:type="dxa"/>
              <w:left w:w="0" w:type="dxa"/>
              <w:bottom w:w="0" w:type="dxa"/>
              <w:right w:w="0" w:type="dxa"/>
            </w:tcMar>
            <w:vAlign w:val="center"/>
            <w:hideMark/>
          </w:tcPr>
          <w:p w14:paraId="7921E654" w14:textId="77777777" w:rsidR="00052799" w:rsidRPr="004B487D" w:rsidRDefault="00052799" w:rsidP="001C7D77">
            <w:pPr>
              <w:spacing w:before="40" w:after="40"/>
              <w:jc w:val="center"/>
              <w:rPr>
                <w:sz w:val="18"/>
                <w:szCs w:val="18"/>
              </w:rPr>
            </w:pPr>
            <w:r w:rsidRPr="004B487D">
              <w:rPr>
                <w:sz w:val="18"/>
                <w:szCs w:val="18"/>
              </w:rPr>
              <w:t>18.9</w:t>
            </w:r>
          </w:p>
        </w:tc>
        <w:tc>
          <w:tcPr>
            <w:tcW w:w="1534" w:type="dxa"/>
            <w:tcMar>
              <w:top w:w="0" w:type="dxa"/>
              <w:left w:w="0" w:type="dxa"/>
              <w:bottom w:w="0" w:type="dxa"/>
              <w:right w:w="0" w:type="dxa"/>
            </w:tcMar>
            <w:vAlign w:val="center"/>
            <w:hideMark/>
          </w:tcPr>
          <w:p w14:paraId="248E198E" w14:textId="77777777" w:rsidR="00052799" w:rsidRPr="004B487D" w:rsidRDefault="00052799" w:rsidP="001C7D77">
            <w:pPr>
              <w:spacing w:before="40" w:after="40"/>
              <w:jc w:val="center"/>
              <w:rPr>
                <w:sz w:val="18"/>
                <w:szCs w:val="18"/>
              </w:rPr>
            </w:pPr>
            <w:r w:rsidRPr="004B487D">
              <w:rPr>
                <w:sz w:val="18"/>
                <w:szCs w:val="18"/>
              </w:rPr>
              <w:t>21.9</w:t>
            </w:r>
          </w:p>
        </w:tc>
        <w:tc>
          <w:tcPr>
            <w:tcW w:w="1534" w:type="dxa"/>
            <w:tcMar>
              <w:top w:w="0" w:type="dxa"/>
              <w:left w:w="0" w:type="dxa"/>
              <w:bottom w:w="0" w:type="dxa"/>
              <w:right w:w="0" w:type="dxa"/>
            </w:tcMar>
            <w:vAlign w:val="center"/>
            <w:hideMark/>
          </w:tcPr>
          <w:p w14:paraId="7A772BEF" w14:textId="77777777" w:rsidR="00052799" w:rsidRPr="004B487D" w:rsidRDefault="00052799" w:rsidP="001C7D77">
            <w:pPr>
              <w:spacing w:before="40" w:after="40"/>
              <w:jc w:val="center"/>
              <w:rPr>
                <w:sz w:val="18"/>
                <w:szCs w:val="18"/>
              </w:rPr>
            </w:pPr>
            <w:r w:rsidRPr="004B487D">
              <w:rPr>
                <w:sz w:val="18"/>
                <w:szCs w:val="18"/>
              </w:rPr>
              <w:t>42.7</w:t>
            </w:r>
          </w:p>
        </w:tc>
        <w:tc>
          <w:tcPr>
            <w:tcW w:w="1534" w:type="dxa"/>
            <w:tcMar>
              <w:top w:w="0" w:type="dxa"/>
              <w:left w:w="0" w:type="dxa"/>
              <w:bottom w:w="0" w:type="dxa"/>
              <w:right w:w="0" w:type="dxa"/>
            </w:tcMar>
            <w:vAlign w:val="center"/>
            <w:hideMark/>
          </w:tcPr>
          <w:p w14:paraId="48DD5760" w14:textId="77777777" w:rsidR="00052799" w:rsidRPr="004B487D" w:rsidRDefault="00052799" w:rsidP="001C7D77">
            <w:pPr>
              <w:spacing w:before="40" w:after="40"/>
              <w:jc w:val="center"/>
              <w:rPr>
                <w:sz w:val="18"/>
                <w:szCs w:val="18"/>
              </w:rPr>
            </w:pPr>
            <w:r w:rsidRPr="004B487D">
              <w:rPr>
                <w:sz w:val="18"/>
                <w:szCs w:val="18"/>
              </w:rPr>
              <w:t>18.9</w:t>
            </w:r>
          </w:p>
        </w:tc>
      </w:tr>
      <w:bookmarkEnd w:id="10"/>
      <w:bookmarkEnd w:id="11"/>
      <w:bookmarkEnd w:id="12"/>
      <w:bookmarkEnd w:id="13"/>
    </w:tbl>
    <w:p w14:paraId="07275716" w14:textId="77777777" w:rsidR="00052799" w:rsidRDefault="00052799" w:rsidP="00052799">
      <w:pPr>
        <w:pStyle w:val="BodyText"/>
      </w:pPr>
    </w:p>
    <w:sectPr w:rsidR="00052799" w:rsidSect="00560703">
      <w:headerReference w:type="even" r:id="rId21"/>
      <w:headerReference w:type="default" r:id="rId22"/>
      <w:footerReference w:type="default" r:id="rId23"/>
      <w:headerReference w:type="first" r:id="rId24"/>
      <w:pgSz w:w="11906" w:h="16838" w:code="9"/>
      <w:pgMar w:top="1134" w:right="851" w:bottom="567" w:left="1134"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39627" w14:textId="77777777" w:rsidR="007D4B3A" w:rsidRDefault="007D4B3A">
      <w:r>
        <w:separator/>
      </w:r>
    </w:p>
  </w:endnote>
  <w:endnote w:type="continuationSeparator" w:id="0">
    <w:p w14:paraId="0410F829" w14:textId="77777777" w:rsidR="007D4B3A" w:rsidRDefault="007D4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45 Light">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38125" w14:textId="77777777" w:rsidR="007D4B3A" w:rsidRDefault="007D4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3270"/>
      <w:gridCol w:w="3331"/>
      <w:gridCol w:w="3320"/>
    </w:tblGrid>
    <w:tr w:rsidR="007D4B3A" w14:paraId="1AD812C4" w14:textId="77777777" w:rsidTr="00CD1219">
      <w:tc>
        <w:tcPr>
          <w:tcW w:w="1648" w:type="pct"/>
          <w:shd w:val="clear" w:color="auto" w:fill="auto"/>
          <w:vAlign w:val="bottom"/>
        </w:tcPr>
        <w:p w14:paraId="32E0A5DB" w14:textId="11C3E0D5" w:rsidR="007D4B3A" w:rsidRDefault="007D4B3A" w:rsidP="00E239DE">
          <w:pPr>
            <w:pStyle w:val="Titledateandversion"/>
          </w:pPr>
          <w:bookmarkStart w:id="3" w:name="Footer"/>
          <w:r>
            <w:t>TRIM ID:</w:t>
          </w:r>
          <w:r>
            <w:tab/>
          </w:r>
        </w:p>
        <w:p w14:paraId="6F4783BE" w14:textId="0734DB0B" w:rsidR="007D4B3A" w:rsidRDefault="007D4B3A" w:rsidP="00E239DE">
          <w:pPr>
            <w:pStyle w:val="Titledateandversion"/>
          </w:pPr>
          <w:r>
            <w:t>Date:</w:t>
          </w:r>
          <w:r>
            <w:tab/>
            <w:t>21 December 2017</w:t>
          </w:r>
        </w:p>
        <w:p w14:paraId="25961147" w14:textId="02114E8B" w:rsidR="007D4B3A" w:rsidRDefault="007D4B3A" w:rsidP="00E239DE">
          <w:pPr>
            <w:pStyle w:val="Titledateandversion"/>
          </w:pPr>
          <w:r>
            <w:t>Version:</w:t>
          </w:r>
          <w:r>
            <w:tab/>
          </w:r>
          <w:r>
            <w:rPr>
              <w:noProof/>
            </w:rPr>
            <w:t>1.0</w:t>
          </w:r>
        </w:p>
      </w:tc>
      <w:tc>
        <w:tcPr>
          <w:tcW w:w="1679" w:type="pct"/>
          <w:shd w:val="clear" w:color="auto" w:fill="auto"/>
          <w:vAlign w:val="bottom"/>
        </w:tcPr>
        <w:p w14:paraId="14187346" w14:textId="48F5F021" w:rsidR="007D4B3A" w:rsidRDefault="007D4B3A" w:rsidP="00E239DE">
          <w:pPr>
            <w:pStyle w:val="FinalorDraft"/>
            <w:rPr>
              <w:noProof/>
            </w:rPr>
          </w:pPr>
          <w:r>
            <w:t>Final</w:t>
          </w:r>
        </w:p>
        <w:p w14:paraId="0309A977" w14:textId="5F348335" w:rsidR="007D4B3A" w:rsidRDefault="007D4B3A" w:rsidP="00E239DE">
          <w:pPr>
            <w:pStyle w:val="FinalorDraft"/>
            <w:rPr>
              <w:noProof/>
            </w:rPr>
          </w:pPr>
          <w:r>
            <w:rPr>
              <w:noProof/>
            </w:rPr>
            <w:t>PUBLIC DOMAIN</w:t>
          </w:r>
        </w:p>
      </w:tc>
      <w:tc>
        <w:tcPr>
          <w:tcW w:w="1674" w:type="pct"/>
          <w:shd w:val="clear" w:color="auto" w:fill="auto"/>
          <w:vAlign w:val="bottom"/>
        </w:tcPr>
        <w:p w14:paraId="24B6FB6C" w14:textId="77777777" w:rsidR="007D4B3A" w:rsidRDefault="007D4B3A" w:rsidP="00CD1219">
          <w:pPr>
            <w:pStyle w:val="NoStyle"/>
            <w:jc w:val="right"/>
          </w:pPr>
          <w:r>
            <w:rPr>
              <w:noProof/>
            </w:rPr>
            <w:drawing>
              <wp:inline distT="0" distB="0" distL="0" distR="0" wp14:anchorId="3A991A9B" wp14:editId="229508D2">
                <wp:extent cx="1314450" cy="361950"/>
                <wp:effectExtent l="0" t="0" r="0" b="0"/>
                <wp:docPr id="1" name="Picture 1" descr="Department of Justice and Regulation Insig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CGOV_JUSTICE_LOGO_BLACK"/>
                        <pic:cNvPicPr>
                          <a:picLocks noChangeAspect="1" noChangeArrowheads="1"/>
                        </pic:cNvPicPr>
                      </pic:nvPicPr>
                      <pic:blipFill>
                        <a:blip r:embed="rId1">
                          <a:extLst>
                            <a:ext uri="{28A0092B-C50C-407E-A947-70E740481C1C}">
                              <a14:useLocalDpi xmlns:a14="http://schemas.microsoft.com/office/drawing/2010/main" val="0"/>
                            </a:ext>
                          </a:extLst>
                        </a:blip>
                        <a:srcRect r="4942"/>
                        <a:stretch>
                          <a:fillRect/>
                        </a:stretch>
                      </pic:blipFill>
                      <pic:spPr bwMode="auto">
                        <a:xfrm>
                          <a:off x="0" y="0"/>
                          <a:ext cx="1314450" cy="361950"/>
                        </a:xfrm>
                        <a:prstGeom prst="rect">
                          <a:avLst/>
                        </a:prstGeom>
                        <a:noFill/>
                        <a:ln>
                          <a:noFill/>
                        </a:ln>
                      </pic:spPr>
                    </pic:pic>
                  </a:graphicData>
                </a:graphic>
              </wp:inline>
            </w:drawing>
          </w:r>
        </w:p>
      </w:tc>
    </w:tr>
  </w:tbl>
  <w:bookmarkStart w:id="4" w:name="Nautical_H"/>
  <w:bookmarkEnd w:id="3"/>
  <w:p w14:paraId="6E5499FB" w14:textId="77777777" w:rsidR="007D4B3A" w:rsidRPr="00052799" w:rsidRDefault="007D4B3A" w:rsidP="00052799">
    <w:pPr>
      <w:pStyle w:val="NoStyle"/>
      <w:rPr>
        <w:sz w:val="6"/>
      </w:rPr>
    </w:pPr>
    <w:r w:rsidRPr="00977DDF">
      <w:rPr>
        <w:noProof/>
      </w:rPr>
      <mc:AlternateContent>
        <mc:Choice Requires="wps">
          <w:drawing>
            <wp:anchor distT="0" distB="0" distL="114935" distR="114935" simplePos="0" relativeHeight="251660288" behindDoc="1" locked="1" layoutInCell="1" allowOverlap="1" wp14:anchorId="3F66E5CA" wp14:editId="4A803808">
              <wp:simplePos x="0" y="0"/>
              <wp:positionH relativeFrom="page">
                <wp:posOffset>702310</wp:posOffset>
              </wp:positionH>
              <wp:positionV relativeFrom="page">
                <wp:posOffset>5206365</wp:posOffset>
              </wp:positionV>
              <wp:extent cx="6336030" cy="4643755"/>
              <wp:effectExtent l="0" t="0" r="7620" b="4445"/>
              <wp:wrapNone/>
              <wp:docPr id="5" name="Background" descr="Department of Justice and Regulation cover page branding"/>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6030" cy="4643755"/>
                      </a:xfrm>
                      <a:prstGeom prst="rect">
                        <a:avLst/>
                      </a:prstGeom>
                      <a:blipFill dpi="0" rotWithShape="1">
                        <a:blip r:embed="rId2"/>
                        <a:srcRect/>
                        <a:stretch>
                          <a:fillRect/>
                        </a:stretch>
                      </a:blipFill>
                      <a:ln>
                        <a:noFill/>
                      </a:ln>
                      <a:extLst>
                        <a:ext uri="{91240B29-F687-4F45-9708-019B960494DF}">
                          <a14:hiddenLine xmlns:a14="http://schemas.microsoft.com/office/drawing/2010/main" w="3175">
                            <a:solidFill>
                              <a:srgbClr val="C0C0C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8B54FB" id="Background" o:spid="_x0000_s1026" alt="Department of Justice and Regulation cover page branding" style="position:absolute;margin-left:55.3pt;margin-top:409.95pt;width:498.9pt;height:365.65pt;z-index:-25165619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&#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" stroked="f" strokecolor="silver" strokeweight=".25pt">
              <v:fill r:id="rId3" o:title="Department of Justice and Regulation cover page branding" recolor="t" rotate="t" type="frame"/>
              <w10:wrap anchorx="page" anchory="page"/>
              <w10:anchorlock/>
            </v:rect>
          </w:pict>
        </mc:Fallback>
      </mc:AlternateContent>
    </w:r>
    <w:r w:rsidRPr="00977DDF">
      <w:rPr>
        <w:noProof/>
      </w:rPr>
      <mc:AlternateContent>
        <mc:Choice Requires="wps">
          <w:drawing>
            <wp:anchor distT="0" distB="0" distL="114935" distR="114935" simplePos="0" relativeHeight="251659264" behindDoc="0" locked="1" layoutInCell="1" allowOverlap="1" wp14:anchorId="7B6ADE69" wp14:editId="33F25948">
              <wp:simplePos x="0" y="0"/>
              <wp:positionH relativeFrom="page">
                <wp:posOffset>4902835</wp:posOffset>
              </wp:positionH>
              <wp:positionV relativeFrom="page">
                <wp:posOffset>5439410</wp:posOffset>
              </wp:positionV>
              <wp:extent cx="2143125" cy="311785"/>
              <wp:effectExtent l="0" t="0" r="9525" b="0"/>
              <wp:wrapNone/>
              <wp:docPr id="4" name="Freeform 228" descr="Department of Justice and Regulation cover page branding"/>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43125" cy="311785"/>
                      </a:xfrm>
                      <a:custGeom>
                        <a:avLst/>
                        <a:gdLst>
                          <a:gd name="T0" fmla="*/ 3375 w 3375"/>
                          <a:gd name="T1" fmla="*/ 491 h 491"/>
                          <a:gd name="T2" fmla="*/ 290 w 3375"/>
                          <a:gd name="T3" fmla="*/ 471 h 491"/>
                          <a:gd name="T4" fmla="*/ 249 w 3375"/>
                          <a:gd name="T5" fmla="*/ 465 h 491"/>
                          <a:gd name="T6" fmla="*/ 207 w 3375"/>
                          <a:gd name="T7" fmla="*/ 444 h 491"/>
                          <a:gd name="T8" fmla="*/ 168 w 3375"/>
                          <a:gd name="T9" fmla="*/ 420 h 491"/>
                          <a:gd name="T10" fmla="*/ 123 w 3375"/>
                          <a:gd name="T11" fmla="*/ 378 h 491"/>
                          <a:gd name="T12" fmla="*/ 95 w 3375"/>
                          <a:gd name="T13" fmla="*/ 348 h 491"/>
                          <a:gd name="T14" fmla="*/ 62 w 3375"/>
                          <a:gd name="T15" fmla="*/ 306 h 491"/>
                          <a:gd name="T16" fmla="*/ 38 w 3375"/>
                          <a:gd name="T17" fmla="*/ 261 h 491"/>
                          <a:gd name="T18" fmla="*/ 14 w 3375"/>
                          <a:gd name="T19" fmla="*/ 195 h 491"/>
                          <a:gd name="T20" fmla="*/ 2 w 3375"/>
                          <a:gd name="T21" fmla="*/ 108 h 491"/>
                          <a:gd name="T22" fmla="*/ 0 w 3375"/>
                          <a:gd name="T23" fmla="*/ 75 h 491"/>
                          <a:gd name="T24" fmla="*/ 0 w 3375"/>
                          <a:gd name="T25" fmla="*/ 39 h 491"/>
                          <a:gd name="T26" fmla="*/ 5 w 3375"/>
                          <a:gd name="T27" fmla="*/ 0 h 491"/>
                          <a:gd name="T28" fmla="*/ 3375 w 3375"/>
                          <a:gd name="T29" fmla="*/ 7 h 491"/>
                          <a:gd name="T30" fmla="*/ 3375 w 3375"/>
                          <a:gd name="T31" fmla="*/ 491 h 4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375" h="491">
                            <a:moveTo>
                              <a:pt x="3375" y="491"/>
                            </a:moveTo>
                            <a:lnTo>
                              <a:pt x="290" y="471"/>
                            </a:lnTo>
                            <a:lnTo>
                              <a:pt x="249" y="465"/>
                            </a:lnTo>
                            <a:lnTo>
                              <a:pt x="207" y="444"/>
                            </a:lnTo>
                            <a:lnTo>
                              <a:pt x="168" y="420"/>
                            </a:lnTo>
                            <a:lnTo>
                              <a:pt x="123" y="378"/>
                            </a:lnTo>
                            <a:lnTo>
                              <a:pt x="95" y="348"/>
                            </a:lnTo>
                            <a:lnTo>
                              <a:pt x="62" y="306"/>
                            </a:lnTo>
                            <a:lnTo>
                              <a:pt x="38" y="261"/>
                            </a:lnTo>
                            <a:lnTo>
                              <a:pt x="14" y="195"/>
                            </a:lnTo>
                            <a:lnTo>
                              <a:pt x="2" y="108"/>
                            </a:lnTo>
                            <a:lnTo>
                              <a:pt x="0" y="75"/>
                            </a:lnTo>
                            <a:lnTo>
                              <a:pt x="0" y="39"/>
                            </a:lnTo>
                            <a:lnTo>
                              <a:pt x="5" y="0"/>
                            </a:lnTo>
                            <a:lnTo>
                              <a:pt x="3375" y="7"/>
                            </a:lnTo>
                            <a:lnTo>
                              <a:pt x="3375" y="491"/>
                            </a:lnTo>
                            <a:close/>
                          </a:path>
                        </a:pathLst>
                      </a:custGeom>
                      <a:solidFill>
                        <a:srgbClr val="FFFFFF">
                          <a:alpha val="70000"/>
                        </a:srgbClr>
                      </a:solidFill>
                      <a:ln>
                        <a:noFill/>
                      </a:ln>
                      <a:extLst>
                        <a:ext uri="{91240B29-F687-4F45-9708-019B960494DF}">
                          <a14:hiddenLine xmlns:a14="http://schemas.microsoft.com/office/drawing/2010/main" w="3175" cap="flat" cmpd="sng">
                            <a:solidFill>
                              <a:srgbClr val="000000"/>
                            </a:solidFill>
                            <a:prstDash val="solid"/>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53460" id="Freeform 228" o:spid="_x0000_s1026" alt="Department of Justice and Regulation cover page branding" style="position:absolute;margin-left:386.05pt;margin-top:428.3pt;width:168.75pt;height:24.5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coordsize="337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" path="m3375,491l290,471r-41,-6l207,444,168,420,123,378,95,348,62,306,38,261,14,195,2,108,,75,,39,5,,3375,7r,484xe" stroked="f" strokeweight=".25pt">
              <v:fill opacity="46003f"/>
              <v:path arrowok="t" o:connecttype="custom" o:connectlocs="2143125,311785;184150,299085;158115,295275;131445,281940;106680,266700;78105,240030;60325,220980;39370,194310;24130,165735;8890,123825;1270,68580;0,47625;0,24765;3175,0;2143125,4445;2143125,311785" o:connectangles="0,0,0,0,0,0,0,0,0,0,0,0,0,0,0,0"/>
              <w10:wrap anchorx="page" anchory="page"/>
              <w10:anchorlock/>
            </v:shape>
          </w:pict>
        </mc:Fallback>
      </mc:AlternateContent>
    </w:r>
    <w:r w:rsidRPr="00977DDF">
      <w:rPr>
        <w:noProof/>
      </w:rPr>
      <w:drawing>
        <wp:anchor distT="0" distB="0" distL="114300" distR="114300" simplePos="0" relativeHeight="251661312" behindDoc="0" locked="1" layoutInCell="1" allowOverlap="1" wp14:anchorId="23BA2AB0" wp14:editId="7357F8D8">
          <wp:simplePos x="0" y="0"/>
          <wp:positionH relativeFrom="page">
            <wp:posOffset>702310</wp:posOffset>
          </wp:positionH>
          <wp:positionV relativeFrom="page">
            <wp:posOffset>4878705</wp:posOffset>
          </wp:positionV>
          <wp:extent cx="6336030" cy="570865"/>
          <wp:effectExtent l="0" t="0" r="7620" b="635"/>
          <wp:wrapNone/>
          <wp:docPr id="230" name="Picture 230" descr="Department of Justice and Regulation cover page brand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0" descr="H Winter"/>
                  <pic:cNvPicPr>
                    <a:picLocks noChangeArrowheads="1"/>
                  </pic:cNvPicPr>
                </pic:nvPicPr>
                <pic:blipFill>
                  <a:blip r:embed="rId4">
                    <a:extLst>
                      <a:ext uri="{28A0092B-C50C-407E-A947-70E740481C1C}">
                        <a14:useLocalDpi xmlns:a14="http://schemas.microsoft.com/office/drawing/2010/main" val="0"/>
                      </a:ext>
                    </a:extLst>
                  </a:blip>
                  <a:srcRect b="33392"/>
                  <a:stretch>
                    <a:fillRect/>
                  </a:stretch>
                </pic:blipFill>
                <pic:spPr bwMode="auto">
                  <a:xfrm>
                    <a:off x="0" y="0"/>
                    <a:ext cx="6336030" cy="57086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F0966" w14:textId="77777777" w:rsidR="007D4B3A" w:rsidRDefault="007D4B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73" w:type="pct"/>
      <w:tblCellMar>
        <w:left w:w="0" w:type="dxa"/>
        <w:right w:w="0" w:type="dxa"/>
      </w:tblCellMar>
      <w:tblLook w:val="01E0" w:firstRow="1" w:lastRow="1" w:firstColumn="1" w:lastColumn="1" w:noHBand="0" w:noVBand="0"/>
    </w:tblPr>
    <w:tblGrid>
      <w:gridCol w:w="2877"/>
      <w:gridCol w:w="4075"/>
      <w:gridCol w:w="3114"/>
    </w:tblGrid>
    <w:tr w:rsidR="007D4B3A" w:rsidRPr="00801A7B" w14:paraId="175FE316" w14:textId="77777777" w:rsidTr="004B487D">
      <w:tc>
        <w:tcPr>
          <w:tcW w:w="1429" w:type="pct"/>
        </w:tcPr>
        <w:p w14:paraId="1936F447" w14:textId="08048CE5" w:rsidR="007D4B3A" w:rsidRPr="00801A7B" w:rsidRDefault="007D4B3A" w:rsidP="00244B5B">
          <w:pPr>
            <w:pStyle w:val="Footer"/>
          </w:pPr>
        </w:p>
      </w:tc>
      <w:tc>
        <w:tcPr>
          <w:tcW w:w="2024" w:type="pct"/>
        </w:tcPr>
        <w:p w14:paraId="6C46090E" w14:textId="62559366" w:rsidR="007D4B3A" w:rsidRPr="00801A7B" w:rsidRDefault="007D4B3A" w:rsidP="00D55523">
          <w:pPr>
            <w:pStyle w:val="Footer"/>
            <w:jc w:val="center"/>
          </w:pPr>
          <w:r>
            <w:t xml:space="preserve"> </w:t>
          </w:r>
        </w:p>
      </w:tc>
      <w:tc>
        <w:tcPr>
          <w:tcW w:w="1547" w:type="pct"/>
        </w:tcPr>
        <w:p w14:paraId="55D63FF1" w14:textId="030DB99C" w:rsidR="007D4B3A" w:rsidRPr="00801A7B" w:rsidRDefault="007D4B3A" w:rsidP="00B240D7">
          <w:pPr>
            <w:pStyle w:val="Footer"/>
            <w:jc w:val="right"/>
          </w:pPr>
          <w:r>
            <w:t>21 December 2017</w:t>
          </w:r>
        </w:p>
      </w:tc>
    </w:tr>
  </w:tbl>
  <w:p w14:paraId="549770FF" w14:textId="77777777" w:rsidR="007D4B3A" w:rsidRPr="00FB76F7" w:rsidRDefault="007D4B3A" w:rsidP="00FB76F7">
    <w:pPr>
      <w:pStyle w:val="Footer-smalltext"/>
    </w:pPr>
  </w:p>
  <w:tbl>
    <w:tblPr>
      <w:tblW w:w="5073" w:type="pct"/>
      <w:tblCellMar>
        <w:left w:w="0" w:type="dxa"/>
        <w:right w:w="0" w:type="dxa"/>
      </w:tblCellMar>
      <w:tblLook w:val="01E0" w:firstRow="1" w:lastRow="1" w:firstColumn="1" w:lastColumn="1" w:noHBand="0" w:noVBand="0"/>
    </w:tblPr>
    <w:tblGrid>
      <w:gridCol w:w="1354"/>
      <w:gridCol w:w="6183"/>
      <w:gridCol w:w="2529"/>
    </w:tblGrid>
    <w:tr w:rsidR="007D4B3A" w:rsidRPr="00801A7B" w14:paraId="07C8E4BC" w14:textId="77777777" w:rsidTr="0095757E">
      <w:tc>
        <w:tcPr>
          <w:tcW w:w="673" w:type="pct"/>
        </w:tcPr>
        <w:p w14:paraId="50D6D4B5" w14:textId="48EA4142" w:rsidR="007D4B3A" w:rsidRPr="00801A7B" w:rsidRDefault="007D4B3A" w:rsidP="002106DC">
          <w:pPr>
            <w:pStyle w:val="Footer"/>
          </w:pPr>
          <w:r>
            <w:t>Final</w:t>
          </w:r>
          <w:r w:rsidRPr="00801A7B">
            <w:t xml:space="preserve"> </w:t>
          </w:r>
          <w:r>
            <w:t>–</w:t>
          </w:r>
          <w:r w:rsidRPr="00801A7B">
            <w:t xml:space="preserve"> </w:t>
          </w:r>
          <w:r>
            <w:t>1.0</w:t>
          </w:r>
        </w:p>
      </w:tc>
      <w:tc>
        <w:tcPr>
          <w:tcW w:w="3071" w:type="pct"/>
        </w:tcPr>
        <w:p w14:paraId="5CAAF713" w14:textId="626DABCA" w:rsidR="007D4B3A" w:rsidRPr="00801A7B" w:rsidRDefault="007D4B3A" w:rsidP="0095757E">
          <w:pPr>
            <w:pStyle w:val="Footer"/>
            <w:tabs>
              <w:tab w:val="center" w:pos="3608"/>
            </w:tabs>
          </w:pPr>
          <w:r>
            <w:tab/>
            <w:t>PUBLIC DOMAIN</w:t>
          </w:r>
        </w:p>
      </w:tc>
      <w:tc>
        <w:tcPr>
          <w:tcW w:w="1256" w:type="pct"/>
        </w:tcPr>
        <w:p w14:paraId="25D56D25" w14:textId="77777777" w:rsidR="007D4B3A" w:rsidRPr="00801A7B" w:rsidRDefault="007D4B3A" w:rsidP="002106DC">
          <w:pPr>
            <w:pStyle w:val="Footer"/>
            <w:jc w:val="right"/>
          </w:pPr>
          <w:r w:rsidRPr="00801A7B">
            <w:t xml:space="preserve">Page </w:t>
          </w:r>
          <w:r w:rsidRPr="00801A7B">
            <w:fldChar w:fldCharType="begin"/>
          </w:r>
          <w:r w:rsidRPr="00801A7B">
            <w:instrText xml:space="preserve"> PAGE </w:instrText>
          </w:r>
          <w:r w:rsidRPr="00801A7B">
            <w:fldChar w:fldCharType="separate"/>
          </w:r>
          <w:r w:rsidR="00AF5ADB">
            <w:rPr>
              <w:noProof/>
            </w:rPr>
            <w:t>2</w:t>
          </w:r>
          <w:r w:rsidRPr="00801A7B">
            <w:fldChar w:fldCharType="end"/>
          </w:r>
          <w:r w:rsidRPr="00801A7B">
            <w:t xml:space="preserve"> of </w:t>
          </w:r>
          <w:r w:rsidR="00AD3A43">
            <w:fldChar w:fldCharType="begin"/>
          </w:r>
          <w:r w:rsidR="00AD3A43">
            <w:instrText xml:space="preserve"> NUMPAGES </w:instrText>
          </w:r>
          <w:r w:rsidR="00AD3A43">
            <w:fldChar w:fldCharType="separate"/>
          </w:r>
          <w:r w:rsidR="00AF5ADB">
            <w:rPr>
              <w:noProof/>
            </w:rPr>
            <w:t>89</w:t>
          </w:r>
          <w:r w:rsidR="00AD3A43">
            <w:rPr>
              <w:noProof/>
            </w:rPr>
            <w:fldChar w:fldCharType="end"/>
          </w:r>
        </w:p>
      </w:tc>
    </w:tr>
  </w:tbl>
  <w:p w14:paraId="40FBADEE" w14:textId="77777777" w:rsidR="007D4B3A" w:rsidRPr="00451552" w:rsidRDefault="007D4B3A" w:rsidP="00377159">
    <w:pPr>
      <w:pStyle w:val="NoStyle"/>
      <w:rPr>
        <w:sz w:val="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10" w:type="pct"/>
      <w:tblCellMar>
        <w:left w:w="0" w:type="dxa"/>
        <w:right w:w="0" w:type="dxa"/>
      </w:tblCellMar>
      <w:tblLook w:val="01E0" w:firstRow="1" w:lastRow="1" w:firstColumn="1" w:lastColumn="1" w:noHBand="0" w:noVBand="0"/>
    </w:tblPr>
    <w:tblGrid>
      <w:gridCol w:w="4388"/>
      <w:gridCol w:w="6216"/>
      <w:gridCol w:w="4563"/>
    </w:tblGrid>
    <w:tr w:rsidR="007D4B3A" w:rsidRPr="00801A7B" w14:paraId="5C3CBFC5" w14:textId="77777777" w:rsidTr="004B487D">
      <w:tc>
        <w:tcPr>
          <w:tcW w:w="1446" w:type="pct"/>
        </w:tcPr>
        <w:p w14:paraId="56D0CD96" w14:textId="11BE5FD5" w:rsidR="007D4B3A" w:rsidRPr="00801A7B" w:rsidRDefault="007D4B3A" w:rsidP="00244B5B">
          <w:pPr>
            <w:pStyle w:val="Footer"/>
          </w:pPr>
        </w:p>
      </w:tc>
      <w:tc>
        <w:tcPr>
          <w:tcW w:w="2049" w:type="pct"/>
        </w:tcPr>
        <w:p w14:paraId="236BD414" w14:textId="30AA5652" w:rsidR="007D4B3A" w:rsidRPr="00801A7B" w:rsidRDefault="007D4B3A" w:rsidP="00D55523">
          <w:pPr>
            <w:pStyle w:val="Footer"/>
            <w:jc w:val="center"/>
          </w:pPr>
          <w:r>
            <w:t xml:space="preserve"> </w:t>
          </w:r>
        </w:p>
      </w:tc>
      <w:tc>
        <w:tcPr>
          <w:tcW w:w="1504" w:type="pct"/>
        </w:tcPr>
        <w:p w14:paraId="7AB3BBE8" w14:textId="7AE324EC" w:rsidR="007D4B3A" w:rsidRPr="00801A7B" w:rsidRDefault="007D4B3A" w:rsidP="00B240D7">
          <w:pPr>
            <w:pStyle w:val="Footer"/>
            <w:jc w:val="right"/>
          </w:pPr>
          <w:r>
            <w:t>21 December 2017</w:t>
          </w:r>
        </w:p>
      </w:tc>
    </w:tr>
  </w:tbl>
  <w:p w14:paraId="2195D896" w14:textId="77777777" w:rsidR="007D4B3A" w:rsidRPr="00FB76F7" w:rsidRDefault="007D4B3A" w:rsidP="00FB76F7">
    <w:pPr>
      <w:pStyle w:val="Footer-smalltext"/>
    </w:pPr>
  </w:p>
  <w:tbl>
    <w:tblPr>
      <w:tblW w:w="5010" w:type="pct"/>
      <w:tblCellMar>
        <w:left w:w="0" w:type="dxa"/>
        <w:right w:w="0" w:type="dxa"/>
      </w:tblCellMar>
      <w:tblLook w:val="01E0" w:firstRow="1" w:lastRow="1" w:firstColumn="1" w:lastColumn="1" w:noHBand="0" w:noVBand="0"/>
    </w:tblPr>
    <w:tblGrid>
      <w:gridCol w:w="2166"/>
      <w:gridCol w:w="8466"/>
      <w:gridCol w:w="4535"/>
    </w:tblGrid>
    <w:tr w:rsidR="007D4B3A" w:rsidRPr="00801A7B" w14:paraId="37C8E2D4" w14:textId="77777777" w:rsidTr="0095757E">
      <w:tc>
        <w:tcPr>
          <w:tcW w:w="714" w:type="pct"/>
        </w:tcPr>
        <w:p w14:paraId="0CA2BB2D" w14:textId="5F0ECDCE" w:rsidR="007D4B3A" w:rsidRPr="00801A7B" w:rsidRDefault="007D4B3A" w:rsidP="002106DC">
          <w:pPr>
            <w:pStyle w:val="Footer"/>
          </w:pPr>
          <w:r>
            <w:t>Final</w:t>
          </w:r>
          <w:r w:rsidRPr="00801A7B">
            <w:t xml:space="preserve"> </w:t>
          </w:r>
          <w:r>
            <w:t>–</w:t>
          </w:r>
          <w:r w:rsidRPr="00801A7B">
            <w:t xml:space="preserve"> </w:t>
          </w:r>
          <w:r>
            <w:t>1.0</w:t>
          </w:r>
        </w:p>
      </w:tc>
      <w:tc>
        <w:tcPr>
          <w:tcW w:w="2791" w:type="pct"/>
        </w:tcPr>
        <w:p w14:paraId="59F3682A" w14:textId="7F8875A7" w:rsidR="007D4B3A" w:rsidRPr="00801A7B" w:rsidRDefault="007D4B3A" w:rsidP="00B12EAD">
          <w:pPr>
            <w:pStyle w:val="Footer"/>
            <w:tabs>
              <w:tab w:val="center" w:pos="6228"/>
            </w:tabs>
          </w:pPr>
          <w:r>
            <w:tab/>
            <w:t>PUBLIC DOMAIN</w:t>
          </w:r>
        </w:p>
      </w:tc>
      <w:tc>
        <w:tcPr>
          <w:tcW w:w="1495" w:type="pct"/>
        </w:tcPr>
        <w:p w14:paraId="69F003A6" w14:textId="77777777" w:rsidR="007D4B3A" w:rsidRPr="00801A7B" w:rsidRDefault="007D4B3A" w:rsidP="002106DC">
          <w:pPr>
            <w:pStyle w:val="Footer"/>
            <w:jc w:val="right"/>
          </w:pPr>
          <w:r w:rsidRPr="00801A7B">
            <w:t xml:space="preserve">Page </w:t>
          </w:r>
          <w:r w:rsidRPr="00801A7B">
            <w:fldChar w:fldCharType="begin"/>
          </w:r>
          <w:r w:rsidRPr="00801A7B">
            <w:instrText xml:space="preserve"> PAGE </w:instrText>
          </w:r>
          <w:r w:rsidRPr="00801A7B">
            <w:fldChar w:fldCharType="separate"/>
          </w:r>
          <w:r w:rsidR="00AF5ADB">
            <w:rPr>
              <w:noProof/>
            </w:rPr>
            <w:t>88</w:t>
          </w:r>
          <w:r w:rsidRPr="00801A7B">
            <w:fldChar w:fldCharType="end"/>
          </w:r>
          <w:r w:rsidRPr="00801A7B">
            <w:t xml:space="preserve"> of </w:t>
          </w:r>
          <w:r w:rsidR="00AD3A43">
            <w:fldChar w:fldCharType="begin"/>
          </w:r>
          <w:r w:rsidR="00AD3A43">
            <w:instrText xml:space="preserve"> NUMPAGES </w:instrText>
          </w:r>
          <w:r w:rsidR="00AD3A43">
            <w:fldChar w:fldCharType="separate"/>
          </w:r>
          <w:r w:rsidR="00AF5ADB">
            <w:rPr>
              <w:noProof/>
            </w:rPr>
            <w:t>89</w:t>
          </w:r>
          <w:r w:rsidR="00AD3A43">
            <w:rPr>
              <w:noProof/>
            </w:rPr>
            <w:fldChar w:fldCharType="end"/>
          </w:r>
        </w:p>
      </w:tc>
    </w:tr>
  </w:tbl>
  <w:p w14:paraId="30B2AB98" w14:textId="77777777" w:rsidR="007D4B3A" w:rsidRPr="00451552" w:rsidRDefault="007D4B3A" w:rsidP="00377159">
    <w:pPr>
      <w:pStyle w:val="NoStyle"/>
      <w:rPr>
        <w:sz w:val="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2875"/>
      <w:gridCol w:w="4074"/>
      <w:gridCol w:w="2972"/>
    </w:tblGrid>
    <w:tr w:rsidR="007D4B3A" w:rsidRPr="00801A7B" w14:paraId="4F1D8160" w14:textId="77777777">
      <w:tc>
        <w:tcPr>
          <w:tcW w:w="1449" w:type="pct"/>
        </w:tcPr>
        <w:p w14:paraId="6F20DA38" w14:textId="292DF12B" w:rsidR="007D4B3A" w:rsidRPr="00801A7B" w:rsidRDefault="007D4B3A" w:rsidP="00244B5B">
          <w:pPr>
            <w:pStyle w:val="Footer"/>
          </w:pPr>
        </w:p>
      </w:tc>
      <w:tc>
        <w:tcPr>
          <w:tcW w:w="2053" w:type="pct"/>
        </w:tcPr>
        <w:p w14:paraId="5A60859C" w14:textId="3A820606" w:rsidR="007D4B3A" w:rsidRPr="00801A7B" w:rsidRDefault="007D4B3A" w:rsidP="00D55523">
          <w:pPr>
            <w:pStyle w:val="Footer"/>
            <w:jc w:val="center"/>
          </w:pPr>
          <w:r>
            <w:t xml:space="preserve"> </w:t>
          </w:r>
        </w:p>
      </w:tc>
      <w:tc>
        <w:tcPr>
          <w:tcW w:w="1498" w:type="pct"/>
        </w:tcPr>
        <w:p w14:paraId="43F2A7D5" w14:textId="05C1997D" w:rsidR="007D4B3A" w:rsidRPr="00801A7B" w:rsidRDefault="007D4B3A" w:rsidP="00B240D7">
          <w:pPr>
            <w:pStyle w:val="Footer"/>
            <w:jc w:val="right"/>
          </w:pPr>
          <w:r>
            <w:t>21 December 2017</w:t>
          </w:r>
        </w:p>
      </w:tc>
    </w:tr>
  </w:tbl>
  <w:p w14:paraId="39F92867" w14:textId="77777777" w:rsidR="007D4B3A" w:rsidRPr="00FB76F7" w:rsidRDefault="007D4B3A" w:rsidP="00FB76F7">
    <w:pPr>
      <w:pStyle w:val="Footer-smalltext"/>
    </w:pPr>
  </w:p>
  <w:tbl>
    <w:tblPr>
      <w:tblW w:w="5000" w:type="pct"/>
      <w:tblCellMar>
        <w:left w:w="0" w:type="dxa"/>
        <w:right w:w="0" w:type="dxa"/>
      </w:tblCellMar>
      <w:tblLook w:val="01E0" w:firstRow="1" w:lastRow="1" w:firstColumn="1" w:lastColumn="1" w:noHBand="0" w:noVBand="0"/>
    </w:tblPr>
    <w:tblGrid>
      <w:gridCol w:w="2873"/>
      <w:gridCol w:w="4070"/>
      <w:gridCol w:w="2978"/>
    </w:tblGrid>
    <w:tr w:rsidR="007D4B3A" w:rsidRPr="00801A7B" w14:paraId="7B8FD26C" w14:textId="77777777">
      <w:tc>
        <w:tcPr>
          <w:tcW w:w="1448" w:type="pct"/>
        </w:tcPr>
        <w:p w14:paraId="268FB9CE" w14:textId="3C2CD0BA" w:rsidR="007D4B3A" w:rsidRPr="00801A7B" w:rsidRDefault="007D4B3A" w:rsidP="002106DC">
          <w:pPr>
            <w:pStyle w:val="Footer"/>
          </w:pPr>
          <w:r>
            <w:t>Final</w:t>
          </w:r>
          <w:r w:rsidRPr="00801A7B">
            <w:t xml:space="preserve"> </w:t>
          </w:r>
          <w:r>
            <w:t>–</w:t>
          </w:r>
          <w:r w:rsidRPr="00801A7B">
            <w:t xml:space="preserve"> </w:t>
          </w:r>
          <w:r>
            <w:t>1.0</w:t>
          </w:r>
        </w:p>
      </w:tc>
      <w:tc>
        <w:tcPr>
          <w:tcW w:w="2051" w:type="pct"/>
        </w:tcPr>
        <w:p w14:paraId="72D7EB20" w14:textId="11705D44" w:rsidR="007D4B3A" w:rsidRPr="00801A7B" w:rsidRDefault="007D4B3A" w:rsidP="002106DC">
          <w:pPr>
            <w:pStyle w:val="Footer"/>
            <w:jc w:val="center"/>
          </w:pPr>
          <w:r>
            <w:t>PUBLIC DOMAIN</w:t>
          </w:r>
        </w:p>
      </w:tc>
      <w:tc>
        <w:tcPr>
          <w:tcW w:w="1501" w:type="pct"/>
        </w:tcPr>
        <w:p w14:paraId="60641BEA" w14:textId="77777777" w:rsidR="007D4B3A" w:rsidRPr="00801A7B" w:rsidRDefault="007D4B3A" w:rsidP="002106DC">
          <w:pPr>
            <w:pStyle w:val="Footer"/>
            <w:jc w:val="right"/>
          </w:pPr>
          <w:r w:rsidRPr="00801A7B">
            <w:t xml:space="preserve">Page </w:t>
          </w:r>
          <w:r w:rsidRPr="00801A7B">
            <w:fldChar w:fldCharType="begin"/>
          </w:r>
          <w:r w:rsidRPr="00801A7B">
            <w:instrText xml:space="preserve"> PAGE </w:instrText>
          </w:r>
          <w:r w:rsidRPr="00801A7B">
            <w:fldChar w:fldCharType="separate"/>
          </w:r>
          <w:r w:rsidR="00AF5ADB">
            <w:rPr>
              <w:noProof/>
            </w:rPr>
            <w:t>89</w:t>
          </w:r>
          <w:r w:rsidRPr="00801A7B">
            <w:fldChar w:fldCharType="end"/>
          </w:r>
          <w:r w:rsidRPr="00801A7B">
            <w:t xml:space="preserve"> of </w:t>
          </w:r>
          <w:r w:rsidR="00AD3A43">
            <w:fldChar w:fldCharType="begin"/>
          </w:r>
          <w:r w:rsidR="00AD3A43">
            <w:instrText xml:space="preserve"> NUMPAGES </w:instrText>
          </w:r>
          <w:r w:rsidR="00AD3A43">
            <w:fldChar w:fldCharType="separate"/>
          </w:r>
          <w:r w:rsidR="00AF5ADB">
            <w:rPr>
              <w:noProof/>
            </w:rPr>
            <w:t>89</w:t>
          </w:r>
          <w:r w:rsidR="00AD3A43">
            <w:rPr>
              <w:noProof/>
            </w:rPr>
            <w:fldChar w:fldCharType="end"/>
          </w:r>
        </w:p>
      </w:tc>
    </w:tr>
  </w:tbl>
  <w:p w14:paraId="57886115" w14:textId="77777777" w:rsidR="007D4B3A" w:rsidRPr="00451552" w:rsidRDefault="007D4B3A" w:rsidP="00377159">
    <w:pPr>
      <w:pStyle w:val="NoStyle"/>
      <w:rPr>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93151" w14:textId="77777777" w:rsidR="007D4B3A" w:rsidRDefault="007D4B3A" w:rsidP="00D6593B">
      <w:r>
        <w:separator/>
      </w:r>
    </w:p>
  </w:footnote>
  <w:footnote w:type="continuationSeparator" w:id="0">
    <w:p w14:paraId="2D788896" w14:textId="77777777" w:rsidR="007D4B3A" w:rsidRDefault="007D4B3A">
      <w:r>
        <w:continuationSeparator/>
      </w:r>
    </w:p>
  </w:footnote>
  <w:footnote w:id="1">
    <w:p w14:paraId="1C50053E" w14:textId="77777777" w:rsidR="007D4B3A" w:rsidRDefault="007D4B3A" w:rsidP="00052799">
      <w:pPr>
        <w:pStyle w:val="FootnoteText"/>
      </w:pPr>
      <w:r>
        <w:rPr>
          <w:rStyle w:val="FootnoteReference"/>
        </w:rPr>
        <w:footnoteRef/>
      </w:r>
      <w:r>
        <w:t xml:space="preserve"> </w:t>
      </w:r>
      <w:r w:rsidRPr="007B47FC">
        <w:rPr>
          <w:i/>
        </w:rPr>
        <w:t>Firearms Act 1996</w:t>
      </w:r>
      <w:r>
        <w:t xml:space="preserve"> section 1.</w:t>
      </w:r>
    </w:p>
  </w:footnote>
  <w:footnote w:id="2">
    <w:p w14:paraId="44E5E960" w14:textId="427AA58C" w:rsidR="007D4B3A" w:rsidRPr="00027B94" w:rsidRDefault="007D4B3A">
      <w:pPr>
        <w:pStyle w:val="FootnoteText"/>
      </w:pPr>
      <w:r>
        <w:rPr>
          <w:rStyle w:val="FootnoteReference"/>
        </w:rPr>
        <w:footnoteRef/>
      </w:r>
      <w:r>
        <w:t xml:space="preserve"> Note that the Regulations </w:t>
      </w:r>
      <w:r w:rsidRPr="00284A42">
        <w:t>prescribe fees in fee unit</w:t>
      </w:r>
      <w:r>
        <w:t xml:space="preserve">s, which increase each year by </w:t>
      </w:r>
      <w:r w:rsidRPr="00284A42">
        <w:t xml:space="preserve">the Treasurer’s annual rate. For simplicity, this table compares fees in dollars based on the </w:t>
      </w:r>
      <w:r>
        <w:t>value of a fee unit in 2017–</w:t>
      </w:r>
      <w:r w:rsidRPr="00284A42">
        <w:t>18.</w:t>
      </w:r>
      <w:r>
        <w:t xml:space="preserve"> See Department of Treasury and Finance, </w:t>
      </w:r>
      <w:r>
        <w:rPr>
          <w:i/>
        </w:rPr>
        <w:t>Indexation of Fees and Penalties</w:t>
      </w:r>
      <w:r>
        <w:t xml:space="preserve"> (updated November 2017), </w:t>
      </w:r>
      <w:r w:rsidRPr="00027B94">
        <w:t>http://www.dtf.vic.gov.au/Victorias-Economy/Economic-policy-and-guidelines/Indexation-of-fees-and-penalties</w:t>
      </w:r>
      <w:r>
        <w:t>.</w:t>
      </w:r>
    </w:p>
  </w:footnote>
  <w:footnote w:id="3">
    <w:p w14:paraId="2ED2FEE1" w14:textId="0EF7DE8D" w:rsidR="007D4B3A" w:rsidRDefault="007D4B3A">
      <w:pPr>
        <w:pStyle w:val="FootnoteText"/>
      </w:pPr>
      <w:r>
        <w:rPr>
          <w:rStyle w:val="FootnoteReference"/>
        </w:rPr>
        <w:footnoteRef/>
      </w:r>
      <w:r>
        <w:t xml:space="preserve"> Section 1.</w:t>
      </w:r>
    </w:p>
  </w:footnote>
  <w:footnote w:id="4">
    <w:p w14:paraId="4336D726" w14:textId="716A3D5B" w:rsidR="007D4B3A" w:rsidRPr="00176ADE" w:rsidRDefault="007D4B3A" w:rsidP="00052799">
      <w:pPr>
        <w:pStyle w:val="FootnoteText"/>
      </w:pPr>
      <w:r w:rsidRPr="00176ADE">
        <w:rPr>
          <w:rStyle w:val="FootnoteReference"/>
        </w:rPr>
        <w:footnoteRef/>
      </w:r>
      <w:r w:rsidRPr="00176ADE">
        <w:t xml:space="preserve"> </w:t>
      </w:r>
      <w:r w:rsidRPr="00176ADE">
        <w:tab/>
      </w:r>
      <w:r>
        <w:t xml:space="preserve">Iain </w:t>
      </w:r>
      <w:r w:rsidRPr="00176ADE">
        <w:t xml:space="preserve">Brennan &amp; </w:t>
      </w:r>
      <w:r>
        <w:t xml:space="preserve">Simon </w:t>
      </w:r>
      <w:r w:rsidRPr="00176ADE">
        <w:t>Moore</w:t>
      </w:r>
      <w:r>
        <w:t>,</w:t>
      </w:r>
      <w:r w:rsidRPr="00176ADE">
        <w:t xml:space="preserve"> ‘Weapons and violence: A review of theory and research’</w:t>
      </w:r>
      <w:r>
        <w:t xml:space="preserve"> (2009) 14</w:t>
      </w:r>
      <w:r w:rsidRPr="00176ADE">
        <w:t xml:space="preserve"> </w:t>
      </w:r>
      <w:r w:rsidRPr="00176ADE">
        <w:rPr>
          <w:i/>
        </w:rPr>
        <w:t xml:space="preserve">Aggression and Violent Behaviour </w:t>
      </w:r>
      <w:r>
        <w:t>215</w:t>
      </w:r>
      <w:r w:rsidRPr="00176ADE">
        <w:t xml:space="preserve">, </w:t>
      </w:r>
      <w:r>
        <w:t>218</w:t>
      </w:r>
      <w:r w:rsidRPr="00176ADE">
        <w:t>.</w:t>
      </w:r>
    </w:p>
  </w:footnote>
  <w:footnote w:id="5">
    <w:p w14:paraId="29E8AD64" w14:textId="77777777" w:rsidR="007D4B3A" w:rsidRPr="00176ADE" w:rsidRDefault="007D4B3A" w:rsidP="00052799">
      <w:pPr>
        <w:pStyle w:val="FootnoteText"/>
      </w:pPr>
      <w:r w:rsidRPr="00176ADE">
        <w:rPr>
          <w:rStyle w:val="FootnoteReference"/>
        </w:rPr>
        <w:footnoteRef/>
      </w:r>
      <w:r w:rsidRPr="00176ADE">
        <w:t xml:space="preserve"> </w:t>
      </w:r>
      <w:r w:rsidRPr="00176ADE">
        <w:tab/>
        <w:t xml:space="preserve">Jack Dearden and Warwick Jones, ‘Homicide in Australia: 2006–07 National Homicide Monitoring Program annual report’ (2008) </w:t>
      </w:r>
      <w:r w:rsidRPr="00610D49">
        <w:rPr>
          <w:i/>
        </w:rPr>
        <w:t>Australian Institute of Criminology – Monitoring Report 01</w:t>
      </w:r>
      <w:r w:rsidRPr="00176ADE">
        <w:t xml:space="preserve">, 25; Jenny Mouzos, ‘The Licensing and Registration Status of Firearms Used in Homicide’ (2000) </w:t>
      </w:r>
      <w:r w:rsidRPr="00610D49">
        <w:rPr>
          <w:i/>
        </w:rPr>
        <w:t>Australian Institute of Criminology – Trends and Issues Number 151</w:t>
      </w:r>
      <w:r w:rsidRPr="00176ADE">
        <w:t>, 4–5.</w:t>
      </w:r>
    </w:p>
  </w:footnote>
  <w:footnote w:id="6">
    <w:p w14:paraId="5E508DF9" w14:textId="13C0C0E0" w:rsidR="007D4B3A" w:rsidRPr="00176ADE" w:rsidRDefault="007D4B3A" w:rsidP="00052799">
      <w:pPr>
        <w:pStyle w:val="FootnoteText"/>
      </w:pPr>
      <w:r w:rsidRPr="00176ADE">
        <w:rPr>
          <w:rStyle w:val="FootnoteReference"/>
        </w:rPr>
        <w:footnoteRef/>
      </w:r>
      <w:r w:rsidRPr="00176ADE">
        <w:t xml:space="preserve"> </w:t>
      </w:r>
      <w:r w:rsidRPr="00176ADE">
        <w:tab/>
        <w:t xml:space="preserve">Australian Criminal Intelligence Commission (2016) ‘Illicit Firearms in Australia’, 8. </w:t>
      </w:r>
    </w:p>
  </w:footnote>
  <w:footnote w:id="7">
    <w:p w14:paraId="53636F95" w14:textId="77777777" w:rsidR="007D4B3A" w:rsidRPr="00176ADE" w:rsidRDefault="007D4B3A" w:rsidP="00052799">
      <w:pPr>
        <w:pStyle w:val="FootnoteText"/>
      </w:pPr>
      <w:r w:rsidRPr="00176ADE">
        <w:rPr>
          <w:rStyle w:val="FootnoteReference"/>
        </w:rPr>
        <w:footnoteRef/>
      </w:r>
      <w:r w:rsidRPr="00176ADE">
        <w:t xml:space="preserve"> </w:t>
      </w:r>
      <w:r w:rsidRPr="00176ADE">
        <w:tab/>
        <w:t>Ibid.</w:t>
      </w:r>
    </w:p>
  </w:footnote>
  <w:footnote w:id="8">
    <w:p w14:paraId="28BC9713" w14:textId="77777777" w:rsidR="007D4B3A" w:rsidRPr="00176ADE" w:rsidRDefault="007D4B3A" w:rsidP="00052799">
      <w:pPr>
        <w:pStyle w:val="FootnoteText"/>
      </w:pPr>
      <w:r w:rsidRPr="00176ADE">
        <w:rPr>
          <w:rStyle w:val="FootnoteReference"/>
        </w:rPr>
        <w:footnoteRef/>
      </w:r>
      <w:r w:rsidRPr="00176ADE">
        <w:t xml:space="preserve"> </w:t>
      </w:r>
      <w:r w:rsidRPr="00176ADE">
        <w:tab/>
        <w:t xml:space="preserve">Australian Criminal Intelligence Commission (2016) ‘Illicit Firearms in Australia’; Samantha Bricknell, ‘Firearm trafficking and serious and organized crime gangs’ (2012) </w:t>
      </w:r>
      <w:r w:rsidRPr="004B487D">
        <w:rPr>
          <w:i/>
        </w:rPr>
        <w:t>Australian Institute of Criminology Research and Public Policy Series Number 116</w:t>
      </w:r>
      <w:r w:rsidRPr="00176ADE">
        <w:t>.</w:t>
      </w:r>
    </w:p>
  </w:footnote>
  <w:footnote w:id="9">
    <w:p w14:paraId="65FC759D" w14:textId="77777777" w:rsidR="007D4B3A" w:rsidRPr="00176ADE" w:rsidRDefault="007D4B3A" w:rsidP="00052799">
      <w:pPr>
        <w:pStyle w:val="FootnoteText"/>
      </w:pPr>
      <w:r w:rsidRPr="00176ADE">
        <w:rPr>
          <w:rStyle w:val="FootnoteReference"/>
        </w:rPr>
        <w:footnoteRef/>
      </w:r>
      <w:r w:rsidRPr="00176ADE">
        <w:t xml:space="preserve"> </w:t>
      </w:r>
      <w:r w:rsidRPr="00176ADE">
        <w:tab/>
        <w:t>Ibid.</w:t>
      </w:r>
    </w:p>
  </w:footnote>
  <w:footnote w:id="10">
    <w:p w14:paraId="2138ED57" w14:textId="6A3364F8" w:rsidR="007D4B3A" w:rsidRPr="00262183" w:rsidRDefault="007D4B3A" w:rsidP="00052799">
      <w:pPr>
        <w:pStyle w:val="FootnoteText"/>
        <w:rPr>
          <w:lang w:val="en-US"/>
        </w:rPr>
      </w:pPr>
      <w:r>
        <w:rPr>
          <w:rStyle w:val="FootnoteReference"/>
        </w:rPr>
        <w:footnoteRef/>
      </w:r>
      <w:r>
        <w:t xml:space="preserve"> The Australian Criminal Intelligence Commission has found that theft is the primary contemporary diversion method (accounting for diversion of 8.5 per cent of firearms traced in 2015-16). The ACIC recently noted that m</w:t>
      </w:r>
      <w:r w:rsidRPr="005F3F1A">
        <w:t xml:space="preserve">any jurisdictions </w:t>
      </w:r>
      <w:r>
        <w:t xml:space="preserve">have </w:t>
      </w:r>
      <w:r w:rsidRPr="005F3F1A">
        <w:t xml:space="preserve">reported </w:t>
      </w:r>
      <w:r>
        <w:t xml:space="preserve">increasing proportions of </w:t>
      </w:r>
      <w:r w:rsidRPr="005F3F1A">
        <w:t xml:space="preserve">firearms </w:t>
      </w:r>
      <w:r>
        <w:t xml:space="preserve">being </w:t>
      </w:r>
      <w:r w:rsidRPr="005F3F1A">
        <w:t>stolen from premises in regional or isolated locations</w:t>
      </w:r>
      <w:r>
        <w:t xml:space="preserve">. See </w:t>
      </w:r>
      <w:r w:rsidRPr="005F3F1A">
        <w:t>Australian Criminal Intelligence Commission (2016) ‘Illicit Firearms in Australia’</w:t>
      </w:r>
      <w:r>
        <w:t>, 10.</w:t>
      </w:r>
    </w:p>
  </w:footnote>
  <w:footnote w:id="11">
    <w:p w14:paraId="1FF5EC43" w14:textId="50B55BFA" w:rsidR="007D4B3A" w:rsidRPr="00262183" w:rsidRDefault="007D4B3A" w:rsidP="00052799">
      <w:pPr>
        <w:pStyle w:val="FootnoteText"/>
        <w:rPr>
          <w:lang w:val="en-US"/>
        </w:rPr>
      </w:pPr>
      <w:r>
        <w:rPr>
          <w:rStyle w:val="FootnoteReference"/>
        </w:rPr>
        <w:footnoteRef/>
      </w:r>
      <w:r>
        <w:t xml:space="preserve"> Maximum l</w:t>
      </w:r>
      <w:r>
        <w:rPr>
          <w:lang w:val="en-US"/>
        </w:rPr>
        <w:t>icence durations are established in the Act (e.g. refer to section 39). Victoria Police determines an appropriate duration for each licence approval, and in practice, almost all approved licences are granted for the full duration allowable under the Act.</w:t>
      </w:r>
    </w:p>
  </w:footnote>
  <w:footnote w:id="12">
    <w:p w14:paraId="38758F05" w14:textId="1F4D60A0" w:rsidR="007D4B3A" w:rsidRDefault="007D4B3A" w:rsidP="00052799">
      <w:pPr>
        <w:pStyle w:val="FootnoteText"/>
      </w:pPr>
      <w:r>
        <w:rPr>
          <w:rStyle w:val="FootnoteReference"/>
        </w:rPr>
        <w:footnoteRef/>
      </w:r>
      <w:r>
        <w:t xml:space="preserve"> Note that spear guns are, however, subject to the </w:t>
      </w:r>
      <w:r w:rsidRPr="00411BC9">
        <w:rPr>
          <w:i/>
        </w:rPr>
        <w:t>Control of Weapons Act 1990</w:t>
      </w:r>
      <w:r>
        <w:t>—see the Control of Weapons Regulations 2011, Schedule 2.</w:t>
      </w:r>
    </w:p>
  </w:footnote>
  <w:footnote w:id="13">
    <w:p w14:paraId="10FC9400" w14:textId="7E8936CB" w:rsidR="007D4B3A" w:rsidRPr="00176ADE" w:rsidRDefault="007D4B3A" w:rsidP="00052799">
      <w:pPr>
        <w:pStyle w:val="FootnoteText"/>
        <w:jc w:val="left"/>
      </w:pPr>
      <w:r w:rsidRPr="00176ADE">
        <w:rPr>
          <w:rStyle w:val="FootnoteReference"/>
        </w:rPr>
        <w:footnoteRef/>
      </w:r>
      <w:r w:rsidRPr="00176ADE">
        <w:t xml:space="preserve"> Victoria Police</w:t>
      </w:r>
      <w:r>
        <w:t xml:space="preserve"> (</w:t>
      </w:r>
      <w:r w:rsidRPr="00176ADE">
        <w:t>2017</w:t>
      </w:r>
      <w:r>
        <w:t>)</w:t>
      </w:r>
      <w:r w:rsidRPr="00176ADE">
        <w:t xml:space="preserve"> </w:t>
      </w:r>
      <w:r w:rsidRPr="00176ADE">
        <w:rPr>
          <w:i/>
        </w:rPr>
        <w:t>Victoria Police Annual Report 2016-17</w:t>
      </w:r>
      <w:r>
        <w:rPr>
          <w:i/>
        </w:rPr>
        <w:t xml:space="preserve">, </w:t>
      </w:r>
      <w:r w:rsidRPr="004B487D">
        <w:t>available at http://www.police.vic.gov.au/content.asp?a=internetBridgingPage&amp;Media_ID=132934.</w:t>
      </w:r>
    </w:p>
  </w:footnote>
  <w:footnote w:id="14">
    <w:p w14:paraId="44C68E07" w14:textId="63835B19" w:rsidR="007D4B3A" w:rsidRPr="00176ADE" w:rsidRDefault="007D4B3A" w:rsidP="00052799">
      <w:pPr>
        <w:pStyle w:val="FootnoteText"/>
      </w:pPr>
      <w:r w:rsidRPr="00176ADE">
        <w:rPr>
          <w:rStyle w:val="FootnoteReference"/>
        </w:rPr>
        <w:footnoteRef/>
      </w:r>
      <w:r w:rsidRPr="00176ADE">
        <w:t xml:space="preserve"> Victoria Police data</w:t>
      </w:r>
      <w:r>
        <w:t>.</w:t>
      </w:r>
    </w:p>
  </w:footnote>
  <w:footnote w:id="15">
    <w:p w14:paraId="10438E11" w14:textId="77777777" w:rsidR="007D4B3A" w:rsidRPr="00176ADE" w:rsidRDefault="007D4B3A" w:rsidP="00052799">
      <w:pPr>
        <w:pStyle w:val="FootnoteText"/>
      </w:pPr>
      <w:r w:rsidRPr="00DC384F">
        <w:rPr>
          <w:rStyle w:val="FootnoteReference"/>
        </w:rPr>
        <w:footnoteRef/>
      </w:r>
      <w:r w:rsidRPr="00DC384F">
        <w:t xml:space="preserve"> </w:t>
      </w:r>
      <w:r w:rsidRPr="00DC384F">
        <w:tab/>
      </w:r>
      <w:r w:rsidRPr="00610D49">
        <w:t xml:space="preserve">This committee handles applications for review of </w:t>
      </w:r>
      <w:r>
        <w:t xml:space="preserve">certain </w:t>
      </w:r>
      <w:r w:rsidRPr="00610D49">
        <w:t>decisions made by the Chief Commissioner in relation to firearms.</w:t>
      </w:r>
    </w:p>
  </w:footnote>
  <w:footnote w:id="16">
    <w:p w14:paraId="0AADEEC2" w14:textId="77777777" w:rsidR="007D4B3A" w:rsidRPr="00176ADE" w:rsidRDefault="007D4B3A" w:rsidP="00052799">
      <w:pPr>
        <w:pStyle w:val="FootnoteText"/>
      </w:pPr>
      <w:r w:rsidRPr="00176ADE">
        <w:rPr>
          <w:rStyle w:val="FootnoteReference"/>
        </w:rPr>
        <w:footnoteRef/>
      </w:r>
      <w:r w:rsidRPr="00176ADE">
        <w:t xml:space="preserve"> </w:t>
      </w:r>
      <w:r w:rsidRPr="00176ADE">
        <w:tab/>
        <w:t>It is important to note that given the framework established by the Act, there is very limited scope to exempt devices under the Regulations.</w:t>
      </w:r>
      <w:r>
        <w:t xml:space="preserve"> The Act sets out a general definition of a firearm, and then prescribes a limited set of exempt devices, such as a spear gun for underwater use, a device designed for the discharge of signal flares. The Regulations can set further exempt devices that do not fit the definition of a firearm, however, the Department assumes that the Act sets the precedent for the type of devices which could be exempted from the definition of a firearm, that is, lower risk items which have a specific accepted use.</w:t>
      </w:r>
    </w:p>
  </w:footnote>
  <w:footnote w:id="17">
    <w:p w14:paraId="4DAD2E04" w14:textId="23E88BDE" w:rsidR="007D4B3A" w:rsidRPr="008F67A3" w:rsidRDefault="007D4B3A" w:rsidP="00052799">
      <w:pPr>
        <w:pStyle w:val="FootnoteText"/>
        <w:rPr>
          <w:lang w:val="en-US"/>
        </w:rPr>
      </w:pPr>
      <w:r>
        <w:rPr>
          <w:rStyle w:val="FootnoteReference"/>
        </w:rPr>
        <w:footnoteRef/>
      </w:r>
      <w:r>
        <w:t xml:space="preserve"> </w:t>
      </w:r>
      <w:r>
        <w:rPr>
          <w:lang w:val="en-US"/>
        </w:rPr>
        <w:t xml:space="preserve">Commissioner for Better Regulation, </w:t>
      </w:r>
      <w:r w:rsidRPr="008D3407">
        <w:rPr>
          <w:i/>
          <w:lang w:val="en-US"/>
        </w:rPr>
        <w:t>Victorian Government Guide to Regulation</w:t>
      </w:r>
      <w:r>
        <w:rPr>
          <w:lang w:val="en-US"/>
        </w:rPr>
        <w:t xml:space="preserve"> (2016) 5.</w:t>
      </w:r>
    </w:p>
  </w:footnote>
  <w:footnote w:id="18">
    <w:p w14:paraId="07CB295F" w14:textId="77777777" w:rsidR="007D4B3A" w:rsidRPr="00EC0A85" w:rsidRDefault="007D4B3A" w:rsidP="00052799">
      <w:pPr>
        <w:pStyle w:val="FootnoteText"/>
        <w:rPr>
          <w:lang w:val="en-US"/>
        </w:rPr>
      </w:pPr>
      <w:r>
        <w:rPr>
          <w:rStyle w:val="FootnoteReference"/>
        </w:rPr>
        <w:footnoteRef/>
      </w:r>
      <w:r>
        <w:t xml:space="preserve"> </w:t>
      </w:r>
      <w:r>
        <w:tab/>
        <w:t xml:space="preserve">Estimated based on 165,949 instances per annum of recording particulars, and an average of 7.5 minutes required per transaction. This average covers records of transactions involving firearms received by a retailer from a wholesaler, firearms sold to retail customers, firearms transferred between licensees, firearms sold by a wholesaler, firearms received for storage and so on, time estimates for which varied between a few seconds to 15 minutes. Only 40 per cent of this overall time is considered to be attributable to the Regulations, given that the Act requires that a register be kept and that certain particular be recorded, and that this regulation only requires certain additional details be kept. </w:t>
      </w:r>
    </w:p>
  </w:footnote>
  <w:footnote w:id="19">
    <w:p w14:paraId="17FED3CB" w14:textId="77777777" w:rsidR="007D4B3A" w:rsidRPr="00EC0A85" w:rsidRDefault="007D4B3A" w:rsidP="00052799">
      <w:pPr>
        <w:pStyle w:val="FootnoteText"/>
        <w:rPr>
          <w:lang w:val="en-US"/>
        </w:rPr>
      </w:pPr>
      <w:r>
        <w:rPr>
          <w:rStyle w:val="FootnoteReference"/>
        </w:rPr>
        <w:footnoteRef/>
      </w:r>
      <w:r>
        <w:t xml:space="preserve"> </w:t>
      </w:r>
      <w:r>
        <w:tab/>
        <w:t xml:space="preserve">Estimated based on 963 affected firearms collected, four instances per annum of recording changes, and five minutes required per change. </w:t>
      </w:r>
    </w:p>
  </w:footnote>
  <w:footnote w:id="20">
    <w:p w14:paraId="260FC1A7" w14:textId="77777777" w:rsidR="007D4B3A" w:rsidRPr="00EC0A85" w:rsidRDefault="007D4B3A" w:rsidP="00052799">
      <w:pPr>
        <w:pStyle w:val="FootnoteText"/>
        <w:rPr>
          <w:lang w:val="en-US"/>
        </w:rPr>
      </w:pPr>
      <w:r>
        <w:rPr>
          <w:rStyle w:val="FootnoteReference"/>
        </w:rPr>
        <w:footnoteRef/>
      </w:r>
      <w:r>
        <w:t xml:space="preserve"> </w:t>
      </w:r>
      <w:r>
        <w:tab/>
        <w:t>Estimated based on 12 instances per annum of being affected by the Regulation, and 30 minutes required per instance, with three people being affected per instance.</w:t>
      </w:r>
    </w:p>
  </w:footnote>
  <w:footnote w:id="21">
    <w:p w14:paraId="4584F245" w14:textId="77777777" w:rsidR="007D4B3A" w:rsidRPr="008F67A3" w:rsidRDefault="007D4B3A" w:rsidP="00052799">
      <w:pPr>
        <w:pStyle w:val="FootnoteText"/>
        <w:rPr>
          <w:lang w:val="en-US"/>
        </w:rPr>
      </w:pPr>
      <w:r>
        <w:rPr>
          <w:rStyle w:val="FootnoteReference"/>
        </w:rPr>
        <w:footnoteRef/>
      </w:r>
      <w:r>
        <w:t xml:space="preserve"> </w:t>
      </w:r>
      <w:r>
        <w:rPr>
          <w:lang w:val="en-US"/>
        </w:rPr>
        <w:t>Victoria Police data.</w:t>
      </w:r>
    </w:p>
  </w:footnote>
  <w:footnote w:id="22">
    <w:p w14:paraId="184F094D" w14:textId="7119AD52" w:rsidR="007D4B3A" w:rsidRDefault="007D4B3A" w:rsidP="00052799">
      <w:pPr>
        <w:pStyle w:val="FootnoteText"/>
      </w:pPr>
      <w:r>
        <w:rPr>
          <w:rStyle w:val="FootnoteReference"/>
        </w:rPr>
        <w:footnoteRef/>
      </w:r>
      <w:r>
        <w:t xml:space="preserve"> </w:t>
      </w:r>
      <w:r>
        <w:tab/>
        <w:t>Line throwers are already exempt from the definition of firearm under the Act, but only when used for ‘rescue purposes, rescue training or rescue demonstration’: s 3(1).</w:t>
      </w:r>
    </w:p>
  </w:footnote>
  <w:footnote w:id="23">
    <w:p w14:paraId="13A005B9" w14:textId="7AED2357" w:rsidR="007D4B3A" w:rsidRDefault="007D4B3A">
      <w:pPr>
        <w:pStyle w:val="FootnoteText"/>
      </w:pPr>
      <w:r>
        <w:rPr>
          <w:rStyle w:val="FootnoteReference"/>
        </w:rPr>
        <w:footnoteRef/>
      </w:r>
      <w:r>
        <w:t xml:space="preserve"> </w:t>
      </w:r>
      <w:r w:rsidRPr="004B487D">
        <w:rPr>
          <w:i/>
        </w:rPr>
        <w:t>Firearms Act 1996</w:t>
      </w:r>
      <w:r>
        <w:t>, s 3(1) (definition of ‘firearm’).</w:t>
      </w:r>
    </w:p>
  </w:footnote>
  <w:footnote w:id="24">
    <w:p w14:paraId="2B248659" w14:textId="77777777" w:rsidR="007D4B3A" w:rsidRDefault="007D4B3A" w:rsidP="00052799">
      <w:pPr>
        <w:pStyle w:val="FootnoteText"/>
      </w:pPr>
      <w:r>
        <w:rPr>
          <w:rStyle w:val="FootnoteReference"/>
        </w:rPr>
        <w:footnoteRef/>
      </w:r>
      <w:r>
        <w:t xml:space="preserve"> </w:t>
      </w:r>
      <w:r>
        <w:tab/>
        <w:t xml:space="preserve">Law Reform Commission of Western Australia, </w:t>
      </w:r>
      <w:r w:rsidRPr="0031627B">
        <w:rPr>
          <w:i/>
        </w:rPr>
        <w:t>Review of the Firearms Act 1973</w:t>
      </w:r>
      <w:r>
        <w:t>: Final Report (Project 105, October 2016) 29.</w:t>
      </w:r>
    </w:p>
  </w:footnote>
  <w:footnote w:id="25">
    <w:p w14:paraId="3342C0BA" w14:textId="62CE9809" w:rsidR="007D4B3A" w:rsidRDefault="007D4B3A" w:rsidP="00052799">
      <w:pPr>
        <w:pStyle w:val="FootnoteText"/>
      </w:pPr>
      <w:r>
        <w:rPr>
          <w:rStyle w:val="FootnoteReference"/>
        </w:rPr>
        <w:footnoteRef/>
      </w:r>
      <w:r>
        <w:t xml:space="preserve"> Firearms Regulations 2017 (SA) r 44(c), Firearms Regulations 2016 (Tas) r 5(b) [only for life-saving a distress signalling situations]. The Department also understands that these devices may not be treated as firearms in Queensland.</w:t>
      </w:r>
    </w:p>
  </w:footnote>
  <w:footnote w:id="26">
    <w:p w14:paraId="22E8627C" w14:textId="77777777" w:rsidR="007D4B3A" w:rsidRDefault="007D4B3A" w:rsidP="00052799">
      <w:pPr>
        <w:pStyle w:val="FootnoteText"/>
      </w:pPr>
      <w:r>
        <w:rPr>
          <w:rStyle w:val="FootnoteReference"/>
        </w:rPr>
        <w:footnoteRef/>
      </w:r>
      <w:r>
        <w:t xml:space="preserve"> </w:t>
      </w:r>
      <w:r>
        <w:tab/>
        <w:t>Customs (Prohibited Imports) Regulations 1956 (Cth) r 4F(4).</w:t>
      </w:r>
    </w:p>
  </w:footnote>
  <w:footnote w:id="27">
    <w:p w14:paraId="4816EA64" w14:textId="11AB2FA2" w:rsidR="007D4B3A" w:rsidRDefault="007D4B3A" w:rsidP="00052799">
      <w:pPr>
        <w:pStyle w:val="FootnoteText"/>
      </w:pPr>
      <w:r>
        <w:rPr>
          <w:rStyle w:val="FootnoteReference"/>
        </w:rPr>
        <w:footnoteRef/>
      </w:r>
      <w:r>
        <w:t xml:space="preserve"> </w:t>
      </w:r>
      <w:r>
        <w:tab/>
        <w:t>Firearms Regulations 2017 (SA) r 44(f), Firearms Regulations 2017 (NSW) r 4(j). The Department also understands that these devices may not be treated as firearms in Queensland.</w:t>
      </w:r>
    </w:p>
  </w:footnote>
  <w:footnote w:id="28">
    <w:p w14:paraId="322AD2C6" w14:textId="77777777" w:rsidR="007D4B3A" w:rsidRDefault="007D4B3A" w:rsidP="00052799">
      <w:pPr>
        <w:pStyle w:val="FootnoteText"/>
      </w:pPr>
      <w:r>
        <w:rPr>
          <w:rStyle w:val="FootnoteReference"/>
        </w:rPr>
        <w:footnoteRef/>
      </w:r>
      <w:r>
        <w:t xml:space="preserve"> </w:t>
      </w:r>
      <w:r>
        <w:tab/>
        <w:t>Customs (Prohibited Imports) Regulations 1956 (Cth) r 4F(4).</w:t>
      </w:r>
    </w:p>
  </w:footnote>
  <w:footnote w:id="29">
    <w:p w14:paraId="2FE4C49B" w14:textId="77777777" w:rsidR="007D4B3A" w:rsidRPr="008F67A3" w:rsidRDefault="007D4B3A" w:rsidP="00052799">
      <w:pPr>
        <w:pStyle w:val="FootnoteText"/>
        <w:rPr>
          <w:lang w:val="en-US"/>
        </w:rPr>
      </w:pPr>
      <w:r>
        <w:rPr>
          <w:rStyle w:val="FootnoteReference"/>
        </w:rPr>
        <w:footnoteRef/>
      </w:r>
      <w:r>
        <w:t xml:space="preserve"> </w:t>
      </w:r>
      <w:r>
        <w:rPr>
          <w:lang w:val="en-US"/>
        </w:rPr>
        <w:t>Victoria Police data.</w:t>
      </w:r>
    </w:p>
  </w:footnote>
  <w:footnote w:id="30">
    <w:p w14:paraId="76573D81" w14:textId="77777777" w:rsidR="007D4B3A" w:rsidRDefault="007D4B3A" w:rsidP="00052799">
      <w:pPr>
        <w:pStyle w:val="FootnoteText"/>
      </w:pPr>
      <w:r>
        <w:rPr>
          <w:rStyle w:val="FootnoteReference"/>
        </w:rPr>
        <w:footnoteRef/>
      </w:r>
      <w:r>
        <w:t xml:space="preserve"> </w:t>
      </w:r>
      <w:r w:rsidRPr="00622D94">
        <w:rPr>
          <w:i/>
        </w:rPr>
        <w:t>Firearms Act 1996</w:t>
      </w:r>
      <w:r>
        <w:t xml:space="preserve"> (Vic) s 95–6.</w:t>
      </w:r>
    </w:p>
  </w:footnote>
  <w:footnote w:id="31">
    <w:p w14:paraId="0BDF7DD8" w14:textId="73B192EA" w:rsidR="007D4B3A" w:rsidRPr="001348C8" w:rsidRDefault="007D4B3A" w:rsidP="00052799">
      <w:pPr>
        <w:pStyle w:val="FootnoteText"/>
        <w:rPr>
          <w:lang w:val="en-US"/>
        </w:rPr>
      </w:pPr>
      <w:r>
        <w:rPr>
          <w:rStyle w:val="FootnoteReference"/>
        </w:rPr>
        <w:footnoteRef/>
      </w:r>
      <w:r>
        <w:t xml:space="preserve"> </w:t>
      </w:r>
      <w:r>
        <w:rPr>
          <w:lang w:val="en-US"/>
        </w:rPr>
        <w:t>Victoria Police data.</w:t>
      </w:r>
    </w:p>
  </w:footnote>
  <w:footnote w:id="32">
    <w:p w14:paraId="17EB843D" w14:textId="77777777" w:rsidR="007D4B3A" w:rsidRPr="008F67A3" w:rsidRDefault="007D4B3A" w:rsidP="00052799">
      <w:pPr>
        <w:pStyle w:val="FootnoteText"/>
        <w:rPr>
          <w:lang w:val="en-US"/>
        </w:rPr>
      </w:pPr>
      <w:r>
        <w:rPr>
          <w:rStyle w:val="FootnoteReference"/>
        </w:rPr>
        <w:footnoteRef/>
      </w:r>
      <w:r>
        <w:t xml:space="preserve"> </w:t>
      </w:r>
      <w:r>
        <w:rPr>
          <w:lang w:val="en-US"/>
        </w:rPr>
        <w:t>Victoria Police data.</w:t>
      </w:r>
    </w:p>
  </w:footnote>
  <w:footnote w:id="33">
    <w:p w14:paraId="413CD78D" w14:textId="77777777" w:rsidR="007D4B3A" w:rsidRPr="00F420A2" w:rsidRDefault="007D4B3A" w:rsidP="00052799">
      <w:pPr>
        <w:pStyle w:val="FootnoteText"/>
        <w:rPr>
          <w:lang w:val="en-US"/>
        </w:rPr>
      </w:pPr>
      <w:r>
        <w:rPr>
          <w:rStyle w:val="FootnoteReference"/>
        </w:rPr>
        <w:footnoteRef/>
      </w:r>
      <w:r>
        <w:t xml:space="preserve"> It is also important to note that Police officers would have the discretion not to issue an infringement notice at all, and that the penalty levels were set to align the proposed penalties discussed below with the seriousness of the relevant offences.</w:t>
      </w:r>
    </w:p>
  </w:footnote>
  <w:footnote w:id="34">
    <w:p w14:paraId="56260953" w14:textId="6BBE28A5" w:rsidR="007D4B3A" w:rsidRPr="00176ADE" w:rsidRDefault="007D4B3A" w:rsidP="00052799">
      <w:pPr>
        <w:pStyle w:val="FootnoteText"/>
        <w:rPr>
          <w:sz w:val="18"/>
        </w:rPr>
      </w:pPr>
      <w:r w:rsidRPr="00176ADE">
        <w:rPr>
          <w:rStyle w:val="FootnoteReference"/>
        </w:rPr>
        <w:footnoteRef/>
      </w:r>
      <w:r w:rsidRPr="00176ADE">
        <w:t xml:space="preserve"> </w:t>
      </w:r>
      <w:r w:rsidRPr="00176ADE">
        <w:tab/>
        <w:t>Victoria Police expects that under this arrangement, around 20 per cent of Class 1 dealers would transition to a Class 2 licence. On average, between the period 2011</w:t>
      </w:r>
      <w:r>
        <w:t>–</w:t>
      </w:r>
      <w:r w:rsidRPr="00176ADE">
        <w:t>12 to 2016</w:t>
      </w:r>
      <w:r>
        <w:t>–</w:t>
      </w:r>
      <w:r w:rsidRPr="00176ADE">
        <w:t xml:space="preserve">17, there were </w:t>
      </w:r>
      <w:r>
        <w:t>less than 200</w:t>
      </w:r>
      <w:r w:rsidRPr="00176ADE">
        <w:t xml:space="preserve"> dealers approved per annum. Based on the information available, the proposal is expected to result in </w:t>
      </w:r>
      <w:r>
        <w:t xml:space="preserve">a small number of dealers </w:t>
      </w:r>
      <w:r w:rsidRPr="00176ADE">
        <w:t>shifting towards the Class 2 licence.</w:t>
      </w:r>
    </w:p>
  </w:footnote>
  <w:footnote w:id="35">
    <w:p w14:paraId="0C408B79" w14:textId="77777777" w:rsidR="007D4B3A" w:rsidRPr="00176ADE" w:rsidRDefault="007D4B3A" w:rsidP="00052799">
      <w:pPr>
        <w:pStyle w:val="FootnoteText"/>
      </w:pPr>
      <w:r w:rsidRPr="00176ADE">
        <w:rPr>
          <w:rStyle w:val="FootnoteReference"/>
        </w:rPr>
        <w:footnoteRef/>
      </w:r>
      <w:r w:rsidRPr="00176ADE">
        <w:t xml:space="preserve"> Ibid.</w:t>
      </w:r>
    </w:p>
  </w:footnote>
  <w:footnote w:id="36">
    <w:p w14:paraId="23335E07" w14:textId="77777777" w:rsidR="007D4B3A" w:rsidRPr="00176ADE" w:rsidRDefault="007D4B3A" w:rsidP="00052799">
      <w:pPr>
        <w:pStyle w:val="FootnoteText"/>
      </w:pPr>
      <w:r w:rsidRPr="00176ADE">
        <w:rPr>
          <w:rStyle w:val="FootnoteReference"/>
        </w:rPr>
        <w:footnoteRef/>
      </w:r>
      <w:r w:rsidRPr="00176ADE">
        <w:t xml:space="preserve"> Department of Treasury and Finance, </w:t>
      </w:r>
      <w:r w:rsidRPr="004B487D">
        <w:rPr>
          <w:i/>
        </w:rPr>
        <w:t>Cost Recovery Guidelines</w:t>
      </w:r>
      <w:r w:rsidRPr="00176ADE">
        <w:t>, January 2013.</w:t>
      </w:r>
    </w:p>
  </w:footnote>
  <w:footnote w:id="37">
    <w:p w14:paraId="04AAE772" w14:textId="77777777" w:rsidR="007D4B3A" w:rsidRPr="00176ADE" w:rsidRDefault="007D4B3A" w:rsidP="00052799">
      <w:pPr>
        <w:pStyle w:val="FootnoteText"/>
      </w:pPr>
      <w:r w:rsidRPr="00176ADE">
        <w:rPr>
          <w:rStyle w:val="FootnoteReference"/>
        </w:rPr>
        <w:footnoteRef/>
      </w:r>
      <w:r w:rsidRPr="00176ADE">
        <w:t xml:space="preserve"> Ibid.</w:t>
      </w:r>
    </w:p>
  </w:footnote>
  <w:footnote w:id="38">
    <w:p w14:paraId="2B7DBD08" w14:textId="77777777" w:rsidR="007D4B3A" w:rsidRPr="00176ADE" w:rsidRDefault="007D4B3A" w:rsidP="00052799">
      <w:pPr>
        <w:pStyle w:val="FootnoteText"/>
      </w:pPr>
      <w:r w:rsidRPr="00176ADE">
        <w:rPr>
          <w:rStyle w:val="FootnoteReference"/>
        </w:rPr>
        <w:footnoteRef/>
      </w:r>
      <w:r w:rsidRPr="00176ADE">
        <w:t xml:space="preserve"> Department of Treasury and Finance, Cost Recovery Guidelines, January 2013, 7.</w:t>
      </w:r>
    </w:p>
  </w:footnote>
  <w:footnote w:id="39">
    <w:p w14:paraId="11C9B3BA" w14:textId="77777777" w:rsidR="007D4B3A" w:rsidRPr="00176ADE" w:rsidRDefault="007D4B3A" w:rsidP="00052799">
      <w:pPr>
        <w:pStyle w:val="FootnoteText"/>
      </w:pPr>
      <w:r w:rsidRPr="00176ADE">
        <w:rPr>
          <w:rStyle w:val="FootnoteReference"/>
        </w:rPr>
        <w:footnoteRef/>
      </w:r>
      <w:r w:rsidRPr="00176ADE">
        <w:t xml:space="preserve"> Ibid.</w:t>
      </w:r>
    </w:p>
  </w:footnote>
  <w:footnote w:id="40">
    <w:p w14:paraId="0200958E" w14:textId="7EA30286" w:rsidR="007D4B3A" w:rsidRPr="00176ADE" w:rsidRDefault="007D4B3A" w:rsidP="00554C23">
      <w:pPr>
        <w:pStyle w:val="BodyText"/>
        <w:ind w:left="142" w:hanging="142"/>
      </w:pPr>
      <w:r w:rsidRPr="00176ADE">
        <w:rPr>
          <w:rStyle w:val="FootnoteReference"/>
        </w:rPr>
        <w:footnoteRef/>
      </w:r>
      <w:r w:rsidRPr="00176ADE">
        <w:t xml:space="preserve"> </w:t>
      </w:r>
      <w:r w:rsidRPr="00176ADE">
        <w:rPr>
          <w:sz w:val="16"/>
          <w:szCs w:val="16"/>
        </w:rPr>
        <w:t>Regulation 10(3) provides that, where a person applies for a longarm licence for category A, B or C longarms for the reason of primary production, the licence fee payable for the licence is waived. Acc</w:t>
      </w:r>
      <w:r w:rsidRPr="006D1639">
        <w:rPr>
          <w:sz w:val="16"/>
          <w:szCs w:val="16"/>
        </w:rPr>
        <w:t xml:space="preserve">ording to Victoria Police, </w:t>
      </w:r>
      <w:r w:rsidRPr="00A60C4C">
        <w:rPr>
          <w:sz w:val="16"/>
          <w:szCs w:val="16"/>
        </w:rPr>
        <w:t xml:space="preserve">fewer than </w:t>
      </w:r>
      <w:r>
        <w:rPr>
          <w:sz w:val="16"/>
          <w:szCs w:val="16"/>
        </w:rPr>
        <w:t>8,000</w:t>
      </w:r>
      <w:r w:rsidRPr="006D1639">
        <w:rPr>
          <w:sz w:val="16"/>
          <w:szCs w:val="16"/>
        </w:rPr>
        <w:t xml:space="preserve"> longarm licences were issued for reason of primary production in 2016/17, resulting in </w:t>
      </w:r>
      <w:r w:rsidRPr="00A60C4C">
        <w:rPr>
          <w:sz w:val="16"/>
          <w:szCs w:val="16"/>
        </w:rPr>
        <w:t>less than $2 million</w:t>
      </w:r>
      <w:r w:rsidRPr="006D1639">
        <w:rPr>
          <w:sz w:val="16"/>
          <w:szCs w:val="16"/>
        </w:rPr>
        <w:t xml:space="preserve"> w</w:t>
      </w:r>
      <w:r w:rsidRPr="00176ADE">
        <w:rPr>
          <w:sz w:val="16"/>
          <w:szCs w:val="16"/>
        </w:rPr>
        <w:t xml:space="preserve">orth of licence fees being waived in that financial year. A separate waiver is also available for category A and B longarms where the applicant is already </w:t>
      </w:r>
      <w:r>
        <w:rPr>
          <w:sz w:val="16"/>
          <w:szCs w:val="16"/>
        </w:rPr>
        <w:t>licensed</w:t>
      </w:r>
      <w:r w:rsidRPr="00176ADE">
        <w:rPr>
          <w:sz w:val="16"/>
          <w:szCs w:val="16"/>
        </w:rPr>
        <w:t xml:space="preserve"> for a category C </w:t>
      </w:r>
      <w:r>
        <w:rPr>
          <w:sz w:val="16"/>
          <w:szCs w:val="16"/>
        </w:rPr>
        <w:t>long</w:t>
      </w:r>
      <w:r w:rsidRPr="00176ADE">
        <w:rPr>
          <w:sz w:val="16"/>
          <w:szCs w:val="16"/>
        </w:rPr>
        <w:t>arm</w:t>
      </w:r>
      <w:r>
        <w:rPr>
          <w:sz w:val="16"/>
          <w:szCs w:val="16"/>
        </w:rPr>
        <w:t xml:space="preserve">, </w:t>
      </w:r>
      <w:r w:rsidRPr="00176ADE">
        <w:rPr>
          <w:sz w:val="16"/>
          <w:szCs w:val="16"/>
        </w:rPr>
        <w:t>which would overlap with the primary producer waiver to reduce the overall value of the primary producer waiver.</w:t>
      </w:r>
    </w:p>
  </w:footnote>
  <w:footnote w:id="41">
    <w:p w14:paraId="6B7617CA" w14:textId="27EE2CE1" w:rsidR="007D4B3A" w:rsidRPr="00176ADE" w:rsidRDefault="007D4B3A" w:rsidP="00554C23">
      <w:pPr>
        <w:pStyle w:val="FootnoteText"/>
        <w:ind w:left="142" w:hanging="142"/>
      </w:pPr>
      <w:r w:rsidRPr="00176ADE">
        <w:rPr>
          <w:rStyle w:val="FootnoteReference"/>
        </w:rPr>
        <w:footnoteRef/>
      </w:r>
      <w:r w:rsidRPr="00176ADE">
        <w:t xml:space="preserve"> Revenue data for financial year 2016</w:t>
      </w:r>
      <w:r>
        <w:t>–</w:t>
      </w:r>
      <w:r w:rsidRPr="00176ADE">
        <w:t>17 is sourced from Victoria Police actual revenues.</w:t>
      </w:r>
    </w:p>
  </w:footnote>
  <w:footnote w:id="42">
    <w:p w14:paraId="2C7B8ADC" w14:textId="5CF03CDB" w:rsidR="007D4B3A" w:rsidRPr="00176ADE" w:rsidRDefault="007D4B3A" w:rsidP="00052799">
      <w:pPr>
        <w:pStyle w:val="FootnoteText"/>
      </w:pPr>
      <w:r w:rsidRPr="00176ADE">
        <w:rPr>
          <w:rStyle w:val="FootnoteReference"/>
        </w:rPr>
        <w:footnoteRef/>
      </w:r>
      <w:r w:rsidRPr="00176ADE">
        <w:t xml:space="preserve"> </w:t>
      </w:r>
      <w:r w:rsidRPr="00176ADE">
        <w:tab/>
        <w:t>Note that work undertaken in relation to legislative and regulatory policy development is not cost-recovered under the Victorian Government</w:t>
      </w:r>
      <w:r>
        <w:t>’s</w:t>
      </w:r>
      <w:r w:rsidRPr="00176ADE">
        <w:t xml:space="preserve"> </w:t>
      </w:r>
      <w:r w:rsidRPr="00554C23">
        <w:rPr>
          <w:i/>
        </w:rPr>
        <w:t>Cost Recovery Guidelines</w:t>
      </w:r>
      <w:r w:rsidRPr="00176ADE">
        <w:t>. This is distinct from operational policy (e.g. interpreting requirements under the framework) which is covered under the Guidelines. While the main focus of PPU is to undertake operational policy work related to administering the existing regulatory framework, it does undertake some work to support the Department of Justice and Regulation’s policy development processes (for example, occasional reforms to firearms regulations or legislation). Similarly, the Department of Justice and Regulation’s main focus is on legislative and regulatory reform, however, it also undertakes some work associated with operational policy related to administering the existing regulatory framework. It is assumed that these two resource allocations balance each</w:t>
      </w:r>
      <w:r>
        <w:t xml:space="preserve"> </w:t>
      </w:r>
      <w:r w:rsidRPr="00176ADE">
        <w:t>other out, and that</w:t>
      </w:r>
      <w:r>
        <w:t>,</w:t>
      </w:r>
      <w:r w:rsidRPr="00176ADE">
        <w:t xml:space="preserve"> </w:t>
      </w:r>
      <w:r>
        <w:t xml:space="preserve">as </w:t>
      </w:r>
      <w:r w:rsidRPr="00176ADE">
        <w:t>such, it is appropriate to use PPU’s full costs to represent the total costs of administering the regulatory framework.</w:t>
      </w:r>
    </w:p>
  </w:footnote>
  <w:footnote w:id="43">
    <w:p w14:paraId="1A8AE8AD" w14:textId="77777777" w:rsidR="007D4B3A" w:rsidRPr="00176ADE" w:rsidRDefault="007D4B3A" w:rsidP="00052799">
      <w:pPr>
        <w:pStyle w:val="FootnoteText"/>
      </w:pPr>
      <w:r w:rsidRPr="00176ADE">
        <w:rPr>
          <w:rStyle w:val="FootnoteReference"/>
        </w:rPr>
        <w:footnoteRef/>
      </w:r>
      <w:r w:rsidRPr="00176ADE">
        <w:t xml:space="preserve"> </w:t>
      </w:r>
      <w:r w:rsidRPr="00176ADE">
        <w:tab/>
        <w:t xml:space="preserve">Note that in 2016/17, costs associated with ICT projects have increased relative to earlier years. As such, the costs for this team have been smoothed over the three years 2014/15, 2015/16 and 2016/17 to estimate </w:t>
      </w:r>
      <w:r>
        <w:t>the</w:t>
      </w:r>
      <w:r w:rsidRPr="00176ADE">
        <w:t xml:space="preserve"> average costs (this estimate is lower than would have been used if only 2016/17 costs were used).</w:t>
      </w:r>
      <w:r>
        <w:t xml:space="preserve"> There is much uncertainty regarding future ICT costs. The Electronic Lodgement Program has commenced rollout and will be fully rolled out over the next several years (i.e. potentially leading to a reduction in ICT project costs), however, there are many other components of LRD’s activities which could benefit from further ICT investment over the medium-term (for example, the Licensing and Registration System database, and further implementation of the Electronic Lodgement Program). For these reasons, a three-year average is seen to be a reasonable approach to estimating costs associated with ICT projects.</w:t>
      </w:r>
    </w:p>
  </w:footnote>
  <w:footnote w:id="44">
    <w:p w14:paraId="5E0CE4A7" w14:textId="77777777" w:rsidR="007D4B3A" w:rsidRPr="00176ADE" w:rsidRDefault="007D4B3A" w:rsidP="00052799">
      <w:pPr>
        <w:pStyle w:val="FootnoteText"/>
      </w:pPr>
      <w:r w:rsidRPr="00176ADE">
        <w:rPr>
          <w:rStyle w:val="FootnoteReference"/>
        </w:rPr>
        <w:footnoteRef/>
      </w:r>
      <w:r w:rsidRPr="00176ADE">
        <w:t xml:space="preserve"> </w:t>
      </w:r>
      <w:r w:rsidRPr="00176ADE">
        <w:tab/>
        <w:t>A process is underway whereby LRD solicitors are being aligned to Legal Services.</w:t>
      </w:r>
    </w:p>
  </w:footnote>
  <w:footnote w:id="45">
    <w:p w14:paraId="2FACB02A" w14:textId="77777777" w:rsidR="007D4B3A" w:rsidRPr="00176ADE" w:rsidRDefault="007D4B3A" w:rsidP="00052799">
      <w:pPr>
        <w:pStyle w:val="FootnoteText"/>
      </w:pPr>
      <w:r w:rsidRPr="00176ADE">
        <w:rPr>
          <w:rStyle w:val="FootnoteReference"/>
        </w:rPr>
        <w:footnoteRef/>
      </w:r>
      <w:r w:rsidRPr="00176ADE">
        <w:t xml:space="preserve"> </w:t>
      </w:r>
      <w:r>
        <w:tab/>
      </w:r>
      <w:r w:rsidRPr="00176ADE">
        <w:t>Note that one of these positions is currently vacant.</w:t>
      </w:r>
    </w:p>
  </w:footnote>
  <w:footnote w:id="46">
    <w:p w14:paraId="0EEEF867" w14:textId="77777777" w:rsidR="007D4B3A" w:rsidRPr="00262183" w:rsidRDefault="007D4B3A" w:rsidP="00052799">
      <w:pPr>
        <w:pStyle w:val="FootnoteText"/>
        <w:rPr>
          <w:lang w:val="en-US"/>
        </w:rPr>
      </w:pPr>
      <w:r>
        <w:rPr>
          <w:rStyle w:val="FootnoteReference"/>
        </w:rPr>
        <w:footnoteRef/>
      </w:r>
      <w:r>
        <w:t xml:space="preserve"> </w:t>
      </w:r>
      <w:r>
        <w:tab/>
      </w:r>
      <w:r>
        <w:rPr>
          <w:lang w:val="en-US"/>
        </w:rPr>
        <w:t>In 2015, there were 92 applications for review and 22 proceeded to a hearing, and in 2016 there were 60 applications for review and 16 proceeded to a hearing.</w:t>
      </w:r>
    </w:p>
  </w:footnote>
  <w:footnote w:id="47">
    <w:p w14:paraId="00BC434A" w14:textId="77777777" w:rsidR="007D4B3A" w:rsidRPr="00176ADE" w:rsidRDefault="007D4B3A" w:rsidP="00052799">
      <w:pPr>
        <w:pStyle w:val="FootnoteText"/>
      </w:pPr>
      <w:r w:rsidRPr="00176ADE">
        <w:rPr>
          <w:rStyle w:val="FootnoteReference"/>
        </w:rPr>
        <w:footnoteRef/>
      </w:r>
      <w:r w:rsidRPr="00176ADE">
        <w:t xml:space="preserve"> </w:t>
      </w:r>
      <w:r>
        <w:tab/>
        <w:t xml:space="preserve">Average costs are used given that there is not likely to be a discernible upward or downward trend in costs in the future – while it is possible that efficiencies will be achieved in the administration of the regulatory framework, it is equally likely that potential increases community concern regarding firearms activity result in upwards pressure on the expected level of compliance and monitoring activity of Victoria Police. </w:t>
      </w:r>
      <w:r w:rsidRPr="00176ADE">
        <w:t>The model has also been updated to include data from 2016/17 for the largest volume categories. As these volumes were slightly higher in 2016/17 than in preceding years, this has the effect of slightly lowering the cost per fee application.</w:t>
      </w:r>
      <w:r>
        <w:t xml:space="preserve"> </w:t>
      </w:r>
    </w:p>
  </w:footnote>
  <w:footnote w:id="48">
    <w:p w14:paraId="516E2661" w14:textId="6058A64B" w:rsidR="007D4B3A" w:rsidRPr="00176ADE" w:rsidRDefault="007D4B3A" w:rsidP="00052799">
      <w:pPr>
        <w:pStyle w:val="FootnoteText"/>
        <w:jc w:val="left"/>
      </w:pPr>
      <w:r w:rsidRPr="00176ADE">
        <w:rPr>
          <w:rStyle w:val="FootnoteReference"/>
        </w:rPr>
        <w:footnoteRef/>
      </w:r>
      <w:r w:rsidRPr="00176ADE">
        <w:t xml:space="preserve"> </w:t>
      </w:r>
      <w:r>
        <w:tab/>
      </w:r>
      <w:r w:rsidRPr="00176ADE">
        <w:t xml:space="preserve">NSW Department of Justice, 2017, </w:t>
      </w:r>
      <w:r w:rsidRPr="00176ADE">
        <w:rPr>
          <w:i/>
        </w:rPr>
        <w:t>Regulatory Impact Statement for Proposed Firearms Regulation 2017 and Weapons Prohibition Regulation 2017</w:t>
      </w:r>
      <w:r w:rsidRPr="00176ADE">
        <w:t xml:space="preserve">. Accessed at </w:t>
      </w:r>
      <w:r w:rsidRPr="008D3407">
        <w:t>http://www.justice.nsw.gov.au/justicepolicy/Documents/firearms-weapons-prohibition-regulation-2017/regulatory-impact-statement-firearms-weapons-prohibition-regulation-2017.pdf</w:t>
      </w:r>
      <w:r w:rsidRPr="00176ADE">
        <w:t xml:space="preserve">. Regulations available at </w:t>
      </w:r>
      <w:r w:rsidRPr="008D3407">
        <w:t>http://www.justice.nsw.gov.au/justicepolicy/Documents/firearms-weapons-prohibition-regulation-2017/firearms-regulation-2017-exposure-draft.pdf</w:t>
      </w:r>
      <w:r>
        <w:rPr>
          <w:rStyle w:val="Hyperlink"/>
        </w:rPr>
        <w:t>.</w:t>
      </w:r>
      <w:r w:rsidRPr="00176ADE">
        <w:t xml:space="preserve"> </w:t>
      </w:r>
    </w:p>
  </w:footnote>
  <w:footnote w:id="49">
    <w:p w14:paraId="09C32F6F" w14:textId="7797E2C8" w:rsidR="007D4B3A" w:rsidRPr="00176ADE" w:rsidRDefault="007D4B3A" w:rsidP="00052799">
      <w:pPr>
        <w:pStyle w:val="FootnoteText"/>
        <w:jc w:val="left"/>
      </w:pPr>
      <w:r w:rsidRPr="00176ADE">
        <w:rPr>
          <w:rStyle w:val="FootnoteReference"/>
        </w:rPr>
        <w:footnoteRef/>
      </w:r>
      <w:r w:rsidRPr="00176ADE">
        <w:t xml:space="preserve"> </w:t>
      </w:r>
      <w:r w:rsidRPr="00176ADE">
        <w:tab/>
        <w:t xml:space="preserve">Western Australian Law Reform Commission, 2015, </w:t>
      </w:r>
      <w:r w:rsidRPr="00176ADE">
        <w:rPr>
          <w:i/>
        </w:rPr>
        <w:t>Review of the Firearms Act 1973 (WA)</w:t>
      </w:r>
      <w:r w:rsidRPr="00176ADE">
        <w:t xml:space="preserve">. Accessed at </w:t>
      </w:r>
      <w:hyperlink r:id="rId1" w:history="1">
        <w:r w:rsidRPr="00176ADE">
          <w:t>http://www.lrc.justice.wa.gov.au/_files/P105_DP.pdf</w:t>
        </w:r>
      </w:hyperlink>
      <w:r>
        <w:t>.</w:t>
      </w:r>
    </w:p>
  </w:footnote>
  <w:footnote w:id="50">
    <w:p w14:paraId="1FFF6C40" w14:textId="77777777" w:rsidR="007D4B3A" w:rsidRPr="00176ADE" w:rsidRDefault="007D4B3A" w:rsidP="00052799">
      <w:pPr>
        <w:pStyle w:val="FootnoteText"/>
      </w:pPr>
      <w:r w:rsidRPr="00176ADE">
        <w:rPr>
          <w:rStyle w:val="FootnoteReference"/>
        </w:rPr>
        <w:footnoteRef/>
      </w:r>
      <w:r w:rsidRPr="00176ADE">
        <w:t xml:space="preserve"> </w:t>
      </w:r>
      <w:r w:rsidRPr="00176ADE">
        <w:tab/>
        <w:t>A lack of a comparable permit or licence category has required information from one or more jurisdictions to be omitted, while in other cases licences or permits that are approximately equivalent in function have been used for comparison.</w:t>
      </w:r>
    </w:p>
  </w:footnote>
  <w:footnote w:id="51">
    <w:p w14:paraId="79C05B95" w14:textId="77777777" w:rsidR="007D4B3A" w:rsidRPr="00262183" w:rsidRDefault="007D4B3A" w:rsidP="00052799">
      <w:pPr>
        <w:pStyle w:val="FootnoteText"/>
        <w:rPr>
          <w:lang w:val="en-US"/>
        </w:rPr>
      </w:pPr>
      <w:r>
        <w:rPr>
          <w:rStyle w:val="FootnoteReference"/>
        </w:rPr>
        <w:footnoteRef/>
      </w:r>
      <w:r>
        <w:t xml:space="preserve"> </w:t>
      </w:r>
      <w:r>
        <w:rPr>
          <w:lang w:val="en-US"/>
        </w:rPr>
        <w:t>As indicated by the activity-based costing exercise discussed in later sections.</w:t>
      </w:r>
    </w:p>
  </w:footnote>
  <w:footnote w:id="52">
    <w:p w14:paraId="63866042" w14:textId="77777777" w:rsidR="007D4B3A" w:rsidRPr="00176ADE" w:rsidRDefault="007D4B3A" w:rsidP="00052799">
      <w:pPr>
        <w:pStyle w:val="FootnoteText"/>
        <w:jc w:val="left"/>
      </w:pPr>
      <w:r w:rsidRPr="00176ADE">
        <w:rPr>
          <w:rStyle w:val="FootnoteReference"/>
        </w:rPr>
        <w:footnoteRef/>
      </w:r>
      <w:r w:rsidRPr="00176ADE">
        <w:t xml:space="preserve"> </w:t>
      </w:r>
      <w:r w:rsidRPr="00176ADE">
        <w:tab/>
        <w:t xml:space="preserve">Queensland charges both an application and annual fee for most licence classes. As a result, the per annum cost on a licence is relative to the number of years that it is maintained. In order to facilitate a comparison with other jurisdictions, these figures presume that a licence is maintained for a number of years equal to the duration of the equivalent Victorian licence type. </w:t>
      </w:r>
    </w:p>
  </w:footnote>
  <w:footnote w:id="53">
    <w:p w14:paraId="3527AB01" w14:textId="77777777" w:rsidR="007D4B3A" w:rsidRPr="00176ADE" w:rsidRDefault="007D4B3A" w:rsidP="00052799">
      <w:pPr>
        <w:pStyle w:val="FootnoteText"/>
        <w:jc w:val="left"/>
      </w:pPr>
      <w:r w:rsidRPr="00176ADE">
        <w:rPr>
          <w:rStyle w:val="FootnoteReference"/>
        </w:rPr>
        <w:footnoteRef/>
      </w:r>
      <w:r w:rsidRPr="00176ADE">
        <w:t xml:space="preserve"> </w:t>
      </w:r>
      <w:r w:rsidRPr="00176ADE">
        <w:tab/>
        <w:t xml:space="preserve">Western Australian licences include a higher fee for the first year of their issue, followed by a lower renewal fee. As a result, the per annum cost on a licence is relative to the number of years that it is maintained. In order to facilitate a comparison with other jurisdictions, these figures presume that a licence is maintained for a number of years equal to the duration of the equivalent Victorian licence type. </w:t>
      </w:r>
    </w:p>
  </w:footnote>
  <w:footnote w:id="54">
    <w:p w14:paraId="4DD815D6" w14:textId="77777777" w:rsidR="007D4B3A" w:rsidRPr="00176ADE" w:rsidRDefault="007D4B3A" w:rsidP="00052799">
      <w:pPr>
        <w:pStyle w:val="FootnoteText"/>
        <w:jc w:val="left"/>
      </w:pPr>
      <w:r w:rsidRPr="00176ADE">
        <w:rPr>
          <w:rStyle w:val="FootnoteReference"/>
        </w:rPr>
        <w:footnoteRef/>
      </w:r>
      <w:r w:rsidRPr="00176ADE">
        <w:t xml:space="preserve"> </w:t>
      </w:r>
      <w:r w:rsidRPr="00176ADE">
        <w:tab/>
        <w:t xml:space="preserve">Firearm Collector fee based on a 6 year duration (one 3-year initial licence and one 3-year renewal of that licence). </w:t>
      </w:r>
    </w:p>
  </w:footnote>
  <w:footnote w:id="55">
    <w:p w14:paraId="587C8C7C" w14:textId="77777777" w:rsidR="007D4B3A" w:rsidRDefault="007D4B3A" w:rsidP="00052799">
      <w:pPr>
        <w:pStyle w:val="FootnoteText"/>
      </w:pPr>
      <w:r>
        <w:rPr>
          <w:rStyle w:val="FootnoteReference"/>
        </w:rPr>
        <w:footnoteRef/>
      </w:r>
      <w:r>
        <w:t xml:space="preserve"> Despite </w:t>
      </w:r>
      <w:r w:rsidRPr="00156361">
        <w:t xml:space="preserve">the introduction of ELP, there will </w:t>
      </w:r>
      <w:r>
        <w:t xml:space="preserve">to </w:t>
      </w:r>
      <w:r w:rsidRPr="00156361">
        <w:t>be steps in the process which cannot be automated due to legislative requirements (not within the scope of this RIS), and as such, firearms licence applications will</w:t>
      </w:r>
      <w:r>
        <w:t xml:space="preserve"> continue to</w:t>
      </w:r>
      <w:r w:rsidRPr="00156361">
        <w:t xml:space="preserve"> include manual handling steps. </w:t>
      </w:r>
    </w:p>
  </w:footnote>
  <w:footnote w:id="56">
    <w:p w14:paraId="3D265B5F" w14:textId="77777777" w:rsidR="007D4B3A" w:rsidRPr="00262183" w:rsidRDefault="007D4B3A" w:rsidP="00052799">
      <w:pPr>
        <w:pStyle w:val="FootnoteText"/>
        <w:rPr>
          <w:lang w:val="en-US"/>
        </w:rPr>
      </w:pPr>
      <w:r>
        <w:rPr>
          <w:rStyle w:val="FootnoteReference"/>
        </w:rPr>
        <w:footnoteRef/>
      </w:r>
      <w:r>
        <w:t xml:space="preserve"> </w:t>
      </w:r>
      <w:r>
        <w:rPr>
          <w:lang w:val="en-US"/>
        </w:rPr>
        <w:t>As part of maintaining the current fee structure, fees would continue to be prescribed separately for individuals and bodies corporate for licences and approvals. The appropriate level of the relative cost for individual and bodies corporate was tested through the activity-based costing exercise.</w:t>
      </w:r>
    </w:p>
  </w:footnote>
  <w:footnote w:id="57">
    <w:p w14:paraId="038C1BB0" w14:textId="77777777" w:rsidR="007D4B3A" w:rsidRPr="00176ADE" w:rsidRDefault="007D4B3A" w:rsidP="00052799">
      <w:pPr>
        <w:pStyle w:val="FootnoteText"/>
      </w:pPr>
      <w:r w:rsidRPr="00176ADE">
        <w:rPr>
          <w:rStyle w:val="FootnoteReference"/>
        </w:rPr>
        <w:footnoteRef/>
      </w:r>
      <w:r w:rsidRPr="00176ADE">
        <w:t xml:space="preserve"> </w:t>
      </w:r>
      <w:r w:rsidRPr="00176ADE">
        <w:tab/>
        <w:t>Victoria Police data. In 2016-17, 91 per cent of applications were approved, 1.3 per cent were declined, and 7.8 per cent were abandoned or discarded.</w:t>
      </w:r>
    </w:p>
  </w:footnote>
  <w:footnote w:id="58">
    <w:p w14:paraId="310EF00D" w14:textId="36A838FA" w:rsidR="007D4B3A" w:rsidRPr="00176ADE" w:rsidRDefault="007D4B3A" w:rsidP="00052799">
      <w:pPr>
        <w:pStyle w:val="FootnoteText"/>
      </w:pPr>
      <w:r w:rsidRPr="00176ADE">
        <w:rPr>
          <w:rStyle w:val="FootnoteReference"/>
        </w:rPr>
        <w:footnoteRef/>
      </w:r>
      <w:r w:rsidRPr="00176ADE">
        <w:t xml:space="preserve"> </w:t>
      </w:r>
      <w:r w:rsidRPr="00176ADE">
        <w:tab/>
        <w:t>Note that while for licences there is a time-limited duration (e.g. being approved for three or five years), for permits to acquire (and other fee categories where there is no time-limited duration) all of Victoria Police’s costs are incurred at the time the application is assessed and there are technically no ongoing costs of regulatory activity.</w:t>
      </w:r>
      <w:r>
        <w:t xml:space="preserve"> For this reason, an application fee is only proposed for licences, not permits or approvals.</w:t>
      </w:r>
    </w:p>
  </w:footnote>
  <w:footnote w:id="59">
    <w:p w14:paraId="251BF6A5" w14:textId="77777777" w:rsidR="007D4B3A" w:rsidRDefault="007D4B3A" w:rsidP="00052799">
      <w:pPr>
        <w:pStyle w:val="FootnoteText"/>
      </w:pPr>
      <w:r>
        <w:rPr>
          <w:rStyle w:val="FootnoteReference"/>
        </w:rPr>
        <w:footnoteRef/>
      </w:r>
      <w:r>
        <w:t xml:space="preserve"> </w:t>
      </w:r>
      <w:r w:rsidRPr="00262183">
        <w:rPr>
          <w:i/>
        </w:rPr>
        <w:t>Firearms (Amendment) Act 1972</w:t>
      </w:r>
      <w:r>
        <w:t xml:space="preserve">.  </w:t>
      </w:r>
    </w:p>
  </w:footnote>
  <w:footnote w:id="60">
    <w:p w14:paraId="3CD1DC34" w14:textId="77777777" w:rsidR="007D4B3A" w:rsidRDefault="007D4B3A" w:rsidP="00052799">
      <w:pPr>
        <w:pStyle w:val="FootnoteText"/>
      </w:pPr>
      <w:r>
        <w:rPr>
          <w:rStyle w:val="FootnoteReference"/>
        </w:rPr>
        <w:footnoteRef/>
      </w:r>
      <w:r>
        <w:t xml:space="preserve"> Firearms Regulation 2017 (NSW) r 114(3).</w:t>
      </w:r>
    </w:p>
  </w:footnote>
  <w:footnote w:id="61">
    <w:p w14:paraId="59F97C93" w14:textId="6E109110" w:rsidR="007D4B3A" w:rsidRPr="00176ADE" w:rsidRDefault="007D4B3A" w:rsidP="00052799">
      <w:pPr>
        <w:pStyle w:val="FootnoteText"/>
      </w:pPr>
      <w:r w:rsidRPr="00176ADE">
        <w:rPr>
          <w:rStyle w:val="FootnoteReference"/>
        </w:rPr>
        <w:footnoteRef/>
      </w:r>
      <w:r w:rsidRPr="00176ADE">
        <w:t xml:space="preserve"> This estimate is based on Victoria Police data for primary producer waivers </w:t>
      </w:r>
      <w:r w:rsidRPr="00B7389E">
        <w:t xml:space="preserve">for </w:t>
      </w:r>
      <w:r w:rsidRPr="00A60C4C">
        <w:t xml:space="preserve">less than </w:t>
      </w:r>
      <w:r>
        <w:t>8,000</w:t>
      </w:r>
      <w:r w:rsidRPr="00B7389E">
        <w:t xml:space="preserve"> applic</w:t>
      </w:r>
      <w:r w:rsidRPr="00176ADE">
        <w:t>ations, distributed across Category A, B and C</w:t>
      </w:r>
      <w:r>
        <w:t xml:space="preserve"> longarm</w:t>
      </w:r>
      <w:r w:rsidRPr="00176ADE">
        <w:t xml:space="preserve"> licen</w:t>
      </w:r>
      <w:r>
        <w:t>s</w:t>
      </w:r>
      <w:r w:rsidRPr="00176ADE">
        <w:t>ees. To some extent this waiver may overlap with the waiver for category A/B</w:t>
      </w:r>
      <w:r>
        <w:t xml:space="preserve"> longarm</w:t>
      </w:r>
      <w:r w:rsidRPr="00176ADE">
        <w:t xml:space="preserve"> licences where a category C</w:t>
      </w:r>
      <w:r>
        <w:t xml:space="preserve"> longarm</w:t>
      </w:r>
      <w:r w:rsidRPr="00176ADE">
        <w:t xml:space="preserve"> licence is already held.</w:t>
      </w:r>
    </w:p>
  </w:footnote>
  <w:footnote w:id="62">
    <w:p w14:paraId="532CEA65" w14:textId="6E9E8D9C" w:rsidR="007D4B3A" w:rsidRPr="00176ADE" w:rsidRDefault="007D4B3A" w:rsidP="00052799">
      <w:pPr>
        <w:pStyle w:val="FootnoteText"/>
      </w:pPr>
      <w:r w:rsidRPr="00176ADE">
        <w:rPr>
          <w:rStyle w:val="FootnoteReference"/>
        </w:rPr>
        <w:footnoteRef/>
      </w:r>
      <w:r w:rsidRPr="00176ADE">
        <w:t xml:space="preserve"> Agriculture Victoria, </w:t>
      </w:r>
      <w:r w:rsidRPr="00176ADE">
        <w:rPr>
          <w:i/>
        </w:rPr>
        <w:t>Invasive animal management</w:t>
      </w:r>
      <w:r w:rsidRPr="00176ADE">
        <w:t xml:space="preserve">, http://agriculture.vic.gov.au/agriculture/pests-diseases-and-weeds/pest-animals/invasive-animal-management, accessed </w:t>
      </w:r>
      <w:r>
        <w:t xml:space="preserve">September </w:t>
      </w:r>
      <w:r w:rsidRPr="00176ADE">
        <w:t xml:space="preserve">2017. </w:t>
      </w:r>
    </w:p>
  </w:footnote>
  <w:footnote w:id="63">
    <w:p w14:paraId="7D28FA1B" w14:textId="74B76C1C" w:rsidR="007D4B3A" w:rsidRPr="00176ADE" w:rsidRDefault="007D4B3A" w:rsidP="00052799">
      <w:pPr>
        <w:pStyle w:val="FootnoteText"/>
      </w:pPr>
      <w:r w:rsidRPr="00176ADE">
        <w:rPr>
          <w:rStyle w:val="FootnoteReference"/>
        </w:rPr>
        <w:footnoteRef/>
      </w:r>
      <w:r w:rsidRPr="00176ADE">
        <w:t xml:space="preserve"> Commissioner for Environmental Sustainability Victoria, 2013, </w:t>
      </w:r>
      <w:r w:rsidRPr="00176ADE">
        <w:rPr>
          <w:i/>
        </w:rPr>
        <w:t>Victoria: State of the Environment</w:t>
      </w:r>
      <w:r>
        <w:t>,</w:t>
      </w:r>
      <w:r w:rsidRPr="00176ADE">
        <w:t xml:space="preserve"> 97. Accessed October 2017 at http://www.ces.vic.gov.au/sites/default/files/publication-documents/2013%20SoE%20report%20full.pdf</w:t>
      </w:r>
      <w:r>
        <w:t>.</w:t>
      </w:r>
    </w:p>
  </w:footnote>
  <w:footnote w:id="64">
    <w:p w14:paraId="280FE0B6" w14:textId="77777777" w:rsidR="007D4B3A" w:rsidRPr="00176ADE" w:rsidRDefault="007D4B3A" w:rsidP="00052799">
      <w:pPr>
        <w:pStyle w:val="FootnoteText"/>
      </w:pPr>
      <w:r w:rsidRPr="00176ADE">
        <w:rPr>
          <w:rStyle w:val="FootnoteReference"/>
        </w:rPr>
        <w:footnoteRef/>
      </w:r>
      <w:r w:rsidRPr="00176ADE">
        <w:t xml:space="preserve"> Ibid.</w:t>
      </w:r>
    </w:p>
  </w:footnote>
  <w:footnote w:id="65">
    <w:p w14:paraId="042C662F" w14:textId="77777777" w:rsidR="007D4B3A" w:rsidRPr="00176ADE" w:rsidRDefault="007D4B3A" w:rsidP="00052799">
      <w:pPr>
        <w:pStyle w:val="FootnoteText"/>
      </w:pPr>
      <w:r w:rsidRPr="00176ADE">
        <w:rPr>
          <w:rStyle w:val="FootnoteReference"/>
        </w:rPr>
        <w:footnoteRef/>
      </w:r>
      <w:r w:rsidRPr="00176ADE">
        <w:t xml:space="preserve"> Ibid.</w:t>
      </w:r>
    </w:p>
  </w:footnote>
  <w:footnote w:id="66">
    <w:p w14:paraId="3658D82A" w14:textId="2AA5BFAE" w:rsidR="007D4B3A" w:rsidRPr="00176ADE" w:rsidRDefault="007D4B3A" w:rsidP="00052799">
      <w:pPr>
        <w:pStyle w:val="FootnoteText"/>
      </w:pPr>
      <w:r w:rsidRPr="00176ADE">
        <w:rPr>
          <w:rStyle w:val="FootnoteReference"/>
        </w:rPr>
        <w:footnoteRef/>
      </w:r>
      <w:r w:rsidRPr="00176ADE">
        <w:t xml:space="preserve"> Victoria, </w:t>
      </w:r>
      <w:r w:rsidRPr="00176ADE">
        <w:rPr>
          <w:i/>
        </w:rPr>
        <w:t xml:space="preserve">Parliamentary Debates, </w:t>
      </w:r>
      <w:r w:rsidRPr="00176ADE">
        <w:t xml:space="preserve">Legislative Assembly, Tuesday </w:t>
      </w:r>
      <w:r>
        <w:t>31 October 1996, 1004 (W</w:t>
      </w:r>
      <w:r w:rsidRPr="00176ADE">
        <w:t xml:space="preserve"> D McGrath, Minister for Police and Emergency Services)</w:t>
      </w:r>
      <w:r>
        <w:t>.</w:t>
      </w:r>
    </w:p>
  </w:footnote>
  <w:footnote w:id="67">
    <w:p w14:paraId="09699ADA" w14:textId="77777777" w:rsidR="007D4B3A" w:rsidRDefault="007D4B3A" w:rsidP="00052799">
      <w:pPr>
        <w:pStyle w:val="FootnoteText"/>
      </w:pPr>
      <w:r>
        <w:rPr>
          <w:rStyle w:val="FootnoteReference"/>
        </w:rPr>
        <w:footnoteRef/>
      </w:r>
      <w:r>
        <w:t xml:space="preserve"> </w:t>
      </w:r>
      <w:r w:rsidRPr="007B47FC">
        <w:rPr>
          <w:i/>
        </w:rPr>
        <w:t>Firearms Act 1996</w:t>
      </w:r>
      <w:r>
        <w:t>, section 18.</w:t>
      </w:r>
    </w:p>
  </w:footnote>
  <w:footnote w:id="68">
    <w:p w14:paraId="33665DA2" w14:textId="1CCEB55B" w:rsidR="007D4B3A" w:rsidRPr="00176ADE" w:rsidRDefault="007D4B3A" w:rsidP="00052799">
      <w:pPr>
        <w:pStyle w:val="FootnoteText"/>
      </w:pPr>
      <w:r w:rsidRPr="00176ADE">
        <w:rPr>
          <w:rStyle w:val="FootnoteReference"/>
        </w:rPr>
        <w:footnoteRef/>
      </w:r>
      <w:r w:rsidRPr="00176ADE">
        <w:t xml:space="preserve"> This excludes additional costs incurred by the Department of </w:t>
      </w:r>
      <w:r w:rsidRPr="006A36F8">
        <w:t>Justice and Regulation to the value of $130,000 per annum</w:t>
      </w:r>
      <w:r>
        <w:t>—</w:t>
      </w:r>
      <w:r w:rsidRPr="00A60C4C">
        <w:t>this relates to the activities undertaken within the Department by the VPS 4 staff member and VPS 6 supervising officer in facilitating the activities of the Firearms Appeals Committee.</w:t>
      </w:r>
    </w:p>
  </w:footnote>
  <w:footnote w:id="69">
    <w:p w14:paraId="49E4EB22" w14:textId="6A61DA90" w:rsidR="007D4B3A" w:rsidRDefault="007D4B3A">
      <w:pPr>
        <w:pStyle w:val="FootnoteText"/>
      </w:pPr>
      <w:r>
        <w:rPr>
          <w:rStyle w:val="FootnoteReference"/>
        </w:rPr>
        <w:footnoteRef/>
      </w:r>
      <w:r>
        <w:t xml:space="preserve"> The </w:t>
      </w:r>
      <w:r w:rsidRPr="00BB100E">
        <w:rPr>
          <w:i/>
        </w:rPr>
        <w:t>State Concessions Act 2004</w:t>
      </w:r>
      <w:r>
        <w:t xml:space="preserve"> defines an eligible recipient as a holder</w:t>
      </w:r>
      <w:r w:rsidRPr="00BB100E">
        <w:t xml:space="preserve"> of a pensioner concession card issued under s 1061ZF of the </w:t>
      </w:r>
      <w:r w:rsidRPr="00BB100E">
        <w:rPr>
          <w:i/>
        </w:rPr>
        <w:t>Social Security Act 1991</w:t>
      </w:r>
      <w:r w:rsidRPr="00BB100E">
        <w:t xml:space="preserve"> (Cth),</w:t>
      </w:r>
      <w:r>
        <w:t xml:space="preserve"> or a holder of a Gold Card, being a card issued to a person who is eligible:</w:t>
      </w:r>
    </w:p>
    <w:p w14:paraId="0DEA7E31" w14:textId="0082218E" w:rsidR="007D4B3A" w:rsidRDefault="007D4B3A" w:rsidP="00BB100E">
      <w:pPr>
        <w:pStyle w:val="FootnoteText"/>
        <w:numPr>
          <w:ilvl w:val="0"/>
          <w:numId w:val="85"/>
        </w:numPr>
      </w:pPr>
      <w:r>
        <w:t xml:space="preserve">for treatment under Part V of the </w:t>
      </w:r>
      <w:r w:rsidRPr="00BB100E">
        <w:rPr>
          <w:i/>
        </w:rPr>
        <w:t>Veterans' Entitlement Act 1986</w:t>
      </w:r>
      <w:r>
        <w:t xml:space="preserve"> (Cth) (</w:t>
      </w:r>
      <w:r w:rsidRPr="00BB100E">
        <w:t>veterans in receipt of a pension arising from an injury or disease caused by war</w:t>
      </w:r>
      <w:r>
        <w:t>)</w:t>
      </w:r>
    </w:p>
    <w:p w14:paraId="4CD23057" w14:textId="754B5C3B" w:rsidR="007D4B3A" w:rsidRDefault="007D4B3A" w:rsidP="00BB100E">
      <w:pPr>
        <w:pStyle w:val="FootnoteText"/>
        <w:numPr>
          <w:ilvl w:val="0"/>
          <w:numId w:val="85"/>
        </w:numPr>
      </w:pPr>
      <w:r>
        <w:t xml:space="preserve">to receive a pension under section 13(1) of the </w:t>
      </w:r>
      <w:r w:rsidRPr="00BB100E">
        <w:rPr>
          <w:i/>
        </w:rPr>
        <w:t>Veterans’ Entitlement Act 1986</w:t>
      </w:r>
      <w:r>
        <w:t xml:space="preserve"> (Cth) as a totally and permanently incapacitated veteran, or</w:t>
      </w:r>
    </w:p>
    <w:p w14:paraId="2AC75392" w14:textId="33163065" w:rsidR="007D4B3A" w:rsidRDefault="007D4B3A" w:rsidP="00BB100E">
      <w:pPr>
        <w:pStyle w:val="FootnoteText"/>
        <w:numPr>
          <w:ilvl w:val="0"/>
          <w:numId w:val="85"/>
        </w:numPr>
      </w:pPr>
      <w:r>
        <w:t xml:space="preserve">to receive a pension under section 13(1) of the </w:t>
      </w:r>
      <w:r w:rsidRPr="00BB100E">
        <w:rPr>
          <w:i/>
        </w:rPr>
        <w:t>Veterans’ Entitlement Act 1986</w:t>
      </w:r>
      <w:r>
        <w:t xml:space="preserve"> (Cth) as the widow or widower of a veteran.</w:t>
      </w:r>
    </w:p>
  </w:footnote>
  <w:footnote w:id="70">
    <w:p w14:paraId="7922F1C8" w14:textId="44FBAE04" w:rsidR="007D4B3A" w:rsidRPr="00176ADE" w:rsidRDefault="007D4B3A" w:rsidP="00052799">
      <w:pPr>
        <w:pStyle w:val="FootnoteText"/>
      </w:pPr>
      <w:r w:rsidRPr="00176ADE">
        <w:rPr>
          <w:rStyle w:val="FootnoteReference"/>
        </w:rPr>
        <w:footnoteRef/>
      </w:r>
      <w:r w:rsidRPr="00176ADE">
        <w:t xml:space="preserve"> </w:t>
      </w:r>
      <w:r w:rsidRPr="004B487D">
        <w:t>Wildlife (Game) Regulations</w:t>
      </w:r>
      <w:r w:rsidRPr="00AA1142">
        <w:t xml:space="preserve"> </w:t>
      </w:r>
      <w:r w:rsidRPr="004B487D">
        <w:t>2012</w:t>
      </w:r>
      <w:r>
        <w:t>,</w:t>
      </w:r>
      <w:r w:rsidRPr="00176ADE">
        <w:t xml:space="preserve"> r</w:t>
      </w:r>
      <w:r>
        <w:t>eg</w:t>
      </w:r>
      <w:r w:rsidRPr="00176ADE">
        <w:t xml:space="preserve"> 7(2). The concession is available to eligible recipients within the meaning of the </w:t>
      </w:r>
      <w:r w:rsidRPr="00176ADE">
        <w:rPr>
          <w:i/>
        </w:rPr>
        <w:t xml:space="preserve">State Concessions Act 2004, </w:t>
      </w:r>
      <w:r w:rsidRPr="00176ADE">
        <w:t>but does not apply to others aged over 70.</w:t>
      </w:r>
    </w:p>
  </w:footnote>
  <w:footnote w:id="71">
    <w:p w14:paraId="4CA26F01" w14:textId="064FA4E0" w:rsidR="007D4B3A" w:rsidRPr="00176ADE" w:rsidRDefault="007D4B3A" w:rsidP="00052799">
      <w:pPr>
        <w:pStyle w:val="FootnoteText"/>
      </w:pPr>
      <w:r w:rsidRPr="00176ADE">
        <w:rPr>
          <w:rStyle w:val="FootnoteReference"/>
        </w:rPr>
        <w:footnoteRef/>
      </w:r>
      <w:r w:rsidRPr="00176ADE">
        <w:t xml:space="preserve"> </w:t>
      </w:r>
      <w:r w:rsidRPr="00176ADE">
        <w:tab/>
      </w:r>
      <w:r w:rsidRPr="004B487D">
        <w:t>Fisheries Regulations 2009</w:t>
      </w:r>
      <w:r>
        <w:t>,</w:t>
      </w:r>
      <w:r w:rsidRPr="00176ADE">
        <w:t xml:space="preserve"> r</w:t>
      </w:r>
      <w:r>
        <w:t>eg</w:t>
      </w:r>
      <w:r w:rsidRPr="00176ADE">
        <w:t xml:space="preserve"> 66. The concession is available to people aged over 70, concession card holders, returned service people and certain other groups.</w:t>
      </w:r>
    </w:p>
  </w:footnote>
  <w:footnote w:id="72">
    <w:p w14:paraId="0E896231" w14:textId="77777777" w:rsidR="007D4B3A" w:rsidRPr="00176ADE" w:rsidRDefault="007D4B3A" w:rsidP="00052799">
      <w:pPr>
        <w:pStyle w:val="FootnoteText"/>
      </w:pPr>
      <w:r w:rsidRPr="00176ADE">
        <w:rPr>
          <w:rStyle w:val="FootnoteReference"/>
        </w:rPr>
        <w:footnoteRef/>
      </w:r>
      <w:r w:rsidRPr="00176ADE">
        <w:t xml:space="preserve">  </w:t>
      </w:r>
      <w:r w:rsidRPr="004B487D">
        <w:t>Firearms Regulations 2016</w:t>
      </w:r>
      <w:r w:rsidRPr="00176ADE">
        <w:rPr>
          <w:i/>
        </w:rPr>
        <w:t xml:space="preserve"> </w:t>
      </w:r>
      <w:r w:rsidRPr="00176ADE">
        <w:t>(Tas) reg 22.</w:t>
      </w:r>
    </w:p>
  </w:footnote>
  <w:footnote w:id="73">
    <w:p w14:paraId="4788A9B2" w14:textId="41102C71" w:rsidR="007D4B3A" w:rsidRPr="00176ADE" w:rsidRDefault="007D4B3A" w:rsidP="00052799">
      <w:pPr>
        <w:pStyle w:val="FootnoteText"/>
      </w:pPr>
      <w:r w:rsidRPr="00176ADE">
        <w:rPr>
          <w:rStyle w:val="FootnoteReference"/>
        </w:rPr>
        <w:footnoteRef/>
      </w:r>
      <w:r w:rsidRPr="00176ADE">
        <w:t xml:space="preserve"> Victoria Police data. As at October 2017, there were </w:t>
      </w:r>
      <w:r>
        <w:t>less than 27,000</w:t>
      </w:r>
      <w:r w:rsidRPr="00176ADE">
        <w:t xml:space="preserve"> current firearm licence holders who were over 70 years old.</w:t>
      </w:r>
    </w:p>
  </w:footnote>
  <w:footnote w:id="74">
    <w:p w14:paraId="60E2FED5" w14:textId="366F42BC" w:rsidR="007D4B3A" w:rsidRPr="00176ADE" w:rsidRDefault="007D4B3A" w:rsidP="004B487D">
      <w:pPr>
        <w:pStyle w:val="FootnoteText"/>
        <w:jc w:val="left"/>
      </w:pPr>
      <w:r w:rsidRPr="00176ADE">
        <w:rPr>
          <w:rStyle w:val="FootnoteReference"/>
        </w:rPr>
        <w:footnoteRef/>
      </w:r>
      <w:r w:rsidRPr="00176ADE">
        <w:t xml:space="preserve"> </w:t>
      </w:r>
      <w:r>
        <w:t xml:space="preserve">Game Management Authority, </w:t>
      </w:r>
      <w:r w:rsidRPr="004B487D">
        <w:rPr>
          <w:i/>
        </w:rPr>
        <w:t>Game Licence Statistics: Summary Report – 2016</w:t>
      </w:r>
      <w:r>
        <w:t xml:space="preserve"> (August 2016) </w:t>
      </w:r>
      <w:r w:rsidRPr="00176ADE">
        <w:t>http://www.gma.vic.gov.au/__data/assets/pdf_file/0012/324030/Game-Licence-Statistics-Summary-Report-2016.pdf</w:t>
      </w:r>
      <w:r>
        <w:t>.</w:t>
      </w:r>
    </w:p>
  </w:footnote>
  <w:footnote w:id="75">
    <w:p w14:paraId="7F57242A" w14:textId="77777777" w:rsidR="007D4B3A" w:rsidRPr="0038179F" w:rsidRDefault="007D4B3A" w:rsidP="00052799">
      <w:pPr>
        <w:pStyle w:val="FootnoteText"/>
        <w:rPr>
          <w:szCs w:val="16"/>
        </w:rPr>
      </w:pPr>
      <w:r w:rsidRPr="004B487D">
        <w:rPr>
          <w:rStyle w:val="FootnoteReference"/>
          <w:szCs w:val="16"/>
        </w:rPr>
        <w:footnoteRef/>
      </w:r>
      <w:r w:rsidRPr="004B487D">
        <w:rPr>
          <w:szCs w:val="16"/>
        </w:rPr>
        <w:t xml:space="preserve"> Department of Economic Development, Jobs, Transport, and Resources, 2016, </w:t>
      </w:r>
      <w:r w:rsidRPr="004B487D">
        <w:rPr>
          <w:i/>
          <w:szCs w:val="16"/>
        </w:rPr>
        <w:t xml:space="preserve">Regulatory Impact Statement – Recreational Fishery Licence Fees, </w:t>
      </w:r>
      <w:r w:rsidRPr="004B487D">
        <w:rPr>
          <w:szCs w:val="16"/>
        </w:rPr>
        <w:t xml:space="preserve">p. 21-26.  </w:t>
      </w:r>
    </w:p>
  </w:footnote>
  <w:footnote w:id="76">
    <w:p w14:paraId="4D1369F3" w14:textId="77777777" w:rsidR="007D4B3A" w:rsidRPr="0038179F" w:rsidRDefault="007D4B3A" w:rsidP="00052799">
      <w:pPr>
        <w:pStyle w:val="FootnoteText"/>
        <w:rPr>
          <w:szCs w:val="16"/>
        </w:rPr>
      </w:pPr>
      <w:r w:rsidRPr="0038179F">
        <w:rPr>
          <w:rStyle w:val="FootnoteReference"/>
          <w:szCs w:val="16"/>
        </w:rPr>
        <w:footnoteRef/>
      </w:r>
      <w:r w:rsidRPr="0038179F">
        <w:rPr>
          <w:szCs w:val="16"/>
        </w:rPr>
        <w:t xml:space="preserve"> </w:t>
      </w:r>
      <w:r w:rsidRPr="004B487D">
        <w:rPr>
          <w:szCs w:val="16"/>
        </w:rPr>
        <w:t xml:space="preserve">Commissioner for Senior Victorians, </w:t>
      </w:r>
      <w:r w:rsidRPr="004B487D">
        <w:rPr>
          <w:i/>
          <w:szCs w:val="16"/>
        </w:rPr>
        <w:t>Ageing is everyone’s business: A report on isolation and loneliness among senior Victorians</w:t>
      </w:r>
      <w:r w:rsidRPr="004B487D">
        <w:rPr>
          <w:szCs w:val="16"/>
        </w:rPr>
        <w:t xml:space="preserve"> (January 2016).</w:t>
      </w:r>
    </w:p>
  </w:footnote>
  <w:footnote w:id="77">
    <w:p w14:paraId="7CD47181" w14:textId="1A72B54D" w:rsidR="007D4B3A" w:rsidRPr="003E05DC" w:rsidRDefault="007D4B3A" w:rsidP="00052799">
      <w:pPr>
        <w:pStyle w:val="FootnoteText"/>
        <w:jc w:val="left"/>
        <w:rPr>
          <w:sz w:val="18"/>
          <w:szCs w:val="18"/>
        </w:rPr>
      </w:pPr>
      <w:r w:rsidRPr="004B487D">
        <w:rPr>
          <w:rStyle w:val="FootnoteReference"/>
          <w:szCs w:val="16"/>
        </w:rPr>
        <w:footnoteRef/>
      </w:r>
      <w:r w:rsidRPr="004B487D">
        <w:rPr>
          <w:szCs w:val="16"/>
        </w:rPr>
        <w:t xml:space="preserve"> Martin Foley MP, Minister for Housing Disability and Ageing, </w:t>
      </w:r>
      <w:r w:rsidRPr="004B487D">
        <w:rPr>
          <w:i/>
          <w:szCs w:val="16"/>
        </w:rPr>
        <w:t>Victorian</w:t>
      </w:r>
      <w:r w:rsidRPr="004B487D">
        <w:rPr>
          <w:szCs w:val="16"/>
        </w:rPr>
        <w:t xml:space="preserve"> </w:t>
      </w:r>
      <w:r w:rsidRPr="004B487D">
        <w:rPr>
          <w:i/>
          <w:szCs w:val="16"/>
        </w:rPr>
        <w:t xml:space="preserve">Government Response to Ageing is Everyone’s Business </w:t>
      </w:r>
      <w:r w:rsidRPr="004B487D">
        <w:rPr>
          <w:szCs w:val="16"/>
        </w:rPr>
        <w:t>(2016), available at https://www.seniorsonline.vic.gov.au/services-information/commissioner-for-senior-victorians/government-response-to-ageing-is-everyones-business</w:t>
      </w:r>
      <w:r w:rsidRPr="003E05DC">
        <w:rPr>
          <w:sz w:val="18"/>
          <w:szCs w:val="18"/>
        </w:rPr>
        <w:t xml:space="preserve">. </w:t>
      </w:r>
    </w:p>
  </w:footnote>
  <w:footnote w:id="78">
    <w:p w14:paraId="7D136715" w14:textId="77777777" w:rsidR="007D4B3A" w:rsidRPr="0038179F" w:rsidRDefault="007D4B3A" w:rsidP="00052799">
      <w:pPr>
        <w:pStyle w:val="FootnoteText"/>
        <w:rPr>
          <w:szCs w:val="16"/>
        </w:rPr>
      </w:pPr>
      <w:r w:rsidRPr="0038179F">
        <w:rPr>
          <w:rStyle w:val="FootnoteReference"/>
          <w:szCs w:val="16"/>
        </w:rPr>
        <w:footnoteRef/>
      </w:r>
      <w:r w:rsidRPr="0038179F">
        <w:rPr>
          <w:szCs w:val="16"/>
        </w:rPr>
        <w:t xml:space="preserve"> </w:t>
      </w:r>
      <w:r w:rsidRPr="0038179F">
        <w:rPr>
          <w:szCs w:val="16"/>
        </w:rPr>
        <w:tab/>
      </w:r>
      <w:r w:rsidRPr="004B487D">
        <w:rPr>
          <w:szCs w:val="16"/>
        </w:rPr>
        <w:t>Australian Bureau of Statistics, 2017, Census of Population and Housing 2016.</w:t>
      </w:r>
      <w:r w:rsidRPr="0038179F">
        <w:rPr>
          <w:szCs w:val="16"/>
        </w:rPr>
        <w:t xml:space="preserve"> </w:t>
      </w:r>
    </w:p>
  </w:footnote>
  <w:footnote w:id="79">
    <w:p w14:paraId="6C668F55" w14:textId="77777777" w:rsidR="007D4B3A" w:rsidRPr="004B487D" w:rsidRDefault="007D4B3A" w:rsidP="00052799">
      <w:pPr>
        <w:pStyle w:val="FootnoteText"/>
        <w:rPr>
          <w:szCs w:val="16"/>
        </w:rPr>
      </w:pPr>
      <w:r w:rsidRPr="0038179F">
        <w:rPr>
          <w:rStyle w:val="FootnoteReference"/>
          <w:szCs w:val="16"/>
        </w:rPr>
        <w:footnoteRef/>
      </w:r>
      <w:r w:rsidRPr="0038179F">
        <w:rPr>
          <w:szCs w:val="16"/>
        </w:rPr>
        <w:t xml:space="preserve"> </w:t>
      </w:r>
      <w:r w:rsidRPr="0038179F">
        <w:rPr>
          <w:szCs w:val="16"/>
        </w:rPr>
        <w:tab/>
      </w:r>
      <w:r w:rsidRPr="004B487D">
        <w:rPr>
          <w:szCs w:val="16"/>
        </w:rPr>
        <w:t>Australian Bureau of Statistics, 2017, Household Income and Wealth Australia Summary Results 2015-16. Table 12.2. Households of people over the age of 75 indicated by households with a ‘reference person’ over the age of 75.</w:t>
      </w:r>
    </w:p>
  </w:footnote>
  <w:footnote w:id="80">
    <w:p w14:paraId="66731DA6" w14:textId="0DA56098" w:rsidR="007D4B3A" w:rsidRDefault="007D4B3A">
      <w:pPr>
        <w:pStyle w:val="FootnoteText"/>
      </w:pPr>
      <w:r>
        <w:rPr>
          <w:rStyle w:val="FootnoteReference"/>
        </w:rPr>
        <w:footnoteRef/>
      </w:r>
      <w:r>
        <w:t xml:space="preserve"> Not that the fee for a permit to acquire a category B or C longarm is among the fees to increase by more than 100 per cent. However, this fee has not been indexed since 2008, because it was set in dollar terms at that time. Accordingly, the increase partially reflects the lack of indexation since that time. Similarly, the large percentage increases to the fees for a permit to acquire a category A longarm (91%) and for a permit to acquire a paintball marker (91%) partially reflect the lack of indexation to these amounts.</w:t>
      </w:r>
    </w:p>
  </w:footnote>
  <w:footnote w:id="81">
    <w:p w14:paraId="35958FB7" w14:textId="0139FD19" w:rsidR="007D4B3A" w:rsidRPr="00176ADE" w:rsidRDefault="007D4B3A" w:rsidP="00052799">
      <w:pPr>
        <w:pStyle w:val="FootnoteText"/>
      </w:pPr>
      <w:r w:rsidRPr="00176ADE">
        <w:rPr>
          <w:rStyle w:val="FootnoteReference"/>
        </w:rPr>
        <w:footnoteRef/>
      </w:r>
      <w:r>
        <w:t xml:space="preserve"> Estimated based on 963 a</w:t>
      </w:r>
      <w:r w:rsidRPr="00176ADE">
        <w:t>ffected firearms collected, four instances per annum of recording changes, and five minutes required per change. Hourly rate of $63.08 based on weekly earnings for administrative support services (ABS Cat. 6302.0 May 2017) of $1351.8, a 37.5 hour work week, and 75 per cent overheads (Victorian Guide to Regulation).</w:t>
      </w:r>
    </w:p>
  </w:footnote>
  <w:footnote w:id="82">
    <w:p w14:paraId="45B71F3F" w14:textId="77777777" w:rsidR="007D4B3A" w:rsidRDefault="007D4B3A" w:rsidP="00052799">
      <w:pPr>
        <w:pStyle w:val="FootnoteText"/>
      </w:pPr>
      <w:r>
        <w:rPr>
          <w:rStyle w:val="FootnoteReference"/>
        </w:rPr>
        <w:footnoteRef/>
      </w:r>
      <w:r>
        <w:t xml:space="preserve"> Firearms Regulations 1997, r 8.</w:t>
      </w:r>
    </w:p>
  </w:footnote>
  <w:footnote w:id="83">
    <w:p w14:paraId="1D367D78" w14:textId="77777777" w:rsidR="007D4B3A" w:rsidRDefault="007D4B3A" w:rsidP="00052799">
      <w:pPr>
        <w:pStyle w:val="FootnoteText"/>
      </w:pPr>
      <w:r>
        <w:rPr>
          <w:rStyle w:val="FootnoteReference"/>
        </w:rPr>
        <w:footnoteRef/>
      </w:r>
      <w:r>
        <w:t xml:space="preserve"> Including firearms manufactured prior to 1900 for which ammunition is not commercially available.</w:t>
      </w:r>
    </w:p>
  </w:footnote>
  <w:footnote w:id="84">
    <w:p w14:paraId="4E78264E" w14:textId="77777777" w:rsidR="007D4B3A" w:rsidRDefault="007D4B3A" w:rsidP="00052799">
      <w:pPr>
        <w:pStyle w:val="FootnoteText"/>
      </w:pPr>
      <w:r>
        <w:rPr>
          <w:rStyle w:val="FootnoteReference"/>
        </w:rPr>
        <w:footnoteRef/>
      </w:r>
      <w:r>
        <w:t xml:space="preserve"> </w:t>
      </w:r>
      <w:r w:rsidRPr="000A4106">
        <w:rPr>
          <w:i/>
        </w:rPr>
        <w:t>Firearms (Trafficking and Handgun Control) Bill 2003</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F7C4F" w14:textId="77777777" w:rsidR="007D4B3A" w:rsidRDefault="007D4B3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4E717" w14:textId="77777777" w:rsidR="007D4B3A" w:rsidRDefault="007D4B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1" w:rightFromText="181" w:vertAnchor="page" w:horzAnchor="margin" w:tblpY="5671"/>
      <w:tblOverlap w:val="never"/>
      <w:tblW w:w="5000" w:type="pct"/>
      <w:tblCellMar>
        <w:left w:w="0" w:type="dxa"/>
        <w:right w:w="0" w:type="dxa"/>
      </w:tblCellMar>
      <w:tblLook w:val="01E0" w:firstRow="1" w:lastRow="1" w:firstColumn="1" w:lastColumn="1" w:noHBand="0" w:noVBand="0"/>
    </w:tblPr>
    <w:tblGrid>
      <w:gridCol w:w="9921"/>
    </w:tblGrid>
    <w:tr w:rsidR="007D4B3A" w14:paraId="783A7A5F" w14:textId="77777777" w:rsidTr="00CD1219">
      <w:trPr>
        <w:trHeight w:val="279"/>
      </w:trPr>
      <w:tc>
        <w:tcPr>
          <w:tcW w:w="5000" w:type="pct"/>
          <w:shd w:val="clear" w:color="auto" w:fill="auto"/>
        </w:tcPr>
        <w:p w14:paraId="50BC2F37" w14:textId="32D4D75C" w:rsidR="007D4B3A" w:rsidRPr="00052799" w:rsidRDefault="007D4B3A" w:rsidP="00052799">
          <w:pPr>
            <w:pStyle w:val="NoStyle"/>
            <w:rPr>
              <w:sz w:val="6"/>
            </w:rPr>
          </w:pPr>
          <w:bookmarkStart w:id="2" w:name="Caveat_Table"/>
          <w:r w:rsidRPr="001C7D77">
            <w:rPr>
              <w:sz w:val="6"/>
            </w:rPr>
            <w:t xml:space="preserve"> </w:t>
          </w:r>
        </w:p>
        <w:p w14:paraId="5E6C3502" w14:textId="54CE377C" w:rsidR="007D4B3A" w:rsidRPr="00CD1219" w:rsidRDefault="007D4B3A" w:rsidP="00CD1219">
          <w:pPr>
            <w:pStyle w:val="NoStyle"/>
            <w:rPr>
              <w:sz w:val="12"/>
              <w:szCs w:val="12"/>
            </w:rPr>
          </w:pPr>
        </w:p>
      </w:tc>
    </w:tr>
    <w:bookmarkEnd w:id="2"/>
  </w:tbl>
  <w:p w14:paraId="767576E2" w14:textId="73E8FF9C" w:rsidR="007D4B3A" w:rsidRPr="00052799" w:rsidRDefault="007D4B3A" w:rsidP="00052799">
    <w:pPr>
      <w:pStyle w:val="NoSty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DE8B7" w14:textId="77777777" w:rsidR="007D4B3A" w:rsidRDefault="007D4B3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33E48" w14:textId="77777777" w:rsidR="007D4B3A" w:rsidRDefault="007D4B3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5655"/>
      <w:gridCol w:w="4266"/>
    </w:tblGrid>
    <w:tr w:rsidR="007D4B3A" w:rsidRPr="009F29BE" w14:paraId="3B8EAC60" w14:textId="77777777" w:rsidTr="00AB5515">
      <w:tc>
        <w:tcPr>
          <w:tcW w:w="2850" w:type="pct"/>
          <w:vAlign w:val="bottom"/>
        </w:tcPr>
        <w:p w14:paraId="4C579DB8" w14:textId="0B85A06F" w:rsidR="007D4B3A" w:rsidRPr="00A46E63" w:rsidRDefault="007D4B3A" w:rsidP="00A46E63">
          <w:pPr>
            <w:pStyle w:val="Header"/>
          </w:pPr>
          <w:r>
            <w:t>Police Policy &amp; Governance</w:t>
          </w:r>
        </w:p>
      </w:tc>
      <w:tc>
        <w:tcPr>
          <w:tcW w:w="2150" w:type="pct"/>
          <w:vAlign w:val="bottom"/>
        </w:tcPr>
        <w:p w14:paraId="584A759B" w14:textId="477A0965" w:rsidR="007D4B3A" w:rsidRDefault="007D4B3A" w:rsidP="00D175E1">
          <w:pPr>
            <w:pStyle w:val="Header-Right"/>
            <w:pBdr>
              <w:right w:val="single" w:sz="2" w:space="4" w:color="FFFFFF"/>
            </w:pBdr>
          </w:pPr>
          <w:r>
            <w:t>Firearms Regulations 2018</w:t>
          </w:r>
        </w:p>
      </w:tc>
    </w:tr>
  </w:tbl>
  <w:p w14:paraId="6B77BC62" w14:textId="436E536A" w:rsidR="007D4B3A" w:rsidRPr="00EE172C" w:rsidRDefault="007D4B3A" w:rsidP="0072569D">
    <w:pPr>
      <w:pStyle w:val="NoSty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39DDE" w14:textId="77777777" w:rsidR="007D4B3A" w:rsidRDefault="007D4B3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8628"/>
      <w:gridCol w:w="6509"/>
    </w:tblGrid>
    <w:tr w:rsidR="007D4B3A" w:rsidRPr="009F29BE" w14:paraId="770EDBC4" w14:textId="77777777" w:rsidTr="00AB5515">
      <w:tc>
        <w:tcPr>
          <w:tcW w:w="2850" w:type="pct"/>
          <w:vAlign w:val="bottom"/>
        </w:tcPr>
        <w:p w14:paraId="2C7E1BDD" w14:textId="2FC5AC6A" w:rsidR="007D4B3A" w:rsidRPr="00A46E63" w:rsidRDefault="007D4B3A" w:rsidP="00A46E63">
          <w:pPr>
            <w:pStyle w:val="Header"/>
          </w:pPr>
          <w:r>
            <w:t>Police Policy &amp; Governance</w:t>
          </w:r>
        </w:p>
      </w:tc>
      <w:tc>
        <w:tcPr>
          <w:tcW w:w="2150" w:type="pct"/>
          <w:vAlign w:val="bottom"/>
        </w:tcPr>
        <w:p w14:paraId="7CFFA94D" w14:textId="110E6E4E" w:rsidR="007D4B3A" w:rsidRDefault="007D4B3A" w:rsidP="00D175E1">
          <w:pPr>
            <w:pStyle w:val="Header-Right"/>
            <w:pBdr>
              <w:right w:val="single" w:sz="2" w:space="4" w:color="FFFFFF"/>
            </w:pBdr>
          </w:pPr>
          <w:r>
            <w:t>Firearms Regulations 2018</w:t>
          </w:r>
        </w:p>
      </w:tc>
    </w:tr>
  </w:tbl>
  <w:p w14:paraId="1011E485" w14:textId="262D49D0" w:rsidR="007D4B3A" w:rsidRPr="00EE172C" w:rsidRDefault="007D4B3A" w:rsidP="0072569D">
    <w:pPr>
      <w:pStyle w:val="NoSty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51E90" w14:textId="77777777" w:rsidR="007D4B3A" w:rsidRDefault="007D4B3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5655"/>
      <w:gridCol w:w="4266"/>
    </w:tblGrid>
    <w:tr w:rsidR="007D4B3A" w:rsidRPr="009F29BE" w14:paraId="398DDFB8" w14:textId="77777777" w:rsidTr="00AB5515">
      <w:tc>
        <w:tcPr>
          <w:tcW w:w="2850" w:type="pct"/>
          <w:vAlign w:val="bottom"/>
        </w:tcPr>
        <w:p w14:paraId="3403EA89" w14:textId="33959949" w:rsidR="007D4B3A" w:rsidRPr="00A46E63" w:rsidRDefault="007D4B3A" w:rsidP="00A46E63">
          <w:pPr>
            <w:pStyle w:val="Header"/>
          </w:pPr>
          <w:bookmarkStart w:id="460" w:name="Header"/>
          <w:r>
            <w:t>Police Policy &amp; Governance</w:t>
          </w:r>
        </w:p>
      </w:tc>
      <w:tc>
        <w:tcPr>
          <w:tcW w:w="2150" w:type="pct"/>
          <w:vAlign w:val="bottom"/>
        </w:tcPr>
        <w:p w14:paraId="154956A6" w14:textId="77E823E8" w:rsidR="007D4B3A" w:rsidRDefault="007D4B3A" w:rsidP="00D175E1">
          <w:pPr>
            <w:pStyle w:val="Header-Right"/>
            <w:pBdr>
              <w:right w:val="single" w:sz="2" w:space="4" w:color="FFFFFF"/>
            </w:pBdr>
          </w:pPr>
          <w:r>
            <w:t>Firearms Regulations 2018</w:t>
          </w:r>
        </w:p>
      </w:tc>
    </w:tr>
    <w:bookmarkEnd w:id="460"/>
  </w:tbl>
  <w:p w14:paraId="12CC5F47" w14:textId="77777777" w:rsidR="007D4B3A" w:rsidRPr="00EE172C" w:rsidRDefault="007D4B3A" w:rsidP="0072569D">
    <w:pPr>
      <w:pStyle w:val="NoSty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20607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80E94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9F86C4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928B89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D07DB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FE84D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B83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DAAFF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EACE5B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7888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F5914"/>
    <w:multiLevelType w:val="singleLevel"/>
    <w:tmpl w:val="74A67146"/>
    <w:lvl w:ilvl="0">
      <w:start w:val="1"/>
      <w:numFmt w:val="bullet"/>
      <w:lvlText w:val=""/>
      <w:lvlJc w:val="left"/>
      <w:pPr>
        <w:tabs>
          <w:tab w:val="num" w:pos="340"/>
        </w:tabs>
        <w:ind w:left="340" w:hanging="340"/>
      </w:pPr>
      <w:rPr>
        <w:rFonts w:ascii="Symbol" w:hAnsi="Symbol" w:hint="default"/>
        <w:color w:val="auto"/>
        <w:sz w:val="22"/>
      </w:rPr>
    </w:lvl>
  </w:abstractNum>
  <w:abstractNum w:abstractNumId="11" w15:restartNumberingAfterBreak="0">
    <w:nsid w:val="08804742"/>
    <w:multiLevelType w:val="hybridMultilevel"/>
    <w:tmpl w:val="C86E99A0"/>
    <w:lvl w:ilvl="0" w:tplc="0C090001">
      <w:start w:val="1"/>
      <w:numFmt w:val="bullet"/>
      <w:lvlText w:val=""/>
      <w:lvlJc w:val="left"/>
      <w:pPr>
        <w:ind w:left="1514" w:hanging="360"/>
      </w:pPr>
      <w:rPr>
        <w:rFonts w:ascii="Symbol" w:hAnsi="Symbol"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12" w15:restartNumberingAfterBreak="0">
    <w:nsid w:val="09110962"/>
    <w:multiLevelType w:val="singleLevel"/>
    <w:tmpl w:val="142AF8DE"/>
    <w:lvl w:ilvl="0">
      <w:start w:val="1"/>
      <w:numFmt w:val="bullet"/>
      <w:lvlText w:val=""/>
      <w:lvlJc w:val="left"/>
      <w:pPr>
        <w:tabs>
          <w:tab w:val="num" w:pos="340"/>
        </w:tabs>
        <w:ind w:left="340" w:hanging="340"/>
      </w:pPr>
      <w:rPr>
        <w:rFonts w:ascii="Symbol" w:hAnsi="Symbol" w:hint="default"/>
        <w:color w:val="auto"/>
        <w:sz w:val="22"/>
      </w:rPr>
    </w:lvl>
  </w:abstractNum>
  <w:abstractNum w:abstractNumId="13" w15:restartNumberingAfterBreak="0">
    <w:nsid w:val="0A1451BB"/>
    <w:multiLevelType w:val="singleLevel"/>
    <w:tmpl w:val="8F16EA90"/>
    <w:lvl w:ilvl="0">
      <w:start w:val="1"/>
      <w:numFmt w:val="bullet"/>
      <w:lvlText w:val=""/>
      <w:lvlJc w:val="left"/>
      <w:pPr>
        <w:tabs>
          <w:tab w:val="num" w:pos="340"/>
        </w:tabs>
        <w:ind w:left="340" w:hanging="340"/>
      </w:pPr>
      <w:rPr>
        <w:rFonts w:ascii="Symbol" w:hAnsi="Symbol" w:hint="default"/>
        <w:color w:val="auto"/>
        <w:sz w:val="22"/>
      </w:rPr>
    </w:lvl>
  </w:abstractNum>
  <w:abstractNum w:abstractNumId="14" w15:restartNumberingAfterBreak="0">
    <w:nsid w:val="0B08585F"/>
    <w:multiLevelType w:val="hybridMultilevel"/>
    <w:tmpl w:val="D83CF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BC5388B"/>
    <w:multiLevelType w:val="hybridMultilevel"/>
    <w:tmpl w:val="66122A9C"/>
    <w:lvl w:ilvl="0" w:tplc="0C090001">
      <w:start w:val="1"/>
      <w:numFmt w:val="bullet"/>
      <w:lvlText w:val=""/>
      <w:lvlJc w:val="left"/>
      <w:pPr>
        <w:ind w:left="1514" w:hanging="360"/>
      </w:pPr>
      <w:rPr>
        <w:rFonts w:ascii="Symbol" w:hAnsi="Symbol"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16" w15:restartNumberingAfterBreak="0">
    <w:nsid w:val="0DB342DB"/>
    <w:multiLevelType w:val="hybridMultilevel"/>
    <w:tmpl w:val="7F1E21DC"/>
    <w:lvl w:ilvl="0" w:tplc="03A29D64">
      <w:start w:val="1"/>
      <w:numFmt w:val="bullet"/>
      <w:pStyle w:val="TableText-List3"/>
      <w:lvlText w:val=""/>
      <w:lvlJc w:val="left"/>
      <w:pPr>
        <w:tabs>
          <w:tab w:val="num" w:pos="425"/>
        </w:tabs>
        <w:ind w:left="425" w:hanging="141"/>
      </w:pPr>
      <w:rPr>
        <w:rFonts w:ascii="Symbol" w:hAnsi="Symbol" w:hint="default"/>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F6A7CBF"/>
    <w:multiLevelType w:val="singleLevel"/>
    <w:tmpl w:val="01B0F72C"/>
    <w:lvl w:ilvl="0">
      <w:start w:val="1"/>
      <w:numFmt w:val="bullet"/>
      <w:lvlText w:val=""/>
      <w:lvlJc w:val="left"/>
      <w:pPr>
        <w:tabs>
          <w:tab w:val="num" w:pos="340"/>
        </w:tabs>
        <w:ind w:left="340" w:hanging="340"/>
      </w:pPr>
      <w:rPr>
        <w:rFonts w:ascii="Symbol" w:hAnsi="Symbol" w:hint="default"/>
        <w:color w:val="auto"/>
        <w:sz w:val="22"/>
      </w:rPr>
    </w:lvl>
  </w:abstractNum>
  <w:abstractNum w:abstractNumId="18" w15:restartNumberingAfterBreak="0">
    <w:nsid w:val="101B21D6"/>
    <w:multiLevelType w:val="singleLevel"/>
    <w:tmpl w:val="5EF0B758"/>
    <w:lvl w:ilvl="0">
      <w:start w:val="1"/>
      <w:numFmt w:val="bullet"/>
      <w:lvlText w:val=""/>
      <w:lvlJc w:val="left"/>
      <w:pPr>
        <w:tabs>
          <w:tab w:val="num" w:pos="340"/>
        </w:tabs>
        <w:ind w:left="340" w:hanging="340"/>
      </w:pPr>
      <w:rPr>
        <w:rFonts w:ascii="Symbol" w:hAnsi="Symbol" w:hint="default"/>
        <w:color w:val="auto"/>
        <w:sz w:val="22"/>
      </w:rPr>
    </w:lvl>
  </w:abstractNum>
  <w:abstractNum w:abstractNumId="19" w15:restartNumberingAfterBreak="0">
    <w:nsid w:val="107052B6"/>
    <w:multiLevelType w:val="singleLevel"/>
    <w:tmpl w:val="B3A4239A"/>
    <w:lvl w:ilvl="0">
      <w:start w:val="1"/>
      <w:numFmt w:val="bullet"/>
      <w:lvlText w:val=""/>
      <w:lvlJc w:val="left"/>
      <w:pPr>
        <w:tabs>
          <w:tab w:val="num" w:pos="340"/>
        </w:tabs>
        <w:ind w:left="340" w:hanging="340"/>
      </w:pPr>
      <w:rPr>
        <w:rFonts w:ascii="Symbol" w:hAnsi="Symbol" w:hint="default"/>
        <w:color w:val="auto"/>
        <w:sz w:val="22"/>
      </w:rPr>
    </w:lvl>
  </w:abstractNum>
  <w:abstractNum w:abstractNumId="20" w15:restartNumberingAfterBreak="0">
    <w:nsid w:val="10DE3753"/>
    <w:multiLevelType w:val="singleLevel"/>
    <w:tmpl w:val="8050EF9E"/>
    <w:lvl w:ilvl="0">
      <w:start w:val="1"/>
      <w:numFmt w:val="bullet"/>
      <w:lvlText w:val=""/>
      <w:lvlJc w:val="left"/>
      <w:pPr>
        <w:tabs>
          <w:tab w:val="num" w:pos="340"/>
        </w:tabs>
        <w:ind w:left="340" w:hanging="340"/>
      </w:pPr>
      <w:rPr>
        <w:rFonts w:ascii="Symbol" w:hAnsi="Symbol" w:hint="default"/>
        <w:color w:val="auto"/>
        <w:sz w:val="22"/>
      </w:rPr>
    </w:lvl>
  </w:abstractNum>
  <w:abstractNum w:abstractNumId="21" w15:restartNumberingAfterBreak="0">
    <w:nsid w:val="11AF2C2D"/>
    <w:multiLevelType w:val="singleLevel"/>
    <w:tmpl w:val="5B1475F2"/>
    <w:lvl w:ilvl="0">
      <w:start w:val="1"/>
      <w:numFmt w:val="bullet"/>
      <w:pStyle w:val="Bullet2ndlevel"/>
      <w:lvlText w:val="–"/>
      <w:lvlJc w:val="left"/>
      <w:pPr>
        <w:tabs>
          <w:tab w:val="num" w:pos="340"/>
        </w:tabs>
        <w:ind w:left="340" w:hanging="340"/>
      </w:pPr>
      <w:rPr>
        <w:rFonts w:ascii="Univers 45 Light" w:hAnsi="Univers 45 Light" w:hint="default"/>
        <w:color w:val="auto"/>
        <w:sz w:val="22"/>
      </w:rPr>
    </w:lvl>
  </w:abstractNum>
  <w:abstractNum w:abstractNumId="22" w15:restartNumberingAfterBreak="0">
    <w:nsid w:val="15F915CD"/>
    <w:multiLevelType w:val="hybridMultilevel"/>
    <w:tmpl w:val="0A00E00C"/>
    <w:lvl w:ilvl="0" w:tplc="4B5EC29C">
      <w:start w:val="1"/>
      <w:numFmt w:val="bullet"/>
      <w:pStyle w:val="BodyText-List-RestrictedRelease"/>
      <w:lvlText w:val=""/>
      <w:lvlJc w:val="left"/>
      <w:pPr>
        <w:tabs>
          <w:tab w:val="num" w:pos="720"/>
        </w:tabs>
        <w:ind w:left="720" w:hanging="360"/>
      </w:pPr>
      <w:rPr>
        <w:rFonts w:ascii="Symbol" w:hAnsi="Symbol" w:hint="default"/>
        <w:color w:val="auto"/>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6323D2C"/>
    <w:multiLevelType w:val="multilevel"/>
    <w:tmpl w:val="D40AFAA8"/>
    <w:lvl w:ilvl="0">
      <w:start w:val="1"/>
      <w:numFmt w:val="decimal"/>
      <w:lvlRestart w:val="0"/>
      <w:pStyle w:val="Table-Number"/>
      <w:lvlText w:val="%1"/>
      <w:lvlJc w:val="left"/>
      <w:pPr>
        <w:tabs>
          <w:tab w:val="num" w:pos="283"/>
        </w:tabs>
        <w:ind w:left="283" w:hanging="283"/>
      </w:pPr>
      <w:rPr>
        <w:rFonts w:hint="default"/>
        <w:b w:val="0"/>
        <w:i w:val="0"/>
        <w:sz w:val="18"/>
      </w:rPr>
    </w:lvl>
    <w:lvl w:ilvl="1">
      <w:start w:val="1"/>
      <w:numFmt w:val="lowerLetter"/>
      <w:lvlText w:val="%2)"/>
      <w:lvlJc w:val="left"/>
      <w:pPr>
        <w:tabs>
          <w:tab w:val="num" w:pos="283"/>
        </w:tabs>
        <w:ind w:left="283" w:hanging="283"/>
      </w:pPr>
      <w:rPr>
        <w:rFonts w:ascii="Verdana" w:hAnsi="Verdana" w:hint="default"/>
      </w:rPr>
    </w:lvl>
    <w:lvl w:ilvl="2">
      <w:start w:val="1"/>
      <w:numFmt w:val="lowerRoman"/>
      <w:lvlText w:val="%3"/>
      <w:lvlJc w:val="left"/>
      <w:pPr>
        <w:tabs>
          <w:tab w:val="num" w:pos="567"/>
        </w:tabs>
        <w:ind w:left="567" w:hanging="284"/>
      </w:pPr>
      <w:rPr>
        <w:rFonts w:ascii="Verdana" w:hAnsi="Verdana" w:hint="default"/>
      </w:rPr>
    </w:lvl>
    <w:lvl w:ilvl="3">
      <w:start w:val="1"/>
      <w:numFmt w:val="decimal"/>
      <w:lvlText w:val="%1.%2.%3.%4."/>
      <w:lvlJc w:val="left"/>
      <w:pPr>
        <w:tabs>
          <w:tab w:val="num" w:pos="2160"/>
        </w:tabs>
        <w:ind w:left="1729" w:hanging="652"/>
      </w:pPr>
      <w:rPr>
        <w:rFonts w:ascii="Verdana" w:hAnsi="Verdana" w:hint="default"/>
      </w:rPr>
    </w:lvl>
    <w:lvl w:ilvl="4">
      <w:start w:val="1"/>
      <w:numFmt w:val="decimal"/>
      <w:lvlText w:val="%1.%2.%3.%4.%5."/>
      <w:lvlJc w:val="left"/>
      <w:pPr>
        <w:tabs>
          <w:tab w:val="num" w:pos="2517"/>
        </w:tabs>
        <w:ind w:left="2234" w:hanging="794"/>
      </w:pPr>
      <w:rPr>
        <w:rFonts w:ascii="Verdana" w:hAnsi="Verdana" w:hint="default"/>
      </w:rPr>
    </w:lvl>
    <w:lvl w:ilvl="5">
      <w:start w:val="1"/>
      <w:numFmt w:val="decimal"/>
      <w:lvlText w:val="%1.%2.%3.%4.%5.%6."/>
      <w:lvlJc w:val="left"/>
      <w:pPr>
        <w:tabs>
          <w:tab w:val="num" w:pos="3237"/>
        </w:tabs>
        <w:ind w:left="2738" w:hanging="941"/>
      </w:pPr>
      <w:rPr>
        <w:rFonts w:ascii="Verdana" w:hAnsi="Verdana" w:hint="default"/>
      </w:rPr>
    </w:lvl>
    <w:lvl w:ilvl="6">
      <w:start w:val="1"/>
      <w:numFmt w:val="decimal"/>
      <w:lvlText w:val="%1.%2.%3.%4.%5.%6.%7."/>
      <w:lvlJc w:val="left"/>
      <w:pPr>
        <w:tabs>
          <w:tab w:val="num" w:pos="3957"/>
        </w:tabs>
        <w:ind w:left="3237" w:hanging="1077"/>
      </w:pPr>
      <w:rPr>
        <w:rFonts w:ascii="Verdana" w:hAnsi="Verdana" w:hint="default"/>
      </w:rPr>
    </w:lvl>
    <w:lvl w:ilvl="7">
      <w:start w:val="1"/>
      <w:numFmt w:val="decimal"/>
      <w:lvlText w:val="%1.%2.%3.%4.%5.%6.%7.%8."/>
      <w:lvlJc w:val="left"/>
      <w:pPr>
        <w:tabs>
          <w:tab w:val="num" w:pos="4320"/>
        </w:tabs>
        <w:ind w:left="3742" w:hanging="1225"/>
      </w:pPr>
      <w:rPr>
        <w:rFonts w:ascii="Verdana" w:hAnsi="Verdana" w:hint="default"/>
      </w:rPr>
    </w:lvl>
    <w:lvl w:ilvl="8">
      <w:start w:val="1"/>
      <w:numFmt w:val="decimal"/>
      <w:lvlText w:val="%1.%2.%3.%4.%5.%6.%7.%8.%9."/>
      <w:lvlJc w:val="left"/>
      <w:pPr>
        <w:tabs>
          <w:tab w:val="num" w:pos="5040"/>
        </w:tabs>
        <w:ind w:left="4320" w:hanging="1440"/>
      </w:pPr>
      <w:rPr>
        <w:rFonts w:ascii="Verdana" w:hAnsi="Verdana" w:hint="default"/>
      </w:rPr>
    </w:lvl>
  </w:abstractNum>
  <w:abstractNum w:abstractNumId="24" w15:restartNumberingAfterBreak="0">
    <w:nsid w:val="182200AD"/>
    <w:multiLevelType w:val="multilevel"/>
    <w:tmpl w:val="1F9A9BBA"/>
    <w:lvl w:ilvl="0">
      <w:start w:val="1"/>
      <w:numFmt w:val="decimal"/>
      <w:pStyle w:val="Heading1"/>
      <w:lvlText w:val="%1"/>
      <w:lvlJc w:val="left"/>
      <w:pPr>
        <w:tabs>
          <w:tab w:val="num" w:pos="794"/>
        </w:tabs>
        <w:ind w:left="794" w:hanging="794"/>
      </w:pPr>
      <w:rPr>
        <w:rFonts w:hint="default"/>
      </w:rPr>
    </w:lvl>
    <w:lvl w:ilvl="1">
      <w:start w:val="1"/>
      <w:numFmt w:val="decimal"/>
      <w:pStyle w:val="Heading2"/>
      <w:lvlText w:val="%1.%2"/>
      <w:lvlJc w:val="left"/>
      <w:pPr>
        <w:tabs>
          <w:tab w:val="num" w:pos="794"/>
        </w:tabs>
        <w:ind w:left="794" w:hanging="794"/>
      </w:pPr>
      <w:rPr>
        <w:rFonts w:hint="default"/>
      </w:rPr>
    </w:lvl>
    <w:lvl w:ilvl="2">
      <w:start w:val="1"/>
      <w:numFmt w:val="decimal"/>
      <w:pStyle w:val="Heading3"/>
      <w:lvlText w:val="%1.%2.%3"/>
      <w:lvlJc w:val="left"/>
      <w:pPr>
        <w:tabs>
          <w:tab w:val="num" w:pos="794"/>
        </w:tabs>
        <w:ind w:left="794" w:hanging="794"/>
      </w:pPr>
      <w:rPr>
        <w:rFonts w:hint="default"/>
      </w:rPr>
    </w:lvl>
    <w:lvl w:ilvl="3">
      <w:start w:val="1"/>
      <w:numFmt w:val="none"/>
      <w:pStyle w:val="Heading4"/>
      <w:suff w:val="nothing"/>
      <w:lvlText w:val=""/>
      <w:lvlJc w:val="left"/>
      <w:pPr>
        <w:ind w:left="794" w:firstLine="0"/>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25" w15:restartNumberingAfterBreak="0">
    <w:nsid w:val="19AF72B5"/>
    <w:multiLevelType w:val="hybridMultilevel"/>
    <w:tmpl w:val="90126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1B833064"/>
    <w:multiLevelType w:val="singleLevel"/>
    <w:tmpl w:val="DA0C86F8"/>
    <w:lvl w:ilvl="0">
      <w:start w:val="1"/>
      <w:numFmt w:val="bullet"/>
      <w:lvlText w:val=""/>
      <w:lvlJc w:val="left"/>
      <w:pPr>
        <w:tabs>
          <w:tab w:val="num" w:pos="340"/>
        </w:tabs>
        <w:ind w:left="340" w:hanging="340"/>
      </w:pPr>
      <w:rPr>
        <w:rFonts w:ascii="Symbol" w:hAnsi="Symbol" w:hint="default"/>
        <w:color w:val="auto"/>
        <w:sz w:val="22"/>
      </w:rPr>
    </w:lvl>
  </w:abstractNum>
  <w:abstractNum w:abstractNumId="27" w15:restartNumberingAfterBreak="0">
    <w:nsid w:val="1F1927F8"/>
    <w:multiLevelType w:val="singleLevel"/>
    <w:tmpl w:val="4724A8EE"/>
    <w:lvl w:ilvl="0">
      <w:start w:val="1"/>
      <w:numFmt w:val="bullet"/>
      <w:lvlText w:val=""/>
      <w:lvlJc w:val="left"/>
      <w:pPr>
        <w:tabs>
          <w:tab w:val="num" w:pos="340"/>
        </w:tabs>
        <w:ind w:left="340" w:hanging="340"/>
      </w:pPr>
      <w:rPr>
        <w:rFonts w:ascii="Symbol" w:hAnsi="Symbol" w:hint="default"/>
        <w:color w:val="auto"/>
        <w:sz w:val="22"/>
      </w:rPr>
    </w:lvl>
  </w:abstractNum>
  <w:abstractNum w:abstractNumId="28" w15:restartNumberingAfterBreak="0">
    <w:nsid w:val="20FA5645"/>
    <w:multiLevelType w:val="singleLevel"/>
    <w:tmpl w:val="996EC0E2"/>
    <w:lvl w:ilvl="0">
      <w:start w:val="1"/>
      <w:numFmt w:val="bullet"/>
      <w:lvlText w:val=""/>
      <w:lvlJc w:val="left"/>
      <w:pPr>
        <w:tabs>
          <w:tab w:val="num" w:pos="340"/>
        </w:tabs>
        <w:ind w:left="340" w:hanging="340"/>
      </w:pPr>
      <w:rPr>
        <w:rFonts w:ascii="Symbol" w:hAnsi="Symbol" w:hint="default"/>
        <w:color w:val="auto"/>
        <w:sz w:val="22"/>
      </w:rPr>
    </w:lvl>
  </w:abstractNum>
  <w:abstractNum w:abstractNumId="29" w15:restartNumberingAfterBreak="0">
    <w:nsid w:val="21B72C27"/>
    <w:multiLevelType w:val="multilevel"/>
    <w:tmpl w:val="3B048F32"/>
    <w:lvl w:ilvl="0">
      <w:start w:val="1"/>
      <w:numFmt w:val="decimal"/>
      <w:lvlRestart w:val="0"/>
      <w:pStyle w:val="TableText-List-Level1"/>
      <w:lvlText w:val="%1"/>
      <w:lvlJc w:val="left"/>
      <w:pPr>
        <w:tabs>
          <w:tab w:val="num" w:pos="283"/>
        </w:tabs>
        <w:ind w:left="283" w:hanging="283"/>
      </w:pPr>
      <w:rPr>
        <w:rFonts w:ascii="Arial" w:hAnsi="Arial" w:hint="default"/>
        <w:b w:val="0"/>
        <w:i w:val="0"/>
        <w:sz w:val="18"/>
      </w:rPr>
    </w:lvl>
    <w:lvl w:ilvl="1">
      <w:start w:val="1"/>
      <w:numFmt w:val="lowerLetter"/>
      <w:pStyle w:val="TableText-List-Level1"/>
      <w:lvlText w:val="%2)"/>
      <w:lvlJc w:val="left"/>
      <w:pPr>
        <w:tabs>
          <w:tab w:val="num" w:pos="283"/>
        </w:tabs>
        <w:ind w:left="283" w:hanging="283"/>
      </w:pPr>
      <w:rPr>
        <w:rFonts w:ascii="Arial" w:hAnsi="Arial" w:hint="default"/>
      </w:rPr>
    </w:lvl>
    <w:lvl w:ilvl="2">
      <w:start w:val="1"/>
      <w:numFmt w:val="lowerRoman"/>
      <w:pStyle w:val="TableText-List-Level2"/>
      <w:lvlText w:val="%3"/>
      <w:lvlJc w:val="left"/>
      <w:pPr>
        <w:tabs>
          <w:tab w:val="num" w:pos="567"/>
        </w:tabs>
        <w:ind w:left="567" w:hanging="284"/>
      </w:pPr>
      <w:rPr>
        <w:rFonts w:ascii="Arial" w:hAnsi="Arial" w:hint="default"/>
      </w:rPr>
    </w:lvl>
    <w:lvl w:ilvl="3">
      <w:start w:val="1"/>
      <w:numFmt w:val="decimal"/>
      <w:lvlText w:val="%1.%2.%3.%4."/>
      <w:lvlJc w:val="left"/>
      <w:pPr>
        <w:tabs>
          <w:tab w:val="num" w:pos="2160"/>
        </w:tabs>
        <w:ind w:left="1729" w:hanging="652"/>
      </w:pPr>
      <w:rPr>
        <w:rFonts w:ascii="Verdana" w:hAnsi="Verdana" w:hint="default"/>
      </w:rPr>
    </w:lvl>
    <w:lvl w:ilvl="4">
      <w:start w:val="1"/>
      <w:numFmt w:val="decimal"/>
      <w:lvlText w:val="%1.%2.%3.%4.%5."/>
      <w:lvlJc w:val="left"/>
      <w:pPr>
        <w:tabs>
          <w:tab w:val="num" w:pos="2517"/>
        </w:tabs>
        <w:ind w:left="2234" w:hanging="794"/>
      </w:pPr>
      <w:rPr>
        <w:rFonts w:ascii="Verdana" w:hAnsi="Verdana" w:hint="default"/>
      </w:rPr>
    </w:lvl>
    <w:lvl w:ilvl="5">
      <w:start w:val="1"/>
      <w:numFmt w:val="decimal"/>
      <w:lvlText w:val="%1.%2.%3.%4.%5.%6."/>
      <w:lvlJc w:val="left"/>
      <w:pPr>
        <w:tabs>
          <w:tab w:val="num" w:pos="3237"/>
        </w:tabs>
        <w:ind w:left="2738" w:hanging="941"/>
      </w:pPr>
      <w:rPr>
        <w:rFonts w:ascii="Verdana" w:hAnsi="Verdana" w:hint="default"/>
      </w:rPr>
    </w:lvl>
    <w:lvl w:ilvl="6">
      <w:start w:val="1"/>
      <w:numFmt w:val="decimal"/>
      <w:lvlText w:val="%1.%2.%3.%4.%5.%6.%7."/>
      <w:lvlJc w:val="left"/>
      <w:pPr>
        <w:tabs>
          <w:tab w:val="num" w:pos="3957"/>
        </w:tabs>
        <w:ind w:left="3237" w:hanging="1077"/>
      </w:pPr>
      <w:rPr>
        <w:rFonts w:ascii="Verdana" w:hAnsi="Verdana" w:hint="default"/>
      </w:rPr>
    </w:lvl>
    <w:lvl w:ilvl="7">
      <w:start w:val="1"/>
      <w:numFmt w:val="decimal"/>
      <w:lvlText w:val="%1.%2.%3.%4.%5.%6.%7.%8."/>
      <w:lvlJc w:val="left"/>
      <w:pPr>
        <w:tabs>
          <w:tab w:val="num" w:pos="4320"/>
        </w:tabs>
        <w:ind w:left="3742" w:hanging="1225"/>
      </w:pPr>
      <w:rPr>
        <w:rFonts w:ascii="Verdana" w:hAnsi="Verdana" w:hint="default"/>
      </w:rPr>
    </w:lvl>
    <w:lvl w:ilvl="8">
      <w:start w:val="1"/>
      <w:numFmt w:val="decimal"/>
      <w:lvlText w:val="%1.%2.%3.%4.%5.%6.%7.%8.%9."/>
      <w:lvlJc w:val="left"/>
      <w:pPr>
        <w:tabs>
          <w:tab w:val="num" w:pos="5040"/>
        </w:tabs>
        <w:ind w:left="4320" w:hanging="1440"/>
      </w:pPr>
      <w:rPr>
        <w:rFonts w:ascii="Verdana" w:hAnsi="Verdana" w:hint="default"/>
      </w:rPr>
    </w:lvl>
  </w:abstractNum>
  <w:abstractNum w:abstractNumId="30" w15:restartNumberingAfterBreak="0">
    <w:nsid w:val="21DD49A1"/>
    <w:multiLevelType w:val="hybridMultilevel"/>
    <w:tmpl w:val="B8D8B2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6E546F9"/>
    <w:multiLevelType w:val="singleLevel"/>
    <w:tmpl w:val="6C4E8694"/>
    <w:lvl w:ilvl="0">
      <w:start w:val="1"/>
      <w:numFmt w:val="bullet"/>
      <w:lvlText w:val=""/>
      <w:lvlJc w:val="left"/>
      <w:pPr>
        <w:tabs>
          <w:tab w:val="num" w:pos="340"/>
        </w:tabs>
        <w:ind w:left="340" w:hanging="340"/>
      </w:pPr>
      <w:rPr>
        <w:rFonts w:ascii="Symbol" w:hAnsi="Symbol" w:hint="default"/>
        <w:color w:val="auto"/>
        <w:sz w:val="22"/>
      </w:rPr>
    </w:lvl>
  </w:abstractNum>
  <w:abstractNum w:abstractNumId="32" w15:restartNumberingAfterBreak="0">
    <w:nsid w:val="28922093"/>
    <w:multiLevelType w:val="hybridMultilevel"/>
    <w:tmpl w:val="DAC44DC2"/>
    <w:lvl w:ilvl="0" w:tplc="59F8EBB4">
      <w:start w:val="1"/>
      <w:numFmt w:val="bullet"/>
      <w:pStyle w:val="TableText-List-Nolinespacing"/>
      <w:lvlText w:val=""/>
      <w:lvlJc w:val="left"/>
      <w:pPr>
        <w:tabs>
          <w:tab w:val="num" w:pos="142"/>
        </w:tabs>
        <w:ind w:left="142" w:hanging="142"/>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8BA102A"/>
    <w:multiLevelType w:val="singleLevel"/>
    <w:tmpl w:val="745ECC8A"/>
    <w:lvl w:ilvl="0">
      <w:start w:val="1"/>
      <w:numFmt w:val="bullet"/>
      <w:lvlText w:val=""/>
      <w:lvlJc w:val="left"/>
      <w:pPr>
        <w:tabs>
          <w:tab w:val="num" w:pos="340"/>
        </w:tabs>
        <w:ind w:left="340" w:hanging="340"/>
      </w:pPr>
      <w:rPr>
        <w:rFonts w:ascii="Symbol" w:hAnsi="Symbol" w:hint="default"/>
        <w:color w:val="auto"/>
        <w:sz w:val="22"/>
      </w:rPr>
    </w:lvl>
  </w:abstractNum>
  <w:abstractNum w:abstractNumId="34" w15:restartNumberingAfterBreak="0">
    <w:nsid w:val="2ABC39B4"/>
    <w:multiLevelType w:val="singleLevel"/>
    <w:tmpl w:val="B5BEE6CA"/>
    <w:lvl w:ilvl="0">
      <w:start w:val="1"/>
      <w:numFmt w:val="bullet"/>
      <w:lvlText w:val=""/>
      <w:lvlJc w:val="left"/>
      <w:pPr>
        <w:tabs>
          <w:tab w:val="num" w:pos="340"/>
        </w:tabs>
        <w:ind w:left="340" w:hanging="340"/>
      </w:pPr>
      <w:rPr>
        <w:rFonts w:ascii="Symbol" w:hAnsi="Symbol" w:hint="default"/>
        <w:color w:val="auto"/>
        <w:sz w:val="22"/>
      </w:rPr>
    </w:lvl>
  </w:abstractNum>
  <w:abstractNum w:abstractNumId="35" w15:restartNumberingAfterBreak="0">
    <w:nsid w:val="2ACD44B8"/>
    <w:multiLevelType w:val="singleLevel"/>
    <w:tmpl w:val="A3600724"/>
    <w:lvl w:ilvl="0">
      <w:start w:val="1"/>
      <w:numFmt w:val="bullet"/>
      <w:lvlText w:val=""/>
      <w:lvlJc w:val="left"/>
      <w:pPr>
        <w:tabs>
          <w:tab w:val="num" w:pos="340"/>
        </w:tabs>
        <w:ind w:left="340" w:hanging="340"/>
      </w:pPr>
      <w:rPr>
        <w:rFonts w:ascii="Symbol" w:hAnsi="Symbol" w:hint="default"/>
        <w:color w:val="auto"/>
        <w:sz w:val="22"/>
      </w:rPr>
    </w:lvl>
  </w:abstractNum>
  <w:abstractNum w:abstractNumId="36" w15:restartNumberingAfterBreak="0">
    <w:nsid w:val="2E9B2156"/>
    <w:multiLevelType w:val="singleLevel"/>
    <w:tmpl w:val="A654512A"/>
    <w:lvl w:ilvl="0">
      <w:start w:val="1"/>
      <w:numFmt w:val="bullet"/>
      <w:pStyle w:val="BodyText-List"/>
      <w:lvlText w:val=""/>
      <w:lvlJc w:val="left"/>
      <w:pPr>
        <w:tabs>
          <w:tab w:val="num" w:pos="1190"/>
        </w:tabs>
        <w:ind w:left="1190" w:hanging="396"/>
      </w:pPr>
      <w:rPr>
        <w:rFonts w:ascii="Symbol" w:hAnsi="Symbol" w:hint="default"/>
        <w:color w:val="auto"/>
        <w:sz w:val="18"/>
      </w:rPr>
    </w:lvl>
  </w:abstractNum>
  <w:abstractNum w:abstractNumId="37" w15:restartNumberingAfterBreak="0">
    <w:nsid w:val="2F1277B0"/>
    <w:multiLevelType w:val="singleLevel"/>
    <w:tmpl w:val="F17A9CF8"/>
    <w:lvl w:ilvl="0">
      <w:start w:val="1"/>
      <w:numFmt w:val="bullet"/>
      <w:lvlText w:val=""/>
      <w:lvlJc w:val="left"/>
      <w:pPr>
        <w:tabs>
          <w:tab w:val="num" w:pos="340"/>
        </w:tabs>
        <w:ind w:left="340" w:hanging="340"/>
      </w:pPr>
      <w:rPr>
        <w:rFonts w:ascii="Symbol" w:hAnsi="Symbol" w:hint="default"/>
        <w:color w:val="auto"/>
        <w:sz w:val="22"/>
      </w:rPr>
    </w:lvl>
  </w:abstractNum>
  <w:abstractNum w:abstractNumId="38" w15:restartNumberingAfterBreak="0">
    <w:nsid w:val="2F6D20C0"/>
    <w:multiLevelType w:val="singleLevel"/>
    <w:tmpl w:val="365858C8"/>
    <w:lvl w:ilvl="0">
      <w:start w:val="1"/>
      <w:numFmt w:val="bullet"/>
      <w:lvlText w:val=""/>
      <w:lvlJc w:val="left"/>
      <w:pPr>
        <w:tabs>
          <w:tab w:val="num" w:pos="340"/>
        </w:tabs>
        <w:ind w:left="340" w:hanging="340"/>
      </w:pPr>
      <w:rPr>
        <w:rFonts w:ascii="Symbol" w:hAnsi="Symbol" w:hint="default"/>
        <w:color w:val="auto"/>
        <w:sz w:val="22"/>
      </w:rPr>
    </w:lvl>
  </w:abstractNum>
  <w:abstractNum w:abstractNumId="39" w15:restartNumberingAfterBreak="0">
    <w:nsid w:val="30EA45E3"/>
    <w:multiLevelType w:val="singleLevel"/>
    <w:tmpl w:val="5096DFD4"/>
    <w:lvl w:ilvl="0">
      <w:start w:val="1"/>
      <w:numFmt w:val="bullet"/>
      <w:lvlText w:val=""/>
      <w:lvlJc w:val="left"/>
      <w:pPr>
        <w:tabs>
          <w:tab w:val="num" w:pos="340"/>
        </w:tabs>
        <w:ind w:left="340" w:hanging="340"/>
      </w:pPr>
      <w:rPr>
        <w:rFonts w:ascii="Symbol" w:hAnsi="Symbol" w:hint="default"/>
        <w:color w:val="auto"/>
        <w:sz w:val="22"/>
      </w:rPr>
    </w:lvl>
  </w:abstractNum>
  <w:abstractNum w:abstractNumId="40" w15:restartNumberingAfterBreak="0">
    <w:nsid w:val="313A4266"/>
    <w:multiLevelType w:val="singleLevel"/>
    <w:tmpl w:val="07407016"/>
    <w:lvl w:ilvl="0">
      <w:start w:val="1"/>
      <w:numFmt w:val="bullet"/>
      <w:lvlText w:val=""/>
      <w:lvlJc w:val="left"/>
      <w:pPr>
        <w:tabs>
          <w:tab w:val="num" w:pos="340"/>
        </w:tabs>
        <w:ind w:left="340" w:hanging="340"/>
      </w:pPr>
      <w:rPr>
        <w:rFonts w:ascii="Symbol" w:hAnsi="Symbol" w:hint="default"/>
        <w:color w:val="auto"/>
        <w:sz w:val="22"/>
      </w:rPr>
    </w:lvl>
  </w:abstractNum>
  <w:abstractNum w:abstractNumId="41" w15:restartNumberingAfterBreak="0">
    <w:nsid w:val="32B04E30"/>
    <w:multiLevelType w:val="hybridMultilevel"/>
    <w:tmpl w:val="BBEAAF48"/>
    <w:lvl w:ilvl="0" w:tplc="0B5C2C74">
      <w:start w:val="1"/>
      <w:numFmt w:val="bullet"/>
      <w:pStyle w:val="TableText-ListIndent"/>
      <w:lvlText w:val=""/>
      <w:lvlJc w:val="left"/>
      <w:pPr>
        <w:tabs>
          <w:tab w:val="num" w:pos="284"/>
        </w:tabs>
        <w:ind w:left="284" w:hanging="142"/>
      </w:pPr>
      <w:rPr>
        <w:rFonts w:ascii="Symbol" w:hAnsi="Symbol" w:hint="default"/>
        <w:color w:val="auto"/>
        <w:sz w:val="12"/>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4124557"/>
    <w:multiLevelType w:val="hybridMultilevel"/>
    <w:tmpl w:val="107CEA34"/>
    <w:lvl w:ilvl="0" w:tplc="924C0DC2">
      <w:start w:val="1"/>
      <w:numFmt w:val="bullet"/>
      <w:pStyle w:val="Bullet2"/>
      <w:lvlText w:val="o"/>
      <w:lvlJc w:val="left"/>
      <w:pPr>
        <w:ind w:left="360" w:hanging="360"/>
      </w:pPr>
      <w:rPr>
        <w:rFonts w:ascii="Courier New" w:hAnsi="Courier New" w:cs="Courier New"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39ED725C"/>
    <w:multiLevelType w:val="singleLevel"/>
    <w:tmpl w:val="CA7ED25A"/>
    <w:lvl w:ilvl="0">
      <w:start w:val="1"/>
      <w:numFmt w:val="bullet"/>
      <w:lvlText w:val=""/>
      <w:lvlJc w:val="left"/>
      <w:pPr>
        <w:tabs>
          <w:tab w:val="num" w:pos="340"/>
        </w:tabs>
        <w:ind w:left="340" w:hanging="340"/>
      </w:pPr>
      <w:rPr>
        <w:rFonts w:ascii="Symbol" w:hAnsi="Symbol" w:hint="default"/>
        <w:color w:val="auto"/>
        <w:sz w:val="22"/>
      </w:rPr>
    </w:lvl>
  </w:abstractNum>
  <w:abstractNum w:abstractNumId="44" w15:restartNumberingAfterBreak="0">
    <w:nsid w:val="3ACA0A57"/>
    <w:multiLevelType w:val="multilevel"/>
    <w:tmpl w:val="061CCE46"/>
    <w:styleLink w:val="1ai"/>
    <w:lvl w:ilvl="0">
      <w:start w:val="1"/>
      <w:numFmt w:val="decimal"/>
      <w:lvlText w:val="%1)"/>
      <w:lvlJc w:val="left"/>
      <w:pPr>
        <w:tabs>
          <w:tab w:val="num" w:pos="720"/>
        </w:tabs>
        <w:ind w:left="720" w:hanging="360"/>
      </w:pPr>
      <w:rPr>
        <w:rFonts w:ascii="Arial" w:hAnsi="Arial" w:cs="Arial" w:hint="default"/>
      </w:rPr>
    </w:lvl>
    <w:lvl w:ilvl="1">
      <w:start w:val="1"/>
      <w:numFmt w:val="lowerLetter"/>
      <w:lvlText w:val="%2)"/>
      <w:lvlJc w:val="left"/>
      <w:pPr>
        <w:tabs>
          <w:tab w:val="num" w:pos="1080"/>
        </w:tabs>
        <w:ind w:left="1080" w:hanging="360"/>
      </w:pPr>
      <w:rPr>
        <w:rFonts w:ascii="Verdana" w:hAnsi="Verdana" w:hint="default"/>
      </w:rPr>
    </w:lvl>
    <w:lvl w:ilvl="2">
      <w:start w:val="1"/>
      <w:numFmt w:val="lowerRoman"/>
      <w:lvlText w:val="%3)"/>
      <w:lvlJc w:val="left"/>
      <w:pPr>
        <w:tabs>
          <w:tab w:val="num" w:pos="1440"/>
        </w:tabs>
        <w:ind w:left="1440" w:hanging="360"/>
      </w:pPr>
      <w:rPr>
        <w:rFonts w:ascii="Verdana" w:hAnsi="Verdana" w:hint="default"/>
      </w:rPr>
    </w:lvl>
    <w:lvl w:ilvl="3">
      <w:start w:val="1"/>
      <w:numFmt w:val="decimal"/>
      <w:lvlText w:val="(%4)"/>
      <w:lvlJc w:val="left"/>
      <w:pPr>
        <w:tabs>
          <w:tab w:val="num" w:pos="1800"/>
        </w:tabs>
        <w:ind w:left="1800" w:hanging="360"/>
      </w:pPr>
      <w:rPr>
        <w:rFonts w:ascii="Verdana" w:hAnsi="Verdana" w:hint="default"/>
      </w:rPr>
    </w:lvl>
    <w:lvl w:ilvl="4">
      <w:start w:val="1"/>
      <w:numFmt w:val="lowerLetter"/>
      <w:lvlText w:val="(%5)"/>
      <w:lvlJc w:val="left"/>
      <w:pPr>
        <w:tabs>
          <w:tab w:val="num" w:pos="2160"/>
        </w:tabs>
        <w:ind w:left="2160" w:hanging="360"/>
      </w:pPr>
      <w:rPr>
        <w:rFonts w:ascii="Verdana" w:hAnsi="Verdana" w:hint="default"/>
      </w:rPr>
    </w:lvl>
    <w:lvl w:ilvl="5">
      <w:start w:val="1"/>
      <w:numFmt w:val="lowerRoman"/>
      <w:lvlText w:val="(%6)"/>
      <w:lvlJc w:val="left"/>
      <w:pPr>
        <w:tabs>
          <w:tab w:val="num" w:pos="2520"/>
        </w:tabs>
        <w:ind w:left="2520" w:hanging="360"/>
      </w:pPr>
      <w:rPr>
        <w:rFonts w:ascii="Verdana" w:hAnsi="Verdana" w:hint="default"/>
      </w:rPr>
    </w:lvl>
    <w:lvl w:ilvl="6">
      <w:start w:val="1"/>
      <w:numFmt w:val="decimal"/>
      <w:lvlText w:val="%7."/>
      <w:lvlJc w:val="left"/>
      <w:pPr>
        <w:tabs>
          <w:tab w:val="num" w:pos="2880"/>
        </w:tabs>
        <w:ind w:left="2880" w:hanging="360"/>
      </w:pPr>
      <w:rPr>
        <w:rFonts w:ascii="Verdana" w:hAnsi="Verdana" w:hint="default"/>
      </w:rPr>
    </w:lvl>
    <w:lvl w:ilvl="7">
      <w:start w:val="1"/>
      <w:numFmt w:val="lowerLetter"/>
      <w:lvlText w:val="%8."/>
      <w:lvlJc w:val="left"/>
      <w:pPr>
        <w:tabs>
          <w:tab w:val="num" w:pos="3240"/>
        </w:tabs>
        <w:ind w:left="3240" w:hanging="360"/>
      </w:pPr>
      <w:rPr>
        <w:rFonts w:ascii="Verdana" w:hAnsi="Verdana" w:hint="default"/>
      </w:rPr>
    </w:lvl>
    <w:lvl w:ilvl="8">
      <w:start w:val="1"/>
      <w:numFmt w:val="lowerRoman"/>
      <w:lvlText w:val="%9."/>
      <w:lvlJc w:val="left"/>
      <w:pPr>
        <w:tabs>
          <w:tab w:val="num" w:pos="3600"/>
        </w:tabs>
        <w:ind w:left="3600" w:hanging="360"/>
      </w:pPr>
      <w:rPr>
        <w:rFonts w:ascii="Verdana" w:hAnsi="Verdana" w:hint="default"/>
      </w:rPr>
    </w:lvl>
  </w:abstractNum>
  <w:abstractNum w:abstractNumId="45" w15:restartNumberingAfterBreak="0">
    <w:nsid w:val="3E837903"/>
    <w:multiLevelType w:val="hybridMultilevel"/>
    <w:tmpl w:val="237A42D4"/>
    <w:lvl w:ilvl="0" w:tplc="30BADEAC">
      <w:start w:val="1"/>
      <w:numFmt w:val="bullet"/>
      <w:pStyle w:val="BodyText-List-Indent"/>
      <w:lvlText w:val=""/>
      <w:lvlJc w:val="left"/>
      <w:pPr>
        <w:tabs>
          <w:tab w:val="num" w:pos="1588"/>
        </w:tabs>
        <w:ind w:left="1588" w:hanging="397"/>
      </w:pPr>
      <w:rPr>
        <w:rFonts w:ascii="Wingdings" w:hAnsi="Wingdings" w:hint="default"/>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ECE1F1A"/>
    <w:multiLevelType w:val="hybridMultilevel"/>
    <w:tmpl w:val="183E646A"/>
    <w:lvl w:ilvl="0" w:tplc="BC3CCCD8">
      <w:start w:val="1"/>
      <w:numFmt w:val="bullet"/>
      <w:pStyle w:val="Figure-List"/>
      <w:lvlText w:val=""/>
      <w:lvlJc w:val="left"/>
      <w:pPr>
        <w:tabs>
          <w:tab w:val="num" w:pos="360"/>
        </w:tabs>
        <w:ind w:left="227" w:hanging="227"/>
      </w:pPr>
      <w:rPr>
        <w:rFonts w:ascii="Wingdings" w:hAnsi="Wingdings" w:hint="default"/>
        <w:sz w:val="22"/>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EF61FE8"/>
    <w:multiLevelType w:val="hybridMultilevel"/>
    <w:tmpl w:val="76B69F94"/>
    <w:lvl w:ilvl="0" w:tplc="0C090001">
      <w:start w:val="1"/>
      <w:numFmt w:val="bullet"/>
      <w:lvlText w:val=""/>
      <w:lvlJc w:val="left"/>
      <w:pPr>
        <w:ind w:left="1574" w:hanging="360"/>
      </w:pPr>
      <w:rPr>
        <w:rFonts w:ascii="Symbol" w:hAnsi="Symbol" w:hint="default"/>
      </w:rPr>
    </w:lvl>
    <w:lvl w:ilvl="1" w:tplc="0C090003" w:tentative="1">
      <w:start w:val="1"/>
      <w:numFmt w:val="bullet"/>
      <w:lvlText w:val="o"/>
      <w:lvlJc w:val="left"/>
      <w:pPr>
        <w:ind w:left="2294" w:hanging="360"/>
      </w:pPr>
      <w:rPr>
        <w:rFonts w:ascii="Courier New" w:hAnsi="Courier New" w:cs="Courier New" w:hint="default"/>
      </w:rPr>
    </w:lvl>
    <w:lvl w:ilvl="2" w:tplc="0C090005" w:tentative="1">
      <w:start w:val="1"/>
      <w:numFmt w:val="bullet"/>
      <w:lvlText w:val=""/>
      <w:lvlJc w:val="left"/>
      <w:pPr>
        <w:ind w:left="3014" w:hanging="360"/>
      </w:pPr>
      <w:rPr>
        <w:rFonts w:ascii="Wingdings" w:hAnsi="Wingdings" w:hint="default"/>
      </w:rPr>
    </w:lvl>
    <w:lvl w:ilvl="3" w:tplc="0C090001" w:tentative="1">
      <w:start w:val="1"/>
      <w:numFmt w:val="bullet"/>
      <w:lvlText w:val=""/>
      <w:lvlJc w:val="left"/>
      <w:pPr>
        <w:ind w:left="3734" w:hanging="360"/>
      </w:pPr>
      <w:rPr>
        <w:rFonts w:ascii="Symbol" w:hAnsi="Symbol" w:hint="default"/>
      </w:rPr>
    </w:lvl>
    <w:lvl w:ilvl="4" w:tplc="0C090003" w:tentative="1">
      <w:start w:val="1"/>
      <w:numFmt w:val="bullet"/>
      <w:lvlText w:val="o"/>
      <w:lvlJc w:val="left"/>
      <w:pPr>
        <w:ind w:left="4454" w:hanging="360"/>
      </w:pPr>
      <w:rPr>
        <w:rFonts w:ascii="Courier New" w:hAnsi="Courier New" w:cs="Courier New" w:hint="default"/>
      </w:rPr>
    </w:lvl>
    <w:lvl w:ilvl="5" w:tplc="0C090005" w:tentative="1">
      <w:start w:val="1"/>
      <w:numFmt w:val="bullet"/>
      <w:lvlText w:val=""/>
      <w:lvlJc w:val="left"/>
      <w:pPr>
        <w:ind w:left="5174" w:hanging="360"/>
      </w:pPr>
      <w:rPr>
        <w:rFonts w:ascii="Wingdings" w:hAnsi="Wingdings" w:hint="default"/>
      </w:rPr>
    </w:lvl>
    <w:lvl w:ilvl="6" w:tplc="0C090001" w:tentative="1">
      <w:start w:val="1"/>
      <w:numFmt w:val="bullet"/>
      <w:lvlText w:val=""/>
      <w:lvlJc w:val="left"/>
      <w:pPr>
        <w:ind w:left="5894" w:hanging="360"/>
      </w:pPr>
      <w:rPr>
        <w:rFonts w:ascii="Symbol" w:hAnsi="Symbol" w:hint="default"/>
      </w:rPr>
    </w:lvl>
    <w:lvl w:ilvl="7" w:tplc="0C090003" w:tentative="1">
      <w:start w:val="1"/>
      <w:numFmt w:val="bullet"/>
      <w:lvlText w:val="o"/>
      <w:lvlJc w:val="left"/>
      <w:pPr>
        <w:ind w:left="6614" w:hanging="360"/>
      </w:pPr>
      <w:rPr>
        <w:rFonts w:ascii="Courier New" w:hAnsi="Courier New" w:cs="Courier New" w:hint="default"/>
      </w:rPr>
    </w:lvl>
    <w:lvl w:ilvl="8" w:tplc="0C090005" w:tentative="1">
      <w:start w:val="1"/>
      <w:numFmt w:val="bullet"/>
      <w:lvlText w:val=""/>
      <w:lvlJc w:val="left"/>
      <w:pPr>
        <w:ind w:left="7334" w:hanging="360"/>
      </w:pPr>
      <w:rPr>
        <w:rFonts w:ascii="Wingdings" w:hAnsi="Wingdings" w:hint="default"/>
      </w:rPr>
    </w:lvl>
  </w:abstractNum>
  <w:abstractNum w:abstractNumId="48" w15:restartNumberingAfterBreak="0">
    <w:nsid w:val="41B61758"/>
    <w:multiLevelType w:val="singleLevel"/>
    <w:tmpl w:val="034266C8"/>
    <w:lvl w:ilvl="0">
      <w:start w:val="1"/>
      <w:numFmt w:val="bullet"/>
      <w:lvlText w:val=""/>
      <w:lvlJc w:val="left"/>
      <w:pPr>
        <w:tabs>
          <w:tab w:val="num" w:pos="340"/>
        </w:tabs>
        <w:ind w:left="340" w:hanging="340"/>
      </w:pPr>
      <w:rPr>
        <w:rFonts w:ascii="Symbol" w:hAnsi="Symbol" w:hint="default"/>
        <w:color w:val="auto"/>
        <w:sz w:val="22"/>
      </w:rPr>
    </w:lvl>
  </w:abstractNum>
  <w:abstractNum w:abstractNumId="49" w15:restartNumberingAfterBreak="0">
    <w:nsid w:val="465C6A8A"/>
    <w:multiLevelType w:val="singleLevel"/>
    <w:tmpl w:val="884EB8B6"/>
    <w:lvl w:ilvl="0">
      <w:start w:val="1"/>
      <w:numFmt w:val="bullet"/>
      <w:lvlText w:val=""/>
      <w:lvlJc w:val="left"/>
      <w:pPr>
        <w:tabs>
          <w:tab w:val="num" w:pos="340"/>
        </w:tabs>
        <w:ind w:left="340" w:hanging="340"/>
      </w:pPr>
      <w:rPr>
        <w:rFonts w:ascii="Symbol" w:hAnsi="Symbol" w:hint="default"/>
        <w:color w:val="auto"/>
        <w:sz w:val="22"/>
      </w:rPr>
    </w:lvl>
  </w:abstractNum>
  <w:abstractNum w:abstractNumId="50" w15:restartNumberingAfterBreak="0">
    <w:nsid w:val="47901BF4"/>
    <w:multiLevelType w:val="singleLevel"/>
    <w:tmpl w:val="53BA718C"/>
    <w:lvl w:ilvl="0">
      <w:start w:val="1"/>
      <w:numFmt w:val="bullet"/>
      <w:lvlText w:val=""/>
      <w:lvlJc w:val="left"/>
      <w:pPr>
        <w:tabs>
          <w:tab w:val="num" w:pos="340"/>
        </w:tabs>
        <w:ind w:left="340" w:hanging="340"/>
      </w:pPr>
      <w:rPr>
        <w:rFonts w:ascii="Symbol" w:hAnsi="Symbol" w:hint="default"/>
        <w:color w:val="auto"/>
        <w:sz w:val="22"/>
      </w:rPr>
    </w:lvl>
  </w:abstractNum>
  <w:abstractNum w:abstractNumId="51" w15:restartNumberingAfterBreak="0">
    <w:nsid w:val="494767DB"/>
    <w:multiLevelType w:val="multilevel"/>
    <w:tmpl w:val="0C090023"/>
    <w:styleLink w:val="ArticleSection"/>
    <w:lvl w:ilvl="0">
      <w:start w:val="1"/>
      <w:numFmt w:val="upperRoman"/>
      <w:lvlText w:val="Article %1."/>
      <w:lvlJc w:val="left"/>
      <w:pPr>
        <w:tabs>
          <w:tab w:val="num" w:pos="1800"/>
        </w:tabs>
        <w:ind w:left="0" w:firstLine="0"/>
      </w:pPr>
      <w:rPr>
        <w:rFonts w:ascii="Arial" w:hAnsi="Arial" w:cs="Arial"/>
        <w:color w:val="FF0000"/>
        <w:sz w:val="32"/>
        <w:u w:val="single"/>
      </w:r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2" w15:restartNumberingAfterBreak="0">
    <w:nsid w:val="494F1820"/>
    <w:multiLevelType w:val="singleLevel"/>
    <w:tmpl w:val="447E04A6"/>
    <w:lvl w:ilvl="0">
      <w:start w:val="1"/>
      <w:numFmt w:val="bullet"/>
      <w:lvlText w:val=""/>
      <w:lvlJc w:val="left"/>
      <w:pPr>
        <w:tabs>
          <w:tab w:val="num" w:pos="340"/>
        </w:tabs>
        <w:ind w:left="340" w:hanging="340"/>
      </w:pPr>
      <w:rPr>
        <w:rFonts w:ascii="Symbol" w:hAnsi="Symbol" w:hint="default"/>
        <w:color w:val="auto"/>
        <w:sz w:val="22"/>
      </w:rPr>
    </w:lvl>
  </w:abstractNum>
  <w:abstractNum w:abstractNumId="53" w15:restartNumberingAfterBreak="0">
    <w:nsid w:val="49AB6C5D"/>
    <w:multiLevelType w:val="singleLevel"/>
    <w:tmpl w:val="A9F0ECAE"/>
    <w:lvl w:ilvl="0">
      <w:start w:val="1"/>
      <w:numFmt w:val="bullet"/>
      <w:lvlText w:val=""/>
      <w:lvlJc w:val="left"/>
      <w:pPr>
        <w:tabs>
          <w:tab w:val="num" w:pos="340"/>
        </w:tabs>
        <w:ind w:left="340" w:hanging="340"/>
      </w:pPr>
      <w:rPr>
        <w:rFonts w:ascii="Symbol" w:hAnsi="Symbol" w:hint="default"/>
        <w:color w:val="auto"/>
        <w:sz w:val="22"/>
      </w:rPr>
    </w:lvl>
  </w:abstractNum>
  <w:abstractNum w:abstractNumId="54" w15:restartNumberingAfterBreak="0">
    <w:nsid w:val="49EA6C0F"/>
    <w:multiLevelType w:val="singleLevel"/>
    <w:tmpl w:val="919A3BC0"/>
    <w:lvl w:ilvl="0">
      <w:start w:val="1"/>
      <w:numFmt w:val="bullet"/>
      <w:lvlText w:val=""/>
      <w:lvlJc w:val="left"/>
      <w:pPr>
        <w:tabs>
          <w:tab w:val="num" w:pos="340"/>
        </w:tabs>
        <w:ind w:left="340" w:hanging="340"/>
      </w:pPr>
      <w:rPr>
        <w:rFonts w:ascii="Symbol" w:hAnsi="Symbol" w:hint="default"/>
        <w:color w:val="auto"/>
        <w:sz w:val="22"/>
      </w:rPr>
    </w:lvl>
  </w:abstractNum>
  <w:abstractNum w:abstractNumId="55" w15:restartNumberingAfterBreak="0">
    <w:nsid w:val="4B262883"/>
    <w:multiLevelType w:val="singleLevel"/>
    <w:tmpl w:val="C07E59B2"/>
    <w:lvl w:ilvl="0">
      <w:start w:val="1"/>
      <w:numFmt w:val="bullet"/>
      <w:lvlText w:val=""/>
      <w:lvlJc w:val="left"/>
      <w:pPr>
        <w:tabs>
          <w:tab w:val="num" w:pos="340"/>
        </w:tabs>
        <w:ind w:left="340" w:hanging="340"/>
      </w:pPr>
      <w:rPr>
        <w:rFonts w:ascii="Symbol" w:hAnsi="Symbol" w:hint="default"/>
        <w:color w:val="auto"/>
        <w:sz w:val="22"/>
      </w:rPr>
    </w:lvl>
  </w:abstractNum>
  <w:abstractNum w:abstractNumId="56" w15:restartNumberingAfterBreak="0">
    <w:nsid w:val="4C4E19CF"/>
    <w:multiLevelType w:val="singleLevel"/>
    <w:tmpl w:val="2EEC9A3C"/>
    <w:lvl w:ilvl="0">
      <w:start w:val="1"/>
      <w:numFmt w:val="bullet"/>
      <w:lvlText w:val=""/>
      <w:lvlJc w:val="left"/>
      <w:pPr>
        <w:tabs>
          <w:tab w:val="num" w:pos="340"/>
        </w:tabs>
        <w:ind w:left="340" w:hanging="340"/>
      </w:pPr>
      <w:rPr>
        <w:rFonts w:ascii="Symbol" w:hAnsi="Symbol" w:hint="default"/>
        <w:color w:val="auto"/>
        <w:sz w:val="22"/>
      </w:rPr>
    </w:lvl>
  </w:abstractNum>
  <w:abstractNum w:abstractNumId="57" w15:restartNumberingAfterBreak="0">
    <w:nsid w:val="53B336B0"/>
    <w:multiLevelType w:val="multilevel"/>
    <w:tmpl w:val="1EEC9222"/>
    <w:lvl w:ilvl="0">
      <w:start w:val="1"/>
      <w:numFmt w:val="decimal"/>
      <w:lvlRestart w:val="0"/>
      <w:pStyle w:val="Level1-Heading"/>
      <w:lvlText w:val="%1."/>
      <w:lvlJc w:val="left"/>
      <w:pPr>
        <w:tabs>
          <w:tab w:val="num" w:pos="794"/>
        </w:tabs>
        <w:ind w:left="794" w:hanging="794"/>
      </w:pPr>
      <w:rPr>
        <w:rFonts w:ascii="Arial" w:hAnsi="Arial" w:hint="default"/>
        <w:b/>
        <w:i w:val="0"/>
        <w:sz w:val="20"/>
      </w:rPr>
    </w:lvl>
    <w:lvl w:ilvl="1">
      <w:start w:val="1"/>
      <w:numFmt w:val="decimal"/>
      <w:pStyle w:val="Level2-Heading"/>
      <w:lvlText w:val="%1.%2"/>
      <w:lvlJc w:val="left"/>
      <w:pPr>
        <w:tabs>
          <w:tab w:val="num" w:pos="794"/>
        </w:tabs>
        <w:ind w:left="794" w:hanging="794"/>
      </w:pPr>
      <w:rPr>
        <w:rFonts w:ascii="Arial" w:hAnsi="Arial" w:hint="default"/>
        <w:b/>
        <w:i w:val="0"/>
        <w:sz w:val="20"/>
      </w:rPr>
    </w:lvl>
    <w:lvl w:ilvl="2">
      <w:start w:val="1"/>
      <w:numFmt w:val="decimal"/>
      <w:pStyle w:val="Level3-Heading"/>
      <w:lvlText w:val="%1.%2.%3"/>
      <w:lvlJc w:val="left"/>
      <w:pPr>
        <w:tabs>
          <w:tab w:val="num" w:pos="794"/>
        </w:tabs>
        <w:ind w:left="794" w:hanging="794"/>
      </w:pPr>
      <w:rPr>
        <w:rFonts w:ascii="Arial" w:hAnsi="Arial" w:hint="default"/>
        <w:b/>
        <w:i w:val="0"/>
        <w:sz w:val="20"/>
      </w:rPr>
    </w:lvl>
    <w:lvl w:ilvl="3">
      <w:start w:val="1"/>
      <w:numFmt w:val="decimal"/>
      <w:pStyle w:val="Level4-Heading"/>
      <w:lvlText w:val="%1.%2.%3.%4"/>
      <w:lvlJc w:val="left"/>
      <w:pPr>
        <w:tabs>
          <w:tab w:val="num" w:pos="794"/>
        </w:tabs>
        <w:ind w:left="794" w:hanging="794"/>
      </w:pPr>
      <w:rPr>
        <w:rFonts w:ascii="Arial" w:hAnsi="Arial" w:hint="default"/>
        <w:b/>
        <w:i w:val="0"/>
        <w:sz w:val="20"/>
      </w:rPr>
    </w:lvl>
    <w:lvl w:ilvl="4">
      <w:start w:val="1"/>
      <w:numFmt w:val="lowerLetter"/>
      <w:pStyle w:val="LevelBody1-a"/>
      <w:lvlText w:val="(%5)"/>
      <w:lvlJc w:val="left"/>
      <w:pPr>
        <w:tabs>
          <w:tab w:val="num" w:pos="1361"/>
        </w:tabs>
        <w:ind w:left="1361" w:hanging="567"/>
      </w:pPr>
      <w:rPr>
        <w:rFonts w:ascii="Arial" w:hAnsi="Arial" w:hint="default"/>
        <w:b w:val="0"/>
        <w:i w:val="0"/>
        <w:sz w:val="20"/>
      </w:rPr>
    </w:lvl>
    <w:lvl w:ilvl="5">
      <w:start w:val="1"/>
      <w:numFmt w:val="lowerRoman"/>
      <w:pStyle w:val="LevelBody2-i"/>
      <w:lvlText w:val="%6."/>
      <w:lvlJc w:val="left"/>
      <w:pPr>
        <w:tabs>
          <w:tab w:val="num" w:pos="1928"/>
        </w:tabs>
        <w:ind w:left="1928" w:hanging="567"/>
      </w:pPr>
      <w:rPr>
        <w:rFonts w:ascii="Arial" w:hAnsi="Arial" w:hint="default"/>
        <w:b w:val="0"/>
        <w:i w:val="0"/>
        <w:sz w:val="20"/>
      </w:rPr>
    </w:lvl>
    <w:lvl w:ilvl="6">
      <w:start w:val="1"/>
      <w:numFmt w:val="upperLetter"/>
      <w:pStyle w:val="LevelBody3-A"/>
      <w:lvlText w:val="(%7)"/>
      <w:lvlJc w:val="left"/>
      <w:pPr>
        <w:tabs>
          <w:tab w:val="num" w:pos="2495"/>
        </w:tabs>
        <w:ind w:left="2495" w:hanging="567"/>
      </w:pPr>
      <w:rPr>
        <w:rFonts w:ascii="Arial" w:hAnsi="Arial" w:hint="default"/>
      </w:rPr>
    </w:lvl>
    <w:lvl w:ilvl="7">
      <w:start w:val="1"/>
      <w:numFmt w:val="upperRoman"/>
      <w:pStyle w:val="LevelBody4-I"/>
      <w:lvlText w:val="%8."/>
      <w:lvlJc w:val="left"/>
      <w:pPr>
        <w:tabs>
          <w:tab w:val="num" w:pos="3062"/>
        </w:tabs>
        <w:ind w:left="3062" w:hanging="567"/>
      </w:pPr>
      <w:rPr>
        <w:rFonts w:ascii="Arial" w:hAnsi="Arial" w:hint="default"/>
      </w:rPr>
    </w:lvl>
    <w:lvl w:ilvl="8">
      <w:start w:val="1"/>
      <w:numFmt w:val="none"/>
      <w:suff w:val="nothing"/>
      <w:lvlText w:val=""/>
      <w:lvlJc w:val="left"/>
      <w:pPr>
        <w:ind w:left="-56" w:firstLine="0"/>
      </w:pPr>
      <w:rPr>
        <w:rFonts w:ascii="Verdana" w:hAnsi="Verdana" w:hint="default"/>
      </w:rPr>
    </w:lvl>
  </w:abstractNum>
  <w:abstractNum w:abstractNumId="58" w15:restartNumberingAfterBreak="0">
    <w:nsid w:val="5B2151EB"/>
    <w:multiLevelType w:val="singleLevel"/>
    <w:tmpl w:val="BB4AA10C"/>
    <w:lvl w:ilvl="0">
      <w:start w:val="1"/>
      <w:numFmt w:val="bullet"/>
      <w:lvlText w:val=""/>
      <w:lvlJc w:val="left"/>
      <w:pPr>
        <w:tabs>
          <w:tab w:val="num" w:pos="340"/>
        </w:tabs>
        <w:ind w:left="340" w:hanging="340"/>
      </w:pPr>
      <w:rPr>
        <w:rFonts w:ascii="Symbol" w:hAnsi="Symbol" w:hint="default"/>
        <w:color w:val="auto"/>
        <w:sz w:val="22"/>
      </w:rPr>
    </w:lvl>
  </w:abstractNum>
  <w:abstractNum w:abstractNumId="59" w15:restartNumberingAfterBreak="0">
    <w:nsid w:val="5C4E577B"/>
    <w:multiLevelType w:val="singleLevel"/>
    <w:tmpl w:val="A8706DFC"/>
    <w:lvl w:ilvl="0">
      <w:start w:val="1"/>
      <w:numFmt w:val="bullet"/>
      <w:lvlText w:val=""/>
      <w:lvlJc w:val="left"/>
      <w:pPr>
        <w:tabs>
          <w:tab w:val="num" w:pos="340"/>
        </w:tabs>
        <w:ind w:left="340" w:hanging="340"/>
      </w:pPr>
      <w:rPr>
        <w:rFonts w:ascii="Symbol" w:hAnsi="Symbol" w:hint="default"/>
        <w:color w:val="auto"/>
        <w:sz w:val="22"/>
      </w:rPr>
    </w:lvl>
  </w:abstractNum>
  <w:abstractNum w:abstractNumId="60" w15:restartNumberingAfterBreak="0">
    <w:nsid w:val="5D8456D9"/>
    <w:multiLevelType w:val="singleLevel"/>
    <w:tmpl w:val="F9C248A8"/>
    <w:lvl w:ilvl="0">
      <w:start w:val="1"/>
      <w:numFmt w:val="bullet"/>
      <w:lvlText w:val=""/>
      <w:lvlJc w:val="left"/>
      <w:pPr>
        <w:tabs>
          <w:tab w:val="num" w:pos="340"/>
        </w:tabs>
        <w:ind w:left="340" w:hanging="340"/>
      </w:pPr>
      <w:rPr>
        <w:rFonts w:ascii="Symbol" w:hAnsi="Symbol" w:hint="default"/>
        <w:color w:val="auto"/>
        <w:sz w:val="22"/>
      </w:rPr>
    </w:lvl>
  </w:abstractNum>
  <w:abstractNum w:abstractNumId="61" w15:restartNumberingAfterBreak="0">
    <w:nsid w:val="5ED02300"/>
    <w:multiLevelType w:val="hybridMultilevel"/>
    <w:tmpl w:val="E90C0874"/>
    <w:lvl w:ilvl="0" w:tplc="CC7650DC">
      <w:start w:val="1"/>
      <w:numFmt w:val="decimal"/>
      <w:pStyle w:val="TableText-numbers"/>
      <w:lvlText w:val="%1."/>
      <w:lvlJc w:val="left"/>
      <w:pPr>
        <w:tabs>
          <w:tab w:val="num" w:pos="360"/>
        </w:tabs>
        <w:ind w:left="284" w:hanging="284"/>
      </w:pPr>
    </w:lvl>
    <w:lvl w:ilvl="1" w:tplc="0F78D536">
      <w:start w:val="1"/>
      <w:numFmt w:val="bullet"/>
      <w:lvlText w:val=""/>
      <w:lvlJc w:val="left"/>
      <w:pPr>
        <w:tabs>
          <w:tab w:val="num" w:pos="288"/>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5F686764"/>
    <w:multiLevelType w:val="hybridMultilevel"/>
    <w:tmpl w:val="8FBA7F5E"/>
    <w:lvl w:ilvl="0" w:tplc="E1320150">
      <w:start w:val="1"/>
      <w:numFmt w:val="bullet"/>
      <w:pStyle w:val="TableText-List"/>
      <w:lvlText w:val=""/>
      <w:lvlJc w:val="left"/>
      <w:pPr>
        <w:tabs>
          <w:tab w:val="num" w:pos="142"/>
        </w:tabs>
        <w:ind w:left="142" w:hanging="142"/>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607821F1"/>
    <w:multiLevelType w:val="singleLevel"/>
    <w:tmpl w:val="F886E242"/>
    <w:lvl w:ilvl="0">
      <w:start w:val="1"/>
      <w:numFmt w:val="bullet"/>
      <w:lvlText w:val=""/>
      <w:lvlJc w:val="left"/>
      <w:pPr>
        <w:tabs>
          <w:tab w:val="num" w:pos="340"/>
        </w:tabs>
        <w:ind w:left="340" w:hanging="340"/>
      </w:pPr>
      <w:rPr>
        <w:rFonts w:ascii="Symbol" w:hAnsi="Symbol" w:hint="default"/>
        <w:color w:val="auto"/>
        <w:sz w:val="22"/>
      </w:rPr>
    </w:lvl>
  </w:abstractNum>
  <w:abstractNum w:abstractNumId="64" w15:restartNumberingAfterBreak="0">
    <w:nsid w:val="640B4326"/>
    <w:multiLevelType w:val="singleLevel"/>
    <w:tmpl w:val="F23C6AC0"/>
    <w:lvl w:ilvl="0">
      <w:start w:val="1"/>
      <w:numFmt w:val="bullet"/>
      <w:lvlText w:val=""/>
      <w:lvlJc w:val="left"/>
      <w:pPr>
        <w:tabs>
          <w:tab w:val="num" w:pos="340"/>
        </w:tabs>
        <w:ind w:left="340" w:hanging="340"/>
      </w:pPr>
      <w:rPr>
        <w:rFonts w:ascii="Symbol" w:hAnsi="Symbol" w:hint="default"/>
        <w:color w:val="auto"/>
        <w:sz w:val="22"/>
      </w:rPr>
    </w:lvl>
  </w:abstractNum>
  <w:abstractNum w:abstractNumId="65" w15:restartNumberingAfterBreak="0">
    <w:nsid w:val="659C5BAF"/>
    <w:multiLevelType w:val="hybridMultilevel"/>
    <w:tmpl w:val="1DF6AF60"/>
    <w:lvl w:ilvl="0" w:tplc="0C090001">
      <w:start w:val="1"/>
      <w:numFmt w:val="bullet"/>
      <w:lvlText w:val=""/>
      <w:lvlJc w:val="left"/>
      <w:pPr>
        <w:ind w:left="1514" w:hanging="360"/>
      </w:pPr>
      <w:rPr>
        <w:rFonts w:ascii="Symbol" w:hAnsi="Symbol"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66" w15:restartNumberingAfterBreak="0">
    <w:nsid w:val="67654EE2"/>
    <w:multiLevelType w:val="singleLevel"/>
    <w:tmpl w:val="54FA8604"/>
    <w:lvl w:ilvl="0">
      <w:start w:val="1"/>
      <w:numFmt w:val="bullet"/>
      <w:lvlText w:val=""/>
      <w:lvlJc w:val="left"/>
      <w:pPr>
        <w:tabs>
          <w:tab w:val="num" w:pos="340"/>
        </w:tabs>
        <w:ind w:left="340" w:hanging="340"/>
      </w:pPr>
      <w:rPr>
        <w:rFonts w:ascii="Symbol" w:hAnsi="Symbol" w:hint="default"/>
        <w:color w:val="auto"/>
        <w:sz w:val="22"/>
      </w:rPr>
    </w:lvl>
  </w:abstractNum>
  <w:abstractNum w:abstractNumId="67" w15:restartNumberingAfterBreak="0">
    <w:nsid w:val="6B5A1E75"/>
    <w:multiLevelType w:val="hybridMultilevel"/>
    <w:tmpl w:val="32880976"/>
    <w:lvl w:ilvl="0" w:tplc="0C090001">
      <w:start w:val="1"/>
      <w:numFmt w:val="bullet"/>
      <w:lvlText w:val=""/>
      <w:lvlJc w:val="left"/>
      <w:pPr>
        <w:ind w:left="1514" w:hanging="360"/>
      </w:pPr>
      <w:rPr>
        <w:rFonts w:ascii="Symbol" w:hAnsi="Symbol"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68" w15:restartNumberingAfterBreak="0">
    <w:nsid w:val="6B95137D"/>
    <w:multiLevelType w:val="hybridMultilevel"/>
    <w:tmpl w:val="96E41A56"/>
    <w:lvl w:ilvl="0" w:tplc="0C090001">
      <w:start w:val="1"/>
      <w:numFmt w:val="bullet"/>
      <w:lvlText w:val=""/>
      <w:lvlJc w:val="left"/>
      <w:pPr>
        <w:ind w:left="1514" w:hanging="360"/>
      </w:pPr>
      <w:rPr>
        <w:rFonts w:ascii="Symbol" w:hAnsi="Symbol"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69" w15:restartNumberingAfterBreak="0">
    <w:nsid w:val="6BCC4772"/>
    <w:multiLevelType w:val="hybridMultilevel"/>
    <w:tmpl w:val="2356DD84"/>
    <w:lvl w:ilvl="0" w:tplc="052CADB2">
      <w:start w:val="1"/>
      <w:numFmt w:val="bullet"/>
      <w:pStyle w:val="GuidanceText-List"/>
      <w:lvlText w:val=""/>
      <w:lvlJc w:val="left"/>
      <w:pPr>
        <w:tabs>
          <w:tab w:val="num" w:pos="1190"/>
        </w:tabs>
        <w:ind w:left="1190" w:hanging="396"/>
      </w:pPr>
      <w:rPr>
        <w:rFonts w:ascii="Symbol" w:hAnsi="Symbol" w:hint="default"/>
        <w:color w:val="0000FF"/>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6BCD6DC5"/>
    <w:multiLevelType w:val="hybridMultilevel"/>
    <w:tmpl w:val="342CEC4E"/>
    <w:lvl w:ilvl="0" w:tplc="1A98B12A">
      <w:start w:val="1"/>
      <w:numFmt w:val="bullet"/>
      <w:pStyle w:val="TableText-ListItalics"/>
      <w:lvlText w:val=""/>
      <w:lvlJc w:val="left"/>
      <w:pPr>
        <w:tabs>
          <w:tab w:val="num" w:pos="142"/>
        </w:tabs>
        <w:ind w:left="142" w:hanging="142"/>
      </w:pPr>
      <w:rPr>
        <w:rFonts w:ascii="Wingdings" w:hAnsi="Wingdings" w:hint="default"/>
        <w:sz w:val="1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6BF97656"/>
    <w:multiLevelType w:val="hybridMultilevel"/>
    <w:tmpl w:val="DB90E65C"/>
    <w:lvl w:ilvl="0" w:tplc="F9864630">
      <w:start w:val="1"/>
      <w:numFmt w:val="upperLetter"/>
      <w:pStyle w:val="Level0-Recitals"/>
      <w:lvlText w:val="%1"/>
      <w:lvlJc w:val="left"/>
      <w:pPr>
        <w:tabs>
          <w:tab w:val="num" w:pos="709"/>
        </w:tabs>
        <w:ind w:left="709" w:hanging="709"/>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2" w15:restartNumberingAfterBreak="0">
    <w:nsid w:val="6C8621AE"/>
    <w:multiLevelType w:val="singleLevel"/>
    <w:tmpl w:val="4C9EBE44"/>
    <w:lvl w:ilvl="0">
      <w:start w:val="1"/>
      <w:numFmt w:val="bullet"/>
      <w:lvlText w:val=""/>
      <w:lvlJc w:val="left"/>
      <w:pPr>
        <w:tabs>
          <w:tab w:val="num" w:pos="340"/>
        </w:tabs>
        <w:ind w:left="340" w:hanging="340"/>
      </w:pPr>
      <w:rPr>
        <w:rFonts w:ascii="Symbol" w:hAnsi="Symbol" w:hint="default"/>
        <w:color w:val="auto"/>
        <w:sz w:val="22"/>
      </w:rPr>
    </w:lvl>
  </w:abstractNum>
  <w:abstractNum w:abstractNumId="73" w15:restartNumberingAfterBreak="0">
    <w:nsid w:val="7087408A"/>
    <w:multiLevelType w:val="multilevel"/>
    <w:tmpl w:val="14C07E6E"/>
    <w:lvl w:ilvl="0">
      <w:start w:val="1"/>
      <w:numFmt w:val="decimal"/>
      <w:pStyle w:val="AppendixHeading1"/>
      <w:lvlText w:val="Appendix %1"/>
      <w:lvlJc w:val="left"/>
      <w:pPr>
        <w:tabs>
          <w:tab w:val="num" w:pos="1440"/>
        </w:tabs>
        <w:ind w:left="1134" w:hanging="1134"/>
      </w:pPr>
      <w:rPr>
        <w:rFonts w:hint="default"/>
      </w:rPr>
    </w:lvl>
    <w:lvl w:ilvl="1">
      <w:start w:val="1"/>
      <w:numFmt w:val="none"/>
      <w:lvlRestart w:val="0"/>
      <w:pStyle w:val="AppendixHeading2"/>
      <w:suff w:val="nothing"/>
      <w:lvlText w:val=""/>
      <w:lvlJc w:val="left"/>
      <w:pPr>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4" w15:restartNumberingAfterBreak="0">
    <w:nsid w:val="72DE779E"/>
    <w:multiLevelType w:val="singleLevel"/>
    <w:tmpl w:val="1868BB8E"/>
    <w:lvl w:ilvl="0">
      <w:start w:val="1"/>
      <w:numFmt w:val="bullet"/>
      <w:lvlText w:val=""/>
      <w:lvlJc w:val="left"/>
      <w:pPr>
        <w:tabs>
          <w:tab w:val="num" w:pos="340"/>
        </w:tabs>
        <w:ind w:left="340" w:hanging="340"/>
      </w:pPr>
      <w:rPr>
        <w:rFonts w:ascii="Symbol" w:hAnsi="Symbol" w:hint="default"/>
        <w:color w:val="auto"/>
        <w:sz w:val="22"/>
      </w:rPr>
    </w:lvl>
  </w:abstractNum>
  <w:abstractNum w:abstractNumId="75" w15:restartNumberingAfterBreak="0">
    <w:nsid w:val="72EF0409"/>
    <w:multiLevelType w:val="singleLevel"/>
    <w:tmpl w:val="87509334"/>
    <w:lvl w:ilvl="0">
      <w:start w:val="1"/>
      <w:numFmt w:val="bullet"/>
      <w:lvlText w:val=""/>
      <w:lvlJc w:val="left"/>
      <w:pPr>
        <w:tabs>
          <w:tab w:val="num" w:pos="340"/>
        </w:tabs>
        <w:ind w:left="340" w:hanging="340"/>
      </w:pPr>
      <w:rPr>
        <w:rFonts w:ascii="Symbol" w:hAnsi="Symbol" w:hint="default"/>
        <w:color w:val="auto"/>
        <w:sz w:val="22"/>
      </w:rPr>
    </w:lvl>
  </w:abstractNum>
  <w:abstractNum w:abstractNumId="76" w15:restartNumberingAfterBreak="0">
    <w:nsid w:val="731006DB"/>
    <w:multiLevelType w:val="hybridMultilevel"/>
    <w:tmpl w:val="B0543B6A"/>
    <w:lvl w:ilvl="0" w:tplc="62E2CDE6">
      <w:start w:val="1"/>
      <w:numFmt w:val="decimal"/>
      <w:pStyle w:val="Appendixheader"/>
      <w:lvlText w:val="Appendix %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7" w15:restartNumberingAfterBreak="0">
    <w:nsid w:val="73F12536"/>
    <w:multiLevelType w:val="singleLevel"/>
    <w:tmpl w:val="3FE814B0"/>
    <w:lvl w:ilvl="0">
      <w:start w:val="1"/>
      <w:numFmt w:val="bullet"/>
      <w:lvlText w:val=""/>
      <w:lvlJc w:val="left"/>
      <w:pPr>
        <w:tabs>
          <w:tab w:val="num" w:pos="340"/>
        </w:tabs>
        <w:ind w:left="340" w:hanging="340"/>
      </w:pPr>
      <w:rPr>
        <w:rFonts w:ascii="Symbol" w:hAnsi="Symbol" w:hint="default"/>
        <w:color w:val="auto"/>
        <w:sz w:val="22"/>
      </w:rPr>
    </w:lvl>
  </w:abstractNum>
  <w:abstractNum w:abstractNumId="78" w15:restartNumberingAfterBreak="0">
    <w:nsid w:val="76393400"/>
    <w:multiLevelType w:val="multilevel"/>
    <w:tmpl w:val="B12A4496"/>
    <w:lvl w:ilvl="0">
      <w:start w:val="1"/>
      <w:numFmt w:val="decimal"/>
      <w:lvlRestart w:val="0"/>
      <w:pStyle w:val="BodyText-NumberedList1"/>
      <w:lvlText w:val="%1)"/>
      <w:lvlJc w:val="left"/>
      <w:pPr>
        <w:tabs>
          <w:tab w:val="num" w:pos="1417"/>
        </w:tabs>
        <w:ind w:left="1417" w:hanging="623"/>
      </w:pPr>
      <w:rPr>
        <w:rFonts w:ascii="Arial" w:hAnsi="Arial" w:hint="default"/>
      </w:rPr>
    </w:lvl>
    <w:lvl w:ilvl="1">
      <w:start w:val="1"/>
      <w:numFmt w:val="lowerLetter"/>
      <w:pStyle w:val="BodyText-NumberedLista"/>
      <w:lvlText w:val="%2."/>
      <w:lvlJc w:val="left"/>
      <w:pPr>
        <w:tabs>
          <w:tab w:val="num" w:pos="1984"/>
        </w:tabs>
        <w:ind w:left="1984" w:hanging="567"/>
      </w:pPr>
      <w:rPr>
        <w:rFonts w:ascii="Arial" w:hAnsi="Arial" w:hint="default"/>
      </w:rPr>
    </w:lvl>
    <w:lvl w:ilvl="2">
      <w:start w:val="1"/>
      <w:numFmt w:val="lowerRoman"/>
      <w:pStyle w:val="BodyText-NumberedListi"/>
      <w:lvlText w:val="%3."/>
      <w:lvlJc w:val="left"/>
      <w:pPr>
        <w:tabs>
          <w:tab w:val="num" w:pos="2438"/>
        </w:tabs>
        <w:ind w:left="2438" w:hanging="454"/>
      </w:pPr>
      <w:rPr>
        <w:rFonts w:ascii="Arial" w:hAnsi="Arial" w:hint="default"/>
      </w:rPr>
    </w:lvl>
    <w:lvl w:ilvl="3">
      <w:start w:val="1"/>
      <w:numFmt w:val="decimal"/>
      <w:pStyle w:val="BodyText-NumberedList10"/>
      <w:lvlText w:val="(%4)"/>
      <w:lvlJc w:val="left"/>
      <w:pPr>
        <w:tabs>
          <w:tab w:val="num" w:pos="3005"/>
        </w:tabs>
        <w:ind w:left="3005" w:hanging="567"/>
      </w:pPr>
      <w:rPr>
        <w:rFonts w:ascii="Arial" w:hAnsi="Arial" w:hint="default"/>
      </w:rPr>
    </w:lvl>
    <w:lvl w:ilvl="4">
      <w:start w:val="1"/>
      <w:numFmt w:val="decimal"/>
      <w:lvlText w:val="%1.%2.%3.%4.%5."/>
      <w:lvlJc w:val="left"/>
      <w:pPr>
        <w:tabs>
          <w:tab w:val="num" w:pos="3084"/>
        </w:tabs>
        <w:ind w:left="3084" w:hanging="794"/>
      </w:pPr>
      <w:rPr>
        <w:rFonts w:ascii="Verdana" w:hAnsi="Verdana" w:hint="default"/>
      </w:rPr>
    </w:lvl>
    <w:lvl w:ilvl="5">
      <w:start w:val="1"/>
      <w:numFmt w:val="decimal"/>
      <w:lvlText w:val="%1.%2.%3.%4.%5.%6."/>
      <w:lvlJc w:val="left"/>
      <w:pPr>
        <w:tabs>
          <w:tab w:val="num" w:pos="3589"/>
        </w:tabs>
        <w:ind w:left="3589" w:hanging="936"/>
      </w:pPr>
      <w:rPr>
        <w:rFonts w:ascii="Verdana" w:hAnsi="Verdana" w:hint="default"/>
      </w:rPr>
    </w:lvl>
    <w:lvl w:ilvl="6">
      <w:start w:val="1"/>
      <w:numFmt w:val="decimal"/>
      <w:lvlText w:val="%1.%2.%3.%4.%5.%6.%7."/>
      <w:lvlJc w:val="left"/>
      <w:pPr>
        <w:tabs>
          <w:tab w:val="num" w:pos="4093"/>
        </w:tabs>
        <w:ind w:left="4093" w:hanging="1083"/>
      </w:pPr>
      <w:rPr>
        <w:rFonts w:ascii="Verdana" w:hAnsi="Verdana" w:hint="default"/>
      </w:rPr>
    </w:lvl>
    <w:lvl w:ilvl="7">
      <w:start w:val="1"/>
      <w:numFmt w:val="decimal"/>
      <w:lvlText w:val="%1.%2.%3.%4.%5.%6.%7.%8."/>
      <w:lvlJc w:val="left"/>
      <w:pPr>
        <w:tabs>
          <w:tab w:val="num" w:pos="4592"/>
        </w:tabs>
        <w:ind w:left="4592" w:hanging="1219"/>
      </w:pPr>
      <w:rPr>
        <w:rFonts w:ascii="Verdana" w:hAnsi="Verdana" w:hint="default"/>
      </w:rPr>
    </w:lvl>
    <w:lvl w:ilvl="8">
      <w:start w:val="1"/>
      <w:numFmt w:val="decimal"/>
      <w:lvlText w:val="%1.%2.%3.%4.%5.%6.%7.%8.%9."/>
      <w:lvlJc w:val="left"/>
      <w:pPr>
        <w:tabs>
          <w:tab w:val="num" w:pos="5170"/>
        </w:tabs>
        <w:ind w:left="5170" w:hanging="1440"/>
      </w:pPr>
      <w:rPr>
        <w:rFonts w:ascii="Verdana" w:hAnsi="Verdana" w:hint="default"/>
      </w:rPr>
    </w:lvl>
  </w:abstractNum>
  <w:abstractNum w:abstractNumId="79" w15:restartNumberingAfterBreak="0">
    <w:nsid w:val="772F04FA"/>
    <w:multiLevelType w:val="singleLevel"/>
    <w:tmpl w:val="75E68BFA"/>
    <w:lvl w:ilvl="0">
      <w:start w:val="1"/>
      <w:numFmt w:val="bullet"/>
      <w:pStyle w:val="Bulletnormal"/>
      <w:lvlText w:val=""/>
      <w:lvlJc w:val="left"/>
      <w:pPr>
        <w:tabs>
          <w:tab w:val="num" w:pos="4877"/>
        </w:tabs>
        <w:ind w:left="4877" w:hanging="340"/>
      </w:pPr>
      <w:rPr>
        <w:rFonts w:ascii="Symbol" w:hAnsi="Symbol" w:hint="default"/>
        <w:color w:val="auto"/>
        <w:sz w:val="22"/>
      </w:rPr>
    </w:lvl>
  </w:abstractNum>
  <w:abstractNum w:abstractNumId="80" w15:restartNumberingAfterBreak="0">
    <w:nsid w:val="784E2387"/>
    <w:multiLevelType w:val="hybridMultilevel"/>
    <w:tmpl w:val="4DF2A1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15:restartNumberingAfterBreak="0">
    <w:nsid w:val="7D2412B3"/>
    <w:multiLevelType w:val="singleLevel"/>
    <w:tmpl w:val="C6C407C8"/>
    <w:lvl w:ilvl="0">
      <w:start w:val="1"/>
      <w:numFmt w:val="bullet"/>
      <w:lvlText w:val=""/>
      <w:lvlJc w:val="left"/>
      <w:pPr>
        <w:tabs>
          <w:tab w:val="num" w:pos="340"/>
        </w:tabs>
        <w:ind w:left="340" w:hanging="340"/>
      </w:pPr>
      <w:rPr>
        <w:rFonts w:ascii="Symbol" w:hAnsi="Symbol" w:hint="default"/>
        <w:color w:val="auto"/>
        <w:sz w:val="22"/>
      </w:rPr>
    </w:lvl>
  </w:abstractNum>
  <w:abstractNum w:abstractNumId="82" w15:restartNumberingAfterBreak="0">
    <w:nsid w:val="7D9F1D18"/>
    <w:multiLevelType w:val="singleLevel"/>
    <w:tmpl w:val="1AF4434A"/>
    <w:lvl w:ilvl="0">
      <w:start w:val="1"/>
      <w:numFmt w:val="bullet"/>
      <w:lvlText w:val=""/>
      <w:lvlJc w:val="left"/>
      <w:pPr>
        <w:tabs>
          <w:tab w:val="num" w:pos="340"/>
        </w:tabs>
        <w:ind w:left="340" w:hanging="340"/>
      </w:pPr>
      <w:rPr>
        <w:rFonts w:ascii="Symbol" w:hAnsi="Symbol" w:hint="default"/>
        <w:color w:val="auto"/>
        <w:sz w:val="22"/>
      </w:rPr>
    </w:lvl>
  </w:abstractNum>
  <w:abstractNum w:abstractNumId="83" w15:restartNumberingAfterBreak="0">
    <w:nsid w:val="7E234DD8"/>
    <w:multiLevelType w:val="multilevel"/>
    <w:tmpl w:val="8CB46004"/>
    <w:styleLink w:val="111111"/>
    <w:lvl w:ilvl="0">
      <w:start w:val="1"/>
      <w:numFmt w:val="decimal"/>
      <w:lvlText w:val="%1."/>
      <w:lvlJc w:val="left"/>
      <w:pPr>
        <w:tabs>
          <w:tab w:val="num" w:pos="360"/>
        </w:tabs>
        <w:ind w:left="360" w:hanging="360"/>
      </w:pPr>
      <w:rPr>
        <w:rFonts w:ascii="Arial" w:hAnsi="Arial" w:cs="Arial" w:hint="default"/>
      </w:rPr>
    </w:lvl>
    <w:lvl w:ilvl="1">
      <w:start w:val="1"/>
      <w:numFmt w:val="decimal"/>
      <w:lvlText w:val="%1.%2."/>
      <w:lvlJc w:val="left"/>
      <w:pPr>
        <w:tabs>
          <w:tab w:val="num" w:pos="1080"/>
        </w:tabs>
        <w:ind w:left="792" w:hanging="432"/>
      </w:pPr>
      <w:rPr>
        <w:rFonts w:ascii="Verdana" w:hAnsi="Verdana" w:hint="default"/>
      </w:rPr>
    </w:lvl>
    <w:lvl w:ilvl="2">
      <w:start w:val="1"/>
      <w:numFmt w:val="decimal"/>
      <w:lvlText w:val="%1.%2.%3."/>
      <w:lvlJc w:val="left"/>
      <w:pPr>
        <w:tabs>
          <w:tab w:val="num" w:pos="1440"/>
        </w:tabs>
        <w:ind w:left="1224" w:hanging="504"/>
      </w:pPr>
      <w:rPr>
        <w:rFonts w:ascii="Verdana" w:hAnsi="Verdana" w:hint="default"/>
      </w:rPr>
    </w:lvl>
    <w:lvl w:ilvl="3">
      <w:start w:val="1"/>
      <w:numFmt w:val="decimal"/>
      <w:lvlText w:val="%1.%2.%3.%4."/>
      <w:lvlJc w:val="left"/>
      <w:pPr>
        <w:tabs>
          <w:tab w:val="num" w:pos="2160"/>
        </w:tabs>
        <w:ind w:left="1728" w:hanging="648"/>
      </w:pPr>
      <w:rPr>
        <w:rFonts w:ascii="Verdana" w:hAnsi="Verdana" w:hint="default"/>
      </w:rPr>
    </w:lvl>
    <w:lvl w:ilvl="4">
      <w:start w:val="1"/>
      <w:numFmt w:val="decimal"/>
      <w:lvlText w:val="%1.%2.%3.%4.%5."/>
      <w:lvlJc w:val="left"/>
      <w:pPr>
        <w:tabs>
          <w:tab w:val="num" w:pos="2880"/>
        </w:tabs>
        <w:ind w:left="2232" w:hanging="792"/>
      </w:pPr>
      <w:rPr>
        <w:rFonts w:ascii="Verdana" w:hAnsi="Verdana" w:hint="default"/>
      </w:rPr>
    </w:lvl>
    <w:lvl w:ilvl="5">
      <w:start w:val="1"/>
      <w:numFmt w:val="decimal"/>
      <w:lvlText w:val="%1.%2.%3.%4.%5.%6."/>
      <w:lvlJc w:val="left"/>
      <w:pPr>
        <w:tabs>
          <w:tab w:val="num" w:pos="3240"/>
        </w:tabs>
        <w:ind w:left="2736" w:hanging="936"/>
      </w:pPr>
      <w:rPr>
        <w:rFonts w:ascii="Verdana" w:hAnsi="Verdana" w:hint="default"/>
      </w:rPr>
    </w:lvl>
    <w:lvl w:ilvl="6">
      <w:start w:val="1"/>
      <w:numFmt w:val="decimal"/>
      <w:lvlText w:val="%1.%2.%3.%4.%5.%6.%7."/>
      <w:lvlJc w:val="left"/>
      <w:pPr>
        <w:tabs>
          <w:tab w:val="num" w:pos="3960"/>
        </w:tabs>
        <w:ind w:left="3240" w:hanging="1080"/>
      </w:pPr>
      <w:rPr>
        <w:rFonts w:ascii="Verdana" w:hAnsi="Verdana" w:hint="default"/>
      </w:rPr>
    </w:lvl>
    <w:lvl w:ilvl="7">
      <w:start w:val="1"/>
      <w:numFmt w:val="decimal"/>
      <w:lvlText w:val="%1.%2.%3.%4.%5.%6.%7.%8."/>
      <w:lvlJc w:val="left"/>
      <w:pPr>
        <w:tabs>
          <w:tab w:val="num" w:pos="4680"/>
        </w:tabs>
        <w:ind w:left="3744" w:hanging="1224"/>
      </w:pPr>
      <w:rPr>
        <w:rFonts w:ascii="Verdana" w:hAnsi="Verdana" w:hint="default"/>
      </w:rPr>
    </w:lvl>
    <w:lvl w:ilvl="8">
      <w:start w:val="1"/>
      <w:numFmt w:val="decimal"/>
      <w:lvlText w:val="%1.%2.%3.%4.%5.%6.%7.%8.%9."/>
      <w:lvlJc w:val="left"/>
      <w:pPr>
        <w:tabs>
          <w:tab w:val="num" w:pos="5040"/>
        </w:tabs>
        <w:ind w:left="4320" w:hanging="1440"/>
      </w:pPr>
      <w:rPr>
        <w:rFonts w:ascii="Verdana" w:hAnsi="Verdana" w:hint="default"/>
      </w:rPr>
    </w:lvl>
  </w:abstractNum>
  <w:abstractNum w:abstractNumId="84" w15:restartNumberingAfterBreak="0">
    <w:nsid w:val="7FF4047F"/>
    <w:multiLevelType w:val="hybridMultilevel"/>
    <w:tmpl w:val="3482EA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3"/>
  </w:num>
  <w:num w:numId="2">
    <w:abstractNumId w:val="46"/>
  </w:num>
  <w:num w:numId="3">
    <w:abstractNumId w:val="6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83"/>
  </w:num>
  <w:num w:numId="15">
    <w:abstractNumId w:val="44"/>
  </w:num>
  <w:num w:numId="16">
    <w:abstractNumId w:val="22"/>
  </w:num>
  <w:num w:numId="17">
    <w:abstractNumId w:val="45"/>
  </w:num>
  <w:num w:numId="18">
    <w:abstractNumId w:val="51"/>
  </w:num>
  <w:num w:numId="19">
    <w:abstractNumId w:val="32"/>
  </w:num>
  <w:num w:numId="20">
    <w:abstractNumId w:val="41"/>
  </w:num>
  <w:num w:numId="21">
    <w:abstractNumId w:val="70"/>
  </w:num>
  <w:num w:numId="22">
    <w:abstractNumId w:val="61"/>
  </w:num>
  <w:num w:numId="23">
    <w:abstractNumId w:val="71"/>
  </w:num>
  <w:num w:numId="24">
    <w:abstractNumId w:val="57"/>
  </w:num>
  <w:num w:numId="25">
    <w:abstractNumId w:val="36"/>
  </w:num>
  <w:num w:numId="26">
    <w:abstractNumId w:val="69"/>
  </w:num>
  <w:num w:numId="27">
    <w:abstractNumId w:val="29"/>
  </w:num>
  <w:num w:numId="28">
    <w:abstractNumId w:val="16"/>
  </w:num>
  <w:num w:numId="29">
    <w:abstractNumId w:val="78"/>
  </w:num>
  <w:num w:numId="30">
    <w:abstractNumId w:val="24"/>
  </w:num>
  <w:num w:numId="31">
    <w:abstractNumId w:val="23"/>
  </w:num>
  <w:num w:numId="32">
    <w:abstractNumId w:val="42"/>
  </w:num>
  <w:num w:numId="33">
    <w:abstractNumId w:val="48"/>
  </w:num>
  <w:num w:numId="34">
    <w:abstractNumId w:val="79"/>
  </w:num>
  <w:num w:numId="35">
    <w:abstractNumId w:val="52"/>
  </w:num>
  <w:num w:numId="36">
    <w:abstractNumId w:val="34"/>
  </w:num>
  <w:num w:numId="37">
    <w:abstractNumId w:val="49"/>
  </w:num>
  <w:num w:numId="38">
    <w:abstractNumId w:val="28"/>
  </w:num>
  <w:num w:numId="39">
    <w:abstractNumId w:val="55"/>
  </w:num>
  <w:num w:numId="40">
    <w:abstractNumId w:val="63"/>
  </w:num>
  <w:num w:numId="41">
    <w:abstractNumId w:val="38"/>
  </w:num>
  <w:num w:numId="42">
    <w:abstractNumId w:val="26"/>
  </w:num>
  <w:num w:numId="43">
    <w:abstractNumId w:val="39"/>
  </w:num>
  <w:num w:numId="44">
    <w:abstractNumId w:val="82"/>
  </w:num>
  <w:num w:numId="45">
    <w:abstractNumId w:val="20"/>
  </w:num>
  <w:num w:numId="46">
    <w:abstractNumId w:val="77"/>
  </w:num>
  <w:num w:numId="47">
    <w:abstractNumId w:val="13"/>
  </w:num>
  <w:num w:numId="48">
    <w:abstractNumId w:val="72"/>
  </w:num>
  <w:num w:numId="49">
    <w:abstractNumId w:val="18"/>
  </w:num>
  <w:num w:numId="50">
    <w:abstractNumId w:val="43"/>
  </w:num>
  <w:num w:numId="51">
    <w:abstractNumId w:val="58"/>
  </w:num>
  <w:num w:numId="52">
    <w:abstractNumId w:val="68"/>
  </w:num>
  <w:num w:numId="53">
    <w:abstractNumId w:val="60"/>
  </w:num>
  <w:num w:numId="54">
    <w:abstractNumId w:val="10"/>
  </w:num>
  <w:num w:numId="55">
    <w:abstractNumId w:val="27"/>
  </w:num>
  <w:num w:numId="56">
    <w:abstractNumId w:val="75"/>
  </w:num>
  <w:num w:numId="57">
    <w:abstractNumId w:val="56"/>
  </w:num>
  <w:num w:numId="58">
    <w:abstractNumId w:val="12"/>
  </w:num>
  <w:num w:numId="59">
    <w:abstractNumId w:val="35"/>
  </w:num>
  <w:num w:numId="60">
    <w:abstractNumId w:val="11"/>
  </w:num>
  <w:num w:numId="61">
    <w:abstractNumId w:val="47"/>
  </w:num>
  <w:num w:numId="62">
    <w:abstractNumId w:val="59"/>
  </w:num>
  <w:num w:numId="63">
    <w:abstractNumId w:val="50"/>
  </w:num>
  <w:num w:numId="64">
    <w:abstractNumId w:val="40"/>
  </w:num>
  <w:num w:numId="65">
    <w:abstractNumId w:val="37"/>
  </w:num>
  <w:num w:numId="66">
    <w:abstractNumId w:val="31"/>
  </w:num>
  <w:num w:numId="67">
    <w:abstractNumId w:val="53"/>
  </w:num>
  <w:num w:numId="68">
    <w:abstractNumId w:val="74"/>
  </w:num>
  <w:num w:numId="69">
    <w:abstractNumId w:val="21"/>
  </w:num>
  <w:num w:numId="70">
    <w:abstractNumId w:val="64"/>
  </w:num>
  <w:num w:numId="71">
    <w:abstractNumId w:val="81"/>
  </w:num>
  <w:num w:numId="72">
    <w:abstractNumId w:val="66"/>
  </w:num>
  <w:num w:numId="73">
    <w:abstractNumId w:val="54"/>
  </w:num>
  <w:num w:numId="74">
    <w:abstractNumId w:val="33"/>
  </w:num>
  <w:num w:numId="75">
    <w:abstractNumId w:val="76"/>
  </w:num>
  <w:num w:numId="76">
    <w:abstractNumId w:val="15"/>
  </w:num>
  <w:num w:numId="77">
    <w:abstractNumId w:val="65"/>
  </w:num>
  <w:num w:numId="78">
    <w:abstractNumId w:val="17"/>
  </w:num>
  <w:num w:numId="79">
    <w:abstractNumId w:val="67"/>
  </w:num>
  <w:num w:numId="80">
    <w:abstractNumId w:val="25"/>
  </w:num>
  <w:num w:numId="81">
    <w:abstractNumId w:val="14"/>
  </w:num>
  <w:num w:numId="82">
    <w:abstractNumId w:val="84"/>
  </w:num>
  <w:num w:numId="83">
    <w:abstractNumId w:val="30"/>
  </w:num>
  <w:num w:numId="84">
    <w:abstractNumId w:val="19"/>
  </w:num>
  <w:num w:numId="85">
    <w:abstractNumId w:val="8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revisionView w:markup="0"/>
  <w:defaultTabStop w:val="720"/>
  <w:clickAndTypeStyle w:val="BodyText"/>
  <w:drawingGridHorizontalSpacing w:val="57"/>
  <w:drawingGridVerticalSpacing w:val="57"/>
  <w:noPunctuationKerning/>
  <w:characterSpacingControl w:val="doNotCompress"/>
  <w:hdrShapeDefaults>
    <o:shapedefaults v:ext="edit" spidmax="12289" fill="f" fillcolor="white">
      <v:fill color="white" on="f"/>
      <o:colormru v:ext="edit" colors="#ddd,#00407a,#52006b,#eaeaea,#f4f4f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799"/>
    <w:rsid w:val="00000688"/>
    <w:rsid w:val="000009F2"/>
    <w:rsid w:val="00001164"/>
    <w:rsid w:val="000012C1"/>
    <w:rsid w:val="000012D9"/>
    <w:rsid w:val="00001528"/>
    <w:rsid w:val="000015A3"/>
    <w:rsid w:val="0000167B"/>
    <w:rsid w:val="00002A92"/>
    <w:rsid w:val="00003881"/>
    <w:rsid w:val="00003AD5"/>
    <w:rsid w:val="000040AD"/>
    <w:rsid w:val="000041F9"/>
    <w:rsid w:val="00004B1B"/>
    <w:rsid w:val="00004D07"/>
    <w:rsid w:val="000050DE"/>
    <w:rsid w:val="0000512C"/>
    <w:rsid w:val="000054F0"/>
    <w:rsid w:val="000059AF"/>
    <w:rsid w:val="000061F1"/>
    <w:rsid w:val="000063B4"/>
    <w:rsid w:val="000064A4"/>
    <w:rsid w:val="00006996"/>
    <w:rsid w:val="00007CEA"/>
    <w:rsid w:val="00007FF1"/>
    <w:rsid w:val="000100CB"/>
    <w:rsid w:val="00010406"/>
    <w:rsid w:val="00010723"/>
    <w:rsid w:val="00010761"/>
    <w:rsid w:val="00010778"/>
    <w:rsid w:val="00011E0D"/>
    <w:rsid w:val="00012444"/>
    <w:rsid w:val="00012467"/>
    <w:rsid w:val="0001323B"/>
    <w:rsid w:val="0001374F"/>
    <w:rsid w:val="00013941"/>
    <w:rsid w:val="000139BB"/>
    <w:rsid w:val="0001436C"/>
    <w:rsid w:val="000144A4"/>
    <w:rsid w:val="00014E13"/>
    <w:rsid w:val="000151F5"/>
    <w:rsid w:val="00015748"/>
    <w:rsid w:val="00015AE1"/>
    <w:rsid w:val="00015C1E"/>
    <w:rsid w:val="000160B2"/>
    <w:rsid w:val="0001664C"/>
    <w:rsid w:val="00016816"/>
    <w:rsid w:val="0001688C"/>
    <w:rsid w:val="00016A0C"/>
    <w:rsid w:val="00017457"/>
    <w:rsid w:val="00017685"/>
    <w:rsid w:val="00020807"/>
    <w:rsid w:val="000208A0"/>
    <w:rsid w:val="00020BB8"/>
    <w:rsid w:val="00020E09"/>
    <w:rsid w:val="000214BA"/>
    <w:rsid w:val="0002156F"/>
    <w:rsid w:val="000216EB"/>
    <w:rsid w:val="0002188D"/>
    <w:rsid w:val="000218D8"/>
    <w:rsid w:val="000221DF"/>
    <w:rsid w:val="00022A83"/>
    <w:rsid w:val="00022D14"/>
    <w:rsid w:val="000236BA"/>
    <w:rsid w:val="00023D63"/>
    <w:rsid w:val="000241E7"/>
    <w:rsid w:val="000242AD"/>
    <w:rsid w:val="00024498"/>
    <w:rsid w:val="00024CD4"/>
    <w:rsid w:val="00025488"/>
    <w:rsid w:val="0002576C"/>
    <w:rsid w:val="00025875"/>
    <w:rsid w:val="00025BE4"/>
    <w:rsid w:val="00025EDC"/>
    <w:rsid w:val="0002610C"/>
    <w:rsid w:val="00026A37"/>
    <w:rsid w:val="00026D1B"/>
    <w:rsid w:val="0002707C"/>
    <w:rsid w:val="000279B1"/>
    <w:rsid w:val="00027A47"/>
    <w:rsid w:val="00027B94"/>
    <w:rsid w:val="0003083E"/>
    <w:rsid w:val="00030CA9"/>
    <w:rsid w:val="00031242"/>
    <w:rsid w:val="00031FDF"/>
    <w:rsid w:val="0003225B"/>
    <w:rsid w:val="00032958"/>
    <w:rsid w:val="00032E33"/>
    <w:rsid w:val="00033004"/>
    <w:rsid w:val="000330A9"/>
    <w:rsid w:val="00033516"/>
    <w:rsid w:val="000338A9"/>
    <w:rsid w:val="00033ABA"/>
    <w:rsid w:val="000345BE"/>
    <w:rsid w:val="00034BA4"/>
    <w:rsid w:val="00034C66"/>
    <w:rsid w:val="00034D13"/>
    <w:rsid w:val="00035E24"/>
    <w:rsid w:val="000362C1"/>
    <w:rsid w:val="00036848"/>
    <w:rsid w:val="0003720D"/>
    <w:rsid w:val="000372C1"/>
    <w:rsid w:val="00037412"/>
    <w:rsid w:val="000378FF"/>
    <w:rsid w:val="00037A20"/>
    <w:rsid w:val="00037A91"/>
    <w:rsid w:val="00037CF7"/>
    <w:rsid w:val="00037D0F"/>
    <w:rsid w:val="00037E6C"/>
    <w:rsid w:val="000405CD"/>
    <w:rsid w:val="00041005"/>
    <w:rsid w:val="000410A9"/>
    <w:rsid w:val="0004113D"/>
    <w:rsid w:val="000424AD"/>
    <w:rsid w:val="00042696"/>
    <w:rsid w:val="00042F6A"/>
    <w:rsid w:val="0004351A"/>
    <w:rsid w:val="00043A30"/>
    <w:rsid w:val="0004414E"/>
    <w:rsid w:val="00044163"/>
    <w:rsid w:val="000441A4"/>
    <w:rsid w:val="00044663"/>
    <w:rsid w:val="00044B57"/>
    <w:rsid w:val="00044BF1"/>
    <w:rsid w:val="0004509B"/>
    <w:rsid w:val="00045130"/>
    <w:rsid w:val="00045581"/>
    <w:rsid w:val="00046763"/>
    <w:rsid w:val="0004678F"/>
    <w:rsid w:val="00046DAA"/>
    <w:rsid w:val="000471C4"/>
    <w:rsid w:val="000474BF"/>
    <w:rsid w:val="000503FA"/>
    <w:rsid w:val="00050DC8"/>
    <w:rsid w:val="000513D4"/>
    <w:rsid w:val="000514BF"/>
    <w:rsid w:val="00051572"/>
    <w:rsid w:val="00051581"/>
    <w:rsid w:val="00052799"/>
    <w:rsid w:val="000539B6"/>
    <w:rsid w:val="0005401A"/>
    <w:rsid w:val="000544CE"/>
    <w:rsid w:val="00054880"/>
    <w:rsid w:val="00054943"/>
    <w:rsid w:val="00054A41"/>
    <w:rsid w:val="00055412"/>
    <w:rsid w:val="00055546"/>
    <w:rsid w:val="000559B5"/>
    <w:rsid w:val="00055A8C"/>
    <w:rsid w:val="000561C9"/>
    <w:rsid w:val="0005680C"/>
    <w:rsid w:val="00057D25"/>
    <w:rsid w:val="000603D0"/>
    <w:rsid w:val="00060BD1"/>
    <w:rsid w:val="00060D95"/>
    <w:rsid w:val="00060F58"/>
    <w:rsid w:val="00060FFB"/>
    <w:rsid w:val="0006106E"/>
    <w:rsid w:val="00061321"/>
    <w:rsid w:val="000618F8"/>
    <w:rsid w:val="00061E49"/>
    <w:rsid w:val="000634E3"/>
    <w:rsid w:val="00063CFC"/>
    <w:rsid w:val="0006460C"/>
    <w:rsid w:val="00064B69"/>
    <w:rsid w:val="00065B8F"/>
    <w:rsid w:val="00066AC3"/>
    <w:rsid w:val="00066D5F"/>
    <w:rsid w:val="00067260"/>
    <w:rsid w:val="000703BF"/>
    <w:rsid w:val="000711CB"/>
    <w:rsid w:val="000714BC"/>
    <w:rsid w:val="0007150D"/>
    <w:rsid w:val="00071953"/>
    <w:rsid w:val="00071999"/>
    <w:rsid w:val="00071C69"/>
    <w:rsid w:val="00071D87"/>
    <w:rsid w:val="0007244F"/>
    <w:rsid w:val="000725A3"/>
    <w:rsid w:val="00072D8F"/>
    <w:rsid w:val="000730B8"/>
    <w:rsid w:val="00073A10"/>
    <w:rsid w:val="000748EE"/>
    <w:rsid w:val="00075675"/>
    <w:rsid w:val="00075A9D"/>
    <w:rsid w:val="00076246"/>
    <w:rsid w:val="000762E0"/>
    <w:rsid w:val="00076755"/>
    <w:rsid w:val="0007679D"/>
    <w:rsid w:val="00076DA8"/>
    <w:rsid w:val="000772A9"/>
    <w:rsid w:val="00077A2A"/>
    <w:rsid w:val="0008051D"/>
    <w:rsid w:val="00080CDA"/>
    <w:rsid w:val="00081345"/>
    <w:rsid w:val="00081430"/>
    <w:rsid w:val="00081491"/>
    <w:rsid w:val="00081706"/>
    <w:rsid w:val="000817F8"/>
    <w:rsid w:val="00081D68"/>
    <w:rsid w:val="00082D90"/>
    <w:rsid w:val="00083AAB"/>
    <w:rsid w:val="000840C5"/>
    <w:rsid w:val="000843B7"/>
    <w:rsid w:val="0008456D"/>
    <w:rsid w:val="000847C8"/>
    <w:rsid w:val="000847FA"/>
    <w:rsid w:val="00084BB7"/>
    <w:rsid w:val="0008509C"/>
    <w:rsid w:val="0008597F"/>
    <w:rsid w:val="0008614A"/>
    <w:rsid w:val="00086A37"/>
    <w:rsid w:val="00086D8E"/>
    <w:rsid w:val="00087390"/>
    <w:rsid w:val="000878BC"/>
    <w:rsid w:val="00087C84"/>
    <w:rsid w:val="00090153"/>
    <w:rsid w:val="000908BE"/>
    <w:rsid w:val="0009095B"/>
    <w:rsid w:val="00090BDA"/>
    <w:rsid w:val="00090F17"/>
    <w:rsid w:val="00091136"/>
    <w:rsid w:val="000917C1"/>
    <w:rsid w:val="00091C17"/>
    <w:rsid w:val="00091E50"/>
    <w:rsid w:val="00092582"/>
    <w:rsid w:val="0009358B"/>
    <w:rsid w:val="00093F1D"/>
    <w:rsid w:val="00093FB3"/>
    <w:rsid w:val="0009441E"/>
    <w:rsid w:val="0009454B"/>
    <w:rsid w:val="00094C9A"/>
    <w:rsid w:val="00094F77"/>
    <w:rsid w:val="00095D55"/>
    <w:rsid w:val="00096C0D"/>
    <w:rsid w:val="000977E7"/>
    <w:rsid w:val="00097DF3"/>
    <w:rsid w:val="000A00CA"/>
    <w:rsid w:val="000A04BE"/>
    <w:rsid w:val="000A0D38"/>
    <w:rsid w:val="000A0E6E"/>
    <w:rsid w:val="000A19F9"/>
    <w:rsid w:val="000A1FD2"/>
    <w:rsid w:val="000A24A2"/>
    <w:rsid w:val="000A2B70"/>
    <w:rsid w:val="000A2DD6"/>
    <w:rsid w:val="000A2F91"/>
    <w:rsid w:val="000A3717"/>
    <w:rsid w:val="000A3ACA"/>
    <w:rsid w:val="000A3BEF"/>
    <w:rsid w:val="000A3CF2"/>
    <w:rsid w:val="000A3E21"/>
    <w:rsid w:val="000A4456"/>
    <w:rsid w:val="000A4573"/>
    <w:rsid w:val="000A4989"/>
    <w:rsid w:val="000A56C2"/>
    <w:rsid w:val="000A6E75"/>
    <w:rsid w:val="000A6EF3"/>
    <w:rsid w:val="000A7A4B"/>
    <w:rsid w:val="000A7C85"/>
    <w:rsid w:val="000B0379"/>
    <w:rsid w:val="000B0EC9"/>
    <w:rsid w:val="000B0F06"/>
    <w:rsid w:val="000B11CB"/>
    <w:rsid w:val="000B1465"/>
    <w:rsid w:val="000B233C"/>
    <w:rsid w:val="000B2E89"/>
    <w:rsid w:val="000B372E"/>
    <w:rsid w:val="000B39D1"/>
    <w:rsid w:val="000B47F2"/>
    <w:rsid w:val="000B50C2"/>
    <w:rsid w:val="000B51AD"/>
    <w:rsid w:val="000B523F"/>
    <w:rsid w:val="000B5FD1"/>
    <w:rsid w:val="000B634B"/>
    <w:rsid w:val="000B6E08"/>
    <w:rsid w:val="000B7467"/>
    <w:rsid w:val="000B7720"/>
    <w:rsid w:val="000B774D"/>
    <w:rsid w:val="000B7C24"/>
    <w:rsid w:val="000B7E04"/>
    <w:rsid w:val="000C0910"/>
    <w:rsid w:val="000C0CA3"/>
    <w:rsid w:val="000C0F39"/>
    <w:rsid w:val="000C1EDE"/>
    <w:rsid w:val="000C2E39"/>
    <w:rsid w:val="000C34BB"/>
    <w:rsid w:val="000C36E1"/>
    <w:rsid w:val="000C3A29"/>
    <w:rsid w:val="000C4275"/>
    <w:rsid w:val="000C5221"/>
    <w:rsid w:val="000C5386"/>
    <w:rsid w:val="000C56BF"/>
    <w:rsid w:val="000C581C"/>
    <w:rsid w:val="000C590C"/>
    <w:rsid w:val="000C5A19"/>
    <w:rsid w:val="000C5C4D"/>
    <w:rsid w:val="000C5D5B"/>
    <w:rsid w:val="000C6424"/>
    <w:rsid w:val="000C68D9"/>
    <w:rsid w:val="000C71AC"/>
    <w:rsid w:val="000C733B"/>
    <w:rsid w:val="000C7542"/>
    <w:rsid w:val="000C7F3B"/>
    <w:rsid w:val="000D04FA"/>
    <w:rsid w:val="000D0522"/>
    <w:rsid w:val="000D067B"/>
    <w:rsid w:val="000D0A3D"/>
    <w:rsid w:val="000D0E00"/>
    <w:rsid w:val="000D0E47"/>
    <w:rsid w:val="000D1218"/>
    <w:rsid w:val="000D1963"/>
    <w:rsid w:val="000D1AB0"/>
    <w:rsid w:val="000D205F"/>
    <w:rsid w:val="000D2B2A"/>
    <w:rsid w:val="000D2C39"/>
    <w:rsid w:val="000D308E"/>
    <w:rsid w:val="000D3153"/>
    <w:rsid w:val="000D3188"/>
    <w:rsid w:val="000D4958"/>
    <w:rsid w:val="000D4EA3"/>
    <w:rsid w:val="000D54DF"/>
    <w:rsid w:val="000D54EC"/>
    <w:rsid w:val="000D56C6"/>
    <w:rsid w:val="000D58BB"/>
    <w:rsid w:val="000D5DF5"/>
    <w:rsid w:val="000D645C"/>
    <w:rsid w:val="000D761C"/>
    <w:rsid w:val="000D790C"/>
    <w:rsid w:val="000D7CF3"/>
    <w:rsid w:val="000E005C"/>
    <w:rsid w:val="000E0086"/>
    <w:rsid w:val="000E018B"/>
    <w:rsid w:val="000E1309"/>
    <w:rsid w:val="000E1330"/>
    <w:rsid w:val="000E168A"/>
    <w:rsid w:val="000E1E88"/>
    <w:rsid w:val="000E224D"/>
    <w:rsid w:val="000E2F5D"/>
    <w:rsid w:val="000E3DC9"/>
    <w:rsid w:val="000E4101"/>
    <w:rsid w:val="000E4FAE"/>
    <w:rsid w:val="000E5AB4"/>
    <w:rsid w:val="000E60C6"/>
    <w:rsid w:val="000E60D6"/>
    <w:rsid w:val="000E7028"/>
    <w:rsid w:val="000E70E7"/>
    <w:rsid w:val="000E7809"/>
    <w:rsid w:val="000E7CE6"/>
    <w:rsid w:val="000E7EE7"/>
    <w:rsid w:val="000F0B50"/>
    <w:rsid w:val="000F1105"/>
    <w:rsid w:val="000F1EAF"/>
    <w:rsid w:val="000F228E"/>
    <w:rsid w:val="000F269B"/>
    <w:rsid w:val="000F2886"/>
    <w:rsid w:val="000F2CCC"/>
    <w:rsid w:val="000F3855"/>
    <w:rsid w:val="000F51F4"/>
    <w:rsid w:val="000F5AB2"/>
    <w:rsid w:val="000F5B90"/>
    <w:rsid w:val="000F5D55"/>
    <w:rsid w:val="000F6062"/>
    <w:rsid w:val="000F6C6A"/>
    <w:rsid w:val="000F6F9B"/>
    <w:rsid w:val="000F7B2B"/>
    <w:rsid w:val="000F7F46"/>
    <w:rsid w:val="0010084D"/>
    <w:rsid w:val="00100D54"/>
    <w:rsid w:val="00100F0B"/>
    <w:rsid w:val="00102550"/>
    <w:rsid w:val="0010278E"/>
    <w:rsid w:val="00102A0F"/>
    <w:rsid w:val="0010311C"/>
    <w:rsid w:val="00103BF3"/>
    <w:rsid w:val="00103CC5"/>
    <w:rsid w:val="00103D60"/>
    <w:rsid w:val="00103DCE"/>
    <w:rsid w:val="00104BC3"/>
    <w:rsid w:val="001051EB"/>
    <w:rsid w:val="001057E0"/>
    <w:rsid w:val="001058DB"/>
    <w:rsid w:val="001063E6"/>
    <w:rsid w:val="0010657E"/>
    <w:rsid w:val="00106705"/>
    <w:rsid w:val="00106829"/>
    <w:rsid w:val="00106A56"/>
    <w:rsid w:val="00106D27"/>
    <w:rsid w:val="00107155"/>
    <w:rsid w:val="0010732A"/>
    <w:rsid w:val="00110824"/>
    <w:rsid w:val="00111667"/>
    <w:rsid w:val="00111A24"/>
    <w:rsid w:val="00111AB3"/>
    <w:rsid w:val="00111D43"/>
    <w:rsid w:val="00112B7F"/>
    <w:rsid w:val="00112D67"/>
    <w:rsid w:val="00113463"/>
    <w:rsid w:val="00113EF6"/>
    <w:rsid w:val="001141E0"/>
    <w:rsid w:val="0011454C"/>
    <w:rsid w:val="00114AAD"/>
    <w:rsid w:val="0011531F"/>
    <w:rsid w:val="00115A1F"/>
    <w:rsid w:val="00115B53"/>
    <w:rsid w:val="00115E10"/>
    <w:rsid w:val="0011607E"/>
    <w:rsid w:val="001165C1"/>
    <w:rsid w:val="001167F7"/>
    <w:rsid w:val="00116F56"/>
    <w:rsid w:val="001170E5"/>
    <w:rsid w:val="001212B7"/>
    <w:rsid w:val="0012163B"/>
    <w:rsid w:val="0012213E"/>
    <w:rsid w:val="00122726"/>
    <w:rsid w:val="00122A9B"/>
    <w:rsid w:val="00122F0D"/>
    <w:rsid w:val="00123843"/>
    <w:rsid w:val="0012387A"/>
    <w:rsid w:val="00124FF8"/>
    <w:rsid w:val="00125C9F"/>
    <w:rsid w:val="0012706C"/>
    <w:rsid w:val="00127477"/>
    <w:rsid w:val="00127AF7"/>
    <w:rsid w:val="00127D37"/>
    <w:rsid w:val="00130180"/>
    <w:rsid w:val="001305F8"/>
    <w:rsid w:val="00131116"/>
    <w:rsid w:val="001312CD"/>
    <w:rsid w:val="001315F5"/>
    <w:rsid w:val="001316A5"/>
    <w:rsid w:val="00131DDC"/>
    <w:rsid w:val="001321E7"/>
    <w:rsid w:val="0013269A"/>
    <w:rsid w:val="001327D9"/>
    <w:rsid w:val="00132FB3"/>
    <w:rsid w:val="00133870"/>
    <w:rsid w:val="001340CB"/>
    <w:rsid w:val="0013455C"/>
    <w:rsid w:val="001351D7"/>
    <w:rsid w:val="00135A42"/>
    <w:rsid w:val="00136A65"/>
    <w:rsid w:val="00136DF4"/>
    <w:rsid w:val="0013742F"/>
    <w:rsid w:val="0013745A"/>
    <w:rsid w:val="00137686"/>
    <w:rsid w:val="001376F4"/>
    <w:rsid w:val="00137776"/>
    <w:rsid w:val="00137CDC"/>
    <w:rsid w:val="0014014C"/>
    <w:rsid w:val="00140E7F"/>
    <w:rsid w:val="00141831"/>
    <w:rsid w:val="00141F36"/>
    <w:rsid w:val="00142CE6"/>
    <w:rsid w:val="00142D2A"/>
    <w:rsid w:val="00143147"/>
    <w:rsid w:val="001434A1"/>
    <w:rsid w:val="001434F3"/>
    <w:rsid w:val="001436F6"/>
    <w:rsid w:val="001437FE"/>
    <w:rsid w:val="00144C40"/>
    <w:rsid w:val="00144D18"/>
    <w:rsid w:val="001450D1"/>
    <w:rsid w:val="001454E8"/>
    <w:rsid w:val="00145DBE"/>
    <w:rsid w:val="00146065"/>
    <w:rsid w:val="00146193"/>
    <w:rsid w:val="00146A75"/>
    <w:rsid w:val="0014721C"/>
    <w:rsid w:val="00147223"/>
    <w:rsid w:val="00147CE8"/>
    <w:rsid w:val="00152511"/>
    <w:rsid w:val="00152AE2"/>
    <w:rsid w:val="00152DAD"/>
    <w:rsid w:val="00153437"/>
    <w:rsid w:val="001538DD"/>
    <w:rsid w:val="001548EF"/>
    <w:rsid w:val="0015490D"/>
    <w:rsid w:val="00154D01"/>
    <w:rsid w:val="00155CFF"/>
    <w:rsid w:val="00155FB4"/>
    <w:rsid w:val="0015698F"/>
    <w:rsid w:val="00156B90"/>
    <w:rsid w:val="00156D62"/>
    <w:rsid w:val="00157604"/>
    <w:rsid w:val="00160CFD"/>
    <w:rsid w:val="00161265"/>
    <w:rsid w:val="00161F4C"/>
    <w:rsid w:val="00162469"/>
    <w:rsid w:val="00162F1E"/>
    <w:rsid w:val="00163028"/>
    <w:rsid w:val="001636CB"/>
    <w:rsid w:val="00164F81"/>
    <w:rsid w:val="00165DC2"/>
    <w:rsid w:val="00165E32"/>
    <w:rsid w:val="001661BE"/>
    <w:rsid w:val="0016683B"/>
    <w:rsid w:val="00166DDA"/>
    <w:rsid w:val="00166E8B"/>
    <w:rsid w:val="001675E3"/>
    <w:rsid w:val="00167DAD"/>
    <w:rsid w:val="0017067E"/>
    <w:rsid w:val="001706C1"/>
    <w:rsid w:val="00170D06"/>
    <w:rsid w:val="00171B15"/>
    <w:rsid w:val="0017255C"/>
    <w:rsid w:val="001732F1"/>
    <w:rsid w:val="00173612"/>
    <w:rsid w:val="001746D9"/>
    <w:rsid w:val="001748F2"/>
    <w:rsid w:val="00174C3B"/>
    <w:rsid w:val="00175072"/>
    <w:rsid w:val="001752B9"/>
    <w:rsid w:val="00175390"/>
    <w:rsid w:val="0017593D"/>
    <w:rsid w:val="00175A65"/>
    <w:rsid w:val="00175CFC"/>
    <w:rsid w:val="001761E1"/>
    <w:rsid w:val="001766AD"/>
    <w:rsid w:val="00177400"/>
    <w:rsid w:val="00177831"/>
    <w:rsid w:val="00180234"/>
    <w:rsid w:val="00180FD1"/>
    <w:rsid w:val="001815A6"/>
    <w:rsid w:val="0018182A"/>
    <w:rsid w:val="001839E3"/>
    <w:rsid w:val="00184440"/>
    <w:rsid w:val="001846A5"/>
    <w:rsid w:val="00185764"/>
    <w:rsid w:val="00185D83"/>
    <w:rsid w:val="00186231"/>
    <w:rsid w:val="00186288"/>
    <w:rsid w:val="001863D0"/>
    <w:rsid w:val="0018682C"/>
    <w:rsid w:val="00186B32"/>
    <w:rsid w:val="00186F14"/>
    <w:rsid w:val="0018734B"/>
    <w:rsid w:val="001873FD"/>
    <w:rsid w:val="00187481"/>
    <w:rsid w:val="00187BAA"/>
    <w:rsid w:val="001903D4"/>
    <w:rsid w:val="001918E8"/>
    <w:rsid w:val="00191D33"/>
    <w:rsid w:val="00192CD4"/>
    <w:rsid w:val="0019333A"/>
    <w:rsid w:val="00193460"/>
    <w:rsid w:val="001938D1"/>
    <w:rsid w:val="00193B1C"/>
    <w:rsid w:val="00193F80"/>
    <w:rsid w:val="00194F60"/>
    <w:rsid w:val="00195079"/>
    <w:rsid w:val="0019535A"/>
    <w:rsid w:val="001955BC"/>
    <w:rsid w:val="0019581A"/>
    <w:rsid w:val="00195A52"/>
    <w:rsid w:val="001963BE"/>
    <w:rsid w:val="00196EFE"/>
    <w:rsid w:val="00196FA9"/>
    <w:rsid w:val="00196FF5"/>
    <w:rsid w:val="001A1365"/>
    <w:rsid w:val="001A148C"/>
    <w:rsid w:val="001A27DA"/>
    <w:rsid w:val="001A288B"/>
    <w:rsid w:val="001A3249"/>
    <w:rsid w:val="001A3E45"/>
    <w:rsid w:val="001A4AB1"/>
    <w:rsid w:val="001A4C02"/>
    <w:rsid w:val="001A52A5"/>
    <w:rsid w:val="001A5D0D"/>
    <w:rsid w:val="001A5F44"/>
    <w:rsid w:val="001A6683"/>
    <w:rsid w:val="001A6745"/>
    <w:rsid w:val="001A6ABC"/>
    <w:rsid w:val="001A6B21"/>
    <w:rsid w:val="001A7799"/>
    <w:rsid w:val="001A77B6"/>
    <w:rsid w:val="001B0BA8"/>
    <w:rsid w:val="001B0FE7"/>
    <w:rsid w:val="001B306A"/>
    <w:rsid w:val="001B3702"/>
    <w:rsid w:val="001B39B0"/>
    <w:rsid w:val="001B425E"/>
    <w:rsid w:val="001B4354"/>
    <w:rsid w:val="001B5612"/>
    <w:rsid w:val="001B5B8C"/>
    <w:rsid w:val="001B6038"/>
    <w:rsid w:val="001B6293"/>
    <w:rsid w:val="001B6462"/>
    <w:rsid w:val="001B65AA"/>
    <w:rsid w:val="001B6786"/>
    <w:rsid w:val="001B7668"/>
    <w:rsid w:val="001B7EBC"/>
    <w:rsid w:val="001C01F6"/>
    <w:rsid w:val="001C0D75"/>
    <w:rsid w:val="001C13DB"/>
    <w:rsid w:val="001C16D9"/>
    <w:rsid w:val="001C1B77"/>
    <w:rsid w:val="001C1BD3"/>
    <w:rsid w:val="001C2FEA"/>
    <w:rsid w:val="001C3261"/>
    <w:rsid w:val="001C328D"/>
    <w:rsid w:val="001C3CD9"/>
    <w:rsid w:val="001C4044"/>
    <w:rsid w:val="001C47EC"/>
    <w:rsid w:val="001C4820"/>
    <w:rsid w:val="001C4C1F"/>
    <w:rsid w:val="001C4F9F"/>
    <w:rsid w:val="001C53FB"/>
    <w:rsid w:val="001C5ADB"/>
    <w:rsid w:val="001C5AEA"/>
    <w:rsid w:val="001C61EC"/>
    <w:rsid w:val="001C62D5"/>
    <w:rsid w:val="001C69FC"/>
    <w:rsid w:val="001C769C"/>
    <w:rsid w:val="001C7D77"/>
    <w:rsid w:val="001C7FE7"/>
    <w:rsid w:val="001D0A90"/>
    <w:rsid w:val="001D0B26"/>
    <w:rsid w:val="001D0EEB"/>
    <w:rsid w:val="001D18A8"/>
    <w:rsid w:val="001D1CF6"/>
    <w:rsid w:val="001D2220"/>
    <w:rsid w:val="001D261C"/>
    <w:rsid w:val="001D29B2"/>
    <w:rsid w:val="001D2AF7"/>
    <w:rsid w:val="001D2DF2"/>
    <w:rsid w:val="001D2EC6"/>
    <w:rsid w:val="001D31FA"/>
    <w:rsid w:val="001D3811"/>
    <w:rsid w:val="001D3AF4"/>
    <w:rsid w:val="001D3E04"/>
    <w:rsid w:val="001D4417"/>
    <w:rsid w:val="001D4A29"/>
    <w:rsid w:val="001D4DCB"/>
    <w:rsid w:val="001D54A5"/>
    <w:rsid w:val="001D62B7"/>
    <w:rsid w:val="001D7016"/>
    <w:rsid w:val="001D7086"/>
    <w:rsid w:val="001D7298"/>
    <w:rsid w:val="001D738D"/>
    <w:rsid w:val="001D78DA"/>
    <w:rsid w:val="001D78E1"/>
    <w:rsid w:val="001E000B"/>
    <w:rsid w:val="001E030B"/>
    <w:rsid w:val="001E0A32"/>
    <w:rsid w:val="001E0BFA"/>
    <w:rsid w:val="001E0CAF"/>
    <w:rsid w:val="001E156D"/>
    <w:rsid w:val="001E1AE1"/>
    <w:rsid w:val="001E2D74"/>
    <w:rsid w:val="001E30DC"/>
    <w:rsid w:val="001E358D"/>
    <w:rsid w:val="001E4C66"/>
    <w:rsid w:val="001E4D2D"/>
    <w:rsid w:val="001E4D60"/>
    <w:rsid w:val="001E5051"/>
    <w:rsid w:val="001E6493"/>
    <w:rsid w:val="001E6A96"/>
    <w:rsid w:val="001E6B16"/>
    <w:rsid w:val="001E706A"/>
    <w:rsid w:val="001E77E6"/>
    <w:rsid w:val="001E7DCC"/>
    <w:rsid w:val="001F0603"/>
    <w:rsid w:val="001F0A21"/>
    <w:rsid w:val="001F0B1F"/>
    <w:rsid w:val="001F0B5B"/>
    <w:rsid w:val="001F0C7D"/>
    <w:rsid w:val="001F1198"/>
    <w:rsid w:val="001F1C0B"/>
    <w:rsid w:val="001F1F92"/>
    <w:rsid w:val="001F2084"/>
    <w:rsid w:val="001F2BE5"/>
    <w:rsid w:val="001F2C23"/>
    <w:rsid w:val="001F3BEA"/>
    <w:rsid w:val="001F4B50"/>
    <w:rsid w:val="001F4D23"/>
    <w:rsid w:val="001F55B7"/>
    <w:rsid w:val="001F5778"/>
    <w:rsid w:val="001F59F2"/>
    <w:rsid w:val="001F62E5"/>
    <w:rsid w:val="001F6386"/>
    <w:rsid w:val="001F7736"/>
    <w:rsid w:val="001F7AFE"/>
    <w:rsid w:val="001F7FC2"/>
    <w:rsid w:val="00200982"/>
    <w:rsid w:val="0020207E"/>
    <w:rsid w:val="00202793"/>
    <w:rsid w:val="00202A80"/>
    <w:rsid w:val="00203E5C"/>
    <w:rsid w:val="00204103"/>
    <w:rsid w:val="002041E5"/>
    <w:rsid w:val="00204C84"/>
    <w:rsid w:val="0020533D"/>
    <w:rsid w:val="00205596"/>
    <w:rsid w:val="00205963"/>
    <w:rsid w:val="00206017"/>
    <w:rsid w:val="002076D4"/>
    <w:rsid w:val="00207DE0"/>
    <w:rsid w:val="002103AD"/>
    <w:rsid w:val="002106DC"/>
    <w:rsid w:val="00210F65"/>
    <w:rsid w:val="00210FDC"/>
    <w:rsid w:val="00211479"/>
    <w:rsid w:val="0021248F"/>
    <w:rsid w:val="00212528"/>
    <w:rsid w:val="00212876"/>
    <w:rsid w:val="0021293C"/>
    <w:rsid w:val="002131FF"/>
    <w:rsid w:val="0021392A"/>
    <w:rsid w:val="00213A0F"/>
    <w:rsid w:val="002148D7"/>
    <w:rsid w:val="002148EB"/>
    <w:rsid w:val="002149F7"/>
    <w:rsid w:val="00214C01"/>
    <w:rsid w:val="002156C5"/>
    <w:rsid w:val="0021586F"/>
    <w:rsid w:val="00216351"/>
    <w:rsid w:val="00216DBA"/>
    <w:rsid w:val="002170C6"/>
    <w:rsid w:val="002179AE"/>
    <w:rsid w:val="00217C24"/>
    <w:rsid w:val="00217C91"/>
    <w:rsid w:val="00217FD4"/>
    <w:rsid w:val="002200DA"/>
    <w:rsid w:val="0022075E"/>
    <w:rsid w:val="00220EE5"/>
    <w:rsid w:val="0022141F"/>
    <w:rsid w:val="00221AD1"/>
    <w:rsid w:val="00222817"/>
    <w:rsid w:val="00222BFD"/>
    <w:rsid w:val="00223D1A"/>
    <w:rsid w:val="00225BD2"/>
    <w:rsid w:val="00225C6F"/>
    <w:rsid w:val="00225CC5"/>
    <w:rsid w:val="00225F1E"/>
    <w:rsid w:val="002266E5"/>
    <w:rsid w:val="00226EB3"/>
    <w:rsid w:val="002271E3"/>
    <w:rsid w:val="00230077"/>
    <w:rsid w:val="0023062C"/>
    <w:rsid w:val="00231647"/>
    <w:rsid w:val="00231842"/>
    <w:rsid w:val="00231C9B"/>
    <w:rsid w:val="002320A8"/>
    <w:rsid w:val="002321F9"/>
    <w:rsid w:val="002327A3"/>
    <w:rsid w:val="00232F5A"/>
    <w:rsid w:val="00234A76"/>
    <w:rsid w:val="002352AF"/>
    <w:rsid w:val="00235C13"/>
    <w:rsid w:val="00235CA0"/>
    <w:rsid w:val="00235CFC"/>
    <w:rsid w:val="002366B9"/>
    <w:rsid w:val="002366D2"/>
    <w:rsid w:val="00236F72"/>
    <w:rsid w:val="00237198"/>
    <w:rsid w:val="002379E4"/>
    <w:rsid w:val="00237BD7"/>
    <w:rsid w:val="002406B4"/>
    <w:rsid w:val="002406E1"/>
    <w:rsid w:val="00241005"/>
    <w:rsid w:val="00242064"/>
    <w:rsid w:val="002421A2"/>
    <w:rsid w:val="00242309"/>
    <w:rsid w:val="00242495"/>
    <w:rsid w:val="00242D8D"/>
    <w:rsid w:val="00242E3B"/>
    <w:rsid w:val="00243550"/>
    <w:rsid w:val="002435E1"/>
    <w:rsid w:val="002435FE"/>
    <w:rsid w:val="0024382C"/>
    <w:rsid w:val="00244645"/>
    <w:rsid w:val="00244980"/>
    <w:rsid w:val="00244B5B"/>
    <w:rsid w:val="002452B5"/>
    <w:rsid w:val="002460A6"/>
    <w:rsid w:val="00246CE6"/>
    <w:rsid w:val="00246F65"/>
    <w:rsid w:val="0024752B"/>
    <w:rsid w:val="002501F5"/>
    <w:rsid w:val="00250358"/>
    <w:rsid w:val="002511F9"/>
    <w:rsid w:val="00251F90"/>
    <w:rsid w:val="002522A6"/>
    <w:rsid w:val="00252349"/>
    <w:rsid w:val="0025256A"/>
    <w:rsid w:val="002527C0"/>
    <w:rsid w:val="00253333"/>
    <w:rsid w:val="00253440"/>
    <w:rsid w:val="00253731"/>
    <w:rsid w:val="00253968"/>
    <w:rsid w:val="00253C44"/>
    <w:rsid w:val="00254449"/>
    <w:rsid w:val="002546D2"/>
    <w:rsid w:val="002547A8"/>
    <w:rsid w:val="0025594C"/>
    <w:rsid w:val="00255C4F"/>
    <w:rsid w:val="00256045"/>
    <w:rsid w:val="002563DB"/>
    <w:rsid w:val="00256565"/>
    <w:rsid w:val="00256890"/>
    <w:rsid w:val="00256DB3"/>
    <w:rsid w:val="00257074"/>
    <w:rsid w:val="002573D1"/>
    <w:rsid w:val="00257480"/>
    <w:rsid w:val="0025756E"/>
    <w:rsid w:val="00257874"/>
    <w:rsid w:val="00257D76"/>
    <w:rsid w:val="00260126"/>
    <w:rsid w:val="00260F89"/>
    <w:rsid w:val="002615E3"/>
    <w:rsid w:val="002617ED"/>
    <w:rsid w:val="002623D4"/>
    <w:rsid w:val="00263CD8"/>
    <w:rsid w:val="00264041"/>
    <w:rsid w:val="0026451E"/>
    <w:rsid w:val="002645F8"/>
    <w:rsid w:val="0026460B"/>
    <w:rsid w:val="0026528B"/>
    <w:rsid w:val="00265449"/>
    <w:rsid w:val="00265C41"/>
    <w:rsid w:val="00265DB4"/>
    <w:rsid w:val="0026658C"/>
    <w:rsid w:val="002666FD"/>
    <w:rsid w:val="00266881"/>
    <w:rsid w:val="0026707F"/>
    <w:rsid w:val="00267E68"/>
    <w:rsid w:val="00271166"/>
    <w:rsid w:val="00271609"/>
    <w:rsid w:val="00271963"/>
    <w:rsid w:val="00272882"/>
    <w:rsid w:val="0027297E"/>
    <w:rsid w:val="00272A6D"/>
    <w:rsid w:val="00272DBE"/>
    <w:rsid w:val="0027311E"/>
    <w:rsid w:val="002734F6"/>
    <w:rsid w:val="00273EC4"/>
    <w:rsid w:val="00274CC7"/>
    <w:rsid w:val="00275047"/>
    <w:rsid w:val="00275118"/>
    <w:rsid w:val="0027538E"/>
    <w:rsid w:val="00275DF5"/>
    <w:rsid w:val="00276200"/>
    <w:rsid w:val="002768D8"/>
    <w:rsid w:val="002777C4"/>
    <w:rsid w:val="00277FB2"/>
    <w:rsid w:val="002807F9"/>
    <w:rsid w:val="00280B04"/>
    <w:rsid w:val="00281393"/>
    <w:rsid w:val="00281570"/>
    <w:rsid w:val="0028162B"/>
    <w:rsid w:val="00281A3F"/>
    <w:rsid w:val="00282125"/>
    <w:rsid w:val="0028296D"/>
    <w:rsid w:val="00283B3C"/>
    <w:rsid w:val="00283E16"/>
    <w:rsid w:val="00284A42"/>
    <w:rsid w:val="00284B00"/>
    <w:rsid w:val="002850BC"/>
    <w:rsid w:val="0028556D"/>
    <w:rsid w:val="00286373"/>
    <w:rsid w:val="0028639B"/>
    <w:rsid w:val="00287100"/>
    <w:rsid w:val="00287283"/>
    <w:rsid w:val="00290075"/>
    <w:rsid w:val="00290584"/>
    <w:rsid w:val="00290B4E"/>
    <w:rsid w:val="00290DA9"/>
    <w:rsid w:val="002915BF"/>
    <w:rsid w:val="00292A9D"/>
    <w:rsid w:val="00292BE5"/>
    <w:rsid w:val="00292D53"/>
    <w:rsid w:val="00293740"/>
    <w:rsid w:val="002938A1"/>
    <w:rsid w:val="00293AEC"/>
    <w:rsid w:val="00294373"/>
    <w:rsid w:val="00294399"/>
    <w:rsid w:val="00294D1C"/>
    <w:rsid w:val="00294F15"/>
    <w:rsid w:val="00295777"/>
    <w:rsid w:val="002957AC"/>
    <w:rsid w:val="00296B24"/>
    <w:rsid w:val="00296BC8"/>
    <w:rsid w:val="00297230"/>
    <w:rsid w:val="002A0072"/>
    <w:rsid w:val="002A0757"/>
    <w:rsid w:val="002A0E79"/>
    <w:rsid w:val="002A1487"/>
    <w:rsid w:val="002A1863"/>
    <w:rsid w:val="002A1AFA"/>
    <w:rsid w:val="002A1C75"/>
    <w:rsid w:val="002A1E34"/>
    <w:rsid w:val="002A27FD"/>
    <w:rsid w:val="002A2E12"/>
    <w:rsid w:val="002A3402"/>
    <w:rsid w:val="002A3633"/>
    <w:rsid w:val="002A3E60"/>
    <w:rsid w:val="002A40F1"/>
    <w:rsid w:val="002A476D"/>
    <w:rsid w:val="002A4C7A"/>
    <w:rsid w:val="002A4E89"/>
    <w:rsid w:val="002A50EF"/>
    <w:rsid w:val="002A51AC"/>
    <w:rsid w:val="002A55F3"/>
    <w:rsid w:val="002A568E"/>
    <w:rsid w:val="002A56AA"/>
    <w:rsid w:val="002A59A2"/>
    <w:rsid w:val="002A6767"/>
    <w:rsid w:val="002A71F8"/>
    <w:rsid w:val="002B043D"/>
    <w:rsid w:val="002B0746"/>
    <w:rsid w:val="002B075E"/>
    <w:rsid w:val="002B0CE4"/>
    <w:rsid w:val="002B1A00"/>
    <w:rsid w:val="002B224C"/>
    <w:rsid w:val="002B2898"/>
    <w:rsid w:val="002B28A4"/>
    <w:rsid w:val="002B2FA7"/>
    <w:rsid w:val="002B3133"/>
    <w:rsid w:val="002B3240"/>
    <w:rsid w:val="002B39CA"/>
    <w:rsid w:val="002B3C89"/>
    <w:rsid w:val="002B61C7"/>
    <w:rsid w:val="002B6D35"/>
    <w:rsid w:val="002B7089"/>
    <w:rsid w:val="002C0021"/>
    <w:rsid w:val="002C14CE"/>
    <w:rsid w:val="002C16D8"/>
    <w:rsid w:val="002C2746"/>
    <w:rsid w:val="002C2963"/>
    <w:rsid w:val="002C30B3"/>
    <w:rsid w:val="002C39C1"/>
    <w:rsid w:val="002C3BA8"/>
    <w:rsid w:val="002C3FFF"/>
    <w:rsid w:val="002C41B8"/>
    <w:rsid w:val="002C41D7"/>
    <w:rsid w:val="002C457D"/>
    <w:rsid w:val="002C4972"/>
    <w:rsid w:val="002C4EF0"/>
    <w:rsid w:val="002C58A7"/>
    <w:rsid w:val="002C64F4"/>
    <w:rsid w:val="002C65C9"/>
    <w:rsid w:val="002C7BD7"/>
    <w:rsid w:val="002D07B8"/>
    <w:rsid w:val="002D1147"/>
    <w:rsid w:val="002D19FF"/>
    <w:rsid w:val="002D1BCD"/>
    <w:rsid w:val="002D1C13"/>
    <w:rsid w:val="002D1F18"/>
    <w:rsid w:val="002D2165"/>
    <w:rsid w:val="002D2982"/>
    <w:rsid w:val="002D39EA"/>
    <w:rsid w:val="002D3E1F"/>
    <w:rsid w:val="002D49B4"/>
    <w:rsid w:val="002D4A2A"/>
    <w:rsid w:val="002D5FF2"/>
    <w:rsid w:val="002D639F"/>
    <w:rsid w:val="002D68E6"/>
    <w:rsid w:val="002D6A19"/>
    <w:rsid w:val="002D76BA"/>
    <w:rsid w:val="002D7AE6"/>
    <w:rsid w:val="002E049B"/>
    <w:rsid w:val="002E05D0"/>
    <w:rsid w:val="002E0661"/>
    <w:rsid w:val="002E1B25"/>
    <w:rsid w:val="002E25B7"/>
    <w:rsid w:val="002E2A75"/>
    <w:rsid w:val="002E2C5E"/>
    <w:rsid w:val="002E470B"/>
    <w:rsid w:val="002E5061"/>
    <w:rsid w:val="002E5386"/>
    <w:rsid w:val="002E6FB2"/>
    <w:rsid w:val="002E76AE"/>
    <w:rsid w:val="002E76F7"/>
    <w:rsid w:val="002E7A02"/>
    <w:rsid w:val="002E7CE6"/>
    <w:rsid w:val="002E7D02"/>
    <w:rsid w:val="002F08A3"/>
    <w:rsid w:val="002F0F08"/>
    <w:rsid w:val="002F10F4"/>
    <w:rsid w:val="002F1385"/>
    <w:rsid w:val="002F1432"/>
    <w:rsid w:val="002F200D"/>
    <w:rsid w:val="002F2029"/>
    <w:rsid w:val="002F38BB"/>
    <w:rsid w:val="002F408D"/>
    <w:rsid w:val="002F4105"/>
    <w:rsid w:val="002F445B"/>
    <w:rsid w:val="002F4870"/>
    <w:rsid w:val="002F48C4"/>
    <w:rsid w:val="002F4B09"/>
    <w:rsid w:val="002F531B"/>
    <w:rsid w:val="002F5433"/>
    <w:rsid w:val="002F5437"/>
    <w:rsid w:val="002F6867"/>
    <w:rsid w:val="002F78EB"/>
    <w:rsid w:val="002F7F14"/>
    <w:rsid w:val="00300839"/>
    <w:rsid w:val="00300BD6"/>
    <w:rsid w:val="003012E3"/>
    <w:rsid w:val="0030171F"/>
    <w:rsid w:val="0030173C"/>
    <w:rsid w:val="003030CD"/>
    <w:rsid w:val="00303173"/>
    <w:rsid w:val="0030414E"/>
    <w:rsid w:val="00304450"/>
    <w:rsid w:val="00304719"/>
    <w:rsid w:val="00304E26"/>
    <w:rsid w:val="00304FA3"/>
    <w:rsid w:val="003052A3"/>
    <w:rsid w:val="003056F1"/>
    <w:rsid w:val="003057C7"/>
    <w:rsid w:val="00305F78"/>
    <w:rsid w:val="003060D4"/>
    <w:rsid w:val="003063FB"/>
    <w:rsid w:val="003064FE"/>
    <w:rsid w:val="00306F74"/>
    <w:rsid w:val="00307382"/>
    <w:rsid w:val="003078B4"/>
    <w:rsid w:val="00310178"/>
    <w:rsid w:val="00310F0C"/>
    <w:rsid w:val="0031243E"/>
    <w:rsid w:val="00312700"/>
    <w:rsid w:val="003130E2"/>
    <w:rsid w:val="00313531"/>
    <w:rsid w:val="003135DA"/>
    <w:rsid w:val="00313A6A"/>
    <w:rsid w:val="00314477"/>
    <w:rsid w:val="00314A09"/>
    <w:rsid w:val="00314A5E"/>
    <w:rsid w:val="00314E3F"/>
    <w:rsid w:val="00315145"/>
    <w:rsid w:val="00316813"/>
    <w:rsid w:val="00316D98"/>
    <w:rsid w:val="0031710F"/>
    <w:rsid w:val="00317D9A"/>
    <w:rsid w:val="003206D7"/>
    <w:rsid w:val="003206E9"/>
    <w:rsid w:val="003208B3"/>
    <w:rsid w:val="00321F4F"/>
    <w:rsid w:val="003232DF"/>
    <w:rsid w:val="003235F7"/>
    <w:rsid w:val="003236C8"/>
    <w:rsid w:val="00323C35"/>
    <w:rsid w:val="00323C3C"/>
    <w:rsid w:val="00323DEB"/>
    <w:rsid w:val="003250D0"/>
    <w:rsid w:val="0032581B"/>
    <w:rsid w:val="00325E2A"/>
    <w:rsid w:val="00326BDD"/>
    <w:rsid w:val="00327861"/>
    <w:rsid w:val="00327AA5"/>
    <w:rsid w:val="00327D45"/>
    <w:rsid w:val="00332EDD"/>
    <w:rsid w:val="00333057"/>
    <w:rsid w:val="00333599"/>
    <w:rsid w:val="00333709"/>
    <w:rsid w:val="003339E1"/>
    <w:rsid w:val="00333B46"/>
    <w:rsid w:val="00333C9E"/>
    <w:rsid w:val="00333E3C"/>
    <w:rsid w:val="00334BAF"/>
    <w:rsid w:val="00334CC8"/>
    <w:rsid w:val="003350D4"/>
    <w:rsid w:val="003352CD"/>
    <w:rsid w:val="003358BE"/>
    <w:rsid w:val="00335970"/>
    <w:rsid w:val="00336307"/>
    <w:rsid w:val="00336AA7"/>
    <w:rsid w:val="00336F90"/>
    <w:rsid w:val="003375D5"/>
    <w:rsid w:val="0034043C"/>
    <w:rsid w:val="003409D3"/>
    <w:rsid w:val="0034112B"/>
    <w:rsid w:val="0034167F"/>
    <w:rsid w:val="00342CF5"/>
    <w:rsid w:val="00343917"/>
    <w:rsid w:val="00343B10"/>
    <w:rsid w:val="0034431E"/>
    <w:rsid w:val="00344692"/>
    <w:rsid w:val="003448C2"/>
    <w:rsid w:val="0034498F"/>
    <w:rsid w:val="00344ADE"/>
    <w:rsid w:val="00344AED"/>
    <w:rsid w:val="00344E6F"/>
    <w:rsid w:val="00344EF5"/>
    <w:rsid w:val="00345AB0"/>
    <w:rsid w:val="00345B51"/>
    <w:rsid w:val="00345D17"/>
    <w:rsid w:val="00345D8E"/>
    <w:rsid w:val="00346049"/>
    <w:rsid w:val="0034662D"/>
    <w:rsid w:val="00346C01"/>
    <w:rsid w:val="00346D74"/>
    <w:rsid w:val="00346E22"/>
    <w:rsid w:val="00347D75"/>
    <w:rsid w:val="003501B8"/>
    <w:rsid w:val="0035041D"/>
    <w:rsid w:val="003505E0"/>
    <w:rsid w:val="003506DB"/>
    <w:rsid w:val="003509AA"/>
    <w:rsid w:val="00350E76"/>
    <w:rsid w:val="003518B2"/>
    <w:rsid w:val="00351978"/>
    <w:rsid w:val="00351F9C"/>
    <w:rsid w:val="0035233C"/>
    <w:rsid w:val="003527CA"/>
    <w:rsid w:val="00352D33"/>
    <w:rsid w:val="00353111"/>
    <w:rsid w:val="00353403"/>
    <w:rsid w:val="00353673"/>
    <w:rsid w:val="00354020"/>
    <w:rsid w:val="00354337"/>
    <w:rsid w:val="00354964"/>
    <w:rsid w:val="003549BE"/>
    <w:rsid w:val="00354A9C"/>
    <w:rsid w:val="00355699"/>
    <w:rsid w:val="0035594E"/>
    <w:rsid w:val="00355BD3"/>
    <w:rsid w:val="003567CC"/>
    <w:rsid w:val="0035692F"/>
    <w:rsid w:val="00356F4F"/>
    <w:rsid w:val="00356FB7"/>
    <w:rsid w:val="0035748B"/>
    <w:rsid w:val="0035770A"/>
    <w:rsid w:val="00357D85"/>
    <w:rsid w:val="00357E35"/>
    <w:rsid w:val="00357E8E"/>
    <w:rsid w:val="00360017"/>
    <w:rsid w:val="003605BB"/>
    <w:rsid w:val="003612EA"/>
    <w:rsid w:val="00362336"/>
    <w:rsid w:val="00362366"/>
    <w:rsid w:val="00362573"/>
    <w:rsid w:val="003625F0"/>
    <w:rsid w:val="00362822"/>
    <w:rsid w:val="00362CD7"/>
    <w:rsid w:val="00362F0D"/>
    <w:rsid w:val="00363476"/>
    <w:rsid w:val="00363819"/>
    <w:rsid w:val="00363889"/>
    <w:rsid w:val="00363D1A"/>
    <w:rsid w:val="00363F93"/>
    <w:rsid w:val="00363FAE"/>
    <w:rsid w:val="003640BD"/>
    <w:rsid w:val="003642DA"/>
    <w:rsid w:val="00364A60"/>
    <w:rsid w:val="00365BB9"/>
    <w:rsid w:val="00365E6C"/>
    <w:rsid w:val="00366FAB"/>
    <w:rsid w:val="00367718"/>
    <w:rsid w:val="00367CA9"/>
    <w:rsid w:val="00371BBB"/>
    <w:rsid w:val="003721EE"/>
    <w:rsid w:val="00372B97"/>
    <w:rsid w:val="00372EB5"/>
    <w:rsid w:val="003734DD"/>
    <w:rsid w:val="00373549"/>
    <w:rsid w:val="003735FA"/>
    <w:rsid w:val="00373AAB"/>
    <w:rsid w:val="003743E1"/>
    <w:rsid w:val="0037455F"/>
    <w:rsid w:val="00374BEE"/>
    <w:rsid w:val="00374F9F"/>
    <w:rsid w:val="00375221"/>
    <w:rsid w:val="00375972"/>
    <w:rsid w:val="00375AA4"/>
    <w:rsid w:val="00375F5C"/>
    <w:rsid w:val="00376408"/>
    <w:rsid w:val="00376C8C"/>
    <w:rsid w:val="00376E21"/>
    <w:rsid w:val="00377159"/>
    <w:rsid w:val="00377486"/>
    <w:rsid w:val="00377FDA"/>
    <w:rsid w:val="00380AF3"/>
    <w:rsid w:val="0038179F"/>
    <w:rsid w:val="00381CCD"/>
    <w:rsid w:val="00382802"/>
    <w:rsid w:val="00382BC5"/>
    <w:rsid w:val="00383823"/>
    <w:rsid w:val="00383D27"/>
    <w:rsid w:val="003844FB"/>
    <w:rsid w:val="00385384"/>
    <w:rsid w:val="00386004"/>
    <w:rsid w:val="003863B7"/>
    <w:rsid w:val="0038661F"/>
    <w:rsid w:val="003875DE"/>
    <w:rsid w:val="00387A91"/>
    <w:rsid w:val="0039033F"/>
    <w:rsid w:val="00390405"/>
    <w:rsid w:val="00390AC8"/>
    <w:rsid w:val="003912BF"/>
    <w:rsid w:val="00391882"/>
    <w:rsid w:val="00391CC6"/>
    <w:rsid w:val="00392497"/>
    <w:rsid w:val="00392A22"/>
    <w:rsid w:val="00392DF6"/>
    <w:rsid w:val="003939CE"/>
    <w:rsid w:val="003948C1"/>
    <w:rsid w:val="00395367"/>
    <w:rsid w:val="00395DE5"/>
    <w:rsid w:val="00397022"/>
    <w:rsid w:val="003973ED"/>
    <w:rsid w:val="00397AE8"/>
    <w:rsid w:val="00397B74"/>
    <w:rsid w:val="00397D74"/>
    <w:rsid w:val="003A00DD"/>
    <w:rsid w:val="003A0AD8"/>
    <w:rsid w:val="003A1178"/>
    <w:rsid w:val="003A169D"/>
    <w:rsid w:val="003A16F4"/>
    <w:rsid w:val="003A18C5"/>
    <w:rsid w:val="003A1C62"/>
    <w:rsid w:val="003A1E6A"/>
    <w:rsid w:val="003A1F4F"/>
    <w:rsid w:val="003A2572"/>
    <w:rsid w:val="003A26BF"/>
    <w:rsid w:val="003A30B0"/>
    <w:rsid w:val="003A334B"/>
    <w:rsid w:val="003A3574"/>
    <w:rsid w:val="003A3849"/>
    <w:rsid w:val="003A3C85"/>
    <w:rsid w:val="003A4519"/>
    <w:rsid w:val="003A4B32"/>
    <w:rsid w:val="003A4CF5"/>
    <w:rsid w:val="003A5422"/>
    <w:rsid w:val="003A5B89"/>
    <w:rsid w:val="003A5F68"/>
    <w:rsid w:val="003A6BBB"/>
    <w:rsid w:val="003B1311"/>
    <w:rsid w:val="003B15CA"/>
    <w:rsid w:val="003B16A6"/>
    <w:rsid w:val="003B185F"/>
    <w:rsid w:val="003B20B7"/>
    <w:rsid w:val="003B2269"/>
    <w:rsid w:val="003B2514"/>
    <w:rsid w:val="003B3013"/>
    <w:rsid w:val="003B3463"/>
    <w:rsid w:val="003B35EE"/>
    <w:rsid w:val="003B3898"/>
    <w:rsid w:val="003B417A"/>
    <w:rsid w:val="003B4234"/>
    <w:rsid w:val="003B5C9A"/>
    <w:rsid w:val="003B6E96"/>
    <w:rsid w:val="003B732F"/>
    <w:rsid w:val="003C127D"/>
    <w:rsid w:val="003C127F"/>
    <w:rsid w:val="003C19C5"/>
    <w:rsid w:val="003C19E3"/>
    <w:rsid w:val="003C23B2"/>
    <w:rsid w:val="003C4282"/>
    <w:rsid w:val="003C42C5"/>
    <w:rsid w:val="003C4485"/>
    <w:rsid w:val="003C4898"/>
    <w:rsid w:val="003C4BA5"/>
    <w:rsid w:val="003C4C14"/>
    <w:rsid w:val="003C4C42"/>
    <w:rsid w:val="003C5F41"/>
    <w:rsid w:val="003C6753"/>
    <w:rsid w:val="003C6C05"/>
    <w:rsid w:val="003C6C6F"/>
    <w:rsid w:val="003C6D61"/>
    <w:rsid w:val="003C6E82"/>
    <w:rsid w:val="003C7EAD"/>
    <w:rsid w:val="003D09B0"/>
    <w:rsid w:val="003D1908"/>
    <w:rsid w:val="003D1A30"/>
    <w:rsid w:val="003D1A7E"/>
    <w:rsid w:val="003D1B89"/>
    <w:rsid w:val="003D2CB3"/>
    <w:rsid w:val="003D337A"/>
    <w:rsid w:val="003D3E58"/>
    <w:rsid w:val="003D3FC4"/>
    <w:rsid w:val="003D4080"/>
    <w:rsid w:val="003D4534"/>
    <w:rsid w:val="003D48F8"/>
    <w:rsid w:val="003D4D48"/>
    <w:rsid w:val="003D5D6A"/>
    <w:rsid w:val="003D5DD9"/>
    <w:rsid w:val="003D7768"/>
    <w:rsid w:val="003D7E95"/>
    <w:rsid w:val="003E05CB"/>
    <w:rsid w:val="003E06F0"/>
    <w:rsid w:val="003E0B5B"/>
    <w:rsid w:val="003E0C9E"/>
    <w:rsid w:val="003E18CD"/>
    <w:rsid w:val="003E41C9"/>
    <w:rsid w:val="003E4F24"/>
    <w:rsid w:val="003E4FA3"/>
    <w:rsid w:val="003E57D1"/>
    <w:rsid w:val="003E585F"/>
    <w:rsid w:val="003E5B38"/>
    <w:rsid w:val="003E5F22"/>
    <w:rsid w:val="003E5FE7"/>
    <w:rsid w:val="003E65B7"/>
    <w:rsid w:val="003E68E1"/>
    <w:rsid w:val="003E6B2A"/>
    <w:rsid w:val="003E6C7D"/>
    <w:rsid w:val="003E6CB4"/>
    <w:rsid w:val="003E6E78"/>
    <w:rsid w:val="003E7994"/>
    <w:rsid w:val="003F0103"/>
    <w:rsid w:val="003F03B5"/>
    <w:rsid w:val="003F0595"/>
    <w:rsid w:val="003F0624"/>
    <w:rsid w:val="003F062C"/>
    <w:rsid w:val="003F07D7"/>
    <w:rsid w:val="003F0DE6"/>
    <w:rsid w:val="003F1155"/>
    <w:rsid w:val="003F1B5F"/>
    <w:rsid w:val="003F315B"/>
    <w:rsid w:val="003F3215"/>
    <w:rsid w:val="003F3828"/>
    <w:rsid w:val="003F3884"/>
    <w:rsid w:val="003F409E"/>
    <w:rsid w:val="003F45DC"/>
    <w:rsid w:val="003F4D27"/>
    <w:rsid w:val="003F4E90"/>
    <w:rsid w:val="003F4EDD"/>
    <w:rsid w:val="003F533F"/>
    <w:rsid w:val="003F56BC"/>
    <w:rsid w:val="003F5B0A"/>
    <w:rsid w:val="003F5B2E"/>
    <w:rsid w:val="003F5DE5"/>
    <w:rsid w:val="003F643B"/>
    <w:rsid w:val="003F7B57"/>
    <w:rsid w:val="003F7C33"/>
    <w:rsid w:val="004009B1"/>
    <w:rsid w:val="00400B67"/>
    <w:rsid w:val="00400D19"/>
    <w:rsid w:val="004010C7"/>
    <w:rsid w:val="00401D7A"/>
    <w:rsid w:val="00402578"/>
    <w:rsid w:val="00402CD7"/>
    <w:rsid w:val="00402F9C"/>
    <w:rsid w:val="004032DC"/>
    <w:rsid w:val="00403774"/>
    <w:rsid w:val="004039DD"/>
    <w:rsid w:val="00404499"/>
    <w:rsid w:val="00405FA4"/>
    <w:rsid w:val="00406178"/>
    <w:rsid w:val="00406E93"/>
    <w:rsid w:val="00407352"/>
    <w:rsid w:val="0040745E"/>
    <w:rsid w:val="00407731"/>
    <w:rsid w:val="00407976"/>
    <w:rsid w:val="0041129C"/>
    <w:rsid w:val="0041139F"/>
    <w:rsid w:val="004114F4"/>
    <w:rsid w:val="004120EF"/>
    <w:rsid w:val="004121F9"/>
    <w:rsid w:val="004125C0"/>
    <w:rsid w:val="00413785"/>
    <w:rsid w:val="00413814"/>
    <w:rsid w:val="0041384B"/>
    <w:rsid w:val="00413AE1"/>
    <w:rsid w:val="00413E56"/>
    <w:rsid w:val="00415850"/>
    <w:rsid w:val="00415C03"/>
    <w:rsid w:val="00415C54"/>
    <w:rsid w:val="00415CB9"/>
    <w:rsid w:val="00415ECA"/>
    <w:rsid w:val="00416578"/>
    <w:rsid w:val="00416850"/>
    <w:rsid w:val="004168FB"/>
    <w:rsid w:val="0041690C"/>
    <w:rsid w:val="004175AC"/>
    <w:rsid w:val="0041780D"/>
    <w:rsid w:val="00420450"/>
    <w:rsid w:val="00420679"/>
    <w:rsid w:val="00420D08"/>
    <w:rsid w:val="004211E5"/>
    <w:rsid w:val="00421480"/>
    <w:rsid w:val="004225E0"/>
    <w:rsid w:val="0042294B"/>
    <w:rsid w:val="004232AB"/>
    <w:rsid w:val="0042403E"/>
    <w:rsid w:val="0042456D"/>
    <w:rsid w:val="0042476D"/>
    <w:rsid w:val="00424DAF"/>
    <w:rsid w:val="004253AD"/>
    <w:rsid w:val="004253C4"/>
    <w:rsid w:val="00425C0E"/>
    <w:rsid w:val="00426255"/>
    <w:rsid w:val="00426D62"/>
    <w:rsid w:val="004271EE"/>
    <w:rsid w:val="0042762E"/>
    <w:rsid w:val="004300DB"/>
    <w:rsid w:val="00430393"/>
    <w:rsid w:val="00430A49"/>
    <w:rsid w:val="00430CEF"/>
    <w:rsid w:val="004313DD"/>
    <w:rsid w:val="004313DE"/>
    <w:rsid w:val="00431629"/>
    <w:rsid w:val="00431A64"/>
    <w:rsid w:val="00432606"/>
    <w:rsid w:val="00432857"/>
    <w:rsid w:val="00432DA8"/>
    <w:rsid w:val="004332B8"/>
    <w:rsid w:val="00433E0E"/>
    <w:rsid w:val="0043456F"/>
    <w:rsid w:val="0043460D"/>
    <w:rsid w:val="00434891"/>
    <w:rsid w:val="004352B8"/>
    <w:rsid w:val="00435315"/>
    <w:rsid w:val="0043541F"/>
    <w:rsid w:val="0043550A"/>
    <w:rsid w:val="00435E50"/>
    <w:rsid w:val="00436247"/>
    <w:rsid w:val="0043727A"/>
    <w:rsid w:val="004376F9"/>
    <w:rsid w:val="00437E71"/>
    <w:rsid w:val="0044013A"/>
    <w:rsid w:val="004414AD"/>
    <w:rsid w:val="00441834"/>
    <w:rsid w:val="004419DF"/>
    <w:rsid w:val="004419FB"/>
    <w:rsid w:val="0044242B"/>
    <w:rsid w:val="00443596"/>
    <w:rsid w:val="00443CA3"/>
    <w:rsid w:val="00443D09"/>
    <w:rsid w:val="0044422A"/>
    <w:rsid w:val="004444C3"/>
    <w:rsid w:val="00444897"/>
    <w:rsid w:val="004449A9"/>
    <w:rsid w:val="00445418"/>
    <w:rsid w:val="0044577B"/>
    <w:rsid w:val="00445F21"/>
    <w:rsid w:val="0044611F"/>
    <w:rsid w:val="00447576"/>
    <w:rsid w:val="004500EA"/>
    <w:rsid w:val="004511D6"/>
    <w:rsid w:val="00451495"/>
    <w:rsid w:val="00451552"/>
    <w:rsid w:val="00451C99"/>
    <w:rsid w:val="004520D6"/>
    <w:rsid w:val="0045295B"/>
    <w:rsid w:val="004531B5"/>
    <w:rsid w:val="004534FE"/>
    <w:rsid w:val="0045353B"/>
    <w:rsid w:val="00454A93"/>
    <w:rsid w:val="00454F92"/>
    <w:rsid w:val="00455277"/>
    <w:rsid w:val="0045579E"/>
    <w:rsid w:val="004562B6"/>
    <w:rsid w:val="00456B55"/>
    <w:rsid w:val="004570E1"/>
    <w:rsid w:val="00457122"/>
    <w:rsid w:val="00457340"/>
    <w:rsid w:val="004578CC"/>
    <w:rsid w:val="00460355"/>
    <w:rsid w:val="0046080A"/>
    <w:rsid w:val="00460F07"/>
    <w:rsid w:val="0046192B"/>
    <w:rsid w:val="00461DFF"/>
    <w:rsid w:val="0046234C"/>
    <w:rsid w:val="0046303B"/>
    <w:rsid w:val="0046420E"/>
    <w:rsid w:val="004643AF"/>
    <w:rsid w:val="0046461E"/>
    <w:rsid w:val="00464A21"/>
    <w:rsid w:val="00464BD6"/>
    <w:rsid w:val="00464EAA"/>
    <w:rsid w:val="00465983"/>
    <w:rsid w:val="00465C46"/>
    <w:rsid w:val="00466353"/>
    <w:rsid w:val="00466551"/>
    <w:rsid w:val="00466FF6"/>
    <w:rsid w:val="00467551"/>
    <w:rsid w:val="00467710"/>
    <w:rsid w:val="00467BA1"/>
    <w:rsid w:val="004703FF"/>
    <w:rsid w:val="00471292"/>
    <w:rsid w:val="004715D1"/>
    <w:rsid w:val="00471C33"/>
    <w:rsid w:val="00471D8F"/>
    <w:rsid w:val="00471EA6"/>
    <w:rsid w:val="00471EE3"/>
    <w:rsid w:val="004728DD"/>
    <w:rsid w:val="00472A18"/>
    <w:rsid w:val="00472C92"/>
    <w:rsid w:val="00472E35"/>
    <w:rsid w:val="00473115"/>
    <w:rsid w:val="004731E0"/>
    <w:rsid w:val="00474211"/>
    <w:rsid w:val="004749F4"/>
    <w:rsid w:val="00474BAF"/>
    <w:rsid w:val="00474D01"/>
    <w:rsid w:val="00474E29"/>
    <w:rsid w:val="00475182"/>
    <w:rsid w:val="004752DC"/>
    <w:rsid w:val="00476278"/>
    <w:rsid w:val="004768A1"/>
    <w:rsid w:val="0047759B"/>
    <w:rsid w:val="0047792A"/>
    <w:rsid w:val="00477FAA"/>
    <w:rsid w:val="004801EC"/>
    <w:rsid w:val="00480DA7"/>
    <w:rsid w:val="0048147F"/>
    <w:rsid w:val="004819D1"/>
    <w:rsid w:val="004820B0"/>
    <w:rsid w:val="004820D7"/>
    <w:rsid w:val="00482153"/>
    <w:rsid w:val="004821B9"/>
    <w:rsid w:val="00482303"/>
    <w:rsid w:val="0048237A"/>
    <w:rsid w:val="004828FA"/>
    <w:rsid w:val="0048291D"/>
    <w:rsid w:val="00482A87"/>
    <w:rsid w:val="00482C9E"/>
    <w:rsid w:val="00483249"/>
    <w:rsid w:val="0048379E"/>
    <w:rsid w:val="00483EB6"/>
    <w:rsid w:val="004855AA"/>
    <w:rsid w:val="00485F32"/>
    <w:rsid w:val="0048642E"/>
    <w:rsid w:val="0048736F"/>
    <w:rsid w:val="00487451"/>
    <w:rsid w:val="0048777E"/>
    <w:rsid w:val="00487C22"/>
    <w:rsid w:val="00490077"/>
    <w:rsid w:val="004900F4"/>
    <w:rsid w:val="00490188"/>
    <w:rsid w:val="00490542"/>
    <w:rsid w:val="00490E89"/>
    <w:rsid w:val="00490FAE"/>
    <w:rsid w:val="00491071"/>
    <w:rsid w:val="0049194C"/>
    <w:rsid w:val="00491D44"/>
    <w:rsid w:val="004920B3"/>
    <w:rsid w:val="004923CD"/>
    <w:rsid w:val="004926A7"/>
    <w:rsid w:val="00492E05"/>
    <w:rsid w:val="004932F1"/>
    <w:rsid w:val="0049331D"/>
    <w:rsid w:val="00493534"/>
    <w:rsid w:val="0049358B"/>
    <w:rsid w:val="0049403E"/>
    <w:rsid w:val="00494057"/>
    <w:rsid w:val="00494589"/>
    <w:rsid w:val="00494903"/>
    <w:rsid w:val="0049653A"/>
    <w:rsid w:val="00497842"/>
    <w:rsid w:val="00497BA1"/>
    <w:rsid w:val="00497EEE"/>
    <w:rsid w:val="004A03A5"/>
    <w:rsid w:val="004A04AE"/>
    <w:rsid w:val="004A04F0"/>
    <w:rsid w:val="004A0609"/>
    <w:rsid w:val="004A0D6E"/>
    <w:rsid w:val="004A1777"/>
    <w:rsid w:val="004A1A95"/>
    <w:rsid w:val="004A2603"/>
    <w:rsid w:val="004A3178"/>
    <w:rsid w:val="004A340F"/>
    <w:rsid w:val="004A4129"/>
    <w:rsid w:val="004A47AE"/>
    <w:rsid w:val="004A4C2A"/>
    <w:rsid w:val="004A4E1C"/>
    <w:rsid w:val="004A4E55"/>
    <w:rsid w:val="004A52B6"/>
    <w:rsid w:val="004A6120"/>
    <w:rsid w:val="004A6568"/>
    <w:rsid w:val="004A67C4"/>
    <w:rsid w:val="004A6F22"/>
    <w:rsid w:val="004A7100"/>
    <w:rsid w:val="004A7601"/>
    <w:rsid w:val="004A77C8"/>
    <w:rsid w:val="004A7B1D"/>
    <w:rsid w:val="004A7CD7"/>
    <w:rsid w:val="004B08F6"/>
    <w:rsid w:val="004B0C10"/>
    <w:rsid w:val="004B0C3C"/>
    <w:rsid w:val="004B0E88"/>
    <w:rsid w:val="004B16DA"/>
    <w:rsid w:val="004B2924"/>
    <w:rsid w:val="004B2B10"/>
    <w:rsid w:val="004B3068"/>
    <w:rsid w:val="004B3396"/>
    <w:rsid w:val="004B487D"/>
    <w:rsid w:val="004B54C4"/>
    <w:rsid w:val="004B581C"/>
    <w:rsid w:val="004B58A5"/>
    <w:rsid w:val="004B58F5"/>
    <w:rsid w:val="004B598F"/>
    <w:rsid w:val="004B5B49"/>
    <w:rsid w:val="004B6424"/>
    <w:rsid w:val="004B6E74"/>
    <w:rsid w:val="004B7A81"/>
    <w:rsid w:val="004C01D3"/>
    <w:rsid w:val="004C0359"/>
    <w:rsid w:val="004C0774"/>
    <w:rsid w:val="004C0FBA"/>
    <w:rsid w:val="004C14B1"/>
    <w:rsid w:val="004C18C4"/>
    <w:rsid w:val="004C1C73"/>
    <w:rsid w:val="004C2792"/>
    <w:rsid w:val="004C2D83"/>
    <w:rsid w:val="004C328F"/>
    <w:rsid w:val="004C3763"/>
    <w:rsid w:val="004C3EEC"/>
    <w:rsid w:val="004C4A8D"/>
    <w:rsid w:val="004C4B11"/>
    <w:rsid w:val="004C6643"/>
    <w:rsid w:val="004C6E79"/>
    <w:rsid w:val="004C756C"/>
    <w:rsid w:val="004C7F77"/>
    <w:rsid w:val="004D0883"/>
    <w:rsid w:val="004D0B78"/>
    <w:rsid w:val="004D157B"/>
    <w:rsid w:val="004D19DD"/>
    <w:rsid w:val="004D1C5C"/>
    <w:rsid w:val="004D2317"/>
    <w:rsid w:val="004D23B5"/>
    <w:rsid w:val="004D24B3"/>
    <w:rsid w:val="004D2A43"/>
    <w:rsid w:val="004D2F12"/>
    <w:rsid w:val="004D316C"/>
    <w:rsid w:val="004D36FB"/>
    <w:rsid w:val="004D3FB6"/>
    <w:rsid w:val="004D4CDE"/>
    <w:rsid w:val="004D4E68"/>
    <w:rsid w:val="004D524C"/>
    <w:rsid w:val="004D5846"/>
    <w:rsid w:val="004D5AEC"/>
    <w:rsid w:val="004D60F4"/>
    <w:rsid w:val="004D657A"/>
    <w:rsid w:val="004D6B69"/>
    <w:rsid w:val="004D6E73"/>
    <w:rsid w:val="004D78B7"/>
    <w:rsid w:val="004D7AA9"/>
    <w:rsid w:val="004D7D3C"/>
    <w:rsid w:val="004D7F46"/>
    <w:rsid w:val="004E00C1"/>
    <w:rsid w:val="004E1929"/>
    <w:rsid w:val="004E1C9B"/>
    <w:rsid w:val="004E394E"/>
    <w:rsid w:val="004E47D9"/>
    <w:rsid w:val="004E4A11"/>
    <w:rsid w:val="004E4C96"/>
    <w:rsid w:val="004E4D8B"/>
    <w:rsid w:val="004E4FCE"/>
    <w:rsid w:val="004E5A32"/>
    <w:rsid w:val="004E5BAC"/>
    <w:rsid w:val="004E6180"/>
    <w:rsid w:val="004E6E89"/>
    <w:rsid w:val="004E7D68"/>
    <w:rsid w:val="004F1BC1"/>
    <w:rsid w:val="004F2808"/>
    <w:rsid w:val="004F2B46"/>
    <w:rsid w:val="004F2F53"/>
    <w:rsid w:val="004F31D8"/>
    <w:rsid w:val="004F372E"/>
    <w:rsid w:val="004F37F9"/>
    <w:rsid w:val="004F4E07"/>
    <w:rsid w:val="004F5031"/>
    <w:rsid w:val="004F558E"/>
    <w:rsid w:val="004F5D4E"/>
    <w:rsid w:val="004F6087"/>
    <w:rsid w:val="004F6403"/>
    <w:rsid w:val="004F66A3"/>
    <w:rsid w:val="004F6F1A"/>
    <w:rsid w:val="004F73E2"/>
    <w:rsid w:val="004F77B2"/>
    <w:rsid w:val="004F796A"/>
    <w:rsid w:val="0050083E"/>
    <w:rsid w:val="00500A2E"/>
    <w:rsid w:val="005018A3"/>
    <w:rsid w:val="00501FE1"/>
    <w:rsid w:val="00502686"/>
    <w:rsid w:val="005028EF"/>
    <w:rsid w:val="00503B6D"/>
    <w:rsid w:val="00503B9C"/>
    <w:rsid w:val="00503EE0"/>
    <w:rsid w:val="00504733"/>
    <w:rsid w:val="00504C85"/>
    <w:rsid w:val="00504E29"/>
    <w:rsid w:val="00504EB3"/>
    <w:rsid w:val="00504FF4"/>
    <w:rsid w:val="00505365"/>
    <w:rsid w:val="00506E31"/>
    <w:rsid w:val="00506E9D"/>
    <w:rsid w:val="00506FEE"/>
    <w:rsid w:val="00507780"/>
    <w:rsid w:val="005103C6"/>
    <w:rsid w:val="00510E2F"/>
    <w:rsid w:val="0051133D"/>
    <w:rsid w:val="0051162F"/>
    <w:rsid w:val="005118D4"/>
    <w:rsid w:val="005122BB"/>
    <w:rsid w:val="005124E1"/>
    <w:rsid w:val="00512E4A"/>
    <w:rsid w:val="00513169"/>
    <w:rsid w:val="00513383"/>
    <w:rsid w:val="00513940"/>
    <w:rsid w:val="0051442E"/>
    <w:rsid w:val="00514B28"/>
    <w:rsid w:val="005154B1"/>
    <w:rsid w:val="0051606E"/>
    <w:rsid w:val="0051635D"/>
    <w:rsid w:val="005163F3"/>
    <w:rsid w:val="005168E6"/>
    <w:rsid w:val="00516A73"/>
    <w:rsid w:val="00516EA8"/>
    <w:rsid w:val="0051747D"/>
    <w:rsid w:val="00517AC0"/>
    <w:rsid w:val="00517B67"/>
    <w:rsid w:val="005200B7"/>
    <w:rsid w:val="00520915"/>
    <w:rsid w:val="0052163E"/>
    <w:rsid w:val="00522542"/>
    <w:rsid w:val="0052256B"/>
    <w:rsid w:val="00522721"/>
    <w:rsid w:val="005228DE"/>
    <w:rsid w:val="0052299F"/>
    <w:rsid w:val="00523890"/>
    <w:rsid w:val="00523A23"/>
    <w:rsid w:val="00524037"/>
    <w:rsid w:val="005243AE"/>
    <w:rsid w:val="00524E3C"/>
    <w:rsid w:val="00525361"/>
    <w:rsid w:val="00525625"/>
    <w:rsid w:val="00525B37"/>
    <w:rsid w:val="00526B64"/>
    <w:rsid w:val="00526B9F"/>
    <w:rsid w:val="00527692"/>
    <w:rsid w:val="00527A91"/>
    <w:rsid w:val="0053138B"/>
    <w:rsid w:val="00531BE8"/>
    <w:rsid w:val="00531E50"/>
    <w:rsid w:val="005326F4"/>
    <w:rsid w:val="00533261"/>
    <w:rsid w:val="00533A49"/>
    <w:rsid w:val="0053476D"/>
    <w:rsid w:val="0053488D"/>
    <w:rsid w:val="00534AC8"/>
    <w:rsid w:val="0053589F"/>
    <w:rsid w:val="00537080"/>
    <w:rsid w:val="00537801"/>
    <w:rsid w:val="00537873"/>
    <w:rsid w:val="005379FC"/>
    <w:rsid w:val="00541235"/>
    <w:rsid w:val="0054141F"/>
    <w:rsid w:val="005419CC"/>
    <w:rsid w:val="005420C1"/>
    <w:rsid w:val="005429C4"/>
    <w:rsid w:val="00542C6E"/>
    <w:rsid w:val="005430A4"/>
    <w:rsid w:val="0054330B"/>
    <w:rsid w:val="005438C4"/>
    <w:rsid w:val="00543984"/>
    <w:rsid w:val="00543B75"/>
    <w:rsid w:val="00543F5B"/>
    <w:rsid w:val="00544972"/>
    <w:rsid w:val="00544A25"/>
    <w:rsid w:val="00545466"/>
    <w:rsid w:val="00545778"/>
    <w:rsid w:val="00546096"/>
    <w:rsid w:val="00546196"/>
    <w:rsid w:val="005464EC"/>
    <w:rsid w:val="0054683B"/>
    <w:rsid w:val="00546888"/>
    <w:rsid w:val="00546990"/>
    <w:rsid w:val="005470B1"/>
    <w:rsid w:val="00547B29"/>
    <w:rsid w:val="00547F76"/>
    <w:rsid w:val="00550A32"/>
    <w:rsid w:val="00550AA9"/>
    <w:rsid w:val="00550EDB"/>
    <w:rsid w:val="00551451"/>
    <w:rsid w:val="005515AD"/>
    <w:rsid w:val="0055161D"/>
    <w:rsid w:val="00551DC5"/>
    <w:rsid w:val="00551F37"/>
    <w:rsid w:val="00552161"/>
    <w:rsid w:val="00552D4B"/>
    <w:rsid w:val="00552FBB"/>
    <w:rsid w:val="0055317A"/>
    <w:rsid w:val="0055352C"/>
    <w:rsid w:val="00554050"/>
    <w:rsid w:val="00554C23"/>
    <w:rsid w:val="00554D17"/>
    <w:rsid w:val="00554D53"/>
    <w:rsid w:val="00554ED4"/>
    <w:rsid w:val="00555D72"/>
    <w:rsid w:val="00555FE4"/>
    <w:rsid w:val="005564C6"/>
    <w:rsid w:val="0055666B"/>
    <w:rsid w:val="00556BA7"/>
    <w:rsid w:val="00556E07"/>
    <w:rsid w:val="0055713D"/>
    <w:rsid w:val="0055733F"/>
    <w:rsid w:val="0055745F"/>
    <w:rsid w:val="0055775E"/>
    <w:rsid w:val="00557A0B"/>
    <w:rsid w:val="00557C8C"/>
    <w:rsid w:val="00557DFA"/>
    <w:rsid w:val="00560703"/>
    <w:rsid w:val="00561475"/>
    <w:rsid w:val="00561F54"/>
    <w:rsid w:val="00562255"/>
    <w:rsid w:val="005622A1"/>
    <w:rsid w:val="005623DD"/>
    <w:rsid w:val="0056333E"/>
    <w:rsid w:val="00563376"/>
    <w:rsid w:val="005635AA"/>
    <w:rsid w:val="00563C0A"/>
    <w:rsid w:val="005640B0"/>
    <w:rsid w:val="00564991"/>
    <w:rsid w:val="00565BD7"/>
    <w:rsid w:val="005670A8"/>
    <w:rsid w:val="00567185"/>
    <w:rsid w:val="0056799E"/>
    <w:rsid w:val="00567B69"/>
    <w:rsid w:val="00570097"/>
    <w:rsid w:val="0057145F"/>
    <w:rsid w:val="005715E3"/>
    <w:rsid w:val="00572054"/>
    <w:rsid w:val="005733B2"/>
    <w:rsid w:val="00574772"/>
    <w:rsid w:val="00574B7E"/>
    <w:rsid w:val="00574DEC"/>
    <w:rsid w:val="0057532B"/>
    <w:rsid w:val="005758FA"/>
    <w:rsid w:val="0057655B"/>
    <w:rsid w:val="00576C13"/>
    <w:rsid w:val="005776C0"/>
    <w:rsid w:val="005779DA"/>
    <w:rsid w:val="00577A05"/>
    <w:rsid w:val="005801D8"/>
    <w:rsid w:val="005808A6"/>
    <w:rsid w:val="00580A96"/>
    <w:rsid w:val="00580D4A"/>
    <w:rsid w:val="005810AF"/>
    <w:rsid w:val="00581246"/>
    <w:rsid w:val="005819C8"/>
    <w:rsid w:val="00581AAA"/>
    <w:rsid w:val="005820F5"/>
    <w:rsid w:val="0058264B"/>
    <w:rsid w:val="005827A6"/>
    <w:rsid w:val="005848D7"/>
    <w:rsid w:val="00584ACB"/>
    <w:rsid w:val="00584C76"/>
    <w:rsid w:val="00584EA7"/>
    <w:rsid w:val="00585126"/>
    <w:rsid w:val="005854D3"/>
    <w:rsid w:val="00585E1C"/>
    <w:rsid w:val="005861B2"/>
    <w:rsid w:val="005862E3"/>
    <w:rsid w:val="00586D21"/>
    <w:rsid w:val="00586D77"/>
    <w:rsid w:val="00587547"/>
    <w:rsid w:val="00590549"/>
    <w:rsid w:val="005910B9"/>
    <w:rsid w:val="00591361"/>
    <w:rsid w:val="00591605"/>
    <w:rsid w:val="00591D20"/>
    <w:rsid w:val="00592E08"/>
    <w:rsid w:val="00592F9B"/>
    <w:rsid w:val="005935B9"/>
    <w:rsid w:val="00593805"/>
    <w:rsid w:val="0059392E"/>
    <w:rsid w:val="00593BD9"/>
    <w:rsid w:val="00594B5A"/>
    <w:rsid w:val="00595087"/>
    <w:rsid w:val="005962A2"/>
    <w:rsid w:val="005964D8"/>
    <w:rsid w:val="00596614"/>
    <w:rsid w:val="00596AC5"/>
    <w:rsid w:val="00597242"/>
    <w:rsid w:val="005974B6"/>
    <w:rsid w:val="00597E14"/>
    <w:rsid w:val="005A01E1"/>
    <w:rsid w:val="005A0D68"/>
    <w:rsid w:val="005A156C"/>
    <w:rsid w:val="005A1D2B"/>
    <w:rsid w:val="005A1EB9"/>
    <w:rsid w:val="005A24BB"/>
    <w:rsid w:val="005A2DDD"/>
    <w:rsid w:val="005A2E94"/>
    <w:rsid w:val="005A3197"/>
    <w:rsid w:val="005A398F"/>
    <w:rsid w:val="005A3FBF"/>
    <w:rsid w:val="005A4368"/>
    <w:rsid w:val="005A55FA"/>
    <w:rsid w:val="005A61DB"/>
    <w:rsid w:val="005A65C8"/>
    <w:rsid w:val="005A698F"/>
    <w:rsid w:val="005A7315"/>
    <w:rsid w:val="005A735B"/>
    <w:rsid w:val="005A76F3"/>
    <w:rsid w:val="005B09CD"/>
    <w:rsid w:val="005B0A56"/>
    <w:rsid w:val="005B141D"/>
    <w:rsid w:val="005B1B0D"/>
    <w:rsid w:val="005B27E8"/>
    <w:rsid w:val="005B382B"/>
    <w:rsid w:val="005B3F65"/>
    <w:rsid w:val="005B3F69"/>
    <w:rsid w:val="005B424A"/>
    <w:rsid w:val="005B4621"/>
    <w:rsid w:val="005B4F61"/>
    <w:rsid w:val="005B53D0"/>
    <w:rsid w:val="005B5641"/>
    <w:rsid w:val="005B5937"/>
    <w:rsid w:val="005B6690"/>
    <w:rsid w:val="005C0387"/>
    <w:rsid w:val="005C07BE"/>
    <w:rsid w:val="005C09F1"/>
    <w:rsid w:val="005C0ABF"/>
    <w:rsid w:val="005C1003"/>
    <w:rsid w:val="005C1138"/>
    <w:rsid w:val="005C11DB"/>
    <w:rsid w:val="005C1375"/>
    <w:rsid w:val="005C183A"/>
    <w:rsid w:val="005C2CF9"/>
    <w:rsid w:val="005C2E66"/>
    <w:rsid w:val="005C2F3B"/>
    <w:rsid w:val="005C332B"/>
    <w:rsid w:val="005C3435"/>
    <w:rsid w:val="005C34A1"/>
    <w:rsid w:val="005C4C6E"/>
    <w:rsid w:val="005C4D44"/>
    <w:rsid w:val="005C54E9"/>
    <w:rsid w:val="005C569C"/>
    <w:rsid w:val="005C5AA3"/>
    <w:rsid w:val="005C5DE2"/>
    <w:rsid w:val="005C62F2"/>
    <w:rsid w:val="005C7C97"/>
    <w:rsid w:val="005D0272"/>
    <w:rsid w:val="005D10D5"/>
    <w:rsid w:val="005D1303"/>
    <w:rsid w:val="005D1783"/>
    <w:rsid w:val="005D19EC"/>
    <w:rsid w:val="005D1CB0"/>
    <w:rsid w:val="005D1F74"/>
    <w:rsid w:val="005D2459"/>
    <w:rsid w:val="005D2693"/>
    <w:rsid w:val="005D2989"/>
    <w:rsid w:val="005D2D5A"/>
    <w:rsid w:val="005D2D5C"/>
    <w:rsid w:val="005D3725"/>
    <w:rsid w:val="005D4E24"/>
    <w:rsid w:val="005D56D6"/>
    <w:rsid w:val="005D5D5E"/>
    <w:rsid w:val="005D6153"/>
    <w:rsid w:val="005D6250"/>
    <w:rsid w:val="005D70E0"/>
    <w:rsid w:val="005D70E2"/>
    <w:rsid w:val="005D7286"/>
    <w:rsid w:val="005D7288"/>
    <w:rsid w:val="005D746F"/>
    <w:rsid w:val="005D7512"/>
    <w:rsid w:val="005D78E7"/>
    <w:rsid w:val="005D7C5C"/>
    <w:rsid w:val="005D7E1B"/>
    <w:rsid w:val="005D7F38"/>
    <w:rsid w:val="005E1095"/>
    <w:rsid w:val="005E14C5"/>
    <w:rsid w:val="005E1B90"/>
    <w:rsid w:val="005E2270"/>
    <w:rsid w:val="005E34C7"/>
    <w:rsid w:val="005E3E69"/>
    <w:rsid w:val="005E41FA"/>
    <w:rsid w:val="005E424D"/>
    <w:rsid w:val="005E448F"/>
    <w:rsid w:val="005E5C40"/>
    <w:rsid w:val="005E66C5"/>
    <w:rsid w:val="005E6D0F"/>
    <w:rsid w:val="005E70E9"/>
    <w:rsid w:val="005E7161"/>
    <w:rsid w:val="005E777D"/>
    <w:rsid w:val="005E7ED9"/>
    <w:rsid w:val="005F0193"/>
    <w:rsid w:val="005F0D25"/>
    <w:rsid w:val="005F0D8F"/>
    <w:rsid w:val="005F1029"/>
    <w:rsid w:val="005F15A0"/>
    <w:rsid w:val="005F19BD"/>
    <w:rsid w:val="005F1B5D"/>
    <w:rsid w:val="005F2A06"/>
    <w:rsid w:val="005F2C78"/>
    <w:rsid w:val="005F3011"/>
    <w:rsid w:val="005F3C51"/>
    <w:rsid w:val="005F42D5"/>
    <w:rsid w:val="005F435D"/>
    <w:rsid w:val="005F4443"/>
    <w:rsid w:val="005F4B3B"/>
    <w:rsid w:val="005F547D"/>
    <w:rsid w:val="005F5741"/>
    <w:rsid w:val="005F62FD"/>
    <w:rsid w:val="005F6EDA"/>
    <w:rsid w:val="005F7B0D"/>
    <w:rsid w:val="005F7DB7"/>
    <w:rsid w:val="00600FCB"/>
    <w:rsid w:val="00601C23"/>
    <w:rsid w:val="00601CCA"/>
    <w:rsid w:val="006022A2"/>
    <w:rsid w:val="006023D1"/>
    <w:rsid w:val="006024BF"/>
    <w:rsid w:val="006026C8"/>
    <w:rsid w:val="0060281E"/>
    <w:rsid w:val="0060295D"/>
    <w:rsid w:val="00602B91"/>
    <w:rsid w:val="00602ED6"/>
    <w:rsid w:val="00603040"/>
    <w:rsid w:val="0060366F"/>
    <w:rsid w:val="00603694"/>
    <w:rsid w:val="006036AE"/>
    <w:rsid w:val="00603D08"/>
    <w:rsid w:val="00604B0B"/>
    <w:rsid w:val="006055C4"/>
    <w:rsid w:val="00605A26"/>
    <w:rsid w:val="00606EBE"/>
    <w:rsid w:val="00606FF3"/>
    <w:rsid w:val="006073F1"/>
    <w:rsid w:val="00607507"/>
    <w:rsid w:val="00607754"/>
    <w:rsid w:val="00611178"/>
    <w:rsid w:val="00611707"/>
    <w:rsid w:val="00611AF2"/>
    <w:rsid w:val="00611C62"/>
    <w:rsid w:val="00611E2B"/>
    <w:rsid w:val="006121BB"/>
    <w:rsid w:val="006121F9"/>
    <w:rsid w:val="00612756"/>
    <w:rsid w:val="00612799"/>
    <w:rsid w:val="0061288B"/>
    <w:rsid w:val="00612F0F"/>
    <w:rsid w:val="00612F85"/>
    <w:rsid w:val="006130A7"/>
    <w:rsid w:val="00613263"/>
    <w:rsid w:val="00613AB6"/>
    <w:rsid w:val="00613F2B"/>
    <w:rsid w:val="00615A3F"/>
    <w:rsid w:val="00615C03"/>
    <w:rsid w:val="0061618C"/>
    <w:rsid w:val="006166FF"/>
    <w:rsid w:val="00616AA9"/>
    <w:rsid w:val="0061706E"/>
    <w:rsid w:val="00617DCA"/>
    <w:rsid w:val="006210FD"/>
    <w:rsid w:val="006211AD"/>
    <w:rsid w:val="00621C06"/>
    <w:rsid w:val="00622203"/>
    <w:rsid w:val="00622C61"/>
    <w:rsid w:val="00623623"/>
    <w:rsid w:val="00623A42"/>
    <w:rsid w:val="00623F32"/>
    <w:rsid w:val="00624FF7"/>
    <w:rsid w:val="006251E2"/>
    <w:rsid w:val="0062539D"/>
    <w:rsid w:val="006257FE"/>
    <w:rsid w:val="00626148"/>
    <w:rsid w:val="006268F7"/>
    <w:rsid w:val="00627052"/>
    <w:rsid w:val="0062749B"/>
    <w:rsid w:val="0062755A"/>
    <w:rsid w:val="006279A0"/>
    <w:rsid w:val="006301A8"/>
    <w:rsid w:val="0063071E"/>
    <w:rsid w:val="00630916"/>
    <w:rsid w:val="00630B1B"/>
    <w:rsid w:val="00630C93"/>
    <w:rsid w:val="00630FCE"/>
    <w:rsid w:val="0063119C"/>
    <w:rsid w:val="00631CD3"/>
    <w:rsid w:val="00631D65"/>
    <w:rsid w:val="0063222A"/>
    <w:rsid w:val="00632ABF"/>
    <w:rsid w:val="00632D85"/>
    <w:rsid w:val="00632EC0"/>
    <w:rsid w:val="006333FE"/>
    <w:rsid w:val="00633A3F"/>
    <w:rsid w:val="00633B6B"/>
    <w:rsid w:val="00633B83"/>
    <w:rsid w:val="00635C50"/>
    <w:rsid w:val="00635D9C"/>
    <w:rsid w:val="00635EF2"/>
    <w:rsid w:val="00637104"/>
    <w:rsid w:val="00637A26"/>
    <w:rsid w:val="00640904"/>
    <w:rsid w:val="00640FBB"/>
    <w:rsid w:val="006414CE"/>
    <w:rsid w:val="0064192C"/>
    <w:rsid w:val="0064193A"/>
    <w:rsid w:val="00641BAD"/>
    <w:rsid w:val="00641D73"/>
    <w:rsid w:val="00641DE6"/>
    <w:rsid w:val="00641EFB"/>
    <w:rsid w:val="0064258A"/>
    <w:rsid w:val="00642B50"/>
    <w:rsid w:val="00642B84"/>
    <w:rsid w:val="00642D4F"/>
    <w:rsid w:val="00643C4E"/>
    <w:rsid w:val="00643DD2"/>
    <w:rsid w:val="00644582"/>
    <w:rsid w:val="006445A4"/>
    <w:rsid w:val="00644614"/>
    <w:rsid w:val="0064483A"/>
    <w:rsid w:val="00644DB5"/>
    <w:rsid w:val="006453CB"/>
    <w:rsid w:val="00645852"/>
    <w:rsid w:val="0064598F"/>
    <w:rsid w:val="00647123"/>
    <w:rsid w:val="00647995"/>
    <w:rsid w:val="006507DF"/>
    <w:rsid w:val="006507EC"/>
    <w:rsid w:val="00650D74"/>
    <w:rsid w:val="00650E0B"/>
    <w:rsid w:val="00651613"/>
    <w:rsid w:val="00651D08"/>
    <w:rsid w:val="00651D52"/>
    <w:rsid w:val="00651EB0"/>
    <w:rsid w:val="00652A40"/>
    <w:rsid w:val="00652A5C"/>
    <w:rsid w:val="0065343E"/>
    <w:rsid w:val="006539BD"/>
    <w:rsid w:val="00654EBF"/>
    <w:rsid w:val="00655A3D"/>
    <w:rsid w:val="00655D6F"/>
    <w:rsid w:val="00656114"/>
    <w:rsid w:val="00657161"/>
    <w:rsid w:val="00657292"/>
    <w:rsid w:val="00657B0F"/>
    <w:rsid w:val="00657F34"/>
    <w:rsid w:val="00661C70"/>
    <w:rsid w:val="0066206D"/>
    <w:rsid w:val="00662527"/>
    <w:rsid w:val="00662889"/>
    <w:rsid w:val="00662EA7"/>
    <w:rsid w:val="00662F6F"/>
    <w:rsid w:val="00663043"/>
    <w:rsid w:val="0066360C"/>
    <w:rsid w:val="00663E56"/>
    <w:rsid w:val="00663F6C"/>
    <w:rsid w:val="006640F4"/>
    <w:rsid w:val="006649BD"/>
    <w:rsid w:val="00665633"/>
    <w:rsid w:val="006659E2"/>
    <w:rsid w:val="00667470"/>
    <w:rsid w:val="006676FC"/>
    <w:rsid w:val="00670DC9"/>
    <w:rsid w:val="00670F94"/>
    <w:rsid w:val="00671FB3"/>
    <w:rsid w:val="00672005"/>
    <w:rsid w:val="00672314"/>
    <w:rsid w:val="00672461"/>
    <w:rsid w:val="006724DE"/>
    <w:rsid w:val="00672536"/>
    <w:rsid w:val="006725C5"/>
    <w:rsid w:val="006727AD"/>
    <w:rsid w:val="00672FF8"/>
    <w:rsid w:val="00674351"/>
    <w:rsid w:val="006745A0"/>
    <w:rsid w:val="00674AA3"/>
    <w:rsid w:val="0067506D"/>
    <w:rsid w:val="00675682"/>
    <w:rsid w:val="00675961"/>
    <w:rsid w:val="00675E59"/>
    <w:rsid w:val="00676820"/>
    <w:rsid w:val="00677735"/>
    <w:rsid w:val="006778D8"/>
    <w:rsid w:val="00677987"/>
    <w:rsid w:val="00677E2F"/>
    <w:rsid w:val="00680349"/>
    <w:rsid w:val="00680356"/>
    <w:rsid w:val="00680B39"/>
    <w:rsid w:val="00680C35"/>
    <w:rsid w:val="00680D64"/>
    <w:rsid w:val="00680D7B"/>
    <w:rsid w:val="00681367"/>
    <w:rsid w:val="006816CB"/>
    <w:rsid w:val="006820EC"/>
    <w:rsid w:val="00682684"/>
    <w:rsid w:val="00682839"/>
    <w:rsid w:val="00683408"/>
    <w:rsid w:val="00683C3C"/>
    <w:rsid w:val="00683F35"/>
    <w:rsid w:val="006840F8"/>
    <w:rsid w:val="00684152"/>
    <w:rsid w:val="00684363"/>
    <w:rsid w:val="00684387"/>
    <w:rsid w:val="00684548"/>
    <w:rsid w:val="00684802"/>
    <w:rsid w:val="00685071"/>
    <w:rsid w:val="006853D8"/>
    <w:rsid w:val="00685B98"/>
    <w:rsid w:val="00685D7C"/>
    <w:rsid w:val="00686BF1"/>
    <w:rsid w:val="00687194"/>
    <w:rsid w:val="00690CBC"/>
    <w:rsid w:val="006920F8"/>
    <w:rsid w:val="00692311"/>
    <w:rsid w:val="006927D8"/>
    <w:rsid w:val="006938F6"/>
    <w:rsid w:val="00693D92"/>
    <w:rsid w:val="00693FA4"/>
    <w:rsid w:val="0069466B"/>
    <w:rsid w:val="00694991"/>
    <w:rsid w:val="00695017"/>
    <w:rsid w:val="006958EE"/>
    <w:rsid w:val="00695BB6"/>
    <w:rsid w:val="0069624F"/>
    <w:rsid w:val="00696267"/>
    <w:rsid w:val="006964D6"/>
    <w:rsid w:val="00697484"/>
    <w:rsid w:val="0069790C"/>
    <w:rsid w:val="00697CA8"/>
    <w:rsid w:val="006A04EA"/>
    <w:rsid w:val="006A0C93"/>
    <w:rsid w:val="006A105E"/>
    <w:rsid w:val="006A1D23"/>
    <w:rsid w:val="006A230D"/>
    <w:rsid w:val="006A243E"/>
    <w:rsid w:val="006A3201"/>
    <w:rsid w:val="006A3E67"/>
    <w:rsid w:val="006A42AA"/>
    <w:rsid w:val="006A4475"/>
    <w:rsid w:val="006A48B7"/>
    <w:rsid w:val="006A4AD3"/>
    <w:rsid w:val="006A4C5C"/>
    <w:rsid w:val="006A4E5A"/>
    <w:rsid w:val="006A5321"/>
    <w:rsid w:val="006A625B"/>
    <w:rsid w:val="006A68A0"/>
    <w:rsid w:val="006A6FD4"/>
    <w:rsid w:val="006A7155"/>
    <w:rsid w:val="006A7548"/>
    <w:rsid w:val="006A7BF9"/>
    <w:rsid w:val="006A7EE9"/>
    <w:rsid w:val="006B14D7"/>
    <w:rsid w:val="006B18B2"/>
    <w:rsid w:val="006B2353"/>
    <w:rsid w:val="006B2548"/>
    <w:rsid w:val="006B298A"/>
    <w:rsid w:val="006B2B5B"/>
    <w:rsid w:val="006B3A2C"/>
    <w:rsid w:val="006B3E12"/>
    <w:rsid w:val="006B45DA"/>
    <w:rsid w:val="006B470D"/>
    <w:rsid w:val="006B4742"/>
    <w:rsid w:val="006B4B24"/>
    <w:rsid w:val="006B50E0"/>
    <w:rsid w:val="006B57F4"/>
    <w:rsid w:val="006B65E8"/>
    <w:rsid w:val="006B65F1"/>
    <w:rsid w:val="006C027A"/>
    <w:rsid w:val="006C06D5"/>
    <w:rsid w:val="006C14F0"/>
    <w:rsid w:val="006C15D0"/>
    <w:rsid w:val="006C173E"/>
    <w:rsid w:val="006C27E2"/>
    <w:rsid w:val="006C2DB6"/>
    <w:rsid w:val="006C2E69"/>
    <w:rsid w:val="006C31E0"/>
    <w:rsid w:val="006C423D"/>
    <w:rsid w:val="006C5090"/>
    <w:rsid w:val="006C5434"/>
    <w:rsid w:val="006C561E"/>
    <w:rsid w:val="006C5621"/>
    <w:rsid w:val="006C6004"/>
    <w:rsid w:val="006C60B5"/>
    <w:rsid w:val="006C641B"/>
    <w:rsid w:val="006C6F2D"/>
    <w:rsid w:val="006C763E"/>
    <w:rsid w:val="006C7860"/>
    <w:rsid w:val="006D0771"/>
    <w:rsid w:val="006D077B"/>
    <w:rsid w:val="006D1098"/>
    <w:rsid w:val="006D1CB0"/>
    <w:rsid w:val="006D1D26"/>
    <w:rsid w:val="006D1FF8"/>
    <w:rsid w:val="006D24FD"/>
    <w:rsid w:val="006D2EE9"/>
    <w:rsid w:val="006D3A81"/>
    <w:rsid w:val="006D3E2A"/>
    <w:rsid w:val="006D4A9C"/>
    <w:rsid w:val="006D57AD"/>
    <w:rsid w:val="006D58BF"/>
    <w:rsid w:val="006D614A"/>
    <w:rsid w:val="006D66F5"/>
    <w:rsid w:val="006D68A8"/>
    <w:rsid w:val="006D6CBE"/>
    <w:rsid w:val="006D7682"/>
    <w:rsid w:val="006D7A75"/>
    <w:rsid w:val="006E06E5"/>
    <w:rsid w:val="006E0A92"/>
    <w:rsid w:val="006E1971"/>
    <w:rsid w:val="006E226F"/>
    <w:rsid w:val="006E385F"/>
    <w:rsid w:val="006E39A3"/>
    <w:rsid w:val="006E3FB1"/>
    <w:rsid w:val="006E4A7A"/>
    <w:rsid w:val="006E4B97"/>
    <w:rsid w:val="006E5381"/>
    <w:rsid w:val="006E553F"/>
    <w:rsid w:val="006E5AD4"/>
    <w:rsid w:val="006E5F39"/>
    <w:rsid w:val="006E60C3"/>
    <w:rsid w:val="006E62E8"/>
    <w:rsid w:val="006E66D8"/>
    <w:rsid w:val="006E6A23"/>
    <w:rsid w:val="006E6D6C"/>
    <w:rsid w:val="006E6E34"/>
    <w:rsid w:val="006E79A8"/>
    <w:rsid w:val="006E7CC1"/>
    <w:rsid w:val="006E7E4C"/>
    <w:rsid w:val="006F0DD9"/>
    <w:rsid w:val="006F0EEF"/>
    <w:rsid w:val="006F2125"/>
    <w:rsid w:val="006F2291"/>
    <w:rsid w:val="006F28B6"/>
    <w:rsid w:val="006F2B2E"/>
    <w:rsid w:val="006F366F"/>
    <w:rsid w:val="006F3757"/>
    <w:rsid w:val="006F3B47"/>
    <w:rsid w:val="006F44E3"/>
    <w:rsid w:val="006F4FBE"/>
    <w:rsid w:val="006F5059"/>
    <w:rsid w:val="006F6612"/>
    <w:rsid w:val="006F77B8"/>
    <w:rsid w:val="006F7F73"/>
    <w:rsid w:val="00700A9E"/>
    <w:rsid w:val="00700AA9"/>
    <w:rsid w:val="00700ACA"/>
    <w:rsid w:val="00700E0E"/>
    <w:rsid w:val="00701991"/>
    <w:rsid w:val="00701B3E"/>
    <w:rsid w:val="00702D3B"/>
    <w:rsid w:val="00704699"/>
    <w:rsid w:val="007048C4"/>
    <w:rsid w:val="00704CF9"/>
    <w:rsid w:val="00705063"/>
    <w:rsid w:val="00705989"/>
    <w:rsid w:val="00705F01"/>
    <w:rsid w:val="007062F4"/>
    <w:rsid w:val="007064CD"/>
    <w:rsid w:val="00706AB9"/>
    <w:rsid w:val="00707436"/>
    <w:rsid w:val="00707465"/>
    <w:rsid w:val="007079AE"/>
    <w:rsid w:val="007118AE"/>
    <w:rsid w:val="00711955"/>
    <w:rsid w:val="00711981"/>
    <w:rsid w:val="007120E4"/>
    <w:rsid w:val="0071212B"/>
    <w:rsid w:val="00712CFD"/>
    <w:rsid w:val="007130D5"/>
    <w:rsid w:val="0071318D"/>
    <w:rsid w:val="00713836"/>
    <w:rsid w:val="00714315"/>
    <w:rsid w:val="00714EAC"/>
    <w:rsid w:val="00714F64"/>
    <w:rsid w:val="00716492"/>
    <w:rsid w:val="0071677F"/>
    <w:rsid w:val="00717A11"/>
    <w:rsid w:val="00720900"/>
    <w:rsid w:val="00721012"/>
    <w:rsid w:val="00721088"/>
    <w:rsid w:val="007215E0"/>
    <w:rsid w:val="007222EB"/>
    <w:rsid w:val="007224DE"/>
    <w:rsid w:val="00722C4D"/>
    <w:rsid w:val="007236BA"/>
    <w:rsid w:val="00723A16"/>
    <w:rsid w:val="00723F0A"/>
    <w:rsid w:val="007247E8"/>
    <w:rsid w:val="00725610"/>
    <w:rsid w:val="0072569D"/>
    <w:rsid w:val="0072581C"/>
    <w:rsid w:val="007258CB"/>
    <w:rsid w:val="00725CCD"/>
    <w:rsid w:val="00725CF7"/>
    <w:rsid w:val="00725F54"/>
    <w:rsid w:val="00726DA8"/>
    <w:rsid w:val="00726FA3"/>
    <w:rsid w:val="00727EFC"/>
    <w:rsid w:val="007300CE"/>
    <w:rsid w:val="0073030D"/>
    <w:rsid w:val="00730CFD"/>
    <w:rsid w:val="007310E8"/>
    <w:rsid w:val="007318E8"/>
    <w:rsid w:val="0073307C"/>
    <w:rsid w:val="007333B3"/>
    <w:rsid w:val="00733CD8"/>
    <w:rsid w:val="00734983"/>
    <w:rsid w:val="00735CBE"/>
    <w:rsid w:val="0073733A"/>
    <w:rsid w:val="007373C1"/>
    <w:rsid w:val="0073744A"/>
    <w:rsid w:val="00737D8F"/>
    <w:rsid w:val="00737F39"/>
    <w:rsid w:val="00740725"/>
    <w:rsid w:val="00740B53"/>
    <w:rsid w:val="00740E12"/>
    <w:rsid w:val="00741ACE"/>
    <w:rsid w:val="007426C6"/>
    <w:rsid w:val="00742983"/>
    <w:rsid w:val="00742B09"/>
    <w:rsid w:val="00742EAC"/>
    <w:rsid w:val="00742F67"/>
    <w:rsid w:val="00743CE9"/>
    <w:rsid w:val="007440B0"/>
    <w:rsid w:val="00745C99"/>
    <w:rsid w:val="007461A9"/>
    <w:rsid w:val="007461EC"/>
    <w:rsid w:val="007463C4"/>
    <w:rsid w:val="00746742"/>
    <w:rsid w:val="00746C52"/>
    <w:rsid w:val="00746CDD"/>
    <w:rsid w:val="00747526"/>
    <w:rsid w:val="007478B7"/>
    <w:rsid w:val="00747DBF"/>
    <w:rsid w:val="0075039F"/>
    <w:rsid w:val="0075046E"/>
    <w:rsid w:val="00750E7B"/>
    <w:rsid w:val="00750F69"/>
    <w:rsid w:val="007514F3"/>
    <w:rsid w:val="007526D4"/>
    <w:rsid w:val="00752E1C"/>
    <w:rsid w:val="0075332A"/>
    <w:rsid w:val="0075347D"/>
    <w:rsid w:val="00753697"/>
    <w:rsid w:val="007536C5"/>
    <w:rsid w:val="00753A59"/>
    <w:rsid w:val="00753AA8"/>
    <w:rsid w:val="007549C5"/>
    <w:rsid w:val="00754DB1"/>
    <w:rsid w:val="00755111"/>
    <w:rsid w:val="0075520F"/>
    <w:rsid w:val="00755C26"/>
    <w:rsid w:val="007561F8"/>
    <w:rsid w:val="00756686"/>
    <w:rsid w:val="00756AAF"/>
    <w:rsid w:val="00756ABE"/>
    <w:rsid w:val="00756F3F"/>
    <w:rsid w:val="00757B0D"/>
    <w:rsid w:val="00757E18"/>
    <w:rsid w:val="00757FB4"/>
    <w:rsid w:val="007605D4"/>
    <w:rsid w:val="007608F7"/>
    <w:rsid w:val="007612CA"/>
    <w:rsid w:val="00761519"/>
    <w:rsid w:val="00761720"/>
    <w:rsid w:val="0076193E"/>
    <w:rsid w:val="00762D0F"/>
    <w:rsid w:val="0076351A"/>
    <w:rsid w:val="007637B8"/>
    <w:rsid w:val="00763C42"/>
    <w:rsid w:val="00763D7C"/>
    <w:rsid w:val="00763EF4"/>
    <w:rsid w:val="0076408C"/>
    <w:rsid w:val="00764138"/>
    <w:rsid w:val="0076481D"/>
    <w:rsid w:val="007649F1"/>
    <w:rsid w:val="00764B43"/>
    <w:rsid w:val="00765069"/>
    <w:rsid w:val="007656CC"/>
    <w:rsid w:val="0076582F"/>
    <w:rsid w:val="00765F35"/>
    <w:rsid w:val="00765FC0"/>
    <w:rsid w:val="00766131"/>
    <w:rsid w:val="007666E6"/>
    <w:rsid w:val="00766C22"/>
    <w:rsid w:val="007676B5"/>
    <w:rsid w:val="00767AFC"/>
    <w:rsid w:val="00770407"/>
    <w:rsid w:val="00770EBF"/>
    <w:rsid w:val="007713F5"/>
    <w:rsid w:val="0077143A"/>
    <w:rsid w:val="007724E8"/>
    <w:rsid w:val="007727EA"/>
    <w:rsid w:val="00772D81"/>
    <w:rsid w:val="007730FB"/>
    <w:rsid w:val="0077359F"/>
    <w:rsid w:val="00773D75"/>
    <w:rsid w:val="007747B4"/>
    <w:rsid w:val="00774E8E"/>
    <w:rsid w:val="00775F9C"/>
    <w:rsid w:val="007769D3"/>
    <w:rsid w:val="00777066"/>
    <w:rsid w:val="00777404"/>
    <w:rsid w:val="00777ED4"/>
    <w:rsid w:val="007802BA"/>
    <w:rsid w:val="007810AB"/>
    <w:rsid w:val="00781800"/>
    <w:rsid w:val="00781B97"/>
    <w:rsid w:val="00782BA5"/>
    <w:rsid w:val="00782FA0"/>
    <w:rsid w:val="00783042"/>
    <w:rsid w:val="0078339F"/>
    <w:rsid w:val="00786245"/>
    <w:rsid w:val="00787C75"/>
    <w:rsid w:val="007902EB"/>
    <w:rsid w:val="00790B93"/>
    <w:rsid w:val="007920B8"/>
    <w:rsid w:val="0079230E"/>
    <w:rsid w:val="00792B5E"/>
    <w:rsid w:val="00792E91"/>
    <w:rsid w:val="00792F95"/>
    <w:rsid w:val="00793034"/>
    <w:rsid w:val="007931E7"/>
    <w:rsid w:val="00793814"/>
    <w:rsid w:val="00793BF5"/>
    <w:rsid w:val="00793FB8"/>
    <w:rsid w:val="00795487"/>
    <w:rsid w:val="00795582"/>
    <w:rsid w:val="00795C6F"/>
    <w:rsid w:val="00795E36"/>
    <w:rsid w:val="007962B7"/>
    <w:rsid w:val="0079689A"/>
    <w:rsid w:val="007A0E0B"/>
    <w:rsid w:val="007A1D94"/>
    <w:rsid w:val="007A3A65"/>
    <w:rsid w:val="007A3D95"/>
    <w:rsid w:val="007A46EF"/>
    <w:rsid w:val="007A4922"/>
    <w:rsid w:val="007A4B50"/>
    <w:rsid w:val="007A4FE0"/>
    <w:rsid w:val="007A5A2F"/>
    <w:rsid w:val="007A5D25"/>
    <w:rsid w:val="007A5D74"/>
    <w:rsid w:val="007A5F1C"/>
    <w:rsid w:val="007A5FD5"/>
    <w:rsid w:val="007A60B7"/>
    <w:rsid w:val="007A61BF"/>
    <w:rsid w:val="007A68FE"/>
    <w:rsid w:val="007A69B3"/>
    <w:rsid w:val="007A6EF6"/>
    <w:rsid w:val="007A72D0"/>
    <w:rsid w:val="007A7AEE"/>
    <w:rsid w:val="007A7BEA"/>
    <w:rsid w:val="007B0670"/>
    <w:rsid w:val="007B086B"/>
    <w:rsid w:val="007B1003"/>
    <w:rsid w:val="007B14C6"/>
    <w:rsid w:val="007B157B"/>
    <w:rsid w:val="007B1678"/>
    <w:rsid w:val="007B1A85"/>
    <w:rsid w:val="007B1B73"/>
    <w:rsid w:val="007B2E46"/>
    <w:rsid w:val="007B3059"/>
    <w:rsid w:val="007B31FB"/>
    <w:rsid w:val="007B33D9"/>
    <w:rsid w:val="007B449A"/>
    <w:rsid w:val="007B46BF"/>
    <w:rsid w:val="007B4B8D"/>
    <w:rsid w:val="007B4F0E"/>
    <w:rsid w:val="007B5087"/>
    <w:rsid w:val="007B5704"/>
    <w:rsid w:val="007B5868"/>
    <w:rsid w:val="007B5C46"/>
    <w:rsid w:val="007B5D1D"/>
    <w:rsid w:val="007B7699"/>
    <w:rsid w:val="007B7FE3"/>
    <w:rsid w:val="007C0701"/>
    <w:rsid w:val="007C11CE"/>
    <w:rsid w:val="007C1341"/>
    <w:rsid w:val="007C215B"/>
    <w:rsid w:val="007C2EDE"/>
    <w:rsid w:val="007C31A7"/>
    <w:rsid w:val="007C3EFA"/>
    <w:rsid w:val="007C3F5F"/>
    <w:rsid w:val="007C406A"/>
    <w:rsid w:val="007C40AB"/>
    <w:rsid w:val="007C4876"/>
    <w:rsid w:val="007C6572"/>
    <w:rsid w:val="007C687C"/>
    <w:rsid w:val="007C6FCF"/>
    <w:rsid w:val="007C7459"/>
    <w:rsid w:val="007C7510"/>
    <w:rsid w:val="007C7726"/>
    <w:rsid w:val="007D00D5"/>
    <w:rsid w:val="007D082C"/>
    <w:rsid w:val="007D0924"/>
    <w:rsid w:val="007D1B8A"/>
    <w:rsid w:val="007D2DDB"/>
    <w:rsid w:val="007D3217"/>
    <w:rsid w:val="007D3570"/>
    <w:rsid w:val="007D359A"/>
    <w:rsid w:val="007D3DB1"/>
    <w:rsid w:val="007D4271"/>
    <w:rsid w:val="007D42AA"/>
    <w:rsid w:val="007D4872"/>
    <w:rsid w:val="007D4B3A"/>
    <w:rsid w:val="007D4E7F"/>
    <w:rsid w:val="007D56F2"/>
    <w:rsid w:val="007D5FEC"/>
    <w:rsid w:val="007D6858"/>
    <w:rsid w:val="007D6B85"/>
    <w:rsid w:val="007D6DB4"/>
    <w:rsid w:val="007D72CF"/>
    <w:rsid w:val="007E1029"/>
    <w:rsid w:val="007E18EA"/>
    <w:rsid w:val="007E194A"/>
    <w:rsid w:val="007E1A46"/>
    <w:rsid w:val="007E367B"/>
    <w:rsid w:val="007E3712"/>
    <w:rsid w:val="007E3834"/>
    <w:rsid w:val="007E3A24"/>
    <w:rsid w:val="007E3C85"/>
    <w:rsid w:val="007E3E31"/>
    <w:rsid w:val="007E4B3F"/>
    <w:rsid w:val="007E5046"/>
    <w:rsid w:val="007E56BF"/>
    <w:rsid w:val="007E5D02"/>
    <w:rsid w:val="007E5E4A"/>
    <w:rsid w:val="007E63BF"/>
    <w:rsid w:val="007E6509"/>
    <w:rsid w:val="007E6AAE"/>
    <w:rsid w:val="007E6D91"/>
    <w:rsid w:val="007E70DD"/>
    <w:rsid w:val="007E7136"/>
    <w:rsid w:val="007E7410"/>
    <w:rsid w:val="007E75E0"/>
    <w:rsid w:val="007E7EF7"/>
    <w:rsid w:val="007E7F3B"/>
    <w:rsid w:val="007F0AF7"/>
    <w:rsid w:val="007F0CFF"/>
    <w:rsid w:val="007F18A0"/>
    <w:rsid w:val="007F1D79"/>
    <w:rsid w:val="007F21FF"/>
    <w:rsid w:val="007F2361"/>
    <w:rsid w:val="007F23E7"/>
    <w:rsid w:val="007F297B"/>
    <w:rsid w:val="007F34D9"/>
    <w:rsid w:val="007F3975"/>
    <w:rsid w:val="007F3C00"/>
    <w:rsid w:val="007F4686"/>
    <w:rsid w:val="007F55AE"/>
    <w:rsid w:val="007F5AC5"/>
    <w:rsid w:val="007F5EDC"/>
    <w:rsid w:val="007F660C"/>
    <w:rsid w:val="007F671B"/>
    <w:rsid w:val="007F73EA"/>
    <w:rsid w:val="007F79A0"/>
    <w:rsid w:val="0080021F"/>
    <w:rsid w:val="00800D50"/>
    <w:rsid w:val="008011F5"/>
    <w:rsid w:val="00801A7B"/>
    <w:rsid w:val="00801A9E"/>
    <w:rsid w:val="00802491"/>
    <w:rsid w:val="00802A7D"/>
    <w:rsid w:val="008039D7"/>
    <w:rsid w:val="00803D5B"/>
    <w:rsid w:val="00804E2F"/>
    <w:rsid w:val="00805732"/>
    <w:rsid w:val="00805C02"/>
    <w:rsid w:val="00806555"/>
    <w:rsid w:val="008067EE"/>
    <w:rsid w:val="0080710C"/>
    <w:rsid w:val="008071E5"/>
    <w:rsid w:val="0080732B"/>
    <w:rsid w:val="0080774B"/>
    <w:rsid w:val="008078F2"/>
    <w:rsid w:val="00807A85"/>
    <w:rsid w:val="00807AB0"/>
    <w:rsid w:val="00807BD2"/>
    <w:rsid w:val="00807C6F"/>
    <w:rsid w:val="00807C83"/>
    <w:rsid w:val="00810200"/>
    <w:rsid w:val="00810270"/>
    <w:rsid w:val="00810DA9"/>
    <w:rsid w:val="00810EF3"/>
    <w:rsid w:val="0081158F"/>
    <w:rsid w:val="00811E9B"/>
    <w:rsid w:val="008121CA"/>
    <w:rsid w:val="00812807"/>
    <w:rsid w:val="008133C3"/>
    <w:rsid w:val="00813B3E"/>
    <w:rsid w:val="00813D25"/>
    <w:rsid w:val="00814B11"/>
    <w:rsid w:val="0081507B"/>
    <w:rsid w:val="00815513"/>
    <w:rsid w:val="00815601"/>
    <w:rsid w:val="0081648B"/>
    <w:rsid w:val="008168A4"/>
    <w:rsid w:val="0081782B"/>
    <w:rsid w:val="00817A92"/>
    <w:rsid w:val="00817D75"/>
    <w:rsid w:val="008212BE"/>
    <w:rsid w:val="008219C4"/>
    <w:rsid w:val="00821BCC"/>
    <w:rsid w:val="00821C90"/>
    <w:rsid w:val="00821FFC"/>
    <w:rsid w:val="008224A0"/>
    <w:rsid w:val="00822D47"/>
    <w:rsid w:val="008236F5"/>
    <w:rsid w:val="00823725"/>
    <w:rsid w:val="00823B05"/>
    <w:rsid w:val="00823BB9"/>
    <w:rsid w:val="00823F45"/>
    <w:rsid w:val="00824833"/>
    <w:rsid w:val="00824C3E"/>
    <w:rsid w:val="00824F51"/>
    <w:rsid w:val="00825010"/>
    <w:rsid w:val="0082503C"/>
    <w:rsid w:val="008250ED"/>
    <w:rsid w:val="00825369"/>
    <w:rsid w:val="00825A74"/>
    <w:rsid w:val="00826035"/>
    <w:rsid w:val="00826861"/>
    <w:rsid w:val="00826C30"/>
    <w:rsid w:val="00827241"/>
    <w:rsid w:val="00827627"/>
    <w:rsid w:val="00827CA2"/>
    <w:rsid w:val="00827EB7"/>
    <w:rsid w:val="00827FF5"/>
    <w:rsid w:val="00830CFC"/>
    <w:rsid w:val="00832694"/>
    <w:rsid w:val="00832D43"/>
    <w:rsid w:val="00832D85"/>
    <w:rsid w:val="00833B57"/>
    <w:rsid w:val="0083449F"/>
    <w:rsid w:val="00834512"/>
    <w:rsid w:val="00834A65"/>
    <w:rsid w:val="00834D5D"/>
    <w:rsid w:val="00834E6C"/>
    <w:rsid w:val="0083521B"/>
    <w:rsid w:val="0083535F"/>
    <w:rsid w:val="008377F9"/>
    <w:rsid w:val="00837F0A"/>
    <w:rsid w:val="00840801"/>
    <w:rsid w:val="00840809"/>
    <w:rsid w:val="00841082"/>
    <w:rsid w:val="0084158E"/>
    <w:rsid w:val="0084163B"/>
    <w:rsid w:val="00841FA1"/>
    <w:rsid w:val="00842F9C"/>
    <w:rsid w:val="00843322"/>
    <w:rsid w:val="00844453"/>
    <w:rsid w:val="00844467"/>
    <w:rsid w:val="00845254"/>
    <w:rsid w:val="00845D3B"/>
    <w:rsid w:val="008465DA"/>
    <w:rsid w:val="00847461"/>
    <w:rsid w:val="00847C6F"/>
    <w:rsid w:val="008500DD"/>
    <w:rsid w:val="00851229"/>
    <w:rsid w:val="00852FEF"/>
    <w:rsid w:val="0085366D"/>
    <w:rsid w:val="00853913"/>
    <w:rsid w:val="00854C3A"/>
    <w:rsid w:val="00855284"/>
    <w:rsid w:val="00855BF1"/>
    <w:rsid w:val="00855DCB"/>
    <w:rsid w:val="00855F25"/>
    <w:rsid w:val="00856002"/>
    <w:rsid w:val="008560E2"/>
    <w:rsid w:val="00856588"/>
    <w:rsid w:val="00857253"/>
    <w:rsid w:val="00857284"/>
    <w:rsid w:val="00857304"/>
    <w:rsid w:val="008576B8"/>
    <w:rsid w:val="008579BD"/>
    <w:rsid w:val="00857B46"/>
    <w:rsid w:val="008603BC"/>
    <w:rsid w:val="00860D3C"/>
    <w:rsid w:val="00861421"/>
    <w:rsid w:val="0086181B"/>
    <w:rsid w:val="008620FA"/>
    <w:rsid w:val="0086378C"/>
    <w:rsid w:val="00863D20"/>
    <w:rsid w:val="00863FC9"/>
    <w:rsid w:val="008646B7"/>
    <w:rsid w:val="00864A9F"/>
    <w:rsid w:val="00864F7B"/>
    <w:rsid w:val="00867E40"/>
    <w:rsid w:val="00867E55"/>
    <w:rsid w:val="00870D31"/>
    <w:rsid w:val="00871165"/>
    <w:rsid w:val="00871252"/>
    <w:rsid w:val="00871631"/>
    <w:rsid w:val="008719EE"/>
    <w:rsid w:val="00871F2C"/>
    <w:rsid w:val="00872330"/>
    <w:rsid w:val="0087247D"/>
    <w:rsid w:val="0087260F"/>
    <w:rsid w:val="0087276E"/>
    <w:rsid w:val="00872B75"/>
    <w:rsid w:val="00872F6D"/>
    <w:rsid w:val="00873274"/>
    <w:rsid w:val="0087346D"/>
    <w:rsid w:val="00873E1C"/>
    <w:rsid w:val="00873F20"/>
    <w:rsid w:val="008742EC"/>
    <w:rsid w:val="0087492B"/>
    <w:rsid w:val="00874F90"/>
    <w:rsid w:val="008752A6"/>
    <w:rsid w:val="00875327"/>
    <w:rsid w:val="0087593A"/>
    <w:rsid w:val="00875983"/>
    <w:rsid w:val="00876143"/>
    <w:rsid w:val="008762B8"/>
    <w:rsid w:val="008764AB"/>
    <w:rsid w:val="008768CA"/>
    <w:rsid w:val="00876A06"/>
    <w:rsid w:val="00876C27"/>
    <w:rsid w:val="00876D72"/>
    <w:rsid w:val="00876EDF"/>
    <w:rsid w:val="008775B3"/>
    <w:rsid w:val="00877C06"/>
    <w:rsid w:val="00877D87"/>
    <w:rsid w:val="00880964"/>
    <w:rsid w:val="00881811"/>
    <w:rsid w:val="00881865"/>
    <w:rsid w:val="008828A8"/>
    <w:rsid w:val="00883AC6"/>
    <w:rsid w:val="008845D0"/>
    <w:rsid w:val="00885A8B"/>
    <w:rsid w:val="008869A9"/>
    <w:rsid w:val="00886C3E"/>
    <w:rsid w:val="00886C71"/>
    <w:rsid w:val="00887062"/>
    <w:rsid w:val="008871F1"/>
    <w:rsid w:val="00887420"/>
    <w:rsid w:val="0088749F"/>
    <w:rsid w:val="00887AB4"/>
    <w:rsid w:val="00887EB2"/>
    <w:rsid w:val="0089022F"/>
    <w:rsid w:val="00891084"/>
    <w:rsid w:val="00891746"/>
    <w:rsid w:val="00892F1F"/>
    <w:rsid w:val="00892F8C"/>
    <w:rsid w:val="008936DC"/>
    <w:rsid w:val="008938CA"/>
    <w:rsid w:val="00893CDE"/>
    <w:rsid w:val="00895051"/>
    <w:rsid w:val="0089585F"/>
    <w:rsid w:val="00895AAD"/>
    <w:rsid w:val="00895E2F"/>
    <w:rsid w:val="0089628C"/>
    <w:rsid w:val="00896F76"/>
    <w:rsid w:val="00897F4A"/>
    <w:rsid w:val="00897F6B"/>
    <w:rsid w:val="008A06CC"/>
    <w:rsid w:val="008A0CC7"/>
    <w:rsid w:val="008A12A6"/>
    <w:rsid w:val="008A135E"/>
    <w:rsid w:val="008A16A3"/>
    <w:rsid w:val="008A1B9A"/>
    <w:rsid w:val="008A2A0B"/>
    <w:rsid w:val="008A3632"/>
    <w:rsid w:val="008A3F22"/>
    <w:rsid w:val="008A467A"/>
    <w:rsid w:val="008A470D"/>
    <w:rsid w:val="008A50DD"/>
    <w:rsid w:val="008A5510"/>
    <w:rsid w:val="008A55AF"/>
    <w:rsid w:val="008A56D7"/>
    <w:rsid w:val="008A581E"/>
    <w:rsid w:val="008A5821"/>
    <w:rsid w:val="008A615F"/>
    <w:rsid w:val="008A65C2"/>
    <w:rsid w:val="008A676F"/>
    <w:rsid w:val="008A6AF6"/>
    <w:rsid w:val="008A6D1D"/>
    <w:rsid w:val="008A7148"/>
    <w:rsid w:val="008A75AE"/>
    <w:rsid w:val="008B14FB"/>
    <w:rsid w:val="008B192A"/>
    <w:rsid w:val="008B26EB"/>
    <w:rsid w:val="008B28A6"/>
    <w:rsid w:val="008B2AD1"/>
    <w:rsid w:val="008B2C7D"/>
    <w:rsid w:val="008B2D47"/>
    <w:rsid w:val="008B39A6"/>
    <w:rsid w:val="008B3B15"/>
    <w:rsid w:val="008B4AF9"/>
    <w:rsid w:val="008B5E87"/>
    <w:rsid w:val="008B621A"/>
    <w:rsid w:val="008B6DCB"/>
    <w:rsid w:val="008B743F"/>
    <w:rsid w:val="008B7ACF"/>
    <w:rsid w:val="008B7CAC"/>
    <w:rsid w:val="008C066E"/>
    <w:rsid w:val="008C0A86"/>
    <w:rsid w:val="008C0D04"/>
    <w:rsid w:val="008C14EE"/>
    <w:rsid w:val="008C178C"/>
    <w:rsid w:val="008C17E2"/>
    <w:rsid w:val="008C1BB4"/>
    <w:rsid w:val="008C226E"/>
    <w:rsid w:val="008C22AE"/>
    <w:rsid w:val="008C3003"/>
    <w:rsid w:val="008C38B5"/>
    <w:rsid w:val="008C3E6D"/>
    <w:rsid w:val="008C4805"/>
    <w:rsid w:val="008C49C1"/>
    <w:rsid w:val="008C4C0E"/>
    <w:rsid w:val="008C4EFB"/>
    <w:rsid w:val="008C531E"/>
    <w:rsid w:val="008C5667"/>
    <w:rsid w:val="008C6D8D"/>
    <w:rsid w:val="008C71E5"/>
    <w:rsid w:val="008C759F"/>
    <w:rsid w:val="008D0035"/>
    <w:rsid w:val="008D0A81"/>
    <w:rsid w:val="008D0EA1"/>
    <w:rsid w:val="008D22B7"/>
    <w:rsid w:val="008D2654"/>
    <w:rsid w:val="008D2A5F"/>
    <w:rsid w:val="008D3286"/>
    <w:rsid w:val="008D3407"/>
    <w:rsid w:val="008D34B8"/>
    <w:rsid w:val="008D35CC"/>
    <w:rsid w:val="008D3C94"/>
    <w:rsid w:val="008D53B1"/>
    <w:rsid w:val="008D5FE3"/>
    <w:rsid w:val="008D6C2D"/>
    <w:rsid w:val="008D7799"/>
    <w:rsid w:val="008D7A9C"/>
    <w:rsid w:val="008E05EE"/>
    <w:rsid w:val="008E09E8"/>
    <w:rsid w:val="008E0D27"/>
    <w:rsid w:val="008E0DC6"/>
    <w:rsid w:val="008E17D1"/>
    <w:rsid w:val="008E1F33"/>
    <w:rsid w:val="008E2512"/>
    <w:rsid w:val="008E2EEE"/>
    <w:rsid w:val="008E3975"/>
    <w:rsid w:val="008E3991"/>
    <w:rsid w:val="008E49E2"/>
    <w:rsid w:val="008E512E"/>
    <w:rsid w:val="008E54B7"/>
    <w:rsid w:val="008E6C1F"/>
    <w:rsid w:val="008E7023"/>
    <w:rsid w:val="008E74AD"/>
    <w:rsid w:val="008E7D76"/>
    <w:rsid w:val="008F059A"/>
    <w:rsid w:val="008F108C"/>
    <w:rsid w:val="008F1707"/>
    <w:rsid w:val="008F1CEB"/>
    <w:rsid w:val="008F237F"/>
    <w:rsid w:val="008F25D3"/>
    <w:rsid w:val="008F2641"/>
    <w:rsid w:val="008F27CA"/>
    <w:rsid w:val="008F2A6E"/>
    <w:rsid w:val="008F2A85"/>
    <w:rsid w:val="008F3C53"/>
    <w:rsid w:val="008F4D90"/>
    <w:rsid w:val="008F52BA"/>
    <w:rsid w:val="008F66D5"/>
    <w:rsid w:val="008F6943"/>
    <w:rsid w:val="008F7CBE"/>
    <w:rsid w:val="009010A2"/>
    <w:rsid w:val="00901205"/>
    <w:rsid w:val="0090229C"/>
    <w:rsid w:val="00902AA9"/>
    <w:rsid w:val="00902F64"/>
    <w:rsid w:val="00904417"/>
    <w:rsid w:val="00904A74"/>
    <w:rsid w:val="00904CCB"/>
    <w:rsid w:val="00904D6D"/>
    <w:rsid w:val="00904FAB"/>
    <w:rsid w:val="00905173"/>
    <w:rsid w:val="009055EC"/>
    <w:rsid w:val="0090578B"/>
    <w:rsid w:val="00905934"/>
    <w:rsid w:val="00906352"/>
    <w:rsid w:val="009067F3"/>
    <w:rsid w:val="00906A90"/>
    <w:rsid w:val="00906C3D"/>
    <w:rsid w:val="00907193"/>
    <w:rsid w:val="00907206"/>
    <w:rsid w:val="00907590"/>
    <w:rsid w:val="00907678"/>
    <w:rsid w:val="00910321"/>
    <w:rsid w:val="0091082D"/>
    <w:rsid w:val="00910C3F"/>
    <w:rsid w:val="00910DAD"/>
    <w:rsid w:val="00911052"/>
    <w:rsid w:val="0091246C"/>
    <w:rsid w:val="009126D7"/>
    <w:rsid w:val="009136CD"/>
    <w:rsid w:val="00913866"/>
    <w:rsid w:val="00913AC1"/>
    <w:rsid w:val="009140C6"/>
    <w:rsid w:val="00914298"/>
    <w:rsid w:val="009144A1"/>
    <w:rsid w:val="00914778"/>
    <w:rsid w:val="009149F6"/>
    <w:rsid w:val="009154D1"/>
    <w:rsid w:val="009154D6"/>
    <w:rsid w:val="00915FE3"/>
    <w:rsid w:val="00915FED"/>
    <w:rsid w:val="00916243"/>
    <w:rsid w:val="00916C5C"/>
    <w:rsid w:val="00916F11"/>
    <w:rsid w:val="00917F41"/>
    <w:rsid w:val="00920364"/>
    <w:rsid w:val="00920BCE"/>
    <w:rsid w:val="00921BB1"/>
    <w:rsid w:val="00921E10"/>
    <w:rsid w:val="0092211D"/>
    <w:rsid w:val="009221FA"/>
    <w:rsid w:val="00922243"/>
    <w:rsid w:val="00922283"/>
    <w:rsid w:val="009226A0"/>
    <w:rsid w:val="00922BF5"/>
    <w:rsid w:val="00923BDF"/>
    <w:rsid w:val="00923CD7"/>
    <w:rsid w:val="009249DA"/>
    <w:rsid w:val="00924BED"/>
    <w:rsid w:val="00924C98"/>
    <w:rsid w:val="00925129"/>
    <w:rsid w:val="00925773"/>
    <w:rsid w:val="009265EE"/>
    <w:rsid w:val="00926890"/>
    <w:rsid w:val="009268BD"/>
    <w:rsid w:val="00927241"/>
    <w:rsid w:val="009279C4"/>
    <w:rsid w:val="00930DD9"/>
    <w:rsid w:val="009311AE"/>
    <w:rsid w:val="00931D0E"/>
    <w:rsid w:val="00931DBA"/>
    <w:rsid w:val="009329B6"/>
    <w:rsid w:val="00932C52"/>
    <w:rsid w:val="00933568"/>
    <w:rsid w:val="00933DCD"/>
    <w:rsid w:val="0093417C"/>
    <w:rsid w:val="00934303"/>
    <w:rsid w:val="00934372"/>
    <w:rsid w:val="0093479B"/>
    <w:rsid w:val="0093496F"/>
    <w:rsid w:val="009350A8"/>
    <w:rsid w:val="00935B40"/>
    <w:rsid w:val="00936632"/>
    <w:rsid w:val="0093677A"/>
    <w:rsid w:val="00936901"/>
    <w:rsid w:val="009372BA"/>
    <w:rsid w:val="0093749B"/>
    <w:rsid w:val="00937B16"/>
    <w:rsid w:val="009401E9"/>
    <w:rsid w:val="00940750"/>
    <w:rsid w:val="00940A95"/>
    <w:rsid w:val="00940C12"/>
    <w:rsid w:val="00940E1C"/>
    <w:rsid w:val="009421EE"/>
    <w:rsid w:val="009426C1"/>
    <w:rsid w:val="00942971"/>
    <w:rsid w:val="00944422"/>
    <w:rsid w:val="00944558"/>
    <w:rsid w:val="0094594B"/>
    <w:rsid w:val="00945B6B"/>
    <w:rsid w:val="00945E15"/>
    <w:rsid w:val="00945FD9"/>
    <w:rsid w:val="00946504"/>
    <w:rsid w:val="009466DE"/>
    <w:rsid w:val="009467AD"/>
    <w:rsid w:val="009469CE"/>
    <w:rsid w:val="009470AB"/>
    <w:rsid w:val="009470D6"/>
    <w:rsid w:val="00947AD0"/>
    <w:rsid w:val="00947BCA"/>
    <w:rsid w:val="00947D05"/>
    <w:rsid w:val="009502A7"/>
    <w:rsid w:val="00950490"/>
    <w:rsid w:val="00952969"/>
    <w:rsid w:val="00953629"/>
    <w:rsid w:val="00953F19"/>
    <w:rsid w:val="00955183"/>
    <w:rsid w:val="00955A31"/>
    <w:rsid w:val="009563E3"/>
    <w:rsid w:val="009563F4"/>
    <w:rsid w:val="0095670B"/>
    <w:rsid w:val="0095696A"/>
    <w:rsid w:val="00956BBF"/>
    <w:rsid w:val="0095757E"/>
    <w:rsid w:val="00957C38"/>
    <w:rsid w:val="00960557"/>
    <w:rsid w:val="00960938"/>
    <w:rsid w:val="00960BEE"/>
    <w:rsid w:val="00961219"/>
    <w:rsid w:val="009616E9"/>
    <w:rsid w:val="00961D5A"/>
    <w:rsid w:val="00962116"/>
    <w:rsid w:val="00962E9A"/>
    <w:rsid w:val="00963995"/>
    <w:rsid w:val="00964586"/>
    <w:rsid w:val="00964969"/>
    <w:rsid w:val="00964BFC"/>
    <w:rsid w:val="00964C7D"/>
    <w:rsid w:val="00964DC3"/>
    <w:rsid w:val="009650BA"/>
    <w:rsid w:val="009652DC"/>
    <w:rsid w:val="00965727"/>
    <w:rsid w:val="009659D3"/>
    <w:rsid w:val="00966837"/>
    <w:rsid w:val="00966AA9"/>
    <w:rsid w:val="00966ED6"/>
    <w:rsid w:val="009672B4"/>
    <w:rsid w:val="00967688"/>
    <w:rsid w:val="00970153"/>
    <w:rsid w:val="00970347"/>
    <w:rsid w:val="00970A39"/>
    <w:rsid w:val="00970AA5"/>
    <w:rsid w:val="00971A70"/>
    <w:rsid w:val="0097253A"/>
    <w:rsid w:val="00972DF5"/>
    <w:rsid w:val="00972FF9"/>
    <w:rsid w:val="0097494D"/>
    <w:rsid w:val="00974988"/>
    <w:rsid w:val="0097501F"/>
    <w:rsid w:val="0097588B"/>
    <w:rsid w:val="00976086"/>
    <w:rsid w:val="00976305"/>
    <w:rsid w:val="00976DED"/>
    <w:rsid w:val="00976F26"/>
    <w:rsid w:val="00977C37"/>
    <w:rsid w:val="00977D94"/>
    <w:rsid w:val="009804DA"/>
    <w:rsid w:val="009805F6"/>
    <w:rsid w:val="0098114D"/>
    <w:rsid w:val="009820B6"/>
    <w:rsid w:val="00982387"/>
    <w:rsid w:val="009836BC"/>
    <w:rsid w:val="00983B16"/>
    <w:rsid w:val="00983C16"/>
    <w:rsid w:val="009840F6"/>
    <w:rsid w:val="009847B7"/>
    <w:rsid w:val="0098559F"/>
    <w:rsid w:val="0098577E"/>
    <w:rsid w:val="00985EE4"/>
    <w:rsid w:val="00986531"/>
    <w:rsid w:val="00986698"/>
    <w:rsid w:val="00986F6B"/>
    <w:rsid w:val="00987341"/>
    <w:rsid w:val="00990132"/>
    <w:rsid w:val="009901F5"/>
    <w:rsid w:val="0099108A"/>
    <w:rsid w:val="0099139A"/>
    <w:rsid w:val="0099139E"/>
    <w:rsid w:val="00991786"/>
    <w:rsid w:val="00991AF7"/>
    <w:rsid w:val="00992151"/>
    <w:rsid w:val="00992192"/>
    <w:rsid w:val="00992312"/>
    <w:rsid w:val="009926B3"/>
    <w:rsid w:val="0099274C"/>
    <w:rsid w:val="00992B28"/>
    <w:rsid w:val="00992DD9"/>
    <w:rsid w:val="009932A7"/>
    <w:rsid w:val="00993674"/>
    <w:rsid w:val="00993723"/>
    <w:rsid w:val="00993796"/>
    <w:rsid w:val="00993876"/>
    <w:rsid w:val="00993BC6"/>
    <w:rsid w:val="00993C06"/>
    <w:rsid w:val="00995913"/>
    <w:rsid w:val="00996197"/>
    <w:rsid w:val="00997074"/>
    <w:rsid w:val="009973CA"/>
    <w:rsid w:val="00997F6E"/>
    <w:rsid w:val="009A0255"/>
    <w:rsid w:val="009A0294"/>
    <w:rsid w:val="009A0539"/>
    <w:rsid w:val="009A0723"/>
    <w:rsid w:val="009A0C68"/>
    <w:rsid w:val="009A1A2F"/>
    <w:rsid w:val="009A1A65"/>
    <w:rsid w:val="009A23D8"/>
    <w:rsid w:val="009A371A"/>
    <w:rsid w:val="009A446F"/>
    <w:rsid w:val="009A49F8"/>
    <w:rsid w:val="009A4CB2"/>
    <w:rsid w:val="009A6289"/>
    <w:rsid w:val="009A6589"/>
    <w:rsid w:val="009A7035"/>
    <w:rsid w:val="009A7E90"/>
    <w:rsid w:val="009B009F"/>
    <w:rsid w:val="009B10B6"/>
    <w:rsid w:val="009B10C9"/>
    <w:rsid w:val="009B1497"/>
    <w:rsid w:val="009B33CD"/>
    <w:rsid w:val="009B37DA"/>
    <w:rsid w:val="009B40D5"/>
    <w:rsid w:val="009B441B"/>
    <w:rsid w:val="009B48FC"/>
    <w:rsid w:val="009B58DF"/>
    <w:rsid w:val="009B5BD5"/>
    <w:rsid w:val="009B6410"/>
    <w:rsid w:val="009B6707"/>
    <w:rsid w:val="009B6A3D"/>
    <w:rsid w:val="009B6FAD"/>
    <w:rsid w:val="009B6FCA"/>
    <w:rsid w:val="009B702F"/>
    <w:rsid w:val="009B7CE7"/>
    <w:rsid w:val="009C0057"/>
    <w:rsid w:val="009C0C5D"/>
    <w:rsid w:val="009C0CFF"/>
    <w:rsid w:val="009C0F9C"/>
    <w:rsid w:val="009C166B"/>
    <w:rsid w:val="009C1826"/>
    <w:rsid w:val="009C1A80"/>
    <w:rsid w:val="009C1B0E"/>
    <w:rsid w:val="009C20A1"/>
    <w:rsid w:val="009C20D0"/>
    <w:rsid w:val="009C21D0"/>
    <w:rsid w:val="009C23F5"/>
    <w:rsid w:val="009C2FA5"/>
    <w:rsid w:val="009C301E"/>
    <w:rsid w:val="009C336E"/>
    <w:rsid w:val="009C3D16"/>
    <w:rsid w:val="009C5F93"/>
    <w:rsid w:val="009C6148"/>
    <w:rsid w:val="009C6197"/>
    <w:rsid w:val="009C61D9"/>
    <w:rsid w:val="009C71D0"/>
    <w:rsid w:val="009C72FA"/>
    <w:rsid w:val="009C7649"/>
    <w:rsid w:val="009C77F5"/>
    <w:rsid w:val="009C78D7"/>
    <w:rsid w:val="009D0238"/>
    <w:rsid w:val="009D0411"/>
    <w:rsid w:val="009D0467"/>
    <w:rsid w:val="009D0F5D"/>
    <w:rsid w:val="009D0FCB"/>
    <w:rsid w:val="009D13ED"/>
    <w:rsid w:val="009D15BC"/>
    <w:rsid w:val="009D1AB4"/>
    <w:rsid w:val="009D1E55"/>
    <w:rsid w:val="009D1F7B"/>
    <w:rsid w:val="009D2381"/>
    <w:rsid w:val="009D28E2"/>
    <w:rsid w:val="009D2F22"/>
    <w:rsid w:val="009D3224"/>
    <w:rsid w:val="009D32A5"/>
    <w:rsid w:val="009D347A"/>
    <w:rsid w:val="009D3BC1"/>
    <w:rsid w:val="009D445B"/>
    <w:rsid w:val="009D4AF2"/>
    <w:rsid w:val="009D50A5"/>
    <w:rsid w:val="009D5314"/>
    <w:rsid w:val="009D533F"/>
    <w:rsid w:val="009D62B5"/>
    <w:rsid w:val="009D6843"/>
    <w:rsid w:val="009D706F"/>
    <w:rsid w:val="009D7915"/>
    <w:rsid w:val="009D7A30"/>
    <w:rsid w:val="009E07C5"/>
    <w:rsid w:val="009E0B39"/>
    <w:rsid w:val="009E1104"/>
    <w:rsid w:val="009E19F2"/>
    <w:rsid w:val="009E1C99"/>
    <w:rsid w:val="009E1DD7"/>
    <w:rsid w:val="009E25D6"/>
    <w:rsid w:val="009E279A"/>
    <w:rsid w:val="009E2BAE"/>
    <w:rsid w:val="009E2E78"/>
    <w:rsid w:val="009E3582"/>
    <w:rsid w:val="009E4E47"/>
    <w:rsid w:val="009E515A"/>
    <w:rsid w:val="009E579F"/>
    <w:rsid w:val="009E641F"/>
    <w:rsid w:val="009E6F9E"/>
    <w:rsid w:val="009E7412"/>
    <w:rsid w:val="009E7682"/>
    <w:rsid w:val="009F027C"/>
    <w:rsid w:val="009F0651"/>
    <w:rsid w:val="009F0CB7"/>
    <w:rsid w:val="009F1B0D"/>
    <w:rsid w:val="009F29BE"/>
    <w:rsid w:val="009F2E70"/>
    <w:rsid w:val="009F2EAF"/>
    <w:rsid w:val="009F3780"/>
    <w:rsid w:val="009F4C6F"/>
    <w:rsid w:val="009F50CD"/>
    <w:rsid w:val="009F5471"/>
    <w:rsid w:val="009F5977"/>
    <w:rsid w:val="009F5D47"/>
    <w:rsid w:val="009F5F01"/>
    <w:rsid w:val="009F677B"/>
    <w:rsid w:val="009F71D8"/>
    <w:rsid w:val="009F76AB"/>
    <w:rsid w:val="009F7A88"/>
    <w:rsid w:val="009F7C27"/>
    <w:rsid w:val="009F7EA0"/>
    <w:rsid w:val="00A0073B"/>
    <w:rsid w:val="00A01629"/>
    <w:rsid w:val="00A01DF9"/>
    <w:rsid w:val="00A01EAE"/>
    <w:rsid w:val="00A026EC"/>
    <w:rsid w:val="00A02A76"/>
    <w:rsid w:val="00A02EBC"/>
    <w:rsid w:val="00A04090"/>
    <w:rsid w:val="00A04588"/>
    <w:rsid w:val="00A04C43"/>
    <w:rsid w:val="00A04E24"/>
    <w:rsid w:val="00A04F6F"/>
    <w:rsid w:val="00A05678"/>
    <w:rsid w:val="00A059D8"/>
    <w:rsid w:val="00A068FF"/>
    <w:rsid w:val="00A06B37"/>
    <w:rsid w:val="00A06B71"/>
    <w:rsid w:val="00A06BAE"/>
    <w:rsid w:val="00A07231"/>
    <w:rsid w:val="00A072AD"/>
    <w:rsid w:val="00A079CB"/>
    <w:rsid w:val="00A10207"/>
    <w:rsid w:val="00A105DC"/>
    <w:rsid w:val="00A10C51"/>
    <w:rsid w:val="00A10DFD"/>
    <w:rsid w:val="00A11A89"/>
    <w:rsid w:val="00A13313"/>
    <w:rsid w:val="00A13469"/>
    <w:rsid w:val="00A1367F"/>
    <w:rsid w:val="00A13828"/>
    <w:rsid w:val="00A13F5A"/>
    <w:rsid w:val="00A1409A"/>
    <w:rsid w:val="00A1472B"/>
    <w:rsid w:val="00A14B86"/>
    <w:rsid w:val="00A15958"/>
    <w:rsid w:val="00A15C58"/>
    <w:rsid w:val="00A166D2"/>
    <w:rsid w:val="00A16A6B"/>
    <w:rsid w:val="00A1726A"/>
    <w:rsid w:val="00A17707"/>
    <w:rsid w:val="00A17795"/>
    <w:rsid w:val="00A177D3"/>
    <w:rsid w:val="00A20726"/>
    <w:rsid w:val="00A21F6A"/>
    <w:rsid w:val="00A227EE"/>
    <w:rsid w:val="00A22D6D"/>
    <w:rsid w:val="00A22D8D"/>
    <w:rsid w:val="00A232FD"/>
    <w:rsid w:val="00A23D74"/>
    <w:rsid w:val="00A245D4"/>
    <w:rsid w:val="00A247FA"/>
    <w:rsid w:val="00A25369"/>
    <w:rsid w:val="00A2558E"/>
    <w:rsid w:val="00A2559F"/>
    <w:rsid w:val="00A25C72"/>
    <w:rsid w:val="00A263A8"/>
    <w:rsid w:val="00A2696A"/>
    <w:rsid w:val="00A27012"/>
    <w:rsid w:val="00A27051"/>
    <w:rsid w:val="00A27218"/>
    <w:rsid w:val="00A2764A"/>
    <w:rsid w:val="00A300CB"/>
    <w:rsid w:val="00A30667"/>
    <w:rsid w:val="00A30816"/>
    <w:rsid w:val="00A31768"/>
    <w:rsid w:val="00A31B1E"/>
    <w:rsid w:val="00A31C89"/>
    <w:rsid w:val="00A31D94"/>
    <w:rsid w:val="00A3233F"/>
    <w:rsid w:val="00A3293F"/>
    <w:rsid w:val="00A3298C"/>
    <w:rsid w:val="00A32C5E"/>
    <w:rsid w:val="00A32C63"/>
    <w:rsid w:val="00A330C9"/>
    <w:rsid w:val="00A34143"/>
    <w:rsid w:val="00A34244"/>
    <w:rsid w:val="00A34375"/>
    <w:rsid w:val="00A3441B"/>
    <w:rsid w:val="00A347A2"/>
    <w:rsid w:val="00A34A24"/>
    <w:rsid w:val="00A35667"/>
    <w:rsid w:val="00A36067"/>
    <w:rsid w:val="00A368EB"/>
    <w:rsid w:val="00A37041"/>
    <w:rsid w:val="00A37072"/>
    <w:rsid w:val="00A372DF"/>
    <w:rsid w:val="00A4079D"/>
    <w:rsid w:val="00A41214"/>
    <w:rsid w:val="00A4121F"/>
    <w:rsid w:val="00A413DB"/>
    <w:rsid w:val="00A413EB"/>
    <w:rsid w:val="00A41AD7"/>
    <w:rsid w:val="00A432CC"/>
    <w:rsid w:val="00A43828"/>
    <w:rsid w:val="00A43DB2"/>
    <w:rsid w:val="00A4462E"/>
    <w:rsid w:val="00A44646"/>
    <w:rsid w:val="00A459E8"/>
    <w:rsid w:val="00A45E8E"/>
    <w:rsid w:val="00A460A9"/>
    <w:rsid w:val="00A46349"/>
    <w:rsid w:val="00A46E25"/>
    <w:rsid w:val="00A46E63"/>
    <w:rsid w:val="00A46E8B"/>
    <w:rsid w:val="00A5090C"/>
    <w:rsid w:val="00A515CC"/>
    <w:rsid w:val="00A5191D"/>
    <w:rsid w:val="00A52239"/>
    <w:rsid w:val="00A5262F"/>
    <w:rsid w:val="00A5289C"/>
    <w:rsid w:val="00A52955"/>
    <w:rsid w:val="00A533EE"/>
    <w:rsid w:val="00A536DB"/>
    <w:rsid w:val="00A54B00"/>
    <w:rsid w:val="00A552BE"/>
    <w:rsid w:val="00A558E9"/>
    <w:rsid w:val="00A55927"/>
    <w:rsid w:val="00A55C8B"/>
    <w:rsid w:val="00A560E1"/>
    <w:rsid w:val="00A56BA8"/>
    <w:rsid w:val="00A56EE2"/>
    <w:rsid w:val="00A57117"/>
    <w:rsid w:val="00A57692"/>
    <w:rsid w:val="00A57E16"/>
    <w:rsid w:val="00A60791"/>
    <w:rsid w:val="00A61040"/>
    <w:rsid w:val="00A61585"/>
    <w:rsid w:val="00A61D5E"/>
    <w:rsid w:val="00A61D99"/>
    <w:rsid w:val="00A62D80"/>
    <w:rsid w:val="00A62FD7"/>
    <w:rsid w:val="00A63B73"/>
    <w:rsid w:val="00A63DB8"/>
    <w:rsid w:val="00A6418B"/>
    <w:rsid w:val="00A641E3"/>
    <w:rsid w:val="00A64643"/>
    <w:rsid w:val="00A655EE"/>
    <w:rsid w:val="00A65C3A"/>
    <w:rsid w:val="00A65F08"/>
    <w:rsid w:val="00A65FAF"/>
    <w:rsid w:val="00A660B6"/>
    <w:rsid w:val="00A671A0"/>
    <w:rsid w:val="00A676F3"/>
    <w:rsid w:val="00A67705"/>
    <w:rsid w:val="00A67DB5"/>
    <w:rsid w:val="00A67FD9"/>
    <w:rsid w:val="00A70CDC"/>
    <w:rsid w:val="00A71A43"/>
    <w:rsid w:val="00A732D1"/>
    <w:rsid w:val="00A7343E"/>
    <w:rsid w:val="00A7398C"/>
    <w:rsid w:val="00A73F8C"/>
    <w:rsid w:val="00A7471C"/>
    <w:rsid w:val="00A749FA"/>
    <w:rsid w:val="00A74CD8"/>
    <w:rsid w:val="00A750AC"/>
    <w:rsid w:val="00A7521D"/>
    <w:rsid w:val="00A77AAD"/>
    <w:rsid w:val="00A801DA"/>
    <w:rsid w:val="00A80BC8"/>
    <w:rsid w:val="00A80FFE"/>
    <w:rsid w:val="00A81430"/>
    <w:rsid w:val="00A8157E"/>
    <w:rsid w:val="00A8211D"/>
    <w:rsid w:val="00A825B0"/>
    <w:rsid w:val="00A835EF"/>
    <w:rsid w:val="00A83610"/>
    <w:rsid w:val="00A8372B"/>
    <w:rsid w:val="00A83777"/>
    <w:rsid w:val="00A843C1"/>
    <w:rsid w:val="00A85879"/>
    <w:rsid w:val="00A864BA"/>
    <w:rsid w:val="00A864E3"/>
    <w:rsid w:val="00A869D0"/>
    <w:rsid w:val="00A9074C"/>
    <w:rsid w:val="00A9110A"/>
    <w:rsid w:val="00A91344"/>
    <w:rsid w:val="00A91796"/>
    <w:rsid w:val="00A91BF5"/>
    <w:rsid w:val="00A93675"/>
    <w:rsid w:val="00A938BE"/>
    <w:rsid w:val="00A938D9"/>
    <w:rsid w:val="00A93F10"/>
    <w:rsid w:val="00A940D3"/>
    <w:rsid w:val="00A942B4"/>
    <w:rsid w:val="00A942CC"/>
    <w:rsid w:val="00A94C09"/>
    <w:rsid w:val="00A94CA7"/>
    <w:rsid w:val="00A94ECC"/>
    <w:rsid w:val="00A95CDE"/>
    <w:rsid w:val="00A96588"/>
    <w:rsid w:val="00A971C2"/>
    <w:rsid w:val="00A97C04"/>
    <w:rsid w:val="00A97F46"/>
    <w:rsid w:val="00AA028E"/>
    <w:rsid w:val="00AA1142"/>
    <w:rsid w:val="00AA12A3"/>
    <w:rsid w:val="00AA1566"/>
    <w:rsid w:val="00AA1BCD"/>
    <w:rsid w:val="00AA259B"/>
    <w:rsid w:val="00AA2713"/>
    <w:rsid w:val="00AA29E1"/>
    <w:rsid w:val="00AA2B3F"/>
    <w:rsid w:val="00AA2DA6"/>
    <w:rsid w:val="00AA2EE6"/>
    <w:rsid w:val="00AA3432"/>
    <w:rsid w:val="00AA36AD"/>
    <w:rsid w:val="00AA3FE0"/>
    <w:rsid w:val="00AA4303"/>
    <w:rsid w:val="00AA4617"/>
    <w:rsid w:val="00AA46F5"/>
    <w:rsid w:val="00AA5C80"/>
    <w:rsid w:val="00AA6423"/>
    <w:rsid w:val="00AA6536"/>
    <w:rsid w:val="00AA7040"/>
    <w:rsid w:val="00AA70CF"/>
    <w:rsid w:val="00AA7870"/>
    <w:rsid w:val="00AA7A1B"/>
    <w:rsid w:val="00AB0408"/>
    <w:rsid w:val="00AB0C1F"/>
    <w:rsid w:val="00AB114B"/>
    <w:rsid w:val="00AB2242"/>
    <w:rsid w:val="00AB2313"/>
    <w:rsid w:val="00AB23D0"/>
    <w:rsid w:val="00AB28F9"/>
    <w:rsid w:val="00AB3208"/>
    <w:rsid w:val="00AB3D06"/>
    <w:rsid w:val="00AB3F8A"/>
    <w:rsid w:val="00AB420A"/>
    <w:rsid w:val="00AB4606"/>
    <w:rsid w:val="00AB47C1"/>
    <w:rsid w:val="00AB5515"/>
    <w:rsid w:val="00AB5D47"/>
    <w:rsid w:val="00AB65E7"/>
    <w:rsid w:val="00AB7865"/>
    <w:rsid w:val="00AB7D3F"/>
    <w:rsid w:val="00AC044A"/>
    <w:rsid w:val="00AC097C"/>
    <w:rsid w:val="00AC11A2"/>
    <w:rsid w:val="00AC16A3"/>
    <w:rsid w:val="00AC2336"/>
    <w:rsid w:val="00AC2473"/>
    <w:rsid w:val="00AC292F"/>
    <w:rsid w:val="00AC31D0"/>
    <w:rsid w:val="00AC3396"/>
    <w:rsid w:val="00AC3675"/>
    <w:rsid w:val="00AC4366"/>
    <w:rsid w:val="00AC54D0"/>
    <w:rsid w:val="00AC55AD"/>
    <w:rsid w:val="00AC580C"/>
    <w:rsid w:val="00AC67FE"/>
    <w:rsid w:val="00AC6F74"/>
    <w:rsid w:val="00AC709B"/>
    <w:rsid w:val="00AC7572"/>
    <w:rsid w:val="00AC7FA5"/>
    <w:rsid w:val="00AD006F"/>
    <w:rsid w:val="00AD11A6"/>
    <w:rsid w:val="00AD1563"/>
    <w:rsid w:val="00AD173D"/>
    <w:rsid w:val="00AD1D90"/>
    <w:rsid w:val="00AD20F0"/>
    <w:rsid w:val="00AD26FD"/>
    <w:rsid w:val="00AD2E4C"/>
    <w:rsid w:val="00AD307E"/>
    <w:rsid w:val="00AD3947"/>
    <w:rsid w:val="00AD3A43"/>
    <w:rsid w:val="00AD4491"/>
    <w:rsid w:val="00AD5685"/>
    <w:rsid w:val="00AD5B6F"/>
    <w:rsid w:val="00AD60A2"/>
    <w:rsid w:val="00AD72A6"/>
    <w:rsid w:val="00AD7A4D"/>
    <w:rsid w:val="00AD7C5B"/>
    <w:rsid w:val="00AE0461"/>
    <w:rsid w:val="00AE19F5"/>
    <w:rsid w:val="00AE205B"/>
    <w:rsid w:val="00AE2590"/>
    <w:rsid w:val="00AE2CD0"/>
    <w:rsid w:val="00AE2E50"/>
    <w:rsid w:val="00AE2FE4"/>
    <w:rsid w:val="00AE44AB"/>
    <w:rsid w:val="00AE45F9"/>
    <w:rsid w:val="00AE55EE"/>
    <w:rsid w:val="00AE5E28"/>
    <w:rsid w:val="00AE63CD"/>
    <w:rsid w:val="00AE6D3D"/>
    <w:rsid w:val="00AE6E7D"/>
    <w:rsid w:val="00AE6FA8"/>
    <w:rsid w:val="00AE79D9"/>
    <w:rsid w:val="00AE7A09"/>
    <w:rsid w:val="00AE7A67"/>
    <w:rsid w:val="00AF00EE"/>
    <w:rsid w:val="00AF01F7"/>
    <w:rsid w:val="00AF0264"/>
    <w:rsid w:val="00AF075E"/>
    <w:rsid w:val="00AF1584"/>
    <w:rsid w:val="00AF1C09"/>
    <w:rsid w:val="00AF1D51"/>
    <w:rsid w:val="00AF1F16"/>
    <w:rsid w:val="00AF2195"/>
    <w:rsid w:val="00AF2474"/>
    <w:rsid w:val="00AF2776"/>
    <w:rsid w:val="00AF28E5"/>
    <w:rsid w:val="00AF2C40"/>
    <w:rsid w:val="00AF2F51"/>
    <w:rsid w:val="00AF3BB2"/>
    <w:rsid w:val="00AF40E2"/>
    <w:rsid w:val="00AF473D"/>
    <w:rsid w:val="00AF4778"/>
    <w:rsid w:val="00AF507D"/>
    <w:rsid w:val="00AF5373"/>
    <w:rsid w:val="00AF56FF"/>
    <w:rsid w:val="00AF5ADB"/>
    <w:rsid w:val="00AF611A"/>
    <w:rsid w:val="00AF648C"/>
    <w:rsid w:val="00AF69DF"/>
    <w:rsid w:val="00AF6DE2"/>
    <w:rsid w:val="00AF7C73"/>
    <w:rsid w:val="00B0051C"/>
    <w:rsid w:val="00B00F80"/>
    <w:rsid w:val="00B01464"/>
    <w:rsid w:val="00B0173D"/>
    <w:rsid w:val="00B01754"/>
    <w:rsid w:val="00B02251"/>
    <w:rsid w:val="00B0266C"/>
    <w:rsid w:val="00B03AC1"/>
    <w:rsid w:val="00B03E86"/>
    <w:rsid w:val="00B03F6E"/>
    <w:rsid w:val="00B04735"/>
    <w:rsid w:val="00B0493C"/>
    <w:rsid w:val="00B0563A"/>
    <w:rsid w:val="00B05AAC"/>
    <w:rsid w:val="00B0615A"/>
    <w:rsid w:val="00B06216"/>
    <w:rsid w:val="00B062D0"/>
    <w:rsid w:val="00B06FA6"/>
    <w:rsid w:val="00B076E5"/>
    <w:rsid w:val="00B077FA"/>
    <w:rsid w:val="00B0785C"/>
    <w:rsid w:val="00B078D4"/>
    <w:rsid w:val="00B1033A"/>
    <w:rsid w:val="00B10848"/>
    <w:rsid w:val="00B1089F"/>
    <w:rsid w:val="00B10951"/>
    <w:rsid w:val="00B10B3F"/>
    <w:rsid w:val="00B1105F"/>
    <w:rsid w:val="00B1111D"/>
    <w:rsid w:val="00B117E9"/>
    <w:rsid w:val="00B11FD4"/>
    <w:rsid w:val="00B126D6"/>
    <w:rsid w:val="00B1282D"/>
    <w:rsid w:val="00B12B3C"/>
    <w:rsid w:val="00B12EAD"/>
    <w:rsid w:val="00B1313E"/>
    <w:rsid w:val="00B1380D"/>
    <w:rsid w:val="00B13A16"/>
    <w:rsid w:val="00B13B85"/>
    <w:rsid w:val="00B13CAB"/>
    <w:rsid w:val="00B13F41"/>
    <w:rsid w:val="00B145C9"/>
    <w:rsid w:val="00B14E1B"/>
    <w:rsid w:val="00B15805"/>
    <w:rsid w:val="00B15DE2"/>
    <w:rsid w:val="00B15E19"/>
    <w:rsid w:val="00B15E25"/>
    <w:rsid w:val="00B160E2"/>
    <w:rsid w:val="00B16219"/>
    <w:rsid w:val="00B16295"/>
    <w:rsid w:val="00B17149"/>
    <w:rsid w:val="00B171AF"/>
    <w:rsid w:val="00B179E1"/>
    <w:rsid w:val="00B17A35"/>
    <w:rsid w:val="00B17F4A"/>
    <w:rsid w:val="00B20B6C"/>
    <w:rsid w:val="00B20E7F"/>
    <w:rsid w:val="00B21022"/>
    <w:rsid w:val="00B21233"/>
    <w:rsid w:val="00B212EC"/>
    <w:rsid w:val="00B21515"/>
    <w:rsid w:val="00B21C39"/>
    <w:rsid w:val="00B21CAD"/>
    <w:rsid w:val="00B22530"/>
    <w:rsid w:val="00B22A88"/>
    <w:rsid w:val="00B22AA2"/>
    <w:rsid w:val="00B23226"/>
    <w:rsid w:val="00B2348F"/>
    <w:rsid w:val="00B23C63"/>
    <w:rsid w:val="00B240D7"/>
    <w:rsid w:val="00B24437"/>
    <w:rsid w:val="00B24A8C"/>
    <w:rsid w:val="00B25CAF"/>
    <w:rsid w:val="00B25E68"/>
    <w:rsid w:val="00B26CD2"/>
    <w:rsid w:val="00B26D39"/>
    <w:rsid w:val="00B27364"/>
    <w:rsid w:val="00B27599"/>
    <w:rsid w:val="00B300FA"/>
    <w:rsid w:val="00B302E1"/>
    <w:rsid w:val="00B30827"/>
    <w:rsid w:val="00B3098F"/>
    <w:rsid w:val="00B30B4B"/>
    <w:rsid w:val="00B318E0"/>
    <w:rsid w:val="00B31D09"/>
    <w:rsid w:val="00B32920"/>
    <w:rsid w:val="00B3350A"/>
    <w:rsid w:val="00B35427"/>
    <w:rsid w:val="00B35CC6"/>
    <w:rsid w:val="00B35F14"/>
    <w:rsid w:val="00B36A0A"/>
    <w:rsid w:val="00B3799D"/>
    <w:rsid w:val="00B37C3B"/>
    <w:rsid w:val="00B4035D"/>
    <w:rsid w:val="00B40915"/>
    <w:rsid w:val="00B418EA"/>
    <w:rsid w:val="00B41CCA"/>
    <w:rsid w:val="00B42578"/>
    <w:rsid w:val="00B42710"/>
    <w:rsid w:val="00B4320F"/>
    <w:rsid w:val="00B43732"/>
    <w:rsid w:val="00B44A4C"/>
    <w:rsid w:val="00B44BBE"/>
    <w:rsid w:val="00B45B05"/>
    <w:rsid w:val="00B46E18"/>
    <w:rsid w:val="00B47829"/>
    <w:rsid w:val="00B509C5"/>
    <w:rsid w:val="00B517A1"/>
    <w:rsid w:val="00B51FAC"/>
    <w:rsid w:val="00B521E5"/>
    <w:rsid w:val="00B52A06"/>
    <w:rsid w:val="00B52AD1"/>
    <w:rsid w:val="00B53444"/>
    <w:rsid w:val="00B53B0D"/>
    <w:rsid w:val="00B53E5E"/>
    <w:rsid w:val="00B53E85"/>
    <w:rsid w:val="00B54098"/>
    <w:rsid w:val="00B5440C"/>
    <w:rsid w:val="00B547CF"/>
    <w:rsid w:val="00B54A18"/>
    <w:rsid w:val="00B54C18"/>
    <w:rsid w:val="00B55E3D"/>
    <w:rsid w:val="00B5655A"/>
    <w:rsid w:val="00B56E7A"/>
    <w:rsid w:val="00B575CF"/>
    <w:rsid w:val="00B5799E"/>
    <w:rsid w:val="00B57B61"/>
    <w:rsid w:val="00B60869"/>
    <w:rsid w:val="00B609D5"/>
    <w:rsid w:val="00B60A35"/>
    <w:rsid w:val="00B61D68"/>
    <w:rsid w:val="00B62021"/>
    <w:rsid w:val="00B62EFF"/>
    <w:rsid w:val="00B630F0"/>
    <w:rsid w:val="00B63249"/>
    <w:rsid w:val="00B63A10"/>
    <w:rsid w:val="00B6439F"/>
    <w:rsid w:val="00B64611"/>
    <w:rsid w:val="00B6470E"/>
    <w:rsid w:val="00B651D2"/>
    <w:rsid w:val="00B6536B"/>
    <w:rsid w:val="00B6572D"/>
    <w:rsid w:val="00B65E39"/>
    <w:rsid w:val="00B65FEF"/>
    <w:rsid w:val="00B6692C"/>
    <w:rsid w:val="00B67092"/>
    <w:rsid w:val="00B67512"/>
    <w:rsid w:val="00B67B50"/>
    <w:rsid w:val="00B70E7C"/>
    <w:rsid w:val="00B724B7"/>
    <w:rsid w:val="00B724D4"/>
    <w:rsid w:val="00B72D47"/>
    <w:rsid w:val="00B72E19"/>
    <w:rsid w:val="00B74202"/>
    <w:rsid w:val="00B74D18"/>
    <w:rsid w:val="00B7500A"/>
    <w:rsid w:val="00B75DBE"/>
    <w:rsid w:val="00B75F4F"/>
    <w:rsid w:val="00B7602C"/>
    <w:rsid w:val="00B7621C"/>
    <w:rsid w:val="00B7677F"/>
    <w:rsid w:val="00B772C4"/>
    <w:rsid w:val="00B773BF"/>
    <w:rsid w:val="00B77C27"/>
    <w:rsid w:val="00B8051C"/>
    <w:rsid w:val="00B80956"/>
    <w:rsid w:val="00B80BD6"/>
    <w:rsid w:val="00B80E48"/>
    <w:rsid w:val="00B810C8"/>
    <w:rsid w:val="00B8211A"/>
    <w:rsid w:val="00B82EFE"/>
    <w:rsid w:val="00B837CF"/>
    <w:rsid w:val="00B83CA7"/>
    <w:rsid w:val="00B83D54"/>
    <w:rsid w:val="00B848BB"/>
    <w:rsid w:val="00B84F55"/>
    <w:rsid w:val="00B85833"/>
    <w:rsid w:val="00B85F47"/>
    <w:rsid w:val="00B86C4D"/>
    <w:rsid w:val="00B86F74"/>
    <w:rsid w:val="00B87053"/>
    <w:rsid w:val="00B900FD"/>
    <w:rsid w:val="00B90333"/>
    <w:rsid w:val="00B90ACD"/>
    <w:rsid w:val="00B90B20"/>
    <w:rsid w:val="00B90E7D"/>
    <w:rsid w:val="00B91ADE"/>
    <w:rsid w:val="00B92181"/>
    <w:rsid w:val="00B930F4"/>
    <w:rsid w:val="00B931AD"/>
    <w:rsid w:val="00B935BD"/>
    <w:rsid w:val="00B938A9"/>
    <w:rsid w:val="00B939DA"/>
    <w:rsid w:val="00B93FA4"/>
    <w:rsid w:val="00B943BD"/>
    <w:rsid w:val="00B94C6E"/>
    <w:rsid w:val="00B94F34"/>
    <w:rsid w:val="00B95936"/>
    <w:rsid w:val="00B96FBA"/>
    <w:rsid w:val="00B9787F"/>
    <w:rsid w:val="00B9797C"/>
    <w:rsid w:val="00B9799A"/>
    <w:rsid w:val="00BA1228"/>
    <w:rsid w:val="00BA1E23"/>
    <w:rsid w:val="00BA1F08"/>
    <w:rsid w:val="00BA22EE"/>
    <w:rsid w:val="00BA2965"/>
    <w:rsid w:val="00BA3112"/>
    <w:rsid w:val="00BA37EE"/>
    <w:rsid w:val="00BA388D"/>
    <w:rsid w:val="00BA4C2E"/>
    <w:rsid w:val="00BA4E36"/>
    <w:rsid w:val="00BA4E48"/>
    <w:rsid w:val="00BA518F"/>
    <w:rsid w:val="00BA55CB"/>
    <w:rsid w:val="00BA5901"/>
    <w:rsid w:val="00BA7D52"/>
    <w:rsid w:val="00BA7DF7"/>
    <w:rsid w:val="00BB01A9"/>
    <w:rsid w:val="00BB04D3"/>
    <w:rsid w:val="00BB100E"/>
    <w:rsid w:val="00BB12C8"/>
    <w:rsid w:val="00BB1F57"/>
    <w:rsid w:val="00BB23AC"/>
    <w:rsid w:val="00BB2F30"/>
    <w:rsid w:val="00BB340A"/>
    <w:rsid w:val="00BB3962"/>
    <w:rsid w:val="00BB42FE"/>
    <w:rsid w:val="00BB4881"/>
    <w:rsid w:val="00BB4943"/>
    <w:rsid w:val="00BB4BA3"/>
    <w:rsid w:val="00BB59CA"/>
    <w:rsid w:val="00BB59F3"/>
    <w:rsid w:val="00BB6378"/>
    <w:rsid w:val="00BB704B"/>
    <w:rsid w:val="00BC000F"/>
    <w:rsid w:val="00BC0064"/>
    <w:rsid w:val="00BC0078"/>
    <w:rsid w:val="00BC050F"/>
    <w:rsid w:val="00BC0D84"/>
    <w:rsid w:val="00BC15CF"/>
    <w:rsid w:val="00BC1A88"/>
    <w:rsid w:val="00BC2227"/>
    <w:rsid w:val="00BC2AE7"/>
    <w:rsid w:val="00BC2C00"/>
    <w:rsid w:val="00BC2F13"/>
    <w:rsid w:val="00BC310B"/>
    <w:rsid w:val="00BC359E"/>
    <w:rsid w:val="00BC3705"/>
    <w:rsid w:val="00BC38F3"/>
    <w:rsid w:val="00BC424F"/>
    <w:rsid w:val="00BC459F"/>
    <w:rsid w:val="00BC4BD5"/>
    <w:rsid w:val="00BC4CA5"/>
    <w:rsid w:val="00BC506D"/>
    <w:rsid w:val="00BC5EEC"/>
    <w:rsid w:val="00BC64FA"/>
    <w:rsid w:val="00BC6DC6"/>
    <w:rsid w:val="00BC6FEB"/>
    <w:rsid w:val="00BD026A"/>
    <w:rsid w:val="00BD1623"/>
    <w:rsid w:val="00BD1B6C"/>
    <w:rsid w:val="00BD24AD"/>
    <w:rsid w:val="00BD2914"/>
    <w:rsid w:val="00BD326D"/>
    <w:rsid w:val="00BD3376"/>
    <w:rsid w:val="00BD3B06"/>
    <w:rsid w:val="00BD4317"/>
    <w:rsid w:val="00BD4AA9"/>
    <w:rsid w:val="00BD4BA3"/>
    <w:rsid w:val="00BD58DA"/>
    <w:rsid w:val="00BD5912"/>
    <w:rsid w:val="00BD5AFC"/>
    <w:rsid w:val="00BD61D9"/>
    <w:rsid w:val="00BD6B16"/>
    <w:rsid w:val="00BD7047"/>
    <w:rsid w:val="00BD7196"/>
    <w:rsid w:val="00BD77B8"/>
    <w:rsid w:val="00BD7E76"/>
    <w:rsid w:val="00BE026D"/>
    <w:rsid w:val="00BE1C5F"/>
    <w:rsid w:val="00BE20B2"/>
    <w:rsid w:val="00BE2B69"/>
    <w:rsid w:val="00BE305B"/>
    <w:rsid w:val="00BE4B69"/>
    <w:rsid w:val="00BE50DC"/>
    <w:rsid w:val="00BE584A"/>
    <w:rsid w:val="00BE5B62"/>
    <w:rsid w:val="00BE6150"/>
    <w:rsid w:val="00BE6427"/>
    <w:rsid w:val="00BE6747"/>
    <w:rsid w:val="00BE7492"/>
    <w:rsid w:val="00BE7774"/>
    <w:rsid w:val="00BE789E"/>
    <w:rsid w:val="00BF053A"/>
    <w:rsid w:val="00BF1226"/>
    <w:rsid w:val="00BF17AF"/>
    <w:rsid w:val="00BF1D0B"/>
    <w:rsid w:val="00BF1D9D"/>
    <w:rsid w:val="00BF2638"/>
    <w:rsid w:val="00BF2722"/>
    <w:rsid w:val="00BF3087"/>
    <w:rsid w:val="00BF37C1"/>
    <w:rsid w:val="00BF45F4"/>
    <w:rsid w:val="00BF4636"/>
    <w:rsid w:val="00BF4C11"/>
    <w:rsid w:val="00BF4EB1"/>
    <w:rsid w:val="00BF60CD"/>
    <w:rsid w:val="00BF64CC"/>
    <w:rsid w:val="00BF6CE5"/>
    <w:rsid w:val="00BF6E27"/>
    <w:rsid w:val="00C001DF"/>
    <w:rsid w:val="00C00C48"/>
    <w:rsid w:val="00C00DC1"/>
    <w:rsid w:val="00C01204"/>
    <w:rsid w:val="00C01BB3"/>
    <w:rsid w:val="00C050D5"/>
    <w:rsid w:val="00C05A52"/>
    <w:rsid w:val="00C06432"/>
    <w:rsid w:val="00C065D3"/>
    <w:rsid w:val="00C07078"/>
    <w:rsid w:val="00C071F6"/>
    <w:rsid w:val="00C1016A"/>
    <w:rsid w:val="00C10219"/>
    <w:rsid w:val="00C103B7"/>
    <w:rsid w:val="00C104BA"/>
    <w:rsid w:val="00C112FC"/>
    <w:rsid w:val="00C1133C"/>
    <w:rsid w:val="00C1136C"/>
    <w:rsid w:val="00C11C4E"/>
    <w:rsid w:val="00C11D30"/>
    <w:rsid w:val="00C123E4"/>
    <w:rsid w:val="00C125A6"/>
    <w:rsid w:val="00C126ED"/>
    <w:rsid w:val="00C12F04"/>
    <w:rsid w:val="00C13CC6"/>
    <w:rsid w:val="00C14061"/>
    <w:rsid w:val="00C14716"/>
    <w:rsid w:val="00C14CF6"/>
    <w:rsid w:val="00C15B8C"/>
    <w:rsid w:val="00C15D7C"/>
    <w:rsid w:val="00C16162"/>
    <w:rsid w:val="00C164F8"/>
    <w:rsid w:val="00C178A0"/>
    <w:rsid w:val="00C20188"/>
    <w:rsid w:val="00C20258"/>
    <w:rsid w:val="00C20664"/>
    <w:rsid w:val="00C207A6"/>
    <w:rsid w:val="00C20EAA"/>
    <w:rsid w:val="00C22346"/>
    <w:rsid w:val="00C22CF5"/>
    <w:rsid w:val="00C236BF"/>
    <w:rsid w:val="00C23CC3"/>
    <w:rsid w:val="00C24486"/>
    <w:rsid w:val="00C24817"/>
    <w:rsid w:val="00C25285"/>
    <w:rsid w:val="00C25A1B"/>
    <w:rsid w:val="00C25B0E"/>
    <w:rsid w:val="00C25F92"/>
    <w:rsid w:val="00C26566"/>
    <w:rsid w:val="00C274F7"/>
    <w:rsid w:val="00C27B9B"/>
    <w:rsid w:val="00C27D63"/>
    <w:rsid w:val="00C27D70"/>
    <w:rsid w:val="00C302C0"/>
    <w:rsid w:val="00C3084F"/>
    <w:rsid w:val="00C309D0"/>
    <w:rsid w:val="00C30DC7"/>
    <w:rsid w:val="00C31093"/>
    <w:rsid w:val="00C317CC"/>
    <w:rsid w:val="00C3188E"/>
    <w:rsid w:val="00C3255A"/>
    <w:rsid w:val="00C329E2"/>
    <w:rsid w:val="00C32CBD"/>
    <w:rsid w:val="00C32F2D"/>
    <w:rsid w:val="00C3315F"/>
    <w:rsid w:val="00C33D26"/>
    <w:rsid w:val="00C3421B"/>
    <w:rsid w:val="00C34841"/>
    <w:rsid w:val="00C355E0"/>
    <w:rsid w:val="00C36740"/>
    <w:rsid w:val="00C36869"/>
    <w:rsid w:val="00C37589"/>
    <w:rsid w:val="00C37B42"/>
    <w:rsid w:val="00C405F7"/>
    <w:rsid w:val="00C40EE5"/>
    <w:rsid w:val="00C410B4"/>
    <w:rsid w:val="00C41209"/>
    <w:rsid w:val="00C42AD1"/>
    <w:rsid w:val="00C43056"/>
    <w:rsid w:val="00C43E35"/>
    <w:rsid w:val="00C44676"/>
    <w:rsid w:val="00C44FD8"/>
    <w:rsid w:val="00C44FF6"/>
    <w:rsid w:val="00C44FFD"/>
    <w:rsid w:val="00C45C7F"/>
    <w:rsid w:val="00C46484"/>
    <w:rsid w:val="00C46516"/>
    <w:rsid w:val="00C46B4B"/>
    <w:rsid w:val="00C46BC0"/>
    <w:rsid w:val="00C47053"/>
    <w:rsid w:val="00C47E21"/>
    <w:rsid w:val="00C47F34"/>
    <w:rsid w:val="00C50063"/>
    <w:rsid w:val="00C51A80"/>
    <w:rsid w:val="00C51CAF"/>
    <w:rsid w:val="00C531BB"/>
    <w:rsid w:val="00C53EDB"/>
    <w:rsid w:val="00C54214"/>
    <w:rsid w:val="00C558B3"/>
    <w:rsid w:val="00C558D5"/>
    <w:rsid w:val="00C55CA0"/>
    <w:rsid w:val="00C55DD7"/>
    <w:rsid w:val="00C5609D"/>
    <w:rsid w:val="00C565BA"/>
    <w:rsid w:val="00C5688B"/>
    <w:rsid w:val="00C569F5"/>
    <w:rsid w:val="00C57F6F"/>
    <w:rsid w:val="00C60106"/>
    <w:rsid w:val="00C60D2F"/>
    <w:rsid w:val="00C62041"/>
    <w:rsid w:val="00C63144"/>
    <w:rsid w:val="00C63B84"/>
    <w:rsid w:val="00C63E70"/>
    <w:rsid w:val="00C6464C"/>
    <w:rsid w:val="00C64B5A"/>
    <w:rsid w:val="00C655DC"/>
    <w:rsid w:val="00C65870"/>
    <w:rsid w:val="00C6593E"/>
    <w:rsid w:val="00C659D3"/>
    <w:rsid w:val="00C65AA7"/>
    <w:rsid w:val="00C66572"/>
    <w:rsid w:val="00C66A3E"/>
    <w:rsid w:val="00C67D6C"/>
    <w:rsid w:val="00C7057A"/>
    <w:rsid w:val="00C7058C"/>
    <w:rsid w:val="00C70EC3"/>
    <w:rsid w:val="00C70FEA"/>
    <w:rsid w:val="00C71450"/>
    <w:rsid w:val="00C71AFD"/>
    <w:rsid w:val="00C724EF"/>
    <w:rsid w:val="00C72BCF"/>
    <w:rsid w:val="00C73468"/>
    <w:rsid w:val="00C73475"/>
    <w:rsid w:val="00C73585"/>
    <w:rsid w:val="00C74025"/>
    <w:rsid w:val="00C7463C"/>
    <w:rsid w:val="00C74AD9"/>
    <w:rsid w:val="00C750F4"/>
    <w:rsid w:val="00C75B8C"/>
    <w:rsid w:val="00C75CDB"/>
    <w:rsid w:val="00C76469"/>
    <w:rsid w:val="00C767D8"/>
    <w:rsid w:val="00C769DC"/>
    <w:rsid w:val="00C76A2B"/>
    <w:rsid w:val="00C76C17"/>
    <w:rsid w:val="00C76F94"/>
    <w:rsid w:val="00C77F87"/>
    <w:rsid w:val="00C80ECC"/>
    <w:rsid w:val="00C81CBE"/>
    <w:rsid w:val="00C81DAE"/>
    <w:rsid w:val="00C81F65"/>
    <w:rsid w:val="00C8235D"/>
    <w:rsid w:val="00C829C1"/>
    <w:rsid w:val="00C82B0F"/>
    <w:rsid w:val="00C83195"/>
    <w:rsid w:val="00C8399D"/>
    <w:rsid w:val="00C83A8A"/>
    <w:rsid w:val="00C84176"/>
    <w:rsid w:val="00C84661"/>
    <w:rsid w:val="00C84B53"/>
    <w:rsid w:val="00C84F79"/>
    <w:rsid w:val="00C8575D"/>
    <w:rsid w:val="00C85D21"/>
    <w:rsid w:val="00C87AB3"/>
    <w:rsid w:val="00C87F1A"/>
    <w:rsid w:val="00C9019C"/>
    <w:rsid w:val="00C90257"/>
    <w:rsid w:val="00C90512"/>
    <w:rsid w:val="00C91096"/>
    <w:rsid w:val="00C91D94"/>
    <w:rsid w:val="00C9212A"/>
    <w:rsid w:val="00C929FC"/>
    <w:rsid w:val="00C92DCF"/>
    <w:rsid w:val="00C93180"/>
    <w:rsid w:val="00C9318A"/>
    <w:rsid w:val="00C935A0"/>
    <w:rsid w:val="00C95B89"/>
    <w:rsid w:val="00C96524"/>
    <w:rsid w:val="00C96B51"/>
    <w:rsid w:val="00C96E9D"/>
    <w:rsid w:val="00C96F5D"/>
    <w:rsid w:val="00C97783"/>
    <w:rsid w:val="00CA0549"/>
    <w:rsid w:val="00CA05E5"/>
    <w:rsid w:val="00CA07A7"/>
    <w:rsid w:val="00CA21BE"/>
    <w:rsid w:val="00CA2274"/>
    <w:rsid w:val="00CA26A2"/>
    <w:rsid w:val="00CA26F2"/>
    <w:rsid w:val="00CA2D8E"/>
    <w:rsid w:val="00CA367B"/>
    <w:rsid w:val="00CA3868"/>
    <w:rsid w:val="00CA3FD8"/>
    <w:rsid w:val="00CA490B"/>
    <w:rsid w:val="00CA4B93"/>
    <w:rsid w:val="00CA5351"/>
    <w:rsid w:val="00CA5520"/>
    <w:rsid w:val="00CA5840"/>
    <w:rsid w:val="00CA58C3"/>
    <w:rsid w:val="00CA5AEB"/>
    <w:rsid w:val="00CA5E33"/>
    <w:rsid w:val="00CA6308"/>
    <w:rsid w:val="00CA7373"/>
    <w:rsid w:val="00CA7475"/>
    <w:rsid w:val="00CA74E5"/>
    <w:rsid w:val="00CA7768"/>
    <w:rsid w:val="00CA7B11"/>
    <w:rsid w:val="00CB016D"/>
    <w:rsid w:val="00CB08E8"/>
    <w:rsid w:val="00CB0C84"/>
    <w:rsid w:val="00CB1B04"/>
    <w:rsid w:val="00CB1FFB"/>
    <w:rsid w:val="00CB22A7"/>
    <w:rsid w:val="00CB22CF"/>
    <w:rsid w:val="00CB275C"/>
    <w:rsid w:val="00CB2FF9"/>
    <w:rsid w:val="00CB3C2E"/>
    <w:rsid w:val="00CB447E"/>
    <w:rsid w:val="00CB47F1"/>
    <w:rsid w:val="00CB49CE"/>
    <w:rsid w:val="00CB5003"/>
    <w:rsid w:val="00CB5397"/>
    <w:rsid w:val="00CB5529"/>
    <w:rsid w:val="00CB6157"/>
    <w:rsid w:val="00CB638E"/>
    <w:rsid w:val="00CB68A9"/>
    <w:rsid w:val="00CB6C71"/>
    <w:rsid w:val="00CB6ED2"/>
    <w:rsid w:val="00CB740B"/>
    <w:rsid w:val="00CB7725"/>
    <w:rsid w:val="00CB7ADD"/>
    <w:rsid w:val="00CB7FEF"/>
    <w:rsid w:val="00CC0845"/>
    <w:rsid w:val="00CC0933"/>
    <w:rsid w:val="00CC178B"/>
    <w:rsid w:val="00CC199B"/>
    <w:rsid w:val="00CC1F6C"/>
    <w:rsid w:val="00CC26E1"/>
    <w:rsid w:val="00CC27F5"/>
    <w:rsid w:val="00CC28F9"/>
    <w:rsid w:val="00CC3460"/>
    <w:rsid w:val="00CC4394"/>
    <w:rsid w:val="00CC466E"/>
    <w:rsid w:val="00CC4D62"/>
    <w:rsid w:val="00CC548E"/>
    <w:rsid w:val="00CC5654"/>
    <w:rsid w:val="00CC5BAE"/>
    <w:rsid w:val="00CC624F"/>
    <w:rsid w:val="00CC6E95"/>
    <w:rsid w:val="00CC72FB"/>
    <w:rsid w:val="00CC7A55"/>
    <w:rsid w:val="00CC7CEB"/>
    <w:rsid w:val="00CD02B6"/>
    <w:rsid w:val="00CD0446"/>
    <w:rsid w:val="00CD0629"/>
    <w:rsid w:val="00CD1219"/>
    <w:rsid w:val="00CD163E"/>
    <w:rsid w:val="00CD1785"/>
    <w:rsid w:val="00CD293D"/>
    <w:rsid w:val="00CD397F"/>
    <w:rsid w:val="00CD3B0B"/>
    <w:rsid w:val="00CD41E9"/>
    <w:rsid w:val="00CD42A7"/>
    <w:rsid w:val="00CD5342"/>
    <w:rsid w:val="00CD5774"/>
    <w:rsid w:val="00CD5FC5"/>
    <w:rsid w:val="00CD6BE6"/>
    <w:rsid w:val="00CD6F94"/>
    <w:rsid w:val="00CD7436"/>
    <w:rsid w:val="00CD7BEC"/>
    <w:rsid w:val="00CE03A5"/>
    <w:rsid w:val="00CE0B73"/>
    <w:rsid w:val="00CE11D8"/>
    <w:rsid w:val="00CE1565"/>
    <w:rsid w:val="00CE1DAE"/>
    <w:rsid w:val="00CE2202"/>
    <w:rsid w:val="00CE29B0"/>
    <w:rsid w:val="00CE33A3"/>
    <w:rsid w:val="00CE4D07"/>
    <w:rsid w:val="00CE4EF2"/>
    <w:rsid w:val="00CE5513"/>
    <w:rsid w:val="00CE5BAE"/>
    <w:rsid w:val="00CE5DFF"/>
    <w:rsid w:val="00CE5FC6"/>
    <w:rsid w:val="00CE6310"/>
    <w:rsid w:val="00CE63A6"/>
    <w:rsid w:val="00CE67E2"/>
    <w:rsid w:val="00CE6B7D"/>
    <w:rsid w:val="00CE7322"/>
    <w:rsid w:val="00CE739B"/>
    <w:rsid w:val="00CF0012"/>
    <w:rsid w:val="00CF0096"/>
    <w:rsid w:val="00CF0393"/>
    <w:rsid w:val="00CF0986"/>
    <w:rsid w:val="00CF0D52"/>
    <w:rsid w:val="00CF0E62"/>
    <w:rsid w:val="00CF10FB"/>
    <w:rsid w:val="00CF1131"/>
    <w:rsid w:val="00CF2081"/>
    <w:rsid w:val="00CF21D5"/>
    <w:rsid w:val="00CF26CF"/>
    <w:rsid w:val="00CF2901"/>
    <w:rsid w:val="00CF39D0"/>
    <w:rsid w:val="00CF3E31"/>
    <w:rsid w:val="00CF41B8"/>
    <w:rsid w:val="00CF5578"/>
    <w:rsid w:val="00CF59D8"/>
    <w:rsid w:val="00CF5DDF"/>
    <w:rsid w:val="00CF6318"/>
    <w:rsid w:val="00CF6651"/>
    <w:rsid w:val="00CF67EB"/>
    <w:rsid w:val="00CF690C"/>
    <w:rsid w:val="00CF70F7"/>
    <w:rsid w:val="00D0049E"/>
    <w:rsid w:val="00D004FD"/>
    <w:rsid w:val="00D00A56"/>
    <w:rsid w:val="00D00A5B"/>
    <w:rsid w:val="00D01273"/>
    <w:rsid w:val="00D012D2"/>
    <w:rsid w:val="00D02259"/>
    <w:rsid w:val="00D02291"/>
    <w:rsid w:val="00D02F77"/>
    <w:rsid w:val="00D03381"/>
    <w:rsid w:val="00D0376C"/>
    <w:rsid w:val="00D03A36"/>
    <w:rsid w:val="00D03AB6"/>
    <w:rsid w:val="00D03BB5"/>
    <w:rsid w:val="00D03FB3"/>
    <w:rsid w:val="00D04E7E"/>
    <w:rsid w:val="00D05687"/>
    <w:rsid w:val="00D05B2B"/>
    <w:rsid w:val="00D05C3E"/>
    <w:rsid w:val="00D05D5E"/>
    <w:rsid w:val="00D063D6"/>
    <w:rsid w:val="00D063E5"/>
    <w:rsid w:val="00D06E9A"/>
    <w:rsid w:val="00D073A4"/>
    <w:rsid w:val="00D1015A"/>
    <w:rsid w:val="00D1101B"/>
    <w:rsid w:val="00D1178A"/>
    <w:rsid w:val="00D11C9D"/>
    <w:rsid w:val="00D11CCD"/>
    <w:rsid w:val="00D12C63"/>
    <w:rsid w:val="00D12CF5"/>
    <w:rsid w:val="00D12D98"/>
    <w:rsid w:val="00D13024"/>
    <w:rsid w:val="00D132FC"/>
    <w:rsid w:val="00D13DFB"/>
    <w:rsid w:val="00D146DD"/>
    <w:rsid w:val="00D152CD"/>
    <w:rsid w:val="00D15526"/>
    <w:rsid w:val="00D15593"/>
    <w:rsid w:val="00D158A7"/>
    <w:rsid w:val="00D15946"/>
    <w:rsid w:val="00D15C90"/>
    <w:rsid w:val="00D166F9"/>
    <w:rsid w:val="00D16BB1"/>
    <w:rsid w:val="00D175E1"/>
    <w:rsid w:val="00D17970"/>
    <w:rsid w:val="00D2010D"/>
    <w:rsid w:val="00D20281"/>
    <w:rsid w:val="00D205B9"/>
    <w:rsid w:val="00D22061"/>
    <w:rsid w:val="00D22377"/>
    <w:rsid w:val="00D226A4"/>
    <w:rsid w:val="00D226B8"/>
    <w:rsid w:val="00D229E0"/>
    <w:rsid w:val="00D232F0"/>
    <w:rsid w:val="00D23930"/>
    <w:rsid w:val="00D23D47"/>
    <w:rsid w:val="00D24374"/>
    <w:rsid w:val="00D25B7A"/>
    <w:rsid w:val="00D25BA9"/>
    <w:rsid w:val="00D25EAA"/>
    <w:rsid w:val="00D2647F"/>
    <w:rsid w:val="00D26695"/>
    <w:rsid w:val="00D26E0A"/>
    <w:rsid w:val="00D2775F"/>
    <w:rsid w:val="00D278C8"/>
    <w:rsid w:val="00D27AA2"/>
    <w:rsid w:val="00D27BA4"/>
    <w:rsid w:val="00D27CAC"/>
    <w:rsid w:val="00D30461"/>
    <w:rsid w:val="00D30651"/>
    <w:rsid w:val="00D30B92"/>
    <w:rsid w:val="00D31722"/>
    <w:rsid w:val="00D31AB6"/>
    <w:rsid w:val="00D31E5E"/>
    <w:rsid w:val="00D32294"/>
    <w:rsid w:val="00D32886"/>
    <w:rsid w:val="00D329F7"/>
    <w:rsid w:val="00D32ED2"/>
    <w:rsid w:val="00D32F23"/>
    <w:rsid w:val="00D33026"/>
    <w:rsid w:val="00D33145"/>
    <w:rsid w:val="00D33428"/>
    <w:rsid w:val="00D34455"/>
    <w:rsid w:val="00D3540A"/>
    <w:rsid w:val="00D354C9"/>
    <w:rsid w:val="00D354FF"/>
    <w:rsid w:val="00D3592D"/>
    <w:rsid w:val="00D36B1C"/>
    <w:rsid w:val="00D36B7B"/>
    <w:rsid w:val="00D37905"/>
    <w:rsid w:val="00D37C08"/>
    <w:rsid w:val="00D4094B"/>
    <w:rsid w:val="00D4121E"/>
    <w:rsid w:val="00D4132C"/>
    <w:rsid w:val="00D413E8"/>
    <w:rsid w:val="00D41669"/>
    <w:rsid w:val="00D42A67"/>
    <w:rsid w:val="00D42BA5"/>
    <w:rsid w:val="00D4330F"/>
    <w:rsid w:val="00D434B5"/>
    <w:rsid w:val="00D43E1C"/>
    <w:rsid w:val="00D45760"/>
    <w:rsid w:val="00D45904"/>
    <w:rsid w:val="00D465E4"/>
    <w:rsid w:val="00D473E2"/>
    <w:rsid w:val="00D50032"/>
    <w:rsid w:val="00D503F5"/>
    <w:rsid w:val="00D50853"/>
    <w:rsid w:val="00D50C1E"/>
    <w:rsid w:val="00D50E6A"/>
    <w:rsid w:val="00D510D6"/>
    <w:rsid w:val="00D510F0"/>
    <w:rsid w:val="00D51314"/>
    <w:rsid w:val="00D51D5F"/>
    <w:rsid w:val="00D52ACA"/>
    <w:rsid w:val="00D52B8F"/>
    <w:rsid w:val="00D53452"/>
    <w:rsid w:val="00D539A0"/>
    <w:rsid w:val="00D53C90"/>
    <w:rsid w:val="00D53D76"/>
    <w:rsid w:val="00D546C9"/>
    <w:rsid w:val="00D54AF6"/>
    <w:rsid w:val="00D54D11"/>
    <w:rsid w:val="00D54F87"/>
    <w:rsid w:val="00D5532D"/>
    <w:rsid w:val="00D55523"/>
    <w:rsid w:val="00D563D2"/>
    <w:rsid w:val="00D56DB1"/>
    <w:rsid w:val="00D57403"/>
    <w:rsid w:val="00D574BD"/>
    <w:rsid w:val="00D57BF9"/>
    <w:rsid w:val="00D57CA8"/>
    <w:rsid w:val="00D57EA3"/>
    <w:rsid w:val="00D60582"/>
    <w:rsid w:val="00D605C2"/>
    <w:rsid w:val="00D60642"/>
    <w:rsid w:val="00D60647"/>
    <w:rsid w:val="00D62548"/>
    <w:rsid w:val="00D62823"/>
    <w:rsid w:val="00D6293B"/>
    <w:rsid w:val="00D62AD9"/>
    <w:rsid w:val="00D62BEC"/>
    <w:rsid w:val="00D62D1B"/>
    <w:rsid w:val="00D62F33"/>
    <w:rsid w:val="00D63C0B"/>
    <w:rsid w:val="00D644DF"/>
    <w:rsid w:val="00D64FDB"/>
    <w:rsid w:val="00D651CA"/>
    <w:rsid w:val="00D6535E"/>
    <w:rsid w:val="00D6593B"/>
    <w:rsid w:val="00D65E16"/>
    <w:rsid w:val="00D66201"/>
    <w:rsid w:val="00D66250"/>
    <w:rsid w:val="00D66698"/>
    <w:rsid w:val="00D67D3D"/>
    <w:rsid w:val="00D67E3B"/>
    <w:rsid w:val="00D705FE"/>
    <w:rsid w:val="00D70655"/>
    <w:rsid w:val="00D708F4"/>
    <w:rsid w:val="00D71654"/>
    <w:rsid w:val="00D71B6F"/>
    <w:rsid w:val="00D71EFF"/>
    <w:rsid w:val="00D72EDF"/>
    <w:rsid w:val="00D7312B"/>
    <w:rsid w:val="00D73F08"/>
    <w:rsid w:val="00D75EB9"/>
    <w:rsid w:val="00D76CDF"/>
    <w:rsid w:val="00D76E83"/>
    <w:rsid w:val="00D770D7"/>
    <w:rsid w:val="00D77704"/>
    <w:rsid w:val="00D77906"/>
    <w:rsid w:val="00D8036C"/>
    <w:rsid w:val="00D80403"/>
    <w:rsid w:val="00D80434"/>
    <w:rsid w:val="00D804A2"/>
    <w:rsid w:val="00D8090E"/>
    <w:rsid w:val="00D81644"/>
    <w:rsid w:val="00D81F20"/>
    <w:rsid w:val="00D82CA0"/>
    <w:rsid w:val="00D832FD"/>
    <w:rsid w:val="00D83361"/>
    <w:rsid w:val="00D8349B"/>
    <w:rsid w:val="00D83F33"/>
    <w:rsid w:val="00D84238"/>
    <w:rsid w:val="00D842AD"/>
    <w:rsid w:val="00D843F0"/>
    <w:rsid w:val="00D84693"/>
    <w:rsid w:val="00D84C48"/>
    <w:rsid w:val="00D85290"/>
    <w:rsid w:val="00D85C44"/>
    <w:rsid w:val="00D8619A"/>
    <w:rsid w:val="00D864CC"/>
    <w:rsid w:val="00D86A5E"/>
    <w:rsid w:val="00D871FE"/>
    <w:rsid w:val="00D87335"/>
    <w:rsid w:val="00D878D2"/>
    <w:rsid w:val="00D90410"/>
    <w:rsid w:val="00D923B3"/>
    <w:rsid w:val="00D9295E"/>
    <w:rsid w:val="00D93BF0"/>
    <w:rsid w:val="00D94225"/>
    <w:rsid w:val="00D94E76"/>
    <w:rsid w:val="00D952CA"/>
    <w:rsid w:val="00D95BE9"/>
    <w:rsid w:val="00D95E4E"/>
    <w:rsid w:val="00D97492"/>
    <w:rsid w:val="00D978A6"/>
    <w:rsid w:val="00D97EDB"/>
    <w:rsid w:val="00D97F2D"/>
    <w:rsid w:val="00DA19EA"/>
    <w:rsid w:val="00DA23E2"/>
    <w:rsid w:val="00DA2552"/>
    <w:rsid w:val="00DA2726"/>
    <w:rsid w:val="00DA3A92"/>
    <w:rsid w:val="00DA3C8F"/>
    <w:rsid w:val="00DA3CFC"/>
    <w:rsid w:val="00DA593D"/>
    <w:rsid w:val="00DA59B1"/>
    <w:rsid w:val="00DA620A"/>
    <w:rsid w:val="00DA68B4"/>
    <w:rsid w:val="00DA6986"/>
    <w:rsid w:val="00DA6D6C"/>
    <w:rsid w:val="00DA7CAC"/>
    <w:rsid w:val="00DA7E64"/>
    <w:rsid w:val="00DB0F4A"/>
    <w:rsid w:val="00DB11C3"/>
    <w:rsid w:val="00DB170D"/>
    <w:rsid w:val="00DB2809"/>
    <w:rsid w:val="00DB324E"/>
    <w:rsid w:val="00DB34F9"/>
    <w:rsid w:val="00DB3B62"/>
    <w:rsid w:val="00DB47BD"/>
    <w:rsid w:val="00DB4C08"/>
    <w:rsid w:val="00DB4DBD"/>
    <w:rsid w:val="00DB4EE3"/>
    <w:rsid w:val="00DB572B"/>
    <w:rsid w:val="00DB66F3"/>
    <w:rsid w:val="00DB702B"/>
    <w:rsid w:val="00DB72A0"/>
    <w:rsid w:val="00DB76B8"/>
    <w:rsid w:val="00DB774B"/>
    <w:rsid w:val="00DB77A8"/>
    <w:rsid w:val="00DC04AC"/>
    <w:rsid w:val="00DC1F83"/>
    <w:rsid w:val="00DC21A0"/>
    <w:rsid w:val="00DC2665"/>
    <w:rsid w:val="00DC27F1"/>
    <w:rsid w:val="00DC2960"/>
    <w:rsid w:val="00DC3290"/>
    <w:rsid w:val="00DC3AFC"/>
    <w:rsid w:val="00DC3E14"/>
    <w:rsid w:val="00DC4476"/>
    <w:rsid w:val="00DC4855"/>
    <w:rsid w:val="00DC498D"/>
    <w:rsid w:val="00DC543B"/>
    <w:rsid w:val="00DC5578"/>
    <w:rsid w:val="00DC6924"/>
    <w:rsid w:val="00DC6959"/>
    <w:rsid w:val="00DC72DD"/>
    <w:rsid w:val="00DD0717"/>
    <w:rsid w:val="00DD0917"/>
    <w:rsid w:val="00DD0FB6"/>
    <w:rsid w:val="00DD16E4"/>
    <w:rsid w:val="00DD18A7"/>
    <w:rsid w:val="00DD2FCB"/>
    <w:rsid w:val="00DD31FF"/>
    <w:rsid w:val="00DD3451"/>
    <w:rsid w:val="00DD351E"/>
    <w:rsid w:val="00DD3DD4"/>
    <w:rsid w:val="00DD58BA"/>
    <w:rsid w:val="00DD5C8C"/>
    <w:rsid w:val="00DD6EA0"/>
    <w:rsid w:val="00DD7154"/>
    <w:rsid w:val="00DE0025"/>
    <w:rsid w:val="00DE10C1"/>
    <w:rsid w:val="00DE1F94"/>
    <w:rsid w:val="00DE2165"/>
    <w:rsid w:val="00DE2391"/>
    <w:rsid w:val="00DE2BCB"/>
    <w:rsid w:val="00DE38EE"/>
    <w:rsid w:val="00DE3ADB"/>
    <w:rsid w:val="00DE3C58"/>
    <w:rsid w:val="00DE438A"/>
    <w:rsid w:val="00DE4434"/>
    <w:rsid w:val="00DE4511"/>
    <w:rsid w:val="00DE476C"/>
    <w:rsid w:val="00DE48D5"/>
    <w:rsid w:val="00DE4D41"/>
    <w:rsid w:val="00DE529C"/>
    <w:rsid w:val="00DE546A"/>
    <w:rsid w:val="00DE57F8"/>
    <w:rsid w:val="00DE6D0A"/>
    <w:rsid w:val="00DE747C"/>
    <w:rsid w:val="00DE766F"/>
    <w:rsid w:val="00DF041C"/>
    <w:rsid w:val="00DF052F"/>
    <w:rsid w:val="00DF0B5D"/>
    <w:rsid w:val="00DF0FCF"/>
    <w:rsid w:val="00DF0FF4"/>
    <w:rsid w:val="00DF194E"/>
    <w:rsid w:val="00DF1D8D"/>
    <w:rsid w:val="00DF1F8A"/>
    <w:rsid w:val="00DF23B6"/>
    <w:rsid w:val="00DF2642"/>
    <w:rsid w:val="00DF286F"/>
    <w:rsid w:val="00DF2AC8"/>
    <w:rsid w:val="00DF2B17"/>
    <w:rsid w:val="00DF33A1"/>
    <w:rsid w:val="00DF33AD"/>
    <w:rsid w:val="00DF3C1F"/>
    <w:rsid w:val="00DF4501"/>
    <w:rsid w:val="00DF4C53"/>
    <w:rsid w:val="00DF5884"/>
    <w:rsid w:val="00DF5A6D"/>
    <w:rsid w:val="00DF5C27"/>
    <w:rsid w:val="00DF5C2D"/>
    <w:rsid w:val="00DF6620"/>
    <w:rsid w:val="00DF6969"/>
    <w:rsid w:val="00DF6B81"/>
    <w:rsid w:val="00DF7186"/>
    <w:rsid w:val="00DF7FDE"/>
    <w:rsid w:val="00E00065"/>
    <w:rsid w:val="00E00BBA"/>
    <w:rsid w:val="00E01BC1"/>
    <w:rsid w:val="00E01C76"/>
    <w:rsid w:val="00E026F0"/>
    <w:rsid w:val="00E03180"/>
    <w:rsid w:val="00E03CCF"/>
    <w:rsid w:val="00E03DAC"/>
    <w:rsid w:val="00E03EA0"/>
    <w:rsid w:val="00E03F81"/>
    <w:rsid w:val="00E04F4E"/>
    <w:rsid w:val="00E050B7"/>
    <w:rsid w:val="00E05426"/>
    <w:rsid w:val="00E05AD0"/>
    <w:rsid w:val="00E05C3E"/>
    <w:rsid w:val="00E05F1D"/>
    <w:rsid w:val="00E064AC"/>
    <w:rsid w:val="00E06EF0"/>
    <w:rsid w:val="00E07C11"/>
    <w:rsid w:val="00E10250"/>
    <w:rsid w:val="00E11059"/>
    <w:rsid w:val="00E1113C"/>
    <w:rsid w:val="00E11178"/>
    <w:rsid w:val="00E11C64"/>
    <w:rsid w:val="00E11E0A"/>
    <w:rsid w:val="00E12501"/>
    <w:rsid w:val="00E12C8D"/>
    <w:rsid w:val="00E12F18"/>
    <w:rsid w:val="00E130D7"/>
    <w:rsid w:val="00E1386D"/>
    <w:rsid w:val="00E13A38"/>
    <w:rsid w:val="00E143A4"/>
    <w:rsid w:val="00E148EA"/>
    <w:rsid w:val="00E1585E"/>
    <w:rsid w:val="00E16907"/>
    <w:rsid w:val="00E171F4"/>
    <w:rsid w:val="00E20089"/>
    <w:rsid w:val="00E20245"/>
    <w:rsid w:val="00E20B80"/>
    <w:rsid w:val="00E217AD"/>
    <w:rsid w:val="00E21822"/>
    <w:rsid w:val="00E21E18"/>
    <w:rsid w:val="00E2207A"/>
    <w:rsid w:val="00E226DD"/>
    <w:rsid w:val="00E23060"/>
    <w:rsid w:val="00E236F1"/>
    <w:rsid w:val="00E239DE"/>
    <w:rsid w:val="00E23D03"/>
    <w:rsid w:val="00E23F06"/>
    <w:rsid w:val="00E23F8B"/>
    <w:rsid w:val="00E24230"/>
    <w:rsid w:val="00E24728"/>
    <w:rsid w:val="00E24C34"/>
    <w:rsid w:val="00E25396"/>
    <w:rsid w:val="00E25599"/>
    <w:rsid w:val="00E260B3"/>
    <w:rsid w:val="00E2683D"/>
    <w:rsid w:val="00E26855"/>
    <w:rsid w:val="00E26914"/>
    <w:rsid w:val="00E27682"/>
    <w:rsid w:val="00E30862"/>
    <w:rsid w:val="00E30DDA"/>
    <w:rsid w:val="00E30E27"/>
    <w:rsid w:val="00E318CF"/>
    <w:rsid w:val="00E31B65"/>
    <w:rsid w:val="00E31C41"/>
    <w:rsid w:val="00E33112"/>
    <w:rsid w:val="00E33A47"/>
    <w:rsid w:val="00E33F9C"/>
    <w:rsid w:val="00E34045"/>
    <w:rsid w:val="00E34235"/>
    <w:rsid w:val="00E34289"/>
    <w:rsid w:val="00E35427"/>
    <w:rsid w:val="00E356F4"/>
    <w:rsid w:val="00E35EB5"/>
    <w:rsid w:val="00E3657A"/>
    <w:rsid w:val="00E37B1A"/>
    <w:rsid w:val="00E37F88"/>
    <w:rsid w:val="00E40293"/>
    <w:rsid w:val="00E403A3"/>
    <w:rsid w:val="00E40AA2"/>
    <w:rsid w:val="00E40B34"/>
    <w:rsid w:val="00E40B93"/>
    <w:rsid w:val="00E41A68"/>
    <w:rsid w:val="00E420FA"/>
    <w:rsid w:val="00E427A0"/>
    <w:rsid w:val="00E42918"/>
    <w:rsid w:val="00E42C00"/>
    <w:rsid w:val="00E42C5F"/>
    <w:rsid w:val="00E431F4"/>
    <w:rsid w:val="00E4339D"/>
    <w:rsid w:val="00E44081"/>
    <w:rsid w:val="00E44569"/>
    <w:rsid w:val="00E448D3"/>
    <w:rsid w:val="00E4545A"/>
    <w:rsid w:val="00E4594D"/>
    <w:rsid w:val="00E46D72"/>
    <w:rsid w:val="00E50328"/>
    <w:rsid w:val="00E507C5"/>
    <w:rsid w:val="00E508BB"/>
    <w:rsid w:val="00E509EB"/>
    <w:rsid w:val="00E5181E"/>
    <w:rsid w:val="00E51A8F"/>
    <w:rsid w:val="00E51B6D"/>
    <w:rsid w:val="00E5252E"/>
    <w:rsid w:val="00E526E3"/>
    <w:rsid w:val="00E52924"/>
    <w:rsid w:val="00E52CCA"/>
    <w:rsid w:val="00E53417"/>
    <w:rsid w:val="00E541BA"/>
    <w:rsid w:val="00E54216"/>
    <w:rsid w:val="00E546BA"/>
    <w:rsid w:val="00E54AAA"/>
    <w:rsid w:val="00E55B53"/>
    <w:rsid w:val="00E55BD9"/>
    <w:rsid w:val="00E560EC"/>
    <w:rsid w:val="00E5621E"/>
    <w:rsid w:val="00E56566"/>
    <w:rsid w:val="00E5674C"/>
    <w:rsid w:val="00E574FC"/>
    <w:rsid w:val="00E57C54"/>
    <w:rsid w:val="00E60339"/>
    <w:rsid w:val="00E60BF4"/>
    <w:rsid w:val="00E61835"/>
    <w:rsid w:val="00E62094"/>
    <w:rsid w:val="00E62EB2"/>
    <w:rsid w:val="00E63655"/>
    <w:rsid w:val="00E63D10"/>
    <w:rsid w:val="00E63F46"/>
    <w:rsid w:val="00E64D18"/>
    <w:rsid w:val="00E64E93"/>
    <w:rsid w:val="00E64F4A"/>
    <w:rsid w:val="00E65AF4"/>
    <w:rsid w:val="00E66461"/>
    <w:rsid w:val="00E67001"/>
    <w:rsid w:val="00E67713"/>
    <w:rsid w:val="00E67A94"/>
    <w:rsid w:val="00E67B1F"/>
    <w:rsid w:val="00E70066"/>
    <w:rsid w:val="00E70351"/>
    <w:rsid w:val="00E703A3"/>
    <w:rsid w:val="00E714BC"/>
    <w:rsid w:val="00E71949"/>
    <w:rsid w:val="00E72366"/>
    <w:rsid w:val="00E72453"/>
    <w:rsid w:val="00E72C8F"/>
    <w:rsid w:val="00E73941"/>
    <w:rsid w:val="00E74366"/>
    <w:rsid w:val="00E74927"/>
    <w:rsid w:val="00E75310"/>
    <w:rsid w:val="00E75E92"/>
    <w:rsid w:val="00E773BD"/>
    <w:rsid w:val="00E77503"/>
    <w:rsid w:val="00E80BBC"/>
    <w:rsid w:val="00E81199"/>
    <w:rsid w:val="00E813CB"/>
    <w:rsid w:val="00E81968"/>
    <w:rsid w:val="00E81C2C"/>
    <w:rsid w:val="00E82136"/>
    <w:rsid w:val="00E8223E"/>
    <w:rsid w:val="00E8233A"/>
    <w:rsid w:val="00E826C7"/>
    <w:rsid w:val="00E82C25"/>
    <w:rsid w:val="00E82D0C"/>
    <w:rsid w:val="00E848E0"/>
    <w:rsid w:val="00E84FBC"/>
    <w:rsid w:val="00E86353"/>
    <w:rsid w:val="00E8640C"/>
    <w:rsid w:val="00E865E7"/>
    <w:rsid w:val="00E87BC3"/>
    <w:rsid w:val="00E91372"/>
    <w:rsid w:val="00E91506"/>
    <w:rsid w:val="00E92571"/>
    <w:rsid w:val="00E92668"/>
    <w:rsid w:val="00E92A7E"/>
    <w:rsid w:val="00E92D99"/>
    <w:rsid w:val="00E937BF"/>
    <w:rsid w:val="00E93B8E"/>
    <w:rsid w:val="00E947FB"/>
    <w:rsid w:val="00E94C0A"/>
    <w:rsid w:val="00E956D0"/>
    <w:rsid w:val="00E9593E"/>
    <w:rsid w:val="00E95D13"/>
    <w:rsid w:val="00E963EE"/>
    <w:rsid w:val="00E96510"/>
    <w:rsid w:val="00E96B49"/>
    <w:rsid w:val="00E96D32"/>
    <w:rsid w:val="00E96DA9"/>
    <w:rsid w:val="00E974AD"/>
    <w:rsid w:val="00E9761D"/>
    <w:rsid w:val="00E97D48"/>
    <w:rsid w:val="00E97DEE"/>
    <w:rsid w:val="00EA02D4"/>
    <w:rsid w:val="00EA038E"/>
    <w:rsid w:val="00EA03DC"/>
    <w:rsid w:val="00EA0803"/>
    <w:rsid w:val="00EA1212"/>
    <w:rsid w:val="00EA17DF"/>
    <w:rsid w:val="00EA1E68"/>
    <w:rsid w:val="00EA1F40"/>
    <w:rsid w:val="00EA209E"/>
    <w:rsid w:val="00EA2371"/>
    <w:rsid w:val="00EA2C4E"/>
    <w:rsid w:val="00EA3034"/>
    <w:rsid w:val="00EA36AD"/>
    <w:rsid w:val="00EA3978"/>
    <w:rsid w:val="00EA3BE0"/>
    <w:rsid w:val="00EA3FE0"/>
    <w:rsid w:val="00EA4624"/>
    <w:rsid w:val="00EA50BD"/>
    <w:rsid w:val="00EA52B8"/>
    <w:rsid w:val="00EA5460"/>
    <w:rsid w:val="00EA55C0"/>
    <w:rsid w:val="00EA58E5"/>
    <w:rsid w:val="00EA5C4F"/>
    <w:rsid w:val="00EA6269"/>
    <w:rsid w:val="00EA674B"/>
    <w:rsid w:val="00EA7A05"/>
    <w:rsid w:val="00EA7AEC"/>
    <w:rsid w:val="00EA7E88"/>
    <w:rsid w:val="00EB0157"/>
    <w:rsid w:val="00EB0A85"/>
    <w:rsid w:val="00EB0B18"/>
    <w:rsid w:val="00EB0DF1"/>
    <w:rsid w:val="00EB0F2F"/>
    <w:rsid w:val="00EB135A"/>
    <w:rsid w:val="00EB1AE0"/>
    <w:rsid w:val="00EB1C31"/>
    <w:rsid w:val="00EB211B"/>
    <w:rsid w:val="00EB27AA"/>
    <w:rsid w:val="00EB30AB"/>
    <w:rsid w:val="00EB39BA"/>
    <w:rsid w:val="00EB5151"/>
    <w:rsid w:val="00EB5799"/>
    <w:rsid w:val="00EB64F0"/>
    <w:rsid w:val="00EB6D99"/>
    <w:rsid w:val="00EC0016"/>
    <w:rsid w:val="00EC091E"/>
    <w:rsid w:val="00EC13A3"/>
    <w:rsid w:val="00EC1CC4"/>
    <w:rsid w:val="00EC1E78"/>
    <w:rsid w:val="00EC1F2B"/>
    <w:rsid w:val="00EC2047"/>
    <w:rsid w:val="00EC23A3"/>
    <w:rsid w:val="00EC2774"/>
    <w:rsid w:val="00EC2A8C"/>
    <w:rsid w:val="00EC305F"/>
    <w:rsid w:val="00EC3855"/>
    <w:rsid w:val="00EC3C72"/>
    <w:rsid w:val="00EC4983"/>
    <w:rsid w:val="00EC4C3D"/>
    <w:rsid w:val="00EC4D2A"/>
    <w:rsid w:val="00EC5415"/>
    <w:rsid w:val="00EC5EDD"/>
    <w:rsid w:val="00EC7331"/>
    <w:rsid w:val="00EC7463"/>
    <w:rsid w:val="00ED0767"/>
    <w:rsid w:val="00ED14DB"/>
    <w:rsid w:val="00ED1571"/>
    <w:rsid w:val="00ED1A3B"/>
    <w:rsid w:val="00ED200E"/>
    <w:rsid w:val="00ED2BBF"/>
    <w:rsid w:val="00ED2D24"/>
    <w:rsid w:val="00ED2E33"/>
    <w:rsid w:val="00ED3197"/>
    <w:rsid w:val="00ED342C"/>
    <w:rsid w:val="00ED43CD"/>
    <w:rsid w:val="00ED57F6"/>
    <w:rsid w:val="00ED5BA9"/>
    <w:rsid w:val="00ED605D"/>
    <w:rsid w:val="00ED6E23"/>
    <w:rsid w:val="00ED6FD3"/>
    <w:rsid w:val="00ED73F6"/>
    <w:rsid w:val="00ED77B3"/>
    <w:rsid w:val="00ED7A3D"/>
    <w:rsid w:val="00EE022A"/>
    <w:rsid w:val="00EE0EC1"/>
    <w:rsid w:val="00EE12DD"/>
    <w:rsid w:val="00EE16F3"/>
    <w:rsid w:val="00EE172C"/>
    <w:rsid w:val="00EE17B1"/>
    <w:rsid w:val="00EE2767"/>
    <w:rsid w:val="00EE27F3"/>
    <w:rsid w:val="00EE2E9C"/>
    <w:rsid w:val="00EE30FF"/>
    <w:rsid w:val="00EE3706"/>
    <w:rsid w:val="00EE39F1"/>
    <w:rsid w:val="00EE39F7"/>
    <w:rsid w:val="00EE3A17"/>
    <w:rsid w:val="00EE57EF"/>
    <w:rsid w:val="00EE5E20"/>
    <w:rsid w:val="00EE62E2"/>
    <w:rsid w:val="00EE6C91"/>
    <w:rsid w:val="00EE7CA0"/>
    <w:rsid w:val="00EF04A5"/>
    <w:rsid w:val="00EF06F2"/>
    <w:rsid w:val="00EF08A6"/>
    <w:rsid w:val="00EF15AC"/>
    <w:rsid w:val="00EF1B19"/>
    <w:rsid w:val="00EF1B47"/>
    <w:rsid w:val="00EF2306"/>
    <w:rsid w:val="00EF2CCA"/>
    <w:rsid w:val="00EF3E4D"/>
    <w:rsid w:val="00EF41D5"/>
    <w:rsid w:val="00EF4BAB"/>
    <w:rsid w:val="00EF4C54"/>
    <w:rsid w:val="00EF4E88"/>
    <w:rsid w:val="00EF5C5B"/>
    <w:rsid w:val="00EF76C7"/>
    <w:rsid w:val="00EF7800"/>
    <w:rsid w:val="00EF79D4"/>
    <w:rsid w:val="00EF7CB6"/>
    <w:rsid w:val="00EF7D56"/>
    <w:rsid w:val="00F0010B"/>
    <w:rsid w:val="00F00EC9"/>
    <w:rsid w:val="00F00F68"/>
    <w:rsid w:val="00F0133A"/>
    <w:rsid w:val="00F01EC9"/>
    <w:rsid w:val="00F025B5"/>
    <w:rsid w:val="00F02DD5"/>
    <w:rsid w:val="00F02E96"/>
    <w:rsid w:val="00F02FFE"/>
    <w:rsid w:val="00F03E0B"/>
    <w:rsid w:val="00F03E0F"/>
    <w:rsid w:val="00F0474B"/>
    <w:rsid w:val="00F0523E"/>
    <w:rsid w:val="00F05462"/>
    <w:rsid w:val="00F0597E"/>
    <w:rsid w:val="00F060BD"/>
    <w:rsid w:val="00F076F0"/>
    <w:rsid w:val="00F07752"/>
    <w:rsid w:val="00F079FB"/>
    <w:rsid w:val="00F105B6"/>
    <w:rsid w:val="00F10890"/>
    <w:rsid w:val="00F1134E"/>
    <w:rsid w:val="00F12039"/>
    <w:rsid w:val="00F126F9"/>
    <w:rsid w:val="00F12A9C"/>
    <w:rsid w:val="00F12D06"/>
    <w:rsid w:val="00F1366C"/>
    <w:rsid w:val="00F138FC"/>
    <w:rsid w:val="00F13E1C"/>
    <w:rsid w:val="00F14187"/>
    <w:rsid w:val="00F16019"/>
    <w:rsid w:val="00F16252"/>
    <w:rsid w:val="00F16C33"/>
    <w:rsid w:val="00F17CB8"/>
    <w:rsid w:val="00F20E94"/>
    <w:rsid w:val="00F212F1"/>
    <w:rsid w:val="00F217B2"/>
    <w:rsid w:val="00F21A83"/>
    <w:rsid w:val="00F220BD"/>
    <w:rsid w:val="00F22327"/>
    <w:rsid w:val="00F22651"/>
    <w:rsid w:val="00F226D7"/>
    <w:rsid w:val="00F22D0D"/>
    <w:rsid w:val="00F23CBE"/>
    <w:rsid w:val="00F23E0F"/>
    <w:rsid w:val="00F23E56"/>
    <w:rsid w:val="00F24561"/>
    <w:rsid w:val="00F24A52"/>
    <w:rsid w:val="00F25009"/>
    <w:rsid w:val="00F25413"/>
    <w:rsid w:val="00F255D9"/>
    <w:rsid w:val="00F25B65"/>
    <w:rsid w:val="00F25E08"/>
    <w:rsid w:val="00F25EA9"/>
    <w:rsid w:val="00F26635"/>
    <w:rsid w:val="00F26B9C"/>
    <w:rsid w:val="00F26C33"/>
    <w:rsid w:val="00F26D30"/>
    <w:rsid w:val="00F26D68"/>
    <w:rsid w:val="00F270D4"/>
    <w:rsid w:val="00F27242"/>
    <w:rsid w:val="00F27692"/>
    <w:rsid w:val="00F278D9"/>
    <w:rsid w:val="00F279DA"/>
    <w:rsid w:val="00F27C32"/>
    <w:rsid w:val="00F27C36"/>
    <w:rsid w:val="00F27C65"/>
    <w:rsid w:val="00F27FAA"/>
    <w:rsid w:val="00F3042B"/>
    <w:rsid w:val="00F30E7D"/>
    <w:rsid w:val="00F31113"/>
    <w:rsid w:val="00F3168A"/>
    <w:rsid w:val="00F316BA"/>
    <w:rsid w:val="00F32A77"/>
    <w:rsid w:val="00F32E1A"/>
    <w:rsid w:val="00F33382"/>
    <w:rsid w:val="00F33413"/>
    <w:rsid w:val="00F33527"/>
    <w:rsid w:val="00F337BF"/>
    <w:rsid w:val="00F33E92"/>
    <w:rsid w:val="00F3457F"/>
    <w:rsid w:val="00F36003"/>
    <w:rsid w:val="00F3703D"/>
    <w:rsid w:val="00F3779E"/>
    <w:rsid w:val="00F37929"/>
    <w:rsid w:val="00F40A97"/>
    <w:rsid w:val="00F40FF2"/>
    <w:rsid w:val="00F4245B"/>
    <w:rsid w:val="00F42A3A"/>
    <w:rsid w:val="00F42BDF"/>
    <w:rsid w:val="00F43190"/>
    <w:rsid w:val="00F4350D"/>
    <w:rsid w:val="00F438D5"/>
    <w:rsid w:val="00F43F9F"/>
    <w:rsid w:val="00F44A44"/>
    <w:rsid w:val="00F457A9"/>
    <w:rsid w:val="00F4593D"/>
    <w:rsid w:val="00F45EE6"/>
    <w:rsid w:val="00F46006"/>
    <w:rsid w:val="00F462E1"/>
    <w:rsid w:val="00F4641B"/>
    <w:rsid w:val="00F467A4"/>
    <w:rsid w:val="00F469E1"/>
    <w:rsid w:val="00F478B7"/>
    <w:rsid w:val="00F47AAC"/>
    <w:rsid w:val="00F50083"/>
    <w:rsid w:val="00F5018A"/>
    <w:rsid w:val="00F501A0"/>
    <w:rsid w:val="00F50346"/>
    <w:rsid w:val="00F505AD"/>
    <w:rsid w:val="00F51467"/>
    <w:rsid w:val="00F51516"/>
    <w:rsid w:val="00F523E0"/>
    <w:rsid w:val="00F525C7"/>
    <w:rsid w:val="00F5295C"/>
    <w:rsid w:val="00F52C9E"/>
    <w:rsid w:val="00F52F0E"/>
    <w:rsid w:val="00F52F4B"/>
    <w:rsid w:val="00F5332A"/>
    <w:rsid w:val="00F539BD"/>
    <w:rsid w:val="00F55B6C"/>
    <w:rsid w:val="00F55F1B"/>
    <w:rsid w:val="00F575D3"/>
    <w:rsid w:val="00F57A92"/>
    <w:rsid w:val="00F57C27"/>
    <w:rsid w:val="00F57CF2"/>
    <w:rsid w:val="00F60FFC"/>
    <w:rsid w:val="00F6168F"/>
    <w:rsid w:val="00F62041"/>
    <w:rsid w:val="00F629EF"/>
    <w:rsid w:val="00F62BE6"/>
    <w:rsid w:val="00F62CAE"/>
    <w:rsid w:val="00F63C0A"/>
    <w:rsid w:val="00F63F24"/>
    <w:rsid w:val="00F64FA3"/>
    <w:rsid w:val="00F65A61"/>
    <w:rsid w:val="00F66051"/>
    <w:rsid w:val="00F66143"/>
    <w:rsid w:val="00F661D3"/>
    <w:rsid w:val="00F66E9F"/>
    <w:rsid w:val="00F675DE"/>
    <w:rsid w:val="00F67CA8"/>
    <w:rsid w:val="00F67FB7"/>
    <w:rsid w:val="00F703E0"/>
    <w:rsid w:val="00F71FB8"/>
    <w:rsid w:val="00F720F7"/>
    <w:rsid w:val="00F722DD"/>
    <w:rsid w:val="00F7238C"/>
    <w:rsid w:val="00F734BB"/>
    <w:rsid w:val="00F737A1"/>
    <w:rsid w:val="00F73B1D"/>
    <w:rsid w:val="00F74203"/>
    <w:rsid w:val="00F7442C"/>
    <w:rsid w:val="00F749AF"/>
    <w:rsid w:val="00F74C80"/>
    <w:rsid w:val="00F76941"/>
    <w:rsid w:val="00F76DED"/>
    <w:rsid w:val="00F7729F"/>
    <w:rsid w:val="00F77720"/>
    <w:rsid w:val="00F779EC"/>
    <w:rsid w:val="00F80437"/>
    <w:rsid w:val="00F806A5"/>
    <w:rsid w:val="00F81284"/>
    <w:rsid w:val="00F813A3"/>
    <w:rsid w:val="00F81FDF"/>
    <w:rsid w:val="00F823EC"/>
    <w:rsid w:val="00F82534"/>
    <w:rsid w:val="00F8301D"/>
    <w:rsid w:val="00F8310F"/>
    <w:rsid w:val="00F83143"/>
    <w:rsid w:val="00F834B0"/>
    <w:rsid w:val="00F83A6E"/>
    <w:rsid w:val="00F83DD4"/>
    <w:rsid w:val="00F84193"/>
    <w:rsid w:val="00F853BE"/>
    <w:rsid w:val="00F853CC"/>
    <w:rsid w:val="00F855BF"/>
    <w:rsid w:val="00F86126"/>
    <w:rsid w:val="00F868F9"/>
    <w:rsid w:val="00F86A20"/>
    <w:rsid w:val="00F86E13"/>
    <w:rsid w:val="00F87F9A"/>
    <w:rsid w:val="00F90081"/>
    <w:rsid w:val="00F906CD"/>
    <w:rsid w:val="00F91B57"/>
    <w:rsid w:val="00F91B63"/>
    <w:rsid w:val="00F91EB9"/>
    <w:rsid w:val="00F92251"/>
    <w:rsid w:val="00F9236F"/>
    <w:rsid w:val="00F9246F"/>
    <w:rsid w:val="00F924BF"/>
    <w:rsid w:val="00F9296E"/>
    <w:rsid w:val="00F93210"/>
    <w:rsid w:val="00F93A09"/>
    <w:rsid w:val="00F93EFA"/>
    <w:rsid w:val="00F943F8"/>
    <w:rsid w:val="00F944CF"/>
    <w:rsid w:val="00F94CF1"/>
    <w:rsid w:val="00F950F4"/>
    <w:rsid w:val="00F9521C"/>
    <w:rsid w:val="00F95598"/>
    <w:rsid w:val="00F963BA"/>
    <w:rsid w:val="00F972B6"/>
    <w:rsid w:val="00F97AE8"/>
    <w:rsid w:val="00FA03AC"/>
    <w:rsid w:val="00FA13D9"/>
    <w:rsid w:val="00FA2521"/>
    <w:rsid w:val="00FA296C"/>
    <w:rsid w:val="00FA3787"/>
    <w:rsid w:val="00FA3DF6"/>
    <w:rsid w:val="00FA4F44"/>
    <w:rsid w:val="00FA5B2F"/>
    <w:rsid w:val="00FA5BAA"/>
    <w:rsid w:val="00FA5E25"/>
    <w:rsid w:val="00FA5F05"/>
    <w:rsid w:val="00FA73A3"/>
    <w:rsid w:val="00FA790C"/>
    <w:rsid w:val="00FA7B9B"/>
    <w:rsid w:val="00FA7D26"/>
    <w:rsid w:val="00FB0986"/>
    <w:rsid w:val="00FB0B75"/>
    <w:rsid w:val="00FB0C99"/>
    <w:rsid w:val="00FB0D2C"/>
    <w:rsid w:val="00FB153F"/>
    <w:rsid w:val="00FB17D8"/>
    <w:rsid w:val="00FB183E"/>
    <w:rsid w:val="00FB1939"/>
    <w:rsid w:val="00FB1AF2"/>
    <w:rsid w:val="00FB1CAA"/>
    <w:rsid w:val="00FB1D35"/>
    <w:rsid w:val="00FB2171"/>
    <w:rsid w:val="00FB28FC"/>
    <w:rsid w:val="00FB2F70"/>
    <w:rsid w:val="00FB3AD6"/>
    <w:rsid w:val="00FB4B6A"/>
    <w:rsid w:val="00FB581F"/>
    <w:rsid w:val="00FB582B"/>
    <w:rsid w:val="00FB5F62"/>
    <w:rsid w:val="00FB6392"/>
    <w:rsid w:val="00FB68C6"/>
    <w:rsid w:val="00FB6AB0"/>
    <w:rsid w:val="00FB76F7"/>
    <w:rsid w:val="00FC09A0"/>
    <w:rsid w:val="00FC09EA"/>
    <w:rsid w:val="00FC0D16"/>
    <w:rsid w:val="00FC0D4C"/>
    <w:rsid w:val="00FC2A28"/>
    <w:rsid w:val="00FC2B3F"/>
    <w:rsid w:val="00FC2F41"/>
    <w:rsid w:val="00FC2FC1"/>
    <w:rsid w:val="00FC3123"/>
    <w:rsid w:val="00FC3EDF"/>
    <w:rsid w:val="00FC4418"/>
    <w:rsid w:val="00FC4BAC"/>
    <w:rsid w:val="00FC4C13"/>
    <w:rsid w:val="00FC585C"/>
    <w:rsid w:val="00FC5F4A"/>
    <w:rsid w:val="00FC6044"/>
    <w:rsid w:val="00FC62EA"/>
    <w:rsid w:val="00FC6E02"/>
    <w:rsid w:val="00FC7376"/>
    <w:rsid w:val="00FC7416"/>
    <w:rsid w:val="00FC74C1"/>
    <w:rsid w:val="00FC7686"/>
    <w:rsid w:val="00FC7C08"/>
    <w:rsid w:val="00FC7D6E"/>
    <w:rsid w:val="00FD0A98"/>
    <w:rsid w:val="00FD0E38"/>
    <w:rsid w:val="00FD0F0D"/>
    <w:rsid w:val="00FD11B2"/>
    <w:rsid w:val="00FD138D"/>
    <w:rsid w:val="00FD14F2"/>
    <w:rsid w:val="00FD1FF3"/>
    <w:rsid w:val="00FD332F"/>
    <w:rsid w:val="00FD3B62"/>
    <w:rsid w:val="00FD3D88"/>
    <w:rsid w:val="00FD3ECF"/>
    <w:rsid w:val="00FD4322"/>
    <w:rsid w:val="00FD4833"/>
    <w:rsid w:val="00FD4EE6"/>
    <w:rsid w:val="00FD5075"/>
    <w:rsid w:val="00FD55B2"/>
    <w:rsid w:val="00FD5D7E"/>
    <w:rsid w:val="00FD67FA"/>
    <w:rsid w:val="00FD6A22"/>
    <w:rsid w:val="00FD6CB6"/>
    <w:rsid w:val="00FD6F6A"/>
    <w:rsid w:val="00FD7171"/>
    <w:rsid w:val="00FD72E9"/>
    <w:rsid w:val="00FD7671"/>
    <w:rsid w:val="00FD79C7"/>
    <w:rsid w:val="00FD7FF9"/>
    <w:rsid w:val="00FE008C"/>
    <w:rsid w:val="00FE00FF"/>
    <w:rsid w:val="00FE020A"/>
    <w:rsid w:val="00FE03EF"/>
    <w:rsid w:val="00FE0495"/>
    <w:rsid w:val="00FE0B08"/>
    <w:rsid w:val="00FE17CB"/>
    <w:rsid w:val="00FE1B4A"/>
    <w:rsid w:val="00FE1CD0"/>
    <w:rsid w:val="00FE23D7"/>
    <w:rsid w:val="00FE2410"/>
    <w:rsid w:val="00FE29EA"/>
    <w:rsid w:val="00FE37FA"/>
    <w:rsid w:val="00FE427B"/>
    <w:rsid w:val="00FE427D"/>
    <w:rsid w:val="00FE42A0"/>
    <w:rsid w:val="00FE44BF"/>
    <w:rsid w:val="00FE46AD"/>
    <w:rsid w:val="00FE4B42"/>
    <w:rsid w:val="00FE4BE1"/>
    <w:rsid w:val="00FE53FE"/>
    <w:rsid w:val="00FE58A8"/>
    <w:rsid w:val="00FE5EEA"/>
    <w:rsid w:val="00FE64E0"/>
    <w:rsid w:val="00FE6CA6"/>
    <w:rsid w:val="00FE758C"/>
    <w:rsid w:val="00FE7C5E"/>
    <w:rsid w:val="00FF030E"/>
    <w:rsid w:val="00FF0354"/>
    <w:rsid w:val="00FF0B4E"/>
    <w:rsid w:val="00FF0F68"/>
    <w:rsid w:val="00FF2099"/>
    <w:rsid w:val="00FF2204"/>
    <w:rsid w:val="00FF2A70"/>
    <w:rsid w:val="00FF2BB9"/>
    <w:rsid w:val="00FF3314"/>
    <w:rsid w:val="00FF38BA"/>
    <w:rsid w:val="00FF43D7"/>
    <w:rsid w:val="00FF49CD"/>
    <w:rsid w:val="00FF5462"/>
    <w:rsid w:val="00FF59BF"/>
    <w:rsid w:val="00FF5AAE"/>
    <w:rsid w:val="00FF66D0"/>
    <w:rsid w:val="00FF6CBF"/>
    <w:rsid w:val="00FF6DBC"/>
    <w:rsid w:val="00FF6DBE"/>
    <w:rsid w:val="00FF7292"/>
    <w:rsid w:val="00FF741C"/>
    <w:rsid w:val="00FF75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fill="f" fillcolor="white">
      <v:fill color="white" on="f"/>
      <o:colormru v:ext="edit" colors="#ddd,#00407a,#52006b,#eaeaea,#f4f4f4"/>
    </o:shapedefaults>
    <o:shapelayout v:ext="edit">
      <o:idmap v:ext="edit" data="1"/>
    </o:shapelayout>
  </w:shapeDefaults>
  <w:decimalSymbol w:val="."/>
  <w:listSeparator w:val=","/>
  <w14:docId w14:val="31D1D9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List Bullet"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52799"/>
    <w:rPr>
      <w:rFonts w:ascii="Arial" w:hAnsi="Arial" w:cs="Arial"/>
      <w:sz w:val="28"/>
      <w:lang w:eastAsia="en-US"/>
    </w:rPr>
  </w:style>
  <w:style w:type="paragraph" w:styleId="Heading1">
    <w:name w:val="heading 1"/>
    <w:next w:val="Heading2"/>
    <w:link w:val="Heading1Char"/>
    <w:qFormat/>
    <w:rsid w:val="00E33A47"/>
    <w:pPr>
      <w:keepNext/>
      <w:numPr>
        <w:numId w:val="30"/>
      </w:numPr>
      <w:spacing w:before="240" w:after="60"/>
      <w:outlineLvl w:val="0"/>
    </w:pPr>
    <w:rPr>
      <w:rFonts w:ascii="Arial" w:hAnsi="Arial" w:cs="Arial"/>
      <w:b/>
      <w:color w:val="01356E"/>
      <w:sz w:val="32"/>
      <w:szCs w:val="36"/>
      <w:lang w:eastAsia="en-US"/>
    </w:rPr>
  </w:style>
  <w:style w:type="paragraph" w:styleId="Heading2">
    <w:name w:val="heading 2"/>
    <w:next w:val="BodyText"/>
    <w:link w:val="Heading2Char"/>
    <w:qFormat/>
    <w:rsid w:val="00792F95"/>
    <w:pPr>
      <w:keepNext/>
      <w:numPr>
        <w:ilvl w:val="1"/>
        <w:numId w:val="30"/>
      </w:numPr>
      <w:tabs>
        <w:tab w:val="left" w:pos="907"/>
      </w:tabs>
      <w:spacing w:before="200" w:after="60"/>
      <w:outlineLvl w:val="1"/>
    </w:pPr>
    <w:rPr>
      <w:rFonts w:ascii="Arial" w:hAnsi="Arial" w:cs="Arial"/>
      <w:b/>
      <w:color w:val="01356E"/>
      <w:sz w:val="28"/>
      <w:szCs w:val="28"/>
      <w:lang w:eastAsia="en-US"/>
    </w:rPr>
  </w:style>
  <w:style w:type="paragraph" w:styleId="Heading3">
    <w:name w:val="heading 3"/>
    <w:next w:val="BodyText"/>
    <w:qFormat/>
    <w:rsid w:val="0075039F"/>
    <w:pPr>
      <w:keepNext/>
      <w:numPr>
        <w:ilvl w:val="2"/>
        <w:numId w:val="30"/>
      </w:numPr>
      <w:tabs>
        <w:tab w:val="left" w:pos="907"/>
      </w:tabs>
      <w:spacing w:before="200" w:after="120"/>
      <w:outlineLvl w:val="2"/>
    </w:pPr>
    <w:rPr>
      <w:rFonts w:ascii="Arial" w:hAnsi="Arial" w:cs="Arial"/>
      <w:b/>
      <w:color w:val="01356E"/>
      <w:sz w:val="24"/>
      <w:szCs w:val="26"/>
      <w:lang w:eastAsia="en-US"/>
    </w:rPr>
  </w:style>
  <w:style w:type="paragraph" w:styleId="Heading4">
    <w:name w:val="heading 4"/>
    <w:next w:val="BodyText"/>
    <w:qFormat/>
    <w:rsid w:val="00FD4833"/>
    <w:pPr>
      <w:keepNext/>
      <w:numPr>
        <w:ilvl w:val="3"/>
        <w:numId w:val="30"/>
      </w:numPr>
      <w:spacing w:before="120" w:after="100"/>
      <w:outlineLvl w:val="3"/>
    </w:pPr>
    <w:rPr>
      <w:rFonts w:ascii="Arial" w:hAnsi="Arial" w:cs="Arial"/>
      <w:b/>
      <w:color w:val="01356E"/>
      <w:lang w:eastAsia="en-US"/>
    </w:rPr>
  </w:style>
  <w:style w:type="paragraph" w:styleId="Heading5">
    <w:name w:val="heading 5"/>
    <w:basedOn w:val="Normal"/>
    <w:next w:val="Normal"/>
    <w:qFormat/>
    <w:rsid w:val="00142D2A"/>
    <w:pPr>
      <w:spacing w:before="240" w:after="60"/>
      <w:outlineLvl w:val="4"/>
    </w:pPr>
    <w:rPr>
      <w:bCs/>
      <w:iCs/>
      <w:color w:val="FF0000"/>
      <w:szCs w:val="26"/>
      <w:u w:val="single"/>
    </w:rPr>
  </w:style>
  <w:style w:type="paragraph" w:styleId="Heading6">
    <w:name w:val="heading 6"/>
    <w:basedOn w:val="Normal"/>
    <w:next w:val="Normal"/>
    <w:qFormat/>
    <w:rsid w:val="00026D1B"/>
    <w:pPr>
      <w:spacing w:before="240" w:after="60"/>
      <w:outlineLvl w:val="5"/>
    </w:pPr>
    <w:rPr>
      <w:b/>
      <w:bCs/>
      <w:color w:val="FF0000"/>
      <w:u w:val="single"/>
    </w:rPr>
  </w:style>
  <w:style w:type="paragraph" w:styleId="Heading7">
    <w:name w:val="heading 7"/>
    <w:basedOn w:val="Normal"/>
    <w:next w:val="Normal"/>
    <w:qFormat/>
    <w:rsid w:val="00026D1B"/>
    <w:pPr>
      <w:spacing w:before="240" w:after="60"/>
      <w:outlineLvl w:val="6"/>
    </w:pPr>
    <w:rPr>
      <w:color w:val="FF0000"/>
      <w:szCs w:val="24"/>
      <w:u w:val="single"/>
    </w:rPr>
  </w:style>
  <w:style w:type="paragraph" w:styleId="Heading8">
    <w:name w:val="heading 8"/>
    <w:basedOn w:val="Normal"/>
    <w:next w:val="Normal"/>
    <w:qFormat/>
    <w:rsid w:val="00026D1B"/>
    <w:pPr>
      <w:spacing w:before="240" w:after="60"/>
      <w:outlineLvl w:val="7"/>
    </w:pPr>
    <w:rPr>
      <w:i/>
      <w:iCs/>
      <w:color w:val="FF0000"/>
      <w:szCs w:val="24"/>
      <w:u w:val="single"/>
    </w:rPr>
  </w:style>
  <w:style w:type="paragraph" w:styleId="Heading9">
    <w:name w:val="heading 9"/>
    <w:basedOn w:val="Normal"/>
    <w:qFormat/>
    <w:rsid w:val="00026D1B"/>
    <w:pPr>
      <w:spacing w:before="240" w:after="60"/>
      <w:outlineLvl w:val="8"/>
    </w:pPr>
    <w:rPr>
      <w:color w:val="FF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semiHidden/>
    <w:rsid w:val="00C15D7C"/>
    <w:pPr>
      <w:numPr>
        <w:numId w:val="18"/>
      </w:numPr>
    </w:pPr>
  </w:style>
  <w:style w:type="paragraph" w:customStyle="1" w:styleId="Level0-HeadingTOC">
    <w:name w:val="Level 0 - Heading (TOC)"/>
    <w:next w:val="LegalBodyText"/>
    <w:semiHidden/>
    <w:rsid w:val="00810EF3"/>
    <w:pPr>
      <w:spacing w:before="120" w:after="120"/>
      <w:outlineLvl w:val="8"/>
    </w:pPr>
    <w:rPr>
      <w:rFonts w:ascii="Arial" w:hAnsi="Arial" w:cs="Arial"/>
      <w:b/>
      <w:caps/>
      <w:color w:val="01356E"/>
      <w:sz w:val="22"/>
      <w:szCs w:val="22"/>
      <w:lang w:eastAsia="en-US"/>
    </w:rPr>
  </w:style>
  <w:style w:type="paragraph" w:customStyle="1" w:styleId="Level0-Recitals">
    <w:name w:val="Level 0 - Recitals"/>
    <w:rsid w:val="0053488D"/>
    <w:pPr>
      <w:numPr>
        <w:numId w:val="23"/>
      </w:numPr>
      <w:tabs>
        <w:tab w:val="clear" w:pos="709"/>
        <w:tab w:val="left" w:pos="794"/>
      </w:tabs>
      <w:spacing w:before="120" w:after="120"/>
      <w:ind w:left="794" w:hanging="794"/>
    </w:pPr>
    <w:rPr>
      <w:rFonts w:ascii="Arial" w:hAnsi="Arial" w:cs="Arial"/>
      <w:lang w:eastAsia="en-US"/>
    </w:rPr>
  </w:style>
  <w:style w:type="paragraph" w:styleId="Footer">
    <w:name w:val="footer"/>
    <w:rsid w:val="001766AD"/>
    <w:pPr>
      <w:spacing w:before="40"/>
    </w:pPr>
    <w:rPr>
      <w:rFonts w:ascii="Arial" w:hAnsi="Arial" w:cs="Arial"/>
      <w:bCs/>
      <w:snapToGrid w:val="0"/>
      <w:color w:val="01356E"/>
      <w:sz w:val="14"/>
      <w:szCs w:val="16"/>
      <w:lang w:eastAsia="en-US"/>
    </w:rPr>
  </w:style>
  <w:style w:type="paragraph" w:styleId="Header">
    <w:name w:val="header"/>
    <w:link w:val="HeaderChar"/>
    <w:rsid w:val="00052799"/>
    <w:pPr>
      <w:pBdr>
        <w:bottom w:val="single" w:sz="4" w:space="1" w:color="839099"/>
      </w:pBdr>
    </w:pPr>
    <w:rPr>
      <w:rFonts w:ascii="Arial" w:hAnsi="Arial" w:cs="Arial"/>
      <w:color w:val="01356E"/>
      <w:sz w:val="18"/>
      <w:szCs w:val="18"/>
      <w:lang w:eastAsia="en-US"/>
    </w:rPr>
  </w:style>
  <w:style w:type="paragraph" w:customStyle="1" w:styleId="BodyText-Bold">
    <w:name w:val="Body Text - Bold"/>
    <w:rsid w:val="00A10DFD"/>
    <w:pPr>
      <w:spacing w:before="120" w:after="120"/>
      <w:ind w:left="794"/>
    </w:pPr>
    <w:rPr>
      <w:rFonts w:ascii="Arial" w:hAnsi="Arial" w:cs="Arial"/>
      <w:b/>
      <w:szCs w:val="24"/>
      <w:lang w:eastAsia="en-US"/>
    </w:rPr>
  </w:style>
  <w:style w:type="paragraph" w:styleId="BalloonText">
    <w:name w:val="Balloon Text"/>
    <w:basedOn w:val="Normal"/>
    <w:rsid w:val="00E236F1"/>
    <w:rPr>
      <w:sz w:val="18"/>
      <w:szCs w:val="16"/>
    </w:rPr>
  </w:style>
  <w:style w:type="paragraph" w:customStyle="1" w:styleId="TableText">
    <w:name w:val="Table Text"/>
    <w:rsid w:val="00420450"/>
    <w:pPr>
      <w:spacing w:before="40" w:after="40"/>
    </w:pPr>
    <w:rPr>
      <w:rFonts w:ascii="Arial" w:hAnsi="Arial" w:cs="Arial"/>
      <w:sz w:val="18"/>
      <w:szCs w:val="18"/>
      <w:lang w:eastAsia="en-US"/>
    </w:rPr>
  </w:style>
  <w:style w:type="paragraph" w:styleId="BlockText">
    <w:name w:val="Block Text"/>
    <w:basedOn w:val="Normal"/>
    <w:semiHidden/>
    <w:rsid w:val="00C15D7C"/>
    <w:pPr>
      <w:spacing w:after="120"/>
      <w:ind w:left="1440" w:right="1440"/>
    </w:pPr>
    <w:rPr>
      <w:color w:val="FF0000"/>
      <w:u w:val="single"/>
    </w:rPr>
  </w:style>
  <w:style w:type="paragraph" w:customStyle="1" w:styleId="TableText-List">
    <w:name w:val="Table Text - List"/>
    <w:rsid w:val="008C178C"/>
    <w:pPr>
      <w:numPr>
        <w:numId w:val="3"/>
      </w:numPr>
      <w:spacing w:before="60" w:after="60"/>
    </w:pPr>
    <w:rPr>
      <w:rFonts w:ascii="Arial" w:hAnsi="Arial" w:cs="Arial"/>
      <w:kern w:val="22"/>
      <w:sz w:val="18"/>
      <w:szCs w:val="18"/>
      <w:lang w:eastAsia="en-US"/>
    </w:rPr>
  </w:style>
  <w:style w:type="paragraph" w:customStyle="1" w:styleId="TableText-Centred">
    <w:name w:val="Table Text - Centred"/>
    <w:rsid w:val="00B35427"/>
    <w:pPr>
      <w:spacing w:before="60" w:after="60"/>
      <w:jc w:val="center"/>
    </w:pPr>
    <w:rPr>
      <w:rFonts w:ascii="Arial" w:hAnsi="Arial" w:cs="Arial"/>
      <w:sz w:val="18"/>
      <w:szCs w:val="18"/>
      <w:lang w:eastAsia="en-US"/>
    </w:rPr>
  </w:style>
  <w:style w:type="paragraph" w:customStyle="1" w:styleId="TableHeader">
    <w:name w:val="Table Header"/>
    <w:rsid w:val="00420450"/>
    <w:pPr>
      <w:keepNext/>
      <w:spacing w:before="60" w:after="20"/>
    </w:pPr>
    <w:rPr>
      <w:rFonts w:ascii="Arial" w:hAnsi="Arial" w:cs="Arial"/>
      <w:b/>
      <w:color w:val="FFFFFF"/>
      <w:lang w:eastAsia="en-US"/>
    </w:rPr>
  </w:style>
  <w:style w:type="paragraph" w:customStyle="1" w:styleId="TableText-CentredBold">
    <w:name w:val="Table Text - Centred / Bold"/>
    <w:rsid w:val="00B35427"/>
    <w:pPr>
      <w:spacing w:before="60" w:after="60"/>
      <w:jc w:val="center"/>
    </w:pPr>
    <w:rPr>
      <w:rFonts w:ascii="Arial" w:hAnsi="Arial" w:cs="Arial"/>
      <w:b/>
      <w:sz w:val="18"/>
      <w:szCs w:val="18"/>
      <w:lang w:eastAsia="en-US"/>
    </w:rPr>
  </w:style>
  <w:style w:type="paragraph" w:customStyle="1" w:styleId="Spacer">
    <w:name w:val="Spacer"/>
    <w:next w:val="BodyText"/>
    <w:rsid w:val="00A10DFD"/>
    <w:pPr>
      <w:ind w:left="794"/>
    </w:pPr>
    <w:rPr>
      <w:rFonts w:ascii="Arial" w:hAnsi="Arial" w:cs="Arial"/>
      <w:sz w:val="12"/>
      <w:szCs w:val="12"/>
      <w:lang w:eastAsia="en-US"/>
    </w:rPr>
  </w:style>
  <w:style w:type="paragraph" w:customStyle="1" w:styleId="TableText-Bold">
    <w:name w:val="Table Text - Bold"/>
    <w:rsid w:val="00B35427"/>
    <w:pPr>
      <w:spacing w:before="60" w:after="60"/>
    </w:pPr>
    <w:rPr>
      <w:rFonts w:ascii="Arial" w:hAnsi="Arial" w:cs="Arial"/>
      <w:b/>
      <w:sz w:val="18"/>
      <w:szCs w:val="18"/>
      <w:lang w:eastAsia="en-US"/>
    </w:rPr>
  </w:style>
  <w:style w:type="paragraph" w:customStyle="1" w:styleId="AppendixHeading1">
    <w:name w:val="Appendix Heading 1"/>
    <w:next w:val="AppendixHeading2"/>
    <w:rsid w:val="00944422"/>
    <w:pPr>
      <w:keepNext/>
      <w:pageBreakBefore/>
      <w:numPr>
        <w:numId w:val="1"/>
      </w:numPr>
      <w:tabs>
        <w:tab w:val="clear" w:pos="1440"/>
        <w:tab w:val="left" w:pos="2268"/>
      </w:tabs>
      <w:spacing w:after="120"/>
      <w:ind w:left="2268" w:hanging="2268"/>
      <w:contextualSpacing/>
      <w:outlineLvl w:val="0"/>
    </w:pPr>
    <w:rPr>
      <w:rFonts w:ascii="Arial" w:hAnsi="Arial" w:cs="Arial"/>
      <w:color w:val="01356E"/>
      <w:sz w:val="32"/>
      <w:szCs w:val="36"/>
      <w:lang w:eastAsia="en-US"/>
    </w:rPr>
  </w:style>
  <w:style w:type="paragraph" w:styleId="TOC1">
    <w:name w:val="toc 1"/>
    <w:next w:val="Normal"/>
    <w:uiPriority w:val="39"/>
    <w:rsid w:val="00753AA8"/>
    <w:pPr>
      <w:tabs>
        <w:tab w:val="left" w:pos="1361"/>
        <w:tab w:val="right" w:leader="dot" w:pos="9923"/>
      </w:tabs>
      <w:spacing w:before="240" w:after="120"/>
      <w:ind w:left="1361" w:right="567" w:hanging="567"/>
    </w:pPr>
    <w:rPr>
      <w:rFonts w:ascii="Arial" w:hAnsi="Arial" w:cs="Arial"/>
      <w:b/>
      <w:noProof/>
      <w:szCs w:val="24"/>
    </w:rPr>
  </w:style>
  <w:style w:type="paragraph" w:styleId="TOC2">
    <w:name w:val="toc 2"/>
    <w:next w:val="Normal"/>
    <w:uiPriority w:val="39"/>
    <w:rsid w:val="0013455C"/>
    <w:pPr>
      <w:tabs>
        <w:tab w:val="left" w:pos="1932"/>
        <w:tab w:val="right" w:leader="dot" w:pos="9923"/>
      </w:tabs>
      <w:spacing w:before="60" w:after="60"/>
      <w:ind w:left="1928" w:right="567" w:hanging="567"/>
    </w:pPr>
    <w:rPr>
      <w:rFonts w:ascii="Arial" w:hAnsi="Arial"/>
      <w:noProof/>
      <w:szCs w:val="24"/>
    </w:rPr>
  </w:style>
  <w:style w:type="paragraph" w:styleId="TOC3">
    <w:name w:val="toc 3"/>
    <w:next w:val="Normal"/>
    <w:uiPriority w:val="39"/>
    <w:rsid w:val="0013455C"/>
    <w:pPr>
      <w:tabs>
        <w:tab w:val="left" w:pos="2758"/>
        <w:tab w:val="right" w:leader="dot" w:pos="9923"/>
      </w:tabs>
      <w:spacing w:before="60" w:after="60"/>
      <w:ind w:left="2779" w:right="544" w:hanging="851"/>
    </w:pPr>
    <w:rPr>
      <w:rFonts w:ascii="Arial" w:hAnsi="Arial" w:cs="Arial"/>
      <w:lang w:eastAsia="en-US"/>
    </w:rPr>
  </w:style>
  <w:style w:type="paragraph" w:styleId="BodyText2">
    <w:name w:val="Body Text 2"/>
    <w:basedOn w:val="Normal"/>
    <w:semiHidden/>
    <w:rsid w:val="00C15D7C"/>
    <w:pPr>
      <w:spacing w:after="120" w:line="480" w:lineRule="auto"/>
    </w:pPr>
    <w:rPr>
      <w:color w:val="FF0000"/>
      <w:u w:val="single"/>
    </w:rPr>
  </w:style>
  <w:style w:type="paragraph" w:styleId="BodyText3">
    <w:name w:val="Body Text 3"/>
    <w:basedOn w:val="Normal"/>
    <w:semiHidden/>
    <w:rsid w:val="00C15D7C"/>
    <w:pPr>
      <w:spacing w:after="120"/>
    </w:pPr>
    <w:rPr>
      <w:color w:val="FF0000"/>
      <w:szCs w:val="16"/>
      <w:u w:val="single"/>
    </w:rPr>
  </w:style>
  <w:style w:type="paragraph" w:styleId="BodyTextFirstIndent">
    <w:name w:val="Body Text First Indent"/>
    <w:basedOn w:val="Normal"/>
    <w:semiHidden/>
    <w:rsid w:val="000878BC"/>
    <w:pPr>
      <w:ind w:firstLine="210"/>
    </w:pPr>
    <w:rPr>
      <w:color w:val="FF0000"/>
      <w:u w:val="single"/>
    </w:rPr>
  </w:style>
  <w:style w:type="paragraph" w:styleId="BodyTextIndent">
    <w:name w:val="Body Text Indent"/>
    <w:basedOn w:val="Normal"/>
    <w:semiHidden/>
    <w:rsid w:val="00C15D7C"/>
    <w:pPr>
      <w:spacing w:after="120"/>
      <w:ind w:left="283"/>
    </w:pPr>
    <w:rPr>
      <w:color w:val="FF0000"/>
      <w:u w:val="single"/>
    </w:rPr>
  </w:style>
  <w:style w:type="paragraph" w:styleId="BodyTextFirstIndent2">
    <w:name w:val="Body Text First Indent 2"/>
    <w:basedOn w:val="BodyTextIndent"/>
    <w:semiHidden/>
    <w:rsid w:val="00C15D7C"/>
    <w:pPr>
      <w:ind w:firstLine="210"/>
    </w:pPr>
  </w:style>
  <w:style w:type="paragraph" w:styleId="BodyTextIndent2">
    <w:name w:val="Body Text Indent 2"/>
    <w:basedOn w:val="Normal"/>
    <w:semiHidden/>
    <w:rsid w:val="00C15D7C"/>
    <w:pPr>
      <w:spacing w:after="120" w:line="480" w:lineRule="auto"/>
      <w:ind w:left="283"/>
    </w:pPr>
    <w:rPr>
      <w:color w:val="FF0000"/>
      <w:u w:val="single"/>
    </w:rPr>
  </w:style>
  <w:style w:type="character" w:styleId="Hyperlink">
    <w:name w:val="Hyperlink"/>
    <w:uiPriority w:val="99"/>
    <w:semiHidden/>
    <w:rsid w:val="00985EE4"/>
    <w:rPr>
      <w:rFonts w:ascii="Arial" w:hAnsi="Arial" w:cs="Arial"/>
      <w:color w:val="0000FF"/>
      <w:u w:val="single"/>
    </w:rPr>
  </w:style>
  <w:style w:type="paragraph" w:customStyle="1" w:styleId="FigureLabel">
    <w:name w:val="Figure Label"/>
    <w:next w:val="BodyText"/>
    <w:rsid w:val="00CF0393"/>
    <w:pPr>
      <w:keepNext/>
      <w:keepLines/>
      <w:tabs>
        <w:tab w:val="left" w:pos="1701"/>
      </w:tabs>
      <w:spacing w:before="60" w:after="120"/>
      <w:ind w:left="1701" w:hanging="907"/>
    </w:pPr>
    <w:rPr>
      <w:rFonts w:ascii="Arial" w:hAnsi="Arial"/>
      <w:i/>
      <w:iCs/>
      <w:lang w:eastAsia="en-US"/>
    </w:rPr>
  </w:style>
  <w:style w:type="paragraph" w:customStyle="1" w:styleId="Figure-List">
    <w:name w:val="Figure - List"/>
    <w:rsid w:val="00345AB0"/>
    <w:pPr>
      <w:numPr>
        <w:numId w:val="2"/>
      </w:numPr>
      <w:tabs>
        <w:tab w:val="left" w:pos="142"/>
      </w:tabs>
      <w:spacing w:after="60"/>
    </w:pPr>
    <w:rPr>
      <w:rFonts w:ascii="Arial" w:hAnsi="Arial" w:cs="Arial"/>
      <w:sz w:val="18"/>
      <w:szCs w:val="18"/>
      <w:lang w:eastAsia="en-US"/>
    </w:rPr>
  </w:style>
  <w:style w:type="character" w:styleId="FootnoteReference">
    <w:name w:val="footnote reference"/>
    <w:uiPriority w:val="99"/>
    <w:rsid w:val="00AC11A2"/>
    <w:rPr>
      <w:rFonts w:ascii="Arial" w:hAnsi="Arial" w:cs="Arial"/>
      <w:sz w:val="16"/>
      <w:vertAlign w:val="superscript"/>
    </w:rPr>
  </w:style>
  <w:style w:type="paragraph" w:customStyle="1" w:styleId="BodyText-RestrictedRelease">
    <w:name w:val="Body Text - Restricted Release"/>
    <w:link w:val="BodyText-RestrictedReleaseChar"/>
    <w:rsid w:val="00795582"/>
    <w:rPr>
      <w:rFonts w:ascii="Arial" w:eastAsia="Times" w:hAnsi="Arial" w:cs="Arial"/>
      <w:sz w:val="16"/>
      <w:szCs w:val="30"/>
    </w:rPr>
  </w:style>
  <w:style w:type="paragraph" w:styleId="FootnoteText">
    <w:name w:val="footnote text"/>
    <w:link w:val="FootnoteTextChar"/>
    <w:uiPriority w:val="99"/>
    <w:rsid w:val="00BC6DC6"/>
    <w:pPr>
      <w:ind w:left="198" w:right="720" w:hanging="198"/>
      <w:jc w:val="both"/>
    </w:pPr>
    <w:rPr>
      <w:rFonts w:ascii="Arial" w:hAnsi="Arial" w:cs="Arial"/>
      <w:sz w:val="16"/>
    </w:rPr>
  </w:style>
  <w:style w:type="paragraph" w:styleId="BodyTextIndent3">
    <w:name w:val="Body Text Indent 3"/>
    <w:basedOn w:val="Normal"/>
    <w:semiHidden/>
    <w:rsid w:val="00C15D7C"/>
    <w:pPr>
      <w:spacing w:after="120"/>
      <w:ind w:left="283"/>
    </w:pPr>
    <w:rPr>
      <w:color w:val="FF0000"/>
      <w:szCs w:val="16"/>
      <w:u w:val="single"/>
    </w:rPr>
  </w:style>
  <w:style w:type="paragraph" w:customStyle="1" w:styleId="TableLabel">
    <w:name w:val="Table Label"/>
    <w:next w:val="BodyText"/>
    <w:rsid w:val="00BC050F"/>
    <w:pPr>
      <w:keepNext/>
      <w:keepLines/>
      <w:tabs>
        <w:tab w:val="left" w:pos="1701"/>
      </w:tabs>
      <w:spacing w:before="120" w:after="60"/>
      <w:ind w:left="1701" w:hanging="907"/>
    </w:pPr>
    <w:rPr>
      <w:rFonts w:ascii="Arial" w:hAnsi="Arial"/>
      <w:i/>
      <w:iCs/>
      <w:lang w:eastAsia="en-US"/>
    </w:rPr>
  </w:style>
  <w:style w:type="paragraph" w:customStyle="1" w:styleId="AppendixHeading2">
    <w:name w:val="Appendix Heading 2"/>
    <w:next w:val="BodyText"/>
    <w:rsid w:val="00672314"/>
    <w:pPr>
      <w:keepNext/>
      <w:numPr>
        <w:ilvl w:val="1"/>
        <w:numId w:val="1"/>
      </w:numPr>
      <w:spacing w:before="240" w:after="120"/>
      <w:outlineLvl w:val="1"/>
    </w:pPr>
    <w:rPr>
      <w:rFonts w:ascii="Arial" w:hAnsi="Arial" w:cs="Arial"/>
      <w:iCs/>
      <w:color w:val="01356E"/>
      <w:sz w:val="28"/>
      <w:szCs w:val="28"/>
      <w:lang w:val="en-US" w:eastAsia="en-US"/>
    </w:rPr>
  </w:style>
  <w:style w:type="paragraph" w:customStyle="1" w:styleId="BodyText-NumberedListi">
    <w:name w:val="Body Text - Numbered List i"/>
    <w:link w:val="BodyText-NumberedListiCharChar"/>
    <w:rsid w:val="00AE6D3D"/>
    <w:pPr>
      <w:numPr>
        <w:ilvl w:val="2"/>
        <w:numId w:val="29"/>
      </w:numPr>
      <w:spacing w:before="60" w:after="60"/>
    </w:pPr>
    <w:rPr>
      <w:rFonts w:ascii="Arial" w:eastAsia="Times" w:hAnsi="Arial" w:cs="Arial"/>
      <w:lang w:eastAsia="en-US"/>
    </w:rPr>
  </w:style>
  <w:style w:type="paragraph" w:customStyle="1" w:styleId="TableText-List-Nolinespacing">
    <w:name w:val="Table Text - List - No line spacing"/>
    <w:rsid w:val="004B5B49"/>
    <w:pPr>
      <w:numPr>
        <w:numId w:val="19"/>
      </w:numPr>
    </w:pPr>
    <w:rPr>
      <w:rFonts w:ascii="Arial" w:hAnsi="Arial" w:cs="Arial"/>
      <w:kern w:val="22"/>
      <w:sz w:val="18"/>
      <w:szCs w:val="18"/>
      <w:lang w:eastAsia="en-US"/>
    </w:rPr>
  </w:style>
  <w:style w:type="paragraph" w:customStyle="1" w:styleId="BodyText-List-Indent">
    <w:name w:val="Body Text - List - Indent"/>
    <w:rsid w:val="0010278E"/>
    <w:pPr>
      <w:numPr>
        <w:numId w:val="17"/>
      </w:numPr>
      <w:spacing w:after="120"/>
    </w:pPr>
    <w:rPr>
      <w:rFonts w:ascii="Arial" w:eastAsia="Times" w:hAnsi="Arial" w:cs="Arial"/>
      <w:szCs w:val="24"/>
      <w:lang w:eastAsia="en-US"/>
    </w:rPr>
  </w:style>
  <w:style w:type="paragraph" w:customStyle="1" w:styleId="FinalorDraft">
    <w:name w:val="Final or Draft"/>
    <w:rsid w:val="00FA790C"/>
    <w:pPr>
      <w:jc w:val="center"/>
    </w:pPr>
    <w:rPr>
      <w:rFonts w:ascii="Arial" w:hAnsi="Arial" w:cs="Arial"/>
      <w:bCs/>
      <w:caps/>
      <w:snapToGrid w:val="0"/>
      <w:color w:val="839099"/>
      <w:sz w:val="18"/>
      <w:szCs w:val="16"/>
      <w:lang w:eastAsia="en-US"/>
    </w:rPr>
  </w:style>
  <w:style w:type="paragraph" w:customStyle="1" w:styleId="BodyText-Italics">
    <w:name w:val="Body Text - Italics"/>
    <w:rsid w:val="00A10DFD"/>
    <w:pPr>
      <w:spacing w:before="120" w:after="120"/>
      <w:ind w:left="794"/>
    </w:pPr>
    <w:rPr>
      <w:rFonts w:ascii="Arial" w:eastAsia="Times" w:hAnsi="Arial" w:cs="Arial"/>
      <w:i/>
      <w:szCs w:val="24"/>
      <w:lang w:eastAsia="en-US"/>
    </w:rPr>
  </w:style>
  <w:style w:type="paragraph" w:customStyle="1" w:styleId="FigureHeading">
    <w:name w:val="Figure Heading"/>
    <w:next w:val="FigureText"/>
    <w:rsid w:val="00E73941"/>
    <w:pPr>
      <w:spacing w:after="120"/>
      <w:jc w:val="center"/>
    </w:pPr>
    <w:rPr>
      <w:rFonts w:ascii="Arial" w:hAnsi="Arial" w:cs="Arial"/>
      <w:b/>
      <w:sz w:val="18"/>
      <w:szCs w:val="18"/>
      <w:lang w:eastAsia="en-US"/>
    </w:rPr>
  </w:style>
  <w:style w:type="paragraph" w:customStyle="1" w:styleId="BodyText-SmallText">
    <w:name w:val="Body Text - Small Text"/>
    <w:rsid w:val="00A10DFD"/>
    <w:pPr>
      <w:spacing w:before="120"/>
      <w:ind w:left="794"/>
    </w:pPr>
    <w:rPr>
      <w:rFonts w:ascii="Arial" w:hAnsi="Arial" w:cs="Arial"/>
      <w:sz w:val="16"/>
      <w:szCs w:val="24"/>
      <w:lang w:eastAsia="en-US"/>
    </w:rPr>
  </w:style>
  <w:style w:type="paragraph" w:customStyle="1" w:styleId="TableText-numbers">
    <w:name w:val="Table Text - numbers"/>
    <w:basedOn w:val="TableText"/>
    <w:semiHidden/>
    <w:rsid w:val="006507DF"/>
    <w:pPr>
      <w:numPr>
        <w:numId w:val="22"/>
      </w:numPr>
    </w:pPr>
    <w:rPr>
      <w:szCs w:val="24"/>
    </w:rPr>
  </w:style>
  <w:style w:type="paragraph" w:customStyle="1" w:styleId="BodyText-List">
    <w:name w:val="Body Text - List"/>
    <w:rsid w:val="0010278E"/>
    <w:pPr>
      <w:numPr>
        <w:numId w:val="25"/>
      </w:numPr>
      <w:spacing w:after="120"/>
    </w:pPr>
    <w:rPr>
      <w:rFonts w:ascii="Arial" w:hAnsi="Arial" w:cs="Arial"/>
      <w:szCs w:val="24"/>
      <w:lang w:eastAsia="en-US"/>
    </w:rPr>
  </w:style>
  <w:style w:type="paragraph" w:customStyle="1" w:styleId="BodyText-NumberedList1">
    <w:name w:val="Body Text - Numbered List 1"/>
    <w:basedOn w:val="BodyText-NumberedLista"/>
    <w:rsid w:val="00AE6D3D"/>
    <w:pPr>
      <w:numPr>
        <w:ilvl w:val="0"/>
      </w:numPr>
    </w:pPr>
  </w:style>
  <w:style w:type="paragraph" w:customStyle="1" w:styleId="BodyText-NumberedLista">
    <w:name w:val="Body Text - Numbered List a"/>
    <w:link w:val="BodyText-NumberedListaCharChar"/>
    <w:rsid w:val="00AE6D3D"/>
    <w:pPr>
      <w:numPr>
        <w:ilvl w:val="1"/>
        <w:numId w:val="29"/>
      </w:numPr>
      <w:spacing w:before="60" w:after="60"/>
    </w:pPr>
    <w:rPr>
      <w:rFonts w:ascii="Arial" w:hAnsi="Arial" w:cs="Arial"/>
      <w:lang w:eastAsia="en-US"/>
    </w:rPr>
  </w:style>
  <w:style w:type="paragraph" w:customStyle="1" w:styleId="TableText-ListItalics">
    <w:name w:val="Table Text - List Italics"/>
    <w:rsid w:val="008C178C"/>
    <w:pPr>
      <w:numPr>
        <w:numId w:val="21"/>
      </w:numPr>
      <w:spacing w:before="60" w:after="60"/>
    </w:pPr>
    <w:rPr>
      <w:rFonts w:ascii="Arial" w:eastAsia="Times" w:hAnsi="Arial" w:cs="Arial"/>
      <w:i/>
      <w:kern w:val="22"/>
      <w:sz w:val="18"/>
      <w:szCs w:val="18"/>
      <w:lang w:eastAsia="en-US"/>
    </w:rPr>
  </w:style>
  <w:style w:type="paragraph" w:customStyle="1" w:styleId="Reporttitle">
    <w:name w:val="Report title"/>
    <w:next w:val="BodyText"/>
    <w:rsid w:val="00026A37"/>
    <w:pPr>
      <w:spacing w:after="120"/>
    </w:pPr>
    <w:rPr>
      <w:rFonts w:ascii="Arial" w:eastAsia="Times" w:hAnsi="Arial" w:cs="Arial"/>
      <w:color w:val="01356E"/>
      <w:sz w:val="60"/>
      <w:szCs w:val="96"/>
    </w:rPr>
  </w:style>
  <w:style w:type="paragraph" w:customStyle="1" w:styleId="Titledateandversion">
    <w:name w:val="Title date and version"/>
    <w:rsid w:val="00E239DE"/>
    <w:pPr>
      <w:tabs>
        <w:tab w:val="left" w:pos="1008"/>
      </w:tabs>
    </w:pPr>
    <w:rPr>
      <w:rFonts w:ascii="Arial" w:eastAsia="Times" w:hAnsi="Arial" w:cs="Arial"/>
      <w:color w:val="839099"/>
      <w:sz w:val="18"/>
      <w:szCs w:val="30"/>
    </w:rPr>
  </w:style>
  <w:style w:type="paragraph" w:customStyle="1" w:styleId="Subtitle">
    <w:name w:val="Sub title"/>
    <w:next w:val="BodyText"/>
    <w:rsid w:val="00026A37"/>
    <w:pPr>
      <w:spacing w:before="240" w:after="60"/>
      <w:contextualSpacing/>
    </w:pPr>
    <w:rPr>
      <w:rFonts w:ascii="Arial" w:eastAsia="Times" w:hAnsi="Arial" w:cs="Arial"/>
      <w:color w:val="01356E"/>
      <w:sz w:val="36"/>
      <w:szCs w:val="40"/>
    </w:rPr>
  </w:style>
  <w:style w:type="paragraph" w:customStyle="1" w:styleId="Subtitle2">
    <w:name w:val="Sub title 2"/>
    <w:next w:val="BodyText"/>
    <w:rsid w:val="00D50E6A"/>
    <w:pPr>
      <w:spacing w:before="120"/>
      <w:ind w:right="-284"/>
      <w:contextualSpacing/>
    </w:pPr>
    <w:rPr>
      <w:rFonts w:ascii="Arial" w:eastAsia="Times" w:hAnsi="Arial" w:cs="Arial"/>
      <w:noProof/>
      <w:color w:val="01356E"/>
      <w:sz w:val="36"/>
      <w:szCs w:val="40"/>
    </w:rPr>
  </w:style>
  <w:style w:type="paragraph" w:customStyle="1" w:styleId="Reporttitle2">
    <w:name w:val="Report_title 2"/>
    <w:next w:val="BodyText"/>
    <w:rsid w:val="00413785"/>
    <w:pPr>
      <w:spacing w:before="120" w:after="120"/>
    </w:pPr>
    <w:rPr>
      <w:rFonts w:ascii="Arial" w:eastAsia="Times" w:hAnsi="Arial" w:cs="Arial"/>
      <w:color w:val="01356E"/>
      <w:sz w:val="44"/>
      <w:szCs w:val="96"/>
    </w:rPr>
  </w:style>
  <w:style w:type="paragraph" w:customStyle="1" w:styleId="TableText-Italics">
    <w:name w:val="Table Text - Italics"/>
    <w:rsid w:val="00B35427"/>
    <w:pPr>
      <w:spacing w:before="60" w:after="60"/>
    </w:pPr>
    <w:rPr>
      <w:rFonts w:ascii="Arial" w:hAnsi="Arial" w:cs="Arial"/>
      <w:i/>
      <w:sz w:val="18"/>
      <w:szCs w:val="18"/>
      <w:lang w:eastAsia="en-US"/>
    </w:rPr>
  </w:style>
  <w:style w:type="paragraph" w:customStyle="1" w:styleId="Heading-inTOC">
    <w:name w:val="Heading - in TOC"/>
    <w:next w:val="Normal"/>
    <w:rsid w:val="00090F17"/>
    <w:pPr>
      <w:keepNext/>
      <w:spacing w:before="360" w:after="240"/>
      <w:outlineLvl w:val="0"/>
    </w:pPr>
    <w:rPr>
      <w:rFonts w:ascii="Arial" w:hAnsi="Arial" w:cs="Arial"/>
      <w:color w:val="01356E"/>
      <w:sz w:val="28"/>
      <w:szCs w:val="28"/>
      <w:lang w:eastAsia="en-US"/>
    </w:rPr>
  </w:style>
  <w:style w:type="paragraph" w:customStyle="1" w:styleId="TableText-BoldColour">
    <w:name w:val="Table Text - Bold Colour"/>
    <w:rsid w:val="00B35427"/>
    <w:pPr>
      <w:spacing w:before="60" w:after="60"/>
    </w:pPr>
    <w:rPr>
      <w:rFonts w:ascii="Arial" w:hAnsi="Arial" w:cs="Arial"/>
      <w:b/>
      <w:color w:val="01356E"/>
      <w:sz w:val="18"/>
      <w:szCs w:val="18"/>
      <w:lang w:eastAsia="en-US"/>
    </w:rPr>
  </w:style>
  <w:style w:type="paragraph" w:customStyle="1" w:styleId="Organisationname">
    <w:name w:val="Organisation name"/>
    <w:next w:val="BodyText"/>
    <w:rsid w:val="00950490"/>
    <w:rPr>
      <w:rFonts w:ascii="Arial" w:hAnsi="Arial" w:cs="Arial"/>
      <w:b/>
      <w:color w:val="01356E"/>
      <w:sz w:val="23"/>
      <w:szCs w:val="26"/>
      <w:lang w:eastAsia="en-US"/>
    </w:rPr>
  </w:style>
  <w:style w:type="paragraph" w:styleId="Closing">
    <w:name w:val="Closing"/>
    <w:basedOn w:val="Normal"/>
    <w:semiHidden/>
    <w:rsid w:val="00C15D7C"/>
    <w:pPr>
      <w:ind w:left="4252"/>
    </w:pPr>
    <w:rPr>
      <w:color w:val="FF0000"/>
      <w:u w:val="single"/>
    </w:rPr>
  </w:style>
  <w:style w:type="paragraph" w:customStyle="1" w:styleId="StyleHeading-notinTOC-RestrictedTextAfter3pt">
    <w:name w:val="Style Heading - not in TOC - Restricted Text + After:  3 pt"/>
    <w:basedOn w:val="Heading-notinTOC-RestrictedText"/>
    <w:rsid w:val="009D0FCB"/>
    <w:rPr>
      <w:rFonts w:cs="Times New Roman"/>
      <w:bCs/>
      <w:szCs w:val="20"/>
    </w:rPr>
  </w:style>
  <w:style w:type="paragraph" w:customStyle="1" w:styleId="Bullet2">
    <w:name w:val="Bullet_2"/>
    <w:basedOn w:val="Normal"/>
    <w:qFormat/>
    <w:rsid w:val="00052799"/>
    <w:pPr>
      <w:numPr>
        <w:numId w:val="32"/>
      </w:numPr>
      <w:tabs>
        <w:tab w:val="num" w:pos="142"/>
        <w:tab w:val="num" w:pos="360"/>
      </w:tabs>
      <w:spacing w:before="120" w:after="120" w:line="260" w:lineRule="atLeast"/>
      <w:ind w:left="0" w:firstLine="0"/>
    </w:pPr>
    <w:rPr>
      <w:rFonts w:ascii="Univers 45 Light" w:eastAsia="Calibri" w:hAnsi="Univers 45 Light" w:cs="Times New Roman"/>
      <w:sz w:val="22"/>
      <w:szCs w:val="22"/>
    </w:rPr>
  </w:style>
  <w:style w:type="paragraph" w:customStyle="1" w:styleId="NoStyle">
    <w:name w:val="No Style"/>
    <w:link w:val="NoStyleCharChar"/>
    <w:rsid w:val="001D7086"/>
    <w:rPr>
      <w:rFonts w:ascii="Arial" w:eastAsia="Times" w:hAnsi="Arial" w:cs="Arial"/>
      <w:szCs w:val="30"/>
    </w:rPr>
  </w:style>
  <w:style w:type="character" w:styleId="CommentReference">
    <w:name w:val="annotation reference"/>
    <w:uiPriority w:val="99"/>
    <w:semiHidden/>
    <w:rsid w:val="008236F5"/>
    <w:rPr>
      <w:rFonts w:ascii="Arial" w:hAnsi="Arial" w:cs="Arial"/>
      <w:color w:val="FF0000"/>
      <w:sz w:val="24"/>
      <w:szCs w:val="16"/>
      <w:u w:val="single"/>
    </w:rPr>
  </w:style>
  <w:style w:type="paragraph" w:customStyle="1" w:styleId="Heading-notinTOC">
    <w:name w:val="Heading - not in TOC"/>
    <w:next w:val="BodyText"/>
    <w:rsid w:val="00090F17"/>
    <w:pPr>
      <w:keepNext/>
      <w:spacing w:before="360" w:after="240"/>
    </w:pPr>
    <w:rPr>
      <w:rFonts w:ascii="Arial" w:hAnsi="Arial" w:cs="Arial"/>
      <w:color w:val="01356E"/>
      <w:sz w:val="28"/>
      <w:szCs w:val="28"/>
      <w:lang w:eastAsia="en-US"/>
    </w:rPr>
  </w:style>
  <w:style w:type="paragraph" w:styleId="CommentText">
    <w:name w:val="annotation text"/>
    <w:link w:val="CommentTextChar"/>
    <w:uiPriority w:val="99"/>
    <w:rsid w:val="00CE67E2"/>
    <w:rPr>
      <w:rFonts w:ascii="Arial" w:hAnsi="Arial" w:cs="Arial"/>
      <w:sz w:val="24"/>
      <w:lang w:eastAsia="en-US"/>
    </w:rPr>
  </w:style>
  <w:style w:type="paragraph" w:customStyle="1" w:styleId="Footer-smalltext">
    <w:name w:val="Footer - small text"/>
    <w:rsid w:val="00052799"/>
    <w:pPr>
      <w:pBdr>
        <w:bottom w:val="single" w:sz="4" w:space="1" w:color="839099"/>
      </w:pBdr>
      <w:spacing w:line="20" w:lineRule="exact"/>
    </w:pPr>
    <w:rPr>
      <w:rFonts w:ascii="Arial" w:eastAsia="Times" w:hAnsi="Arial" w:cs="Arial"/>
      <w:bCs/>
      <w:noProof/>
      <w:snapToGrid w:val="0"/>
      <w:color w:val="01356E"/>
      <w:sz w:val="4"/>
      <w:szCs w:val="4"/>
      <w:lang w:eastAsia="en-US"/>
    </w:rPr>
  </w:style>
  <w:style w:type="paragraph" w:customStyle="1" w:styleId="TableTextSmall">
    <w:name w:val="Table Text Small"/>
    <w:rsid w:val="00015C1E"/>
    <w:pPr>
      <w:spacing w:before="60" w:after="60"/>
    </w:pPr>
    <w:rPr>
      <w:rFonts w:ascii="Arial" w:hAnsi="Arial" w:cs="Arial"/>
      <w:sz w:val="16"/>
      <w:szCs w:val="18"/>
      <w:lang w:eastAsia="en-US"/>
    </w:rPr>
  </w:style>
  <w:style w:type="paragraph" w:customStyle="1" w:styleId="BodyText-List-RestrictedRelease">
    <w:name w:val="Body Text - List - Restricted Release"/>
    <w:semiHidden/>
    <w:rsid w:val="0023062C"/>
    <w:pPr>
      <w:numPr>
        <w:numId w:val="16"/>
      </w:numPr>
      <w:tabs>
        <w:tab w:val="clear" w:pos="720"/>
        <w:tab w:val="left" w:pos="357"/>
      </w:tabs>
      <w:spacing w:after="100"/>
      <w:ind w:left="357" w:hanging="357"/>
    </w:pPr>
    <w:rPr>
      <w:rFonts w:ascii="Arial" w:hAnsi="Arial" w:cs="Arial"/>
      <w:sz w:val="16"/>
      <w:lang w:val="en-US" w:eastAsia="en-US"/>
    </w:rPr>
  </w:style>
  <w:style w:type="character" w:customStyle="1" w:styleId="NoStyleCharChar">
    <w:name w:val="No Style Char Char"/>
    <w:link w:val="NoStyle"/>
    <w:rsid w:val="001D7086"/>
    <w:rPr>
      <w:rFonts w:ascii="Arial" w:eastAsia="Times" w:hAnsi="Arial" w:cs="Arial"/>
      <w:szCs w:val="30"/>
      <w:lang w:val="en-AU" w:eastAsia="en-AU" w:bidi="ar-SA"/>
    </w:rPr>
  </w:style>
  <w:style w:type="paragraph" w:styleId="CommentSubject">
    <w:name w:val="annotation subject"/>
    <w:next w:val="CommentText"/>
    <w:rsid w:val="00CE67E2"/>
    <w:rPr>
      <w:rFonts w:ascii="Arial" w:hAnsi="Arial" w:cs="Arial"/>
      <w:bCs/>
      <w:sz w:val="16"/>
      <w:lang w:eastAsia="en-US"/>
    </w:rPr>
  </w:style>
  <w:style w:type="numbering" w:styleId="111111">
    <w:name w:val="Outline List 2"/>
    <w:basedOn w:val="NoList"/>
    <w:semiHidden/>
    <w:rsid w:val="00B15E25"/>
    <w:pPr>
      <w:numPr>
        <w:numId w:val="14"/>
      </w:numPr>
    </w:pPr>
  </w:style>
  <w:style w:type="paragraph" w:customStyle="1" w:styleId="BodyText-SmallCentredBold">
    <w:name w:val="Body Text - Small Centred Bold"/>
    <w:rsid w:val="00A10DFD"/>
    <w:pPr>
      <w:spacing w:before="120" w:after="120"/>
      <w:ind w:left="794"/>
      <w:jc w:val="center"/>
    </w:pPr>
    <w:rPr>
      <w:rFonts w:ascii="Arial" w:hAnsi="Arial" w:cs="Arial"/>
      <w:b/>
      <w:sz w:val="16"/>
      <w:szCs w:val="24"/>
      <w:lang w:eastAsia="en-US"/>
    </w:rPr>
  </w:style>
  <w:style w:type="paragraph" w:styleId="Date">
    <w:name w:val="Date"/>
    <w:basedOn w:val="Normal"/>
    <w:next w:val="Normal"/>
    <w:semiHidden/>
    <w:rsid w:val="00C15D7C"/>
    <w:rPr>
      <w:color w:val="FF0000"/>
      <w:u w:val="single"/>
    </w:rPr>
  </w:style>
  <w:style w:type="paragraph" w:customStyle="1" w:styleId="FigureText">
    <w:name w:val="Figure Text"/>
    <w:rsid w:val="00377486"/>
    <w:pPr>
      <w:spacing w:after="120"/>
    </w:pPr>
    <w:rPr>
      <w:rFonts w:ascii="Arial" w:hAnsi="Arial" w:cs="Arial"/>
      <w:sz w:val="18"/>
      <w:lang w:eastAsia="en-US"/>
    </w:rPr>
  </w:style>
  <w:style w:type="numbering" w:styleId="1ai">
    <w:name w:val="Outline List 1"/>
    <w:basedOn w:val="NoList"/>
    <w:semiHidden/>
    <w:rsid w:val="00574772"/>
    <w:pPr>
      <w:numPr>
        <w:numId w:val="15"/>
      </w:numPr>
    </w:pPr>
  </w:style>
  <w:style w:type="paragraph" w:customStyle="1" w:styleId="BodyText-Centred">
    <w:name w:val="Body Text - Centred"/>
    <w:rsid w:val="00A10DFD"/>
    <w:pPr>
      <w:spacing w:before="120" w:after="120"/>
      <w:ind w:left="794"/>
      <w:jc w:val="center"/>
    </w:pPr>
    <w:rPr>
      <w:rFonts w:ascii="Arial" w:eastAsia="Times" w:hAnsi="Arial" w:cs="Arial"/>
      <w:szCs w:val="24"/>
      <w:lang w:eastAsia="en-US"/>
    </w:rPr>
  </w:style>
  <w:style w:type="paragraph" w:customStyle="1" w:styleId="Heading-notinTOC-centred">
    <w:name w:val="Heading - not in TOC - centred"/>
    <w:next w:val="BodyText"/>
    <w:rsid w:val="00090F17"/>
    <w:pPr>
      <w:keepNext/>
      <w:spacing w:before="360" w:after="240"/>
      <w:jc w:val="center"/>
    </w:pPr>
    <w:rPr>
      <w:rFonts w:ascii="Arial" w:hAnsi="Arial" w:cs="Arial"/>
      <w:color w:val="01356E"/>
      <w:sz w:val="28"/>
      <w:szCs w:val="28"/>
      <w:lang w:eastAsia="en-US"/>
    </w:rPr>
  </w:style>
  <w:style w:type="paragraph" w:styleId="DocumentMap">
    <w:name w:val="Document Map"/>
    <w:basedOn w:val="Normal"/>
    <w:semiHidden/>
    <w:rsid w:val="00BB340A"/>
    <w:pPr>
      <w:shd w:val="clear" w:color="auto" w:fill="FFFF99"/>
    </w:pPr>
    <w:rPr>
      <w:sz w:val="20"/>
    </w:rPr>
  </w:style>
  <w:style w:type="paragraph" w:styleId="E-mailSignature">
    <w:name w:val="E-mail Signature"/>
    <w:basedOn w:val="Normal"/>
    <w:semiHidden/>
    <w:rsid w:val="00C15D7C"/>
    <w:rPr>
      <w:color w:val="FF0000"/>
      <w:u w:val="single"/>
    </w:rPr>
  </w:style>
  <w:style w:type="character" w:styleId="Emphasis">
    <w:name w:val="Emphasis"/>
    <w:uiPriority w:val="20"/>
    <w:qFormat/>
    <w:rsid w:val="000878BC"/>
    <w:rPr>
      <w:rFonts w:ascii="Arial" w:hAnsi="Arial" w:cs="Arial"/>
      <w:i/>
      <w:iCs/>
      <w:color w:val="FF0000"/>
      <w:sz w:val="32"/>
      <w:u w:val="single"/>
    </w:rPr>
  </w:style>
  <w:style w:type="character" w:styleId="EndnoteReference">
    <w:name w:val="endnote reference"/>
    <w:semiHidden/>
    <w:rsid w:val="000878BC"/>
    <w:rPr>
      <w:rFonts w:ascii="Arial" w:hAnsi="Arial" w:cs="Arial"/>
      <w:color w:val="FF0000"/>
      <w:sz w:val="32"/>
      <w:u w:val="single"/>
      <w:vertAlign w:val="superscript"/>
    </w:rPr>
  </w:style>
  <w:style w:type="paragraph" w:styleId="EndnoteText">
    <w:name w:val="endnote text"/>
    <w:basedOn w:val="Normal"/>
    <w:semiHidden/>
    <w:rsid w:val="00C15D7C"/>
    <w:rPr>
      <w:color w:val="FF0000"/>
      <w:u w:val="single"/>
    </w:rPr>
  </w:style>
  <w:style w:type="paragraph" w:styleId="EnvelopeAddress">
    <w:name w:val="envelope address"/>
    <w:basedOn w:val="Normal"/>
    <w:semiHidden/>
    <w:rsid w:val="00C15D7C"/>
    <w:pPr>
      <w:framePr w:w="7920" w:h="1980" w:hRule="exact" w:hSpace="180" w:wrap="auto" w:hAnchor="page" w:xAlign="center" w:yAlign="bottom"/>
      <w:ind w:left="2880"/>
    </w:pPr>
    <w:rPr>
      <w:color w:val="FF0000"/>
      <w:szCs w:val="24"/>
      <w:u w:val="single"/>
    </w:rPr>
  </w:style>
  <w:style w:type="character" w:styleId="HTMLAcronym">
    <w:name w:val="HTML Acronym"/>
    <w:semiHidden/>
    <w:rsid w:val="000878BC"/>
    <w:rPr>
      <w:rFonts w:ascii="Arial" w:hAnsi="Arial" w:cs="Arial"/>
      <w:b/>
      <w:color w:val="FF0000"/>
      <w:sz w:val="32"/>
      <w:u w:val="single"/>
    </w:rPr>
  </w:style>
  <w:style w:type="paragraph" w:styleId="HTMLAddress">
    <w:name w:val="HTML Address"/>
    <w:basedOn w:val="Normal"/>
    <w:semiHidden/>
    <w:rsid w:val="00C15D7C"/>
    <w:rPr>
      <w:i/>
      <w:iCs/>
      <w:color w:val="FF0000"/>
      <w:u w:val="single"/>
    </w:rPr>
  </w:style>
  <w:style w:type="character" w:styleId="HTMLCite">
    <w:name w:val="HTML Cite"/>
    <w:semiHidden/>
    <w:rsid w:val="000878BC"/>
    <w:rPr>
      <w:rFonts w:ascii="Arial" w:hAnsi="Arial" w:cs="Arial"/>
      <w:i/>
      <w:iCs/>
      <w:color w:val="FF0000"/>
      <w:sz w:val="32"/>
      <w:u w:val="single"/>
    </w:rPr>
  </w:style>
  <w:style w:type="character" w:styleId="HTMLCode">
    <w:name w:val="HTML Code"/>
    <w:semiHidden/>
    <w:rsid w:val="000878BC"/>
    <w:rPr>
      <w:rFonts w:ascii="Arial" w:hAnsi="Arial" w:cs="Arial"/>
      <w:color w:val="FF0000"/>
      <w:sz w:val="32"/>
      <w:szCs w:val="20"/>
      <w:u w:val="single"/>
    </w:rPr>
  </w:style>
  <w:style w:type="character" w:styleId="HTMLDefinition">
    <w:name w:val="HTML Definition"/>
    <w:semiHidden/>
    <w:rsid w:val="000878BC"/>
    <w:rPr>
      <w:rFonts w:ascii="Arial" w:hAnsi="Arial" w:cs="Arial"/>
      <w:i/>
      <w:iCs/>
      <w:color w:val="FF0000"/>
      <w:sz w:val="32"/>
      <w:u w:val="single"/>
    </w:rPr>
  </w:style>
  <w:style w:type="character" w:styleId="HTMLKeyboard">
    <w:name w:val="HTML Keyboard"/>
    <w:semiHidden/>
    <w:rsid w:val="000878BC"/>
    <w:rPr>
      <w:rFonts w:ascii="Arial" w:hAnsi="Arial" w:cs="Arial"/>
      <w:color w:val="FF0000"/>
      <w:sz w:val="32"/>
      <w:szCs w:val="20"/>
      <w:u w:val="single"/>
    </w:rPr>
  </w:style>
  <w:style w:type="paragraph" w:styleId="HTMLPreformatted">
    <w:name w:val="HTML Preformatted"/>
    <w:basedOn w:val="Normal"/>
    <w:semiHidden/>
    <w:rsid w:val="00C15D7C"/>
    <w:rPr>
      <w:color w:val="FF0000"/>
      <w:u w:val="single"/>
    </w:rPr>
  </w:style>
  <w:style w:type="character" w:styleId="HTMLSample">
    <w:name w:val="HTML Sample"/>
    <w:semiHidden/>
    <w:rsid w:val="000878BC"/>
    <w:rPr>
      <w:rFonts w:ascii="Arial" w:hAnsi="Arial" w:cs="Arial"/>
      <w:color w:val="FF0000"/>
      <w:sz w:val="32"/>
      <w:u w:val="single"/>
    </w:rPr>
  </w:style>
  <w:style w:type="character" w:styleId="HTMLTypewriter">
    <w:name w:val="HTML Typewriter"/>
    <w:semiHidden/>
    <w:rsid w:val="000878BC"/>
    <w:rPr>
      <w:rFonts w:ascii="Arial" w:hAnsi="Arial" w:cs="Arial"/>
      <w:color w:val="FF0000"/>
      <w:sz w:val="32"/>
      <w:szCs w:val="20"/>
      <w:u w:val="single"/>
    </w:rPr>
  </w:style>
  <w:style w:type="character" w:styleId="HTMLVariable">
    <w:name w:val="HTML Variable"/>
    <w:semiHidden/>
    <w:rsid w:val="00C15D7C"/>
    <w:rPr>
      <w:rFonts w:ascii="Arial" w:hAnsi="Arial" w:cs="Arial"/>
      <w:i/>
      <w:iCs/>
      <w:color w:val="FF0000"/>
      <w:sz w:val="32"/>
      <w:u w:val="single"/>
    </w:rPr>
  </w:style>
  <w:style w:type="paragraph" w:styleId="Index1">
    <w:name w:val="index 1"/>
    <w:basedOn w:val="Normal"/>
    <w:next w:val="Normal"/>
    <w:autoRedefine/>
    <w:semiHidden/>
    <w:rsid w:val="00C15D7C"/>
    <w:pPr>
      <w:ind w:left="320" w:hanging="320"/>
    </w:pPr>
    <w:rPr>
      <w:color w:val="FF0000"/>
      <w:u w:val="single"/>
    </w:rPr>
  </w:style>
  <w:style w:type="paragraph" w:styleId="Index2">
    <w:name w:val="index 2"/>
    <w:basedOn w:val="Normal"/>
    <w:next w:val="Normal"/>
    <w:autoRedefine/>
    <w:semiHidden/>
    <w:rsid w:val="00C15D7C"/>
    <w:pPr>
      <w:ind w:left="640" w:hanging="320"/>
    </w:pPr>
    <w:rPr>
      <w:color w:val="FF0000"/>
      <w:u w:val="single"/>
    </w:rPr>
  </w:style>
  <w:style w:type="character" w:styleId="FollowedHyperlink">
    <w:name w:val="FollowedHyperlink"/>
    <w:semiHidden/>
    <w:rsid w:val="007F21FF"/>
    <w:rPr>
      <w:rFonts w:ascii="Arial" w:hAnsi="Arial" w:cs="Arial"/>
      <w:color w:val="800080"/>
      <w:u w:val="single"/>
    </w:rPr>
  </w:style>
  <w:style w:type="paragraph" w:styleId="Index3">
    <w:name w:val="index 3"/>
    <w:basedOn w:val="Normal"/>
    <w:next w:val="Normal"/>
    <w:autoRedefine/>
    <w:semiHidden/>
    <w:rsid w:val="00C15D7C"/>
    <w:pPr>
      <w:ind w:left="960" w:hanging="320"/>
    </w:pPr>
    <w:rPr>
      <w:color w:val="FF0000"/>
      <w:u w:val="single"/>
    </w:rPr>
  </w:style>
  <w:style w:type="paragraph" w:styleId="Index4">
    <w:name w:val="index 4"/>
    <w:basedOn w:val="Normal"/>
    <w:next w:val="Normal"/>
    <w:autoRedefine/>
    <w:semiHidden/>
    <w:rsid w:val="00C15D7C"/>
    <w:pPr>
      <w:ind w:left="1280" w:hanging="320"/>
    </w:pPr>
    <w:rPr>
      <w:color w:val="FF0000"/>
      <w:u w:val="single"/>
    </w:rPr>
  </w:style>
  <w:style w:type="paragraph" w:styleId="Index5">
    <w:name w:val="index 5"/>
    <w:basedOn w:val="Normal"/>
    <w:next w:val="Normal"/>
    <w:autoRedefine/>
    <w:semiHidden/>
    <w:rsid w:val="00C15D7C"/>
    <w:pPr>
      <w:ind w:left="1600" w:hanging="320"/>
    </w:pPr>
    <w:rPr>
      <w:color w:val="FF0000"/>
      <w:u w:val="single"/>
    </w:rPr>
  </w:style>
  <w:style w:type="paragraph" w:styleId="Index6">
    <w:name w:val="index 6"/>
    <w:basedOn w:val="Normal"/>
    <w:next w:val="Normal"/>
    <w:autoRedefine/>
    <w:semiHidden/>
    <w:rsid w:val="00C15D7C"/>
    <w:pPr>
      <w:ind w:left="1920" w:hanging="320"/>
    </w:pPr>
    <w:rPr>
      <w:color w:val="FF0000"/>
      <w:u w:val="single"/>
    </w:rPr>
  </w:style>
  <w:style w:type="paragraph" w:styleId="Index7">
    <w:name w:val="index 7"/>
    <w:basedOn w:val="Normal"/>
    <w:next w:val="Normal"/>
    <w:autoRedefine/>
    <w:semiHidden/>
    <w:rsid w:val="00C15D7C"/>
    <w:pPr>
      <w:ind w:left="2240" w:hanging="320"/>
    </w:pPr>
    <w:rPr>
      <w:color w:val="FF0000"/>
      <w:u w:val="single"/>
    </w:rPr>
  </w:style>
  <w:style w:type="paragraph" w:styleId="Index8">
    <w:name w:val="index 8"/>
    <w:basedOn w:val="Normal"/>
    <w:next w:val="Normal"/>
    <w:autoRedefine/>
    <w:semiHidden/>
    <w:rsid w:val="00C15D7C"/>
    <w:pPr>
      <w:ind w:left="2560" w:hanging="320"/>
    </w:pPr>
    <w:rPr>
      <w:color w:val="FF0000"/>
      <w:u w:val="single"/>
    </w:rPr>
  </w:style>
  <w:style w:type="paragraph" w:styleId="Index9">
    <w:name w:val="index 9"/>
    <w:basedOn w:val="Normal"/>
    <w:next w:val="Normal"/>
    <w:autoRedefine/>
    <w:semiHidden/>
    <w:rsid w:val="00C15D7C"/>
    <w:pPr>
      <w:ind w:left="2880" w:hanging="320"/>
    </w:pPr>
    <w:rPr>
      <w:color w:val="FF0000"/>
      <w:u w:val="single"/>
    </w:rPr>
  </w:style>
  <w:style w:type="paragraph" w:styleId="IndexHeading">
    <w:name w:val="index heading"/>
    <w:basedOn w:val="Normal"/>
    <w:next w:val="Index1"/>
    <w:semiHidden/>
    <w:rsid w:val="00C15D7C"/>
    <w:rPr>
      <w:b/>
      <w:bCs/>
      <w:color w:val="FF0000"/>
      <w:u w:val="single"/>
    </w:rPr>
  </w:style>
  <w:style w:type="paragraph" w:styleId="EnvelopeReturn">
    <w:name w:val="envelope return"/>
    <w:basedOn w:val="Normal"/>
    <w:semiHidden/>
    <w:rsid w:val="009B33CD"/>
    <w:rPr>
      <w:color w:val="FF0000"/>
      <w:u w:val="single"/>
    </w:rPr>
  </w:style>
  <w:style w:type="character" w:styleId="LineNumber">
    <w:name w:val="line number"/>
    <w:semiHidden/>
    <w:rsid w:val="00C15D7C"/>
    <w:rPr>
      <w:rFonts w:ascii="Arial" w:hAnsi="Arial" w:cs="Arial"/>
      <w:color w:val="FF0000"/>
      <w:sz w:val="32"/>
      <w:u w:val="single"/>
    </w:rPr>
  </w:style>
  <w:style w:type="paragraph" w:styleId="List">
    <w:name w:val="List"/>
    <w:basedOn w:val="Normal"/>
    <w:semiHidden/>
    <w:rsid w:val="00C15D7C"/>
    <w:pPr>
      <w:ind w:left="283" w:hanging="283"/>
    </w:pPr>
    <w:rPr>
      <w:color w:val="FF0000"/>
      <w:u w:val="single"/>
    </w:rPr>
  </w:style>
  <w:style w:type="paragraph" w:styleId="List2">
    <w:name w:val="List 2"/>
    <w:basedOn w:val="Normal"/>
    <w:semiHidden/>
    <w:rsid w:val="00C15D7C"/>
    <w:pPr>
      <w:ind w:left="566" w:hanging="283"/>
    </w:pPr>
    <w:rPr>
      <w:color w:val="FF0000"/>
      <w:u w:val="single"/>
    </w:rPr>
  </w:style>
  <w:style w:type="paragraph" w:styleId="List3">
    <w:name w:val="List 3"/>
    <w:basedOn w:val="Normal"/>
    <w:semiHidden/>
    <w:rsid w:val="00C15D7C"/>
    <w:pPr>
      <w:ind w:left="849" w:hanging="283"/>
    </w:pPr>
    <w:rPr>
      <w:color w:val="FF0000"/>
      <w:u w:val="single"/>
    </w:rPr>
  </w:style>
  <w:style w:type="paragraph" w:styleId="List4">
    <w:name w:val="List 4"/>
    <w:basedOn w:val="Normal"/>
    <w:semiHidden/>
    <w:rsid w:val="00C15D7C"/>
    <w:pPr>
      <w:ind w:left="1132" w:hanging="283"/>
    </w:pPr>
    <w:rPr>
      <w:color w:val="FF0000"/>
      <w:u w:val="single"/>
    </w:rPr>
  </w:style>
  <w:style w:type="paragraph" w:styleId="List5">
    <w:name w:val="List 5"/>
    <w:basedOn w:val="Normal"/>
    <w:semiHidden/>
    <w:rsid w:val="00C15D7C"/>
    <w:pPr>
      <w:ind w:left="1415" w:hanging="283"/>
    </w:pPr>
    <w:rPr>
      <w:color w:val="FF0000"/>
      <w:u w:val="single"/>
    </w:rPr>
  </w:style>
  <w:style w:type="paragraph" w:styleId="ListBullet">
    <w:name w:val="List Bullet"/>
    <w:basedOn w:val="Normal"/>
    <w:uiPriority w:val="99"/>
    <w:rsid w:val="00C15D7C"/>
    <w:pPr>
      <w:numPr>
        <w:numId w:val="4"/>
      </w:numPr>
    </w:pPr>
    <w:rPr>
      <w:color w:val="FF0000"/>
      <w:u w:val="single"/>
    </w:rPr>
  </w:style>
  <w:style w:type="paragraph" w:styleId="ListBullet2">
    <w:name w:val="List Bullet 2"/>
    <w:basedOn w:val="Normal"/>
    <w:semiHidden/>
    <w:rsid w:val="00C15D7C"/>
    <w:pPr>
      <w:numPr>
        <w:numId w:val="5"/>
      </w:numPr>
    </w:pPr>
    <w:rPr>
      <w:color w:val="FF0000"/>
      <w:u w:val="single"/>
    </w:rPr>
  </w:style>
  <w:style w:type="paragraph" w:styleId="ListBullet3">
    <w:name w:val="List Bullet 3"/>
    <w:basedOn w:val="Normal"/>
    <w:semiHidden/>
    <w:rsid w:val="00C15D7C"/>
    <w:pPr>
      <w:numPr>
        <w:numId w:val="6"/>
      </w:numPr>
    </w:pPr>
    <w:rPr>
      <w:color w:val="FF0000"/>
      <w:u w:val="single"/>
    </w:rPr>
  </w:style>
  <w:style w:type="paragraph" w:styleId="ListBullet4">
    <w:name w:val="List Bullet 4"/>
    <w:basedOn w:val="Normal"/>
    <w:semiHidden/>
    <w:rsid w:val="00C15D7C"/>
    <w:pPr>
      <w:numPr>
        <w:numId w:val="7"/>
      </w:numPr>
    </w:pPr>
    <w:rPr>
      <w:color w:val="FF0000"/>
      <w:u w:val="single"/>
    </w:rPr>
  </w:style>
  <w:style w:type="paragraph" w:styleId="ListBullet5">
    <w:name w:val="List Bullet 5"/>
    <w:basedOn w:val="Normal"/>
    <w:semiHidden/>
    <w:rsid w:val="00C15D7C"/>
    <w:pPr>
      <w:numPr>
        <w:numId w:val="8"/>
      </w:numPr>
    </w:pPr>
    <w:rPr>
      <w:color w:val="FF0000"/>
      <w:u w:val="single"/>
    </w:rPr>
  </w:style>
  <w:style w:type="paragraph" w:styleId="ListContinue">
    <w:name w:val="List Continue"/>
    <w:basedOn w:val="Normal"/>
    <w:semiHidden/>
    <w:rsid w:val="00C15D7C"/>
    <w:pPr>
      <w:spacing w:after="120"/>
      <w:ind w:left="283"/>
    </w:pPr>
    <w:rPr>
      <w:color w:val="FF0000"/>
      <w:u w:val="single"/>
    </w:rPr>
  </w:style>
  <w:style w:type="paragraph" w:styleId="ListContinue2">
    <w:name w:val="List Continue 2"/>
    <w:basedOn w:val="Normal"/>
    <w:semiHidden/>
    <w:rsid w:val="00C15D7C"/>
    <w:pPr>
      <w:spacing w:after="120"/>
      <w:ind w:left="566"/>
    </w:pPr>
    <w:rPr>
      <w:color w:val="FF0000"/>
      <w:u w:val="single"/>
    </w:rPr>
  </w:style>
  <w:style w:type="paragraph" w:styleId="ListContinue3">
    <w:name w:val="List Continue 3"/>
    <w:basedOn w:val="Normal"/>
    <w:semiHidden/>
    <w:rsid w:val="00C15D7C"/>
    <w:pPr>
      <w:spacing w:after="120"/>
      <w:ind w:left="849"/>
    </w:pPr>
    <w:rPr>
      <w:color w:val="FF0000"/>
      <w:u w:val="single"/>
    </w:rPr>
  </w:style>
  <w:style w:type="paragraph" w:styleId="ListContinue4">
    <w:name w:val="List Continue 4"/>
    <w:basedOn w:val="Normal"/>
    <w:semiHidden/>
    <w:rsid w:val="00C15D7C"/>
    <w:pPr>
      <w:spacing w:after="120"/>
      <w:ind w:left="1132"/>
    </w:pPr>
    <w:rPr>
      <w:color w:val="FF0000"/>
      <w:u w:val="single"/>
    </w:rPr>
  </w:style>
  <w:style w:type="paragraph" w:styleId="ListContinue5">
    <w:name w:val="List Continue 5"/>
    <w:basedOn w:val="Normal"/>
    <w:semiHidden/>
    <w:rsid w:val="00C15D7C"/>
    <w:pPr>
      <w:spacing w:after="120"/>
      <w:ind w:left="1415"/>
    </w:pPr>
    <w:rPr>
      <w:color w:val="FF0000"/>
      <w:u w:val="single"/>
    </w:rPr>
  </w:style>
  <w:style w:type="paragraph" w:styleId="ListNumber">
    <w:name w:val="List Number"/>
    <w:basedOn w:val="Normal"/>
    <w:semiHidden/>
    <w:rsid w:val="00C15D7C"/>
    <w:pPr>
      <w:numPr>
        <w:numId w:val="9"/>
      </w:numPr>
    </w:pPr>
    <w:rPr>
      <w:color w:val="FF0000"/>
      <w:u w:val="single"/>
    </w:rPr>
  </w:style>
  <w:style w:type="paragraph" w:styleId="ListNumber2">
    <w:name w:val="List Number 2"/>
    <w:basedOn w:val="Normal"/>
    <w:semiHidden/>
    <w:rsid w:val="00C15D7C"/>
    <w:pPr>
      <w:numPr>
        <w:numId w:val="10"/>
      </w:numPr>
    </w:pPr>
    <w:rPr>
      <w:color w:val="FF0000"/>
      <w:u w:val="single"/>
    </w:rPr>
  </w:style>
  <w:style w:type="paragraph" w:styleId="ListNumber3">
    <w:name w:val="List Number 3"/>
    <w:basedOn w:val="Normal"/>
    <w:semiHidden/>
    <w:rsid w:val="00C15D7C"/>
    <w:pPr>
      <w:numPr>
        <w:numId w:val="11"/>
      </w:numPr>
    </w:pPr>
    <w:rPr>
      <w:color w:val="FF0000"/>
      <w:u w:val="single"/>
    </w:rPr>
  </w:style>
  <w:style w:type="paragraph" w:styleId="ListNumber4">
    <w:name w:val="List Number 4"/>
    <w:basedOn w:val="Normal"/>
    <w:semiHidden/>
    <w:rsid w:val="00C15D7C"/>
    <w:pPr>
      <w:numPr>
        <w:numId w:val="12"/>
      </w:numPr>
    </w:pPr>
    <w:rPr>
      <w:color w:val="FF0000"/>
      <w:u w:val="single"/>
    </w:rPr>
  </w:style>
  <w:style w:type="paragraph" w:styleId="ListNumber5">
    <w:name w:val="List Number 5"/>
    <w:basedOn w:val="Normal"/>
    <w:semiHidden/>
    <w:rsid w:val="00C15D7C"/>
    <w:pPr>
      <w:numPr>
        <w:numId w:val="13"/>
      </w:numPr>
    </w:pPr>
    <w:rPr>
      <w:color w:val="FF0000"/>
      <w:u w:val="single"/>
    </w:rPr>
  </w:style>
  <w:style w:type="paragraph" w:styleId="MacroText">
    <w:name w:val="macro"/>
    <w:semiHidden/>
    <w:rsid w:val="00142D2A"/>
    <w:pPr>
      <w:tabs>
        <w:tab w:val="left" w:pos="480"/>
        <w:tab w:val="left" w:pos="960"/>
        <w:tab w:val="left" w:pos="1440"/>
        <w:tab w:val="left" w:pos="1920"/>
        <w:tab w:val="left" w:pos="2400"/>
        <w:tab w:val="left" w:pos="2880"/>
        <w:tab w:val="left" w:pos="3360"/>
        <w:tab w:val="left" w:pos="3840"/>
        <w:tab w:val="left" w:pos="4320"/>
      </w:tabs>
    </w:pPr>
    <w:rPr>
      <w:rFonts w:ascii="Arial" w:hAnsi="Arial" w:cs="Arial"/>
      <w:color w:val="FF0000"/>
      <w:sz w:val="32"/>
      <w:u w:val="single"/>
      <w:lang w:eastAsia="en-US"/>
    </w:rPr>
  </w:style>
  <w:style w:type="paragraph" w:styleId="MessageHeader">
    <w:name w:val="Message Header"/>
    <w:basedOn w:val="Normal"/>
    <w:semiHidden/>
    <w:rsid w:val="00C15D7C"/>
    <w:pPr>
      <w:pBdr>
        <w:top w:val="single" w:sz="6" w:space="1" w:color="auto"/>
        <w:left w:val="single" w:sz="6" w:space="1" w:color="auto"/>
        <w:bottom w:val="single" w:sz="6" w:space="1" w:color="auto"/>
        <w:right w:val="single" w:sz="6" w:space="1" w:color="auto"/>
      </w:pBdr>
      <w:shd w:val="pct20" w:color="auto" w:fill="auto"/>
      <w:ind w:left="1134" w:hanging="1134"/>
    </w:pPr>
    <w:rPr>
      <w:color w:val="FF0000"/>
      <w:szCs w:val="24"/>
      <w:u w:val="single"/>
    </w:rPr>
  </w:style>
  <w:style w:type="paragraph" w:styleId="NormalWeb">
    <w:name w:val="Normal (Web)"/>
    <w:basedOn w:val="Normal"/>
    <w:uiPriority w:val="99"/>
    <w:semiHidden/>
    <w:rsid w:val="002B075E"/>
    <w:rPr>
      <w:color w:val="FF0000"/>
      <w:szCs w:val="24"/>
      <w:u w:val="single"/>
    </w:rPr>
  </w:style>
  <w:style w:type="paragraph" w:styleId="NormalIndent">
    <w:name w:val="Normal Indent"/>
    <w:basedOn w:val="Normal"/>
    <w:semiHidden/>
    <w:rsid w:val="00C15D7C"/>
    <w:pPr>
      <w:ind w:left="720"/>
    </w:pPr>
    <w:rPr>
      <w:color w:val="FF0000"/>
      <w:u w:val="single"/>
    </w:rPr>
  </w:style>
  <w:style w:type="paragraph" w:styleId="NoteHeading">
    <w:name w:val="Note Heading"/>
    <w:basedOn w:val="Normal"/>
    <w:next w:val="Normal"/>
    <w:semiHidden/>
    <w:rsid w:val="00C15D7C"/>
    <w:rPr>
      <w:color w:val="FF0000"/>
      <w:u w:val="single"/>
    </w:rPr>
  </w:style>
  <w:style w:type="paragraph" w:styleId="PlainText">
    <w:name w:val="Plain Text"/>
    <w:basedOn w:val="Normal"/>
    <w:semiHidden/>
    <w:rsid w:val="002B075E"/>
    <w:rPr>
      <w:color w:val="FF0000"/>
      <w:u w:val="single"/>
    </w:rPr>
  </w:style>
  <w:style w:type="paragraph" w:styleId="Salutation">
    <w:name w:val="Salutation"/>
    <w:basedOn w:val="Normal"/>
    <w:next w:val="Normal"/>
    <w:semiHidden/>
    <w:rsid w:val="00C15D7C"/>
    <w:rPr>
      <w:color w:val="FF0000"/>
      <w:u w:val="single"/>
    </w:rPr>
  </w:style>
  <w:style w:type="paragraph" w:styleId="Signature">
    <w:name w:val="Signature"/>
    <w:basedOn w:val="Normal"/>
    <w:semiHidden/>
    <w:rsid w:val="00C15D7C"/>
    <w:pPr>
      <w:ind w:left="4252"/>
    </w:pPr>
    <w:rPr>
      <w:color w:val="FF0000"/>
      <w:u w:val="single"/>
    </w:rPr>
  </w:style>
  <w:style w:type="character" w:styleId="Strong">
    <w:name w:val="Strong"/>
    <w:qFormat/>
    <w:rsid w:val="002B075E"/>
    <w:rPr>
      <w:rFonts w:ascii="Arial" w:hAnsi="Arial" w:cs="Arial"/>
      <w:bCs/>
      <w:color w:val="FF0000"/>
      <w:sz w:val="32"/>
      <w:u w:val="single"/>
    </w:rPr>
  </w:style>
  <w:style w:type="paragraph" w:styleId="Subtitle0">
    <w:name w:val="Subtitle"/>
    <w:basedOn w:val="Normal"/>
    <w:qFormat/>
    <w:rsid w:val="00B35427"/>
    <w:pPr>
      <w:spacing w:after="60"/>
      <w:jc w:val="center"/>
      <w:outlineLvl w:val="1"/>
    </w:pPr>
    <w:rPr>
      <w:color w:val="FF0000"/>
      <w:szCs w:val="24"/>
      <w:u w:val="single"/>
    </w:rPr>
  </w:style>
  <w:style w:type="table" w:styleId="Table3Deffects1">
    <w:name w:val="Table 3D effects 1"/>
    <w:basedOn w:val="TableNormal"/>
    <w:semiHidden/>
    <w:rsid w:val="00C15D7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15D7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15D7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15D7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15D7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15D7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PageNumber">
    <w:name w:val="page number"/>
    <w:semiHidden/>
    <w:rsid w:val="00F13E1C"/>
    <w:rPr>
      <w:rFonts w:ascii="Arial" w:hAnsi="Arial" w:cs="Arial"/>
      <w:sz w:val="20"/>
    </w:rPr>
  </w:style>
  <w:style w:type="table" w:styleId="TableClassic4">
    <w:name w:val="Table Classic 4"/>
    <w:basedOn w:val="TableNormal"/>
    <w:semiHidden/>
    <w:rsid w:val="00C15D7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15D7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15D7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15D7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15D7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15D7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15D7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15D7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15D7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15D7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15D7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7676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15D7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15D7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15D7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15D7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15D7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15D7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15D7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15D7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15D7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15D7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15D7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15D7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15D7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15D7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15D7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15D7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C15D7C"/>
    <w:pPr>
      <w:ind w:left="320" w:hanging="320"/>
    </w:pPr>
    <w:rPr>
      <w:color w:val="FF0000"/>
      <w:u w:val="single"/>
    </w:rPr>
  </w:style>
  <w:style w:type="paragraph" w:styleId="TableofFigures">
    <w:name w:val="table of figures"/>
    <w:next w:val="BodyText"/>
    <w:rsid w:val="00F26B9C"/>
    <w:pPr>
      <w:tabs>
        <w:tab w:val="left" w:pos="1710"/>
        <w:tab w:val="right" w:leader="dot" w:pos="9923"/>
      </w:tabs>
      <w:ind w:left="1701" w:right="567" w:hanging="907"/>
    </w:pPr>
    <w:rPr>
      <w:rFonts w:ascii="Arial" w:eastAsia="Times" w:hAnsi="Arial" w:cs="Arial"/>
      <w:noProof/>
      <w:lang w:eastAsia="en-US"/>
    </w:rPr>
  </w:style>
  <w:style w:type="table" w:styleId="TableProfessional">
    <w:name w:val="Table Professional"/>
    <w:basedOn w:val="TableNormal"/>
    <w:semiHidden/>
    <w:rsid w:val="00C15D7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15D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15D7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15D7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15D7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15D7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15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15D7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15D7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15D7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C15D7C"/>
    <w:pPr>
      <w:spacing w:before="240" w:after="60"/>
      <w:jc w:val="center"/>
      <w:outlineLvl w:val="0"/>
    </w:pPr>
    <w:rPr>
      <w:b/>
      <w:bCs/>
      <w:color w:val="FF0000"/>
      <w:kern w:val="28"/>
      <w:szCs w:val="32"/>
      <w:u w:val="single"/>
    </w:rPr>
  </w:style>
  <w:style w:type="paragraph" w:styleId="TOAHeading">
    <w:name w:val="toa heading"/>
    <w:basedOn w:val="Normal"/>
    <w:next w:val="Normal"/>
    <w:semiHidden/>
    <w:rsid w:val="00C15D7C"/>
    <w:pPr>
      <w:spacing w:before="120"/>
    </w:pPr>
    <w:rPr>
      <w:b/>
      <w:bCs/>
      <w:color w:val="FF0000"/>
      <w:szCs w:val="24"/>
      <w:u w:val="single"/>
    </w:rPr>
  </w:style>
  <w:style w:type="paragraph" w:styleId="TOC4">
    <w:name w:val="toc 4"/>
    <w:basedOn w:val="Normal"/>
    <w:next w:val="Normal"/>
    <w:semiHidden/>
    <w:rsid w:val="00C15D7C"/>
    <w:pPr>
      <w:ind w:left="960"/>
    </w:pPr>
    <w:rPr>
      <w:color w:val="FF0000"/>
      <w:u w:val="single"/>
    </w:rPr>
  </w:style>
  <w:style w:type="paragraph" w:styleId="TOC5">
    <w:name w:val="toc 5"/>
    <w:next w:val="Normal"/>
    <w:autoRedefine/>
    <w:semiHidden/>
    <w:rsid w:val="00106D27"/>
    <w:pPr>
      <w:tabs>
        <w:tab w:val="left" w:pos="2223"/>
        <w:tab w:val="right" w:leader="dot" w:pos="9923"/>
      </w:tabs>
      <w:spacing w:before="240" w:after="120"/>
      <w:ind w:left="2280" w:hanging="1482"/>
    </w:pPr>
    <w:rPr>
      <w:rFonts w:ascii="Arial" w:eastAsia="Times" w:hAnsi="Arial" w:cs="Arial"/>
      <w:b/>
      <w:noProof/>
      <w:lang w:val="en-US" w:eastAsia="en-US"/>
    </w:rPr>
  </w:style>
  <w:style w:type="paragraph" w:styleId="TOC6">
    <w:name w:val="toc 6"/>
    <w:next w:val="Normal"/>
    <w:autoRedefine/>
    <w:semiHidden/>
    <w:rsid w:val="00106D27"/>
    <w:pPr>
      <w:tabs>
        <w:tab w:val="right" w:leader="dot" w:pos="9923"/>
        <w:tab w:val="right" w:leader="dot" w:pos="9953"/>
      </w:tabs>
      <w:spacing w:before="60" w:after="60"/>
      <w:ind w:left="1372"/>
    </w:pPr>
    <w:rPr>
      <w:rFonts w:ascii="Arial" w:hAnsi="Arial" w:cs="Arial"/>
      <w:noProof/>
      <w:szCs w:val="24"/>
    </w:rPr>
  </w:style>
  <w:style w:type="paragraph" w:styleId="TOC7">
    <w:name w:val="toc 7"/>
    <w:basedOn w:val="Normal"/>
    <w:next w:val="Normal"/>
    <w:semiHidden/>
    <w:rsid w:val="00C15D7C"/>
    <w:pPr>
      <w:ind w:left="1920"/>
    </w:pPr>
    <w:rPr>
      <w:color w:val="FF0000"/>
      <w:u w:val="single"/>
    </w:rPr>
  </w:style>
  <w:style w:type="paragraph" w:styleId="TOC8">
    <w:name w:val="toc 8"/>
    <w:basedOn w:val="Normal"/>
    <w:next w:val="Normal"/>
    <w:semiHidden/>
    <w:rsid w:val="00C15D7C"/>
    <w:pPr>
      <w:ind w:left="2240"/>
    </w:pPr>
    <w:rPr>
      <w:color w:val="FF0000"/>
      <w:u w:val="single"/>
    </w:rPr>
  </w:style>
  <w:style w:type="paragraph" w:styleId="TOC9">
    <w:name w:val="toc 9"/>
    <w:basedOn w:val="Normal"/>
    <w:next w:val="Normal"/>
    <w:semiHidden/>
    <w:rsid w:val="00C15D7C"/>
    <w:pPr>
      <w:ind w:left="2560"/>
    </w:pPr>
    <w:rPr>
      <w:color w:val="FF0000"/>
      <w:u w:val="single"/>
    </w:rPr>
  </w:style>
  <w:style w:type="paragraph" w:customStyle="1" w:styleId="TableText-ListIndent">
    <w:name w:val="Table Text - List Indent"/>
    <w:rsid w:val="004B5B49"/>
    <w:pPr>
      <w:numPr>
        <w:numId w:val="20"/>
      </w:numPr>
      <w:spacing w:before="60" w:after="60"/>
    </w:pPr>
    <w:rPr>
      <w:rFonts w:ascii="Arial" w:eastAsia="Times" w:hAnsi="Arial" w:cs="Arial"/>
      <w:sz w:val="18"/>
      <w:szCs w:val="18"/>
      <w:lang w:eastAsia="en-US"/>
    </w:rPr>
  </w:style>
  <w:style w:type="paragraph" w:customStyle="1" w:styleId="Bulletnormal">
    <w:name w:val="Bullet_normal"/>
    <w:basedOn w:val="Body"/>
    <w:link w:val="BulletnormalChar"/>
    <w:qFormat/>
    <w:rsid w:val="00052799"/>
    <w:pPr>
      <w:numPr>
        <w:numId w:val="34"/>
      </w:numPr>
      <w:tabs>
        <w:tab w:val="clear" w:pos="4877"/>
        <w:tab w:val="num" w:pos="283"/>
        <w:tab w:val="num" w:pos="1276"/>
      </w:tabs>
      <w:ind w:left="1276" w:hanging="425"/>
    </w:pPr>
  </w:style>
  <w:style w:type="character" w:customStyle="1" w:styleId="BulletnormalChar">
    <w:name w:val="Bullet_normal Char"/>
    <w:link w:val="Bulletnormal"/>
    <w:rsid w:val="00052799"/>
    <w:rPr>
      <w:rFonts w:ascii="Arial" w:hAnsi="Arial" w:cs="Arial"/>
      <w:szCs w:val="24"/>
      <w:lang w:eastAsia="en-US"/>
    </w:rPr>
  </w:style>
  <w:style w:type="character" w:customStyle="1" w:styleId="BodyText-NumberedListaCharChar">
    <w:name w:val="Body Text - Numbered List a Char Char"/>
    <w:link w:val="BodyText-NumberedLista"/>
    <w:rsid w:val="00AE6D3D"/>
    <w:rPr>
      <w:rFonts w:ascii="Arial" w:hAnsi="Arial" w:cs="Arial"/>
      <w:lang w:eastAsia="en-US"/>
    </w:rPr>
  </w:style>
  <w:style w:type="paragraph" w:customStyle="1" w:styleId="Heading-notinTOC-RestrictedText">
    <w:name w:val="Heading - not in TOC - Restricted Text"/>
    <w:next w:val="BodyText"/>
    <w:rsid w:val="009D0FCB"/>
    <w:pPr>
      <w:keepNext/>
      <w:spacing w:before="120" w:after="60"/>
    </w:pPr>
    <w:rPr>
      <w:rFonts w:ascii="Arial" w:hAnsi="Arial" w:cs="Arial"/>
      <w:b/>
      <w:color w:val="01356E"/>
      <w:sz w:val="22"/>
      <w:szCs w:val="28"/>
      <w:lang w:eastAsia="en-US"/>
    </w:rPr>
  </w:style>
  <w:style w:type="character" w:customStyle="1" w:styleId="BodyText-NumberedListiCharChar">
    <w:name w:val="Body Text - Numbered List i Char Char"/>
    <w:link w:val="BodyText-NumberedListi"/>
    <w:rsid w:val="00AE6D3D"/>
    <w:rPr>
      <w:rFonts w:ascii="Arial" w:eastAsia="Times" w:hAnsi="Arial" w:cs="Arial"/>
      <w:lang w:eastAsia="en-US"/>
    </w:rPr>
  </w:style>
  <w:style w:type="paragraph" w:customStyle="1" w:styleId="TableHeaderVertical">
    <w:name w:val="Table Header Vertical"/>
    <w:basedOn w:val="TableHeader"/>
    <w:rsid w:val="00F52C9E"/>
    <w:pPr>
      <w:keepNext w:val="0"/>
      <w:spacing w:after="60"/>
    </w:pPr>
    <w:rPr>
      <w:sz w:val="18"/>
    </w:rPr>
  </w:style>
  <w:style w:type="paragraph" w:styleId="Caption">
    <w:name w:val="caption"/>
    <w:basedOn w:val="Normal"/>
    <w:next w:val="Normal"/>
    <w:link w:val="CaptionChar"/>
    <w:uiPriority w:val="35"/>
    <w:qFormat/>
    <w:rsid w:val="00AA2B3F"/>
    <w:rPr>
      <w:b/>
      <w:bCs/>
      <w:sz w:val="20"/>
    </w:rPr>
  </w:style>
  <w:style w:type="character" w:customStyle="1" w:styleId="Bullet-Orange">
    <w:name w:val="Bullet - Orange"/>
    <w:rsid w:val="00840809"/>
    <w:rPr>
      <w:rFonts w:ascii="Arial" w:eastAsia="Times" w:hAnsi="Arial" w:cs="Arial"/>
      <w:color w:val="FF9900"/>
    </w:rPr>
  </w:style>
  <w:style w:type="character" w:customStyle="1" w:styleId="Bullet-Red">
    <w:name w:val="Bullet - Red"/>
    <w:rsid w:val="00840809"/>
    <w:rPr>
      <w:rFonts w:ascii="Arial" w:eastAsia="Times" w:hAnsi="Arial" w:cs="Arial"/>
      <w:color w:val="FF0000"/>
    </w:rPr>
  </w:style>
  <w:style w:type="character" w:customStyle="1" w:styleId="Bullet-Blue">
    <w:name w:val="Bullet - Blue"/>
    <w:rsid w:val="00840809"/>
    <w:rPr>
      <w:rFonts w:ascii="Arial" w:eastAsia="Times" w:hAnsi="Arial" w:cs="Arial"/>
      <w:color w:val="0000FF"/>
    </w:rPr>
  </w:style>
  <w:style w:type="character" w:customStyle="1" w:styleId="Bullet-Green">
    <w:name w:val="Bullet - Green"/>
    <w:rsid w:val="00840809"/>
    <w:rPr>
      <w:rFonts w:ascii="Arial" w:eastAsia="Times" w:hAnsi="Arial" w:cs="Arial"/>
      <w:color w:val="008000"/>
    </w:rPr>
  </w:style>
  <w:style w:type="paragraph" w:customStyle="1" w:styleId="GuidanceText">
    <w:name w:val="Guidance Text"/>
    <w:next w:val="BodyText"/>
    <w:link w:val="GuidanceTextChar"/>
    <w:rsid w:val="00A10DFD"/>
    <w:pPr>
      <w:spacing w:before="120" w:after="120"/>
      <w:ind w:left="794"/>
    </w:pPr>
    <w:rPr>
      <w:rFonts w:ascii="Arial" w:hAnsi="Arial" w:cs="Arial"/>
      <w:i/>
      <w:color w:val="0000FF"/>
      <w:szCs w:val="24"/>
      <w:lang w:eastAsia="en-US"/>
    </w:rPr>
  </w:style>
  <w:style w:type="character" w:customStyle="1" w:styleId="GuidanceTextChar">
    <w:name w:val="Guidance Text Char"/>
    <w:link w:val="GuidanceText"/>
    <w:rsid w:val="00A10DFD"/>
    <w:rPr>
      <w:rFonts w:ascii="Arial" w:hAnsi="Arial" w:cs="Arial"/>
      <w:i/>
      <w:color w:val="0000FF"/>
      <w:szCs w:val="24"/>
      <w:lang w:val="en-AU" w:eastAsia="en-US" w:bidi="ar-SA"/>
    </w:rPr>
  </w:style>
  <w:style w:type="paragraph" w:customStyle="1" w:styleId="Header-Right">
    <w:name w:val="Header - Right"/>
    <w:link w:val="Header-RightCharChar"/>
    <w:rsid w:val="00052799"/>
    <w:pPr>
      <w:pBdr>
        <w:bottom w:val="single" w:sz="4" w:space="1" w:color="839099"/>
      </w:pBdr>
      <w:jc w:val="right"/>
    </w:pPr>
    <w:rPr>
      <w:rFonts w:ascii="Arial" w:hAnsi="Arial" w:cs="Arial"/>
      <w:color w:val="01356E"/>
      <w:sz w:val="18"/>
      <w:szCs w:val="18"/>
      <w:lang w:eastAsia="en-US"/>
    </w:rPr>
  </w:style>
  <w:style w:type="character" w:customStyle="1" w:styleId="HeaderChar">
    <w:name w:val="Header Char"/>
    <w:link w:val="Header"/>
    <w:rsid w:val="00052799"/>
    <w:rPr>
      <w:rFonts w:ascii="Arial" w:hAnsi="Arial" w:cs="Arial"/>
      <w:color w:val="01356E"/>
      <w:sz w:val="18"/>
      <w:szCs w:val="18"/>
      <w:lang w:eastAsia="en-US"/>
    </w:rPr>
  </w:style>
  <w:style w:type="character" w:customStyle="1" w:styleId="Header-RightCharChar">
    <w:name w:val="Header - Right Char Char"/>
    <w:basedOn w:val="HeaderChar"/>
    <w:link w:val="Header-Right"/>
    <w:rsid w:val="00052799"/>
    <w:rPr>
      <w:rFonts w:ascii="Arial" w:hAnsi="Arial" w:cs="Arial"/>
      <w:color w:val="01356E"/>
      <w:sz w:val="18"/>
      <w:szCs w:val="18"/>
      <w:lang w:eastAsia="en-US"/>
    </w:rPr>
  </w:style>
  <w:style w:type="paragraph" w:customStyle="1" w:styleId="TableGuidanceText">
    <w:name w:val="Table Guidance Text"/>
    <w:next w:val="TableText"/>
    <w:rsid w:val="00DA7CAC"/>
    <w:pPr>
      <w:spacing w:before="60" w:after="60"/>
    </w:pPr>
    <w:rPr>
      <w:rFonts w:ascii="Arial" w:hAnsi="Arial" w:cs="Arial"/>
      <w:i/>
      <w:color w:val="0000FF"/>
      <w:sz w:val="18"/>
      <w:szCs w:val="18"/>
      <w:lang w:eastAsia="en-US"/>
    </w:rPr>
  </w:style>
  <w:style w:type="character" w:customStyle="1" w:styleId="InstructionBlue">
    <w:name w:val="Instruction Blue"/>
    <w:semiHidden/>
    <w:rsid w:val="005F2C78"/>
    <w:rPr>
      <w:rFonts w:ascii="Arial" w:hAnsi="Arial" w:cs="Arial"/>
      <w:b/>
      <w:color w:val="333399"/>
      <w:sz w:val="18"/>
    </w:rPr>
  </w:style>
  <w:style w:type="paragraph" w:customStyle="1" w:styleId="Level1-Heading">
    <w:name w:val="Level 1 - Heading"/>
    <w:next w:val="LegalBodyText"/>
    <w:rsid w:val="0053488D"/>
    <w:pPr>
      <w:keepNext/>
      <w:numPr>
        <w:numId w:val="24"/>
      </w:numPr>
      <w:spacing w:before="120" w:after="120"/>
      <w:outlineLvl w:val="0"/>
    </w:pPr>
    <w:rPr>
      <w:rFonts w:ascii="Arial" w:hAnsi="Arial" w:cs="Arial"/>
      <w:b/>
      <w:caps/>
      <w:color w:val="01356E"/>
      <w:szCs w:val="21"/>
      <w:lang w:eastAsia="en-US"/>
    </w:rPr>
  </w:style>
  <w:style w:type="paragraph" w:styleId="BodyText">
    <w:name w:val="Body Text"/>
    <w:link w:val="BodyTextChar"/>
    <w:rsid w:val="004E4FCE"/>
    <w:pPr>
      <w:spacing w:before="120" w:after="120"/>
      <w:ind w:left="794"/>
    </w:pPr>
    <w:rPr>
      <w:rFonts w:ascii="Arial" w:hAnsi="Arial" w:cs="Arial"/>
      <w:szCs w:val="24"/>
      <w:lang w:eastAsia="en-US"/>
    </w:rPr>
  </w:style>
  <w:style w:type="paragraph" w:customStyle="1" w:styleId="Level2-Heading">
    <w:name w:val="Level 2 - Heading"/>
    <w:next w:val="LegalBodyText"/>
    <w:rsid w:val="0053488D"/>
    <w:pPr>
      <w:keepNext/>
      <w:numPr>
        <w:ilvl w:val="1"/>
        <w:numId w:val="24"/>
      </w:numPr>
      <w:spacing w:before="120" w:after="120"/>
      <w:outlineLvl w:val="1"/>
    </w:pPr>
    <w:rPr>
      <w:rFonts w:ascii="Arial" w:hAnsi="Arial" w:cs="Arial"/>
      <w:b/>
      <w:color w:val="01356E"/>
      <w:szCs w:val="24"/>
      <w:lang w:eastAsia="en-US"/>
    </w:rPr>
  </w:style>
  <w:style w:type="paragraph" w:customStyle="1" w:styleId="Level3-Heading">
    <w:name w:val="Level 3 - Heading"/>
    <w:next w:val="LegalBodyText"/>
    <w:rsid w:val="0053488D"/>
    <w:pPr>
      <w:keepNext/>
      <w:numPr>
        <w:ilvl w:val="2"/>
        <w:numId w:val="24"/>
      </w:numPr>
      <w:spacing w:before="120" w:after="120"/>
      <w:outlineLvl w:val="2"/>
    </w:pPr>
    <w:rPr>
      <w:rFonts w:ascii="Arial" w:hAnsi="Arial" w:cs="Arial"/>
      <w:b/>
      <w:color w:val="01356E"/>
      <w:szCs w:val="24"/>
      <w:lang w:eastAsia="en-US"/>
    </w:rPr>
  </w:style>
  <w:style w:type="paragraph" w:customStyle="1" w:styleId="Level4-Heading">
    <w:name w:val="Level 4 - Heading"/>
    <w:next w:val="LegalBodyText"/>
    <w:rsid w:val="0053488D"/>
    <w:pPr>
      <w:keepNext/>
      <w:numPr>
        <w:ilvl w:val="3"/>
        <w:numId w:val="24"/>
      </w:numPr>
      <w:tabs>
        <w:tab w:val="left" w:pos="907"/>
        <w:tab w:val="left" w:pos="1021"/>
        <w:tab w:val="left" w:pos="1134"/>
      </w:tabs>
      <w:spacing w:before="120" w:after="120"/>
      <w:outlineLvl w:val="3"/>
    </w:pPr>
    <w:rPr>
      <w:rFonts w:ascii="Arial" w:hAnsi="Arial" w:cs="Arial"/>
      <w:b/>
      <w:color w:val="01356E"/>
      <w:szCs w:val="24"/>
      <w:lang w:eastAsia="en-US"/>
    </w:rPr>
  </w:style>
  <w:style w:type="paragraph" w:customStyle="1" w:styleId="LevelBody1-a">
    <w:name w:val="Level Body 1 - (a)"/>
    <w:rsid w:val="0053488D"/>
    <w:pPr>
      <w:numPr>
        <w:ilvl w:val="4"/>
        <w:numId w:val="24"/>
      </w:numPr>
      <w:spacing w:before="120" w:after="120"/>
    </w:pPr>
    <w:rPr>
      <w:rFonts w:ascii="Arial" w:hAnsi="Arial" w:cs="Arial"/>
      <w:lang w:eastAsia="en-US"/>
    </w:rPr>
  </w:style>
  <w:style w:type="paragraph" w:customStyle="1" w:styleId="LevelBody1-atext">
    <w:name w:val="Level Body 1 - (a) text"/>
    <w:semiHidden/>
    <w:rsid w:val="00793814"/>
    <w:pPr>
      <w:spacing w:before="120" w:after="120"/>
      <w:ind w:left="1361"/>
    </w:pPr>
    <w:rPr>
      <w:rFonts w:ascii="Arial" w:hAnsi="Arial" w:cs="Arial"/>
      <w:lang w:eastAsia="en-US"/>
    </w:rPr>
  </w:style>
  <w:style w:type="paragraph" w:customStyle="1" w:styleId="LevelBody2-i">
    <w:name w:val="Level Body 2 - i."/>
    <w:rsid w:val="0053488D"/>
    <w:pPr>
      <w:numPr>
        <w:ilvl w:val="5"/>
        <w:numId w:val="24"/>
      </w:numPr>
      <w:spacing w:before="120" w:after="120"/>
    </w:pPr>
    <w:rPr>
      <w:rFonts w:ascii="Arial" w:hAnsi="Arial" w:cs="Arial"/>
      <w:lang w:eastAsia="en-US"/>
    </w:rPr>
  </w:style>
  <w:style w:type="paragraph" w:customStyle="1" w:styleId="LevelBody2-itext">
    <w:name w:val="Level Body 2 - (i) text"/>
    <w:semiHidden/>
    <w:rsid w:val="00793814"/>
    <w:pPr>
      <w:spacing w:before="120" w:after="120"/>
      <w:ind w:left="1928"/>
    </w:pPr>
    <w:rPr>
      <w:rFonts w:ascii="Arial" w:hAnsi="Arial" w:cs="Arial"/>
      <w:lang w:eastAsia="en-US"/>
    </w:rPr>
  </w:style>
  <w:style w:type="paragraph" w:customStyle="1" w:styleId="LevelBody3-A">
    <w:name w:val="Level Body 3 - (A)"/>
    <w:rsid w:val="0053488D"/>
    <w:pPr>
      <w:numPr>
        <w:ilvl w:val="6"/>
        <w:numId w:val="24"/>
      </w:numPr>
      <w:spacing w:before="120" w:after="120"/>
    </w:pPr>
    <w:rPr>
      <w:rFonts w:ascii="Arial" w:hAnsi="Arial" w:cs="Arial"/>
      <w:lang w:eastAsia="en-US"/>
    </w:rPr>
  </w:style>
  <w:style w:type="paragraph" w:customStyle="1" w:styleId="LevelBody3-Atext">
    <w:name w:val="Level Body 3 - (A) text"/>
    <w:semiHidden/>
    <w:rsid w:val="00793814"/>
    <w:pPr>
      <w:spacing w:before="120" w:after="120"/>
      <w:ind w:left="2495"/>
    </w:pPr>
    <w:rPr>
      <w:rFonts w:ascii="Arial" w:hAnsi="Arial" w:cs="Arial"/>
      <w:lang w:eastAsia="en-US"/>
    </w:rPr>
  </w:style>
  <w:style w:type="paragraph" w:customStyle="1" w:styleId="LevelBody4-I">
    <w:name w:val="Level Body 4 - I."/>
    <w:rsid w:val="0053488D"/>
    <w:pPr>
      <w:numPr>
        <w:ilvl w:val="7"/>
        <w:numId w:val="24"/>
      </w:numPr>
      <w:spacing w:before="120" w:after="120"/>
    </w:pPr>
    <w:rPr>
      <w:rFonts w:ascii="Arial" w:hAnsi="Arial" w:cs="Arial"/>
      <w:lang w:eastAsia="en-US"/>
    </w:rPr>
  </w:style>
  <w:style w:type="paragraph" w:customStyle="1" w:styleId="LevelBody4-Itext">
    <w:name w:val="Level Body 4 - (I) text"/>
    <w:semiHidden/>
    <w:rsid w:val="00793814"/>
    <w:pPr>
      <w:spacing w:before="120" w:after="120"/>
      <w:ind w:left="3062"/>
    </w:pPr>
    <w:rPr>
      <w:rFonts w:ascii="Arial" w:hAnsi="Arial" w:cs="Arial"/>
      <w:lang w:eastAsia="en-US"/>
    </w:rPr>
  </w:style>
  <w:style w:type="paragraph" w:customStyle="1" w:styleId="Table-Number">
    <w:name w:val="Table - Number"/>
    <w:rsid w:val="00290075"/>
    <w:pPr>
      <w:numPr>
        <w:numId w:val="31"/>
      </w:numPr>
      <w:spacing w:before="60" w:after="60"/>
    </w:pPr>
    <w:rPr>
      <w:rFonts w:ascii="Arial" w:hAnsi="Arial" w:cs="Arial"/>
      <w:noProof/>
      <w:sz w:val="18"/>
      <w:szCs w:val="18"/>
      <w:lang w:eastAsia="en-US"/>
    </w:rPr>
  </w:style>
  <w:style w:type="paragraph" w:customStyle="1" w:styleId="TableText-List-Level1">
    <w:name w:val="Table Text - List - Level 1"/>
    <w:rsid w:val="003E6C7D"/>
    <w:pPr>
      <w:numPr>
        <w:ilvl w:val="1"/>
        <w:numId w:val="27"/>
      </w:numPr>
      <w:spacing w:before="60" w:after="60"/>
    </w:pPr>
    <w:rPr>
      <w:rFonts w:ascii="Arial" w:hAnsi="Arial" w:cs="Arial"/>
      <w:sz w:val="18"/>
      <w:szCs w:val="18"/>
      <w:lang w:eastAsia="en-US"/>
    </w:rPr>
  </w:style>
  <w:style w:type="paragraph" w:customStyle="1" w:styleId="TableText-List-Level2">
    <w:name w:val="Table Text - List - Level 2"/>
    <w:rsid w:val="003E6C7D"/>
    <w:pPr>
      <w:numPr>
        <w:ilvl w:val="2"/>
        <w:numId w:val="27"/>
      </w:numPr>
      <w:spacing w:before="60" w:after="60"/>
    </w:pPr>
    <w:rPr>
      <w:rFonts w:ascii="Arial" w:hAnsi="Arial" w:cs="Arial"/>
      <w:sz w:val="18"/>
      <w:szCs w:val="18"/>
      <w:lang w:eastAsia="en-US"/>
    </w:rPr>
  </w:style>
  <w:style w:type="paragraph" w:customStyle="1" w:styleId="LegalBodyText">
    <w:name w:val="Legal Body Text"/>
    <w:basedOn w:val="BodyText"/>
    <w:semiHidden/>
    <w:rsid w:val="003052A3"/>
  </w:style>
  <w:style w:type="paragraph" w:customStyle="1" w:styleId="BodyText-FarLeft">
    <w:name w:val="Body Text - Far Left"/>
    <w:basedOn w:val="BodyText"/>
    <w:semiHidden/>
    <w:rsid w:val="00DB11C3"/>
    <w:pPr>
      <w:ind w:left="0"/>
    </w:pPr>
  </w:style>
  <w:style w:type="paragraph" w:customStyle="1" w:styleId="FigureText-BoldColour">
    <w:name w:val="Figure Text - Bold Colour"/>
    <w:basedOn w:val="TableText-BoldColour"/>
    <w:next w:val="FigureText"/>
    <w:rsid w:val="004F66A3"/>
  </w:style>
  <w:style w:type="paragraph" w:customStyle="1" w:styleId="Body">
    <w:name w:val="Body"/>
    <w:basedOn w:val="BodyText"/>
    <w:link w:val="BodyChar"/>
    <w:qFormat/>
    <w:rsid w:val="00052799"/>
  </w:style>
  <w:style w:type="character" w:customStyle="1" w:styleId="BodyChar">
    <w:name w:val="Body Char"/>
    <w:link w:val="Body"/>
    <w:rsid w:val="00052799"/>
    <w:rPr>
      <w:rFonts w:ascii="Arial" w:hAnsi="Arial" w:cs="Arial"/>
      <w:szCs w:val="24"/>
      <w:lang w:eastAsia="en-US"/>
    </w:rPr>
  </w:style>
  <w:style w:type="paragraph" w:customStyle="1" w:styleId="Quotetext">
    <w:name w:val="Quote text"/>
    <w:next w:val="BodyText"/>
    <w:rsid w:val="005D6153"/>
    <w:pPr>
      <w:spacing w:before="120" w:after="120"/>
      <w:ind w:left="1440" w:right="646"/>
    </w:pPr>
    <w:rPr>
      <w:rFonts w:ascii="Arial" w:eastAsia="Times" w:hAnsi="Arial" w:cs="Arial"/>
      <w:sz w:val="18"/>
      <w:szCs w:val="24"/>
      <w:lang w:eastAsia="en-US"/>
    </w:rPr>
  </w:style>
  <w:style w:type="paragraph" w:customStyle="1" w:styleId="TableText-Colour">
    <w:name w:val="Table Text - Colour"/>
    <w:basedOn w:val="Normal"/>
    <w:rsid w:val="004F5D4E"/>
    <w:pPr>
      <w:spacing w:before="60" w:after="60"/>
    </w:pPr>
    <w:rPr>
      <w:color w:val="01356E"/>
      <w:sz w:val="18"/>
    </w:rPr>
  </w:style>
  <w:style w:type="paragraph" w:customStyle="1" w:styleId="FigureText-Colour">
    <w:name w:val="Figure Text - Colour"/>
    <w:next w:val="FigureText"/>
    <w:rsid w:val="004821B9"/>
    <w:pPr>
      <w:spacing w:before="60" w:after="60"/>
    </w:pPr>
    <w:rPr>
      <w:rFonts w:ascii="Arial" w:hAnsi="Arial" w:cs="Arial"/>
      <w:color w:val="01356E"/>
      <w:sz w:val="18"/>
      <w:lang w:eastAsia="en-US"/>
    </w:rPr>
  </w:style>
  <w:style w:type="paragraph" w:customStyle="1" w:styleId="GuidanceText-List">
    <w:name w:val="Guidance Text - List"/>
    <w:rsid w:val="00FC2B3F"/>
    <w:pPr>
      <w:numPr>
        <w:numId w:val="26"/>
      </w:numPr>
      <w:spacing w:after="40"/>
    </w:pPr>
    <w:rPr>
      <w:rFonts w:ascii="Arial" w:hAnsi="Arial" w:cs="Arial"/>
      <w:i/>
      <w:color w:val="0000FF"/>
      <w:szCs w:val="24"/>
      <w:lang w:eastAsia="en-US"/>
    </w:rPr>
  </w:style>
  <w:style w:type="paragraph" w:customStyle="1" w:styleId="TableGuidanceText-List">
    <w:name w:val="Table Guidance Text - List"/>
    <w:basedOn w:val="TableText-List"/>
    <w:rsid w:val="006211AD"/>
    <w:rPr>
      <w:i/>
      <w:color w:val="0000FF"/>
    </w:rPr>
  </w:style>
  <w:style w:type="paragraph" w:styleId="ListParagraph">
    <w:name w:val="List Paragraph"/>
    <w:basedOn w:val="Normal"/>
    <w:link w:val="ListParagraphChar"/>
    <w:uiPriority w:val="34"/>
    <w:qFormat/>
    <w:rsid w:val="00052799"/>
    <w:pPr>
      <w:spacing w:after="160" w:line="259" w:lineRule="auto"/>
      <w:ind w:left="720"/>
      <w:contextualSpacing/>
    </w:pPr>
    <w:rPr>
      <w:rFonts w:ascii="Univers 45 Light" w:eastAsia="Calibri" w:hAnsi="Univers 45 Light" w:cs="Times New Roman"/>
      <w:sz w:val="22"/>
      <w:szCs w:val="22"/>
    </w:rPr>
  </w:style>
  <w:style w:type="paragraph" w:customStyle="1" w:styleId="FigureText-Centred">
    <w:name w:val="Figure Text - Centred"/>
    <w:rsid w:val="00A1472B"/>
    <w:pPr>
      <w:spacing w:after="120"/>
      <w:jc w:val="center"/>
    </w:pPr>
    <w:rPr>
      <w:rFonts w:ascii="Verdana" w:hAnsi="Verdana"/>
      <w:sz w:val="18"/>
      <w:lang w:eastAsia="en-US"/>
    </w:rPr>
  </w:style>
  <w:style w:type="paragraph" w:customStyle="1" w:styleId="TableText-List3">
    <w:name w:val="Table Text - List 3"/>
    <w:rsid w:val="00A01EAE"/>
    <w:pPr>
      <w:numPr>
        <w:numId w:val="28"/>
      </w:numPr>
      <w:spacing w:before="60" w:after="60"/>
    </w:pPr>
    <w:rPr>
      <w:rFonts w:ascii="Arial" w:eastAsia="Times" w:hAnsi="Arial" w:cs="Arial"/>
      <w:sz w:val="18"/>
      <w:szCs w:val="18"/>
      <w:lang w:eastAsia="en-US"/>
    </w:rPr>
  </w:style>
  <w:style w:type="paragraph" w:customStyle="1" w:styleId="BodyText-NumberedList10">
    <w:name w:val="Body Text - Numbered List (1)"/>
    <w:rsid w:val="00AE6D3D"/>
    <w:pPr>
      <w:numPr>
        <w:ilvl w:val="3"/>
        <w:numId w:val="29"/>
      </w:numPr>
      <w:spacing w:before="60" w:after="60"/>
    </w:pPr>
    <w:rPr>
      <w:rFonts w:ascii="Arial" w:eastAsia="Times" w:hAnsi="Arial" w:cs="Arial"/>
      <w:lang w:val="en-US" w:eastAsia="en-US"/>
    </w:rPr>
  </w:style>
  <w:style w:type="character" w:customStyle="1" w:styleId="ListParagraphChar">
    <w:name w:val="List Paragraph Char"/>
    <w:link w:val="ListParagraph"/>
    <w:uiPriority w:val="34"/>
    <w:rsid w:val="00052799"/>
    <w:rPr>
      <w:rFonts w:ascii="Univers 45 Light" w:eastAsia="Calibri" w:hAnsi="Univers 45 Light"/>
      <w:sz w:val="22"/>
      <w:szCs w:val="22"/>
      <w:lang w:eastAsia="en-US"/>
    </w:rPr>
  </w:style>
  <w:style w:type="table" w:customStyle="1" w:styleId="GridTable4-Accent11">
    <w:name w:val="Grid Table 4 - Accent 11"/>
    <w:basedOn w:val="TableNormal"/>
    <w:uiPriority w:val="49"/>
    <w:rsid w:val="00052799"/>
    <w:rPr>
      <w:rFonts w:ascii="Calibri" w:eastAsia="Calibri" w:hAnsi="Calibri"/>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BodyText-NumberedList1Indent">
    <w:name w:val="Body Text - Numbered List 1 Indent"/>
    <w:rsid w:val="00165DC2"/>
    <w:pPr>
      <w:spacing w:before="120" w:after="120"/>
      <w:ind w:left="1418"/>
    </w:pPr>
    <w:rPr>
      <w:rFonts w:ascii="Arial" w:hAnsi="Arial" w:cs="Arial"/>
      <w:lang w:eastAsia="en-US"/>
    </w:rPr>
  </w:style>
  <w:style w:type="paragraph" w:customStyle="1" w:styleId="BodyText-NumberedListaIndent">
    <w:name w:val="Body Text - Numbered List a Indent"/>
    <w:rsid w:val="00165DC2"/>
    <w:pPr>
      <w:spacing w:before="120" w:after="120"/>
      <w:ind w:left="1985"/>
    </w:pPr>
    <w:rPr>
      <w:rFonts w:ascii="Arial" w:hAnsi="Arial" w:cs="Arial"/>
      <w:lang w:eastAsia="en-US"/>
    </w:rPr>
  </w:style>
  <w:style w:type="paragraph" w:customStyle="1" w:styleId="BodyText-NumberedListiIndent">
    <w:name w:val="Body Text - Numbered List i Indent"/>
    <w:rsid w:val="00165DC2"/>
    <w:pPr>
      <w:spacing w:before="120" w:after="120"/>
      <w:ind w:left="2438"/>
    </w:pPr>
    <w:rPr>
      <w:rFonts w:ascii="Arial" w:hAnsi="Arial" w:cs="Arial"/>
      <w:lang w:eastAsia="en-US"/>
    </w:rPr>
  </w:style>
  <w:style w:type="paragraph" w:customStyle="1" w:styleId="GuidanceText-List-Indent">
    <w:name w:val="Guidance Text - List - Indent"/>
    <w:basedOn w:val="BodyText-List-Indent"/>
    <w:rsid w:val="00C14061"/>
    <w:rPr>
      <w:i/>
      <w:color w:val="0000FF"/>
    </w:rPr>
  </w:style>
  <w:style w:type="paragraph" w:customStyle="1" w:styleId="GuidanceText-Bold">
    <w:name w:val="Guidance Text - Bold"/>
    <w:basedOn w:val="BodyText-Bold"/>
    <w:rsid w:val="00BC2C00"/>
    <w:rPr>
      <w:rFonts w:eastAsia="Times"/>
      <w:color w:val="0000FF"/>
    </w:rPr>
  </w:style>
  <w:style w:type="paragraph" w:customStyle="1" w:styleId="BodyText-NumberedList1Indent0">
    <w:name w:val="Body Text - Numbered List (1) Indent"/>
    <w:basedOn w:val="BodyText-NumberedListiIndent"/>
    <w:rsid w:val="00165DC2"/>
    <w:pPr>
      <w:ind w:left="3005"/>
    </w:pPr>
  </w:style>
  <w:style w:type="character" w:customStyle="1" w:styleId="BodyText-RestrictedReleaseChar">
    <w:name w:val="Body Text - Restricted Release Char"/>
    <w:link w:val="BodyText-RestrictedRelease"/>
    <w:rsid w:val="00795582"/>
    <w:rPr>
      <w:rFonts w:ascii="Arial" w:eastAsia="Times" w:hAnsi="Arial" w:cs="Arial"/>
      <w:sz w:val="16"/>
      <w:szCs w:val="30"/>
      <w:lang w:val="en-AU" w:eastAsia="en-AU" w:bidi="ar-SA"/>
    </w:rPr>
  </w:style>
  <w:style w:type="paragraph" w:customStyle="1" w:styleId="TableTextSmallBold">
    <w:name w:val="Table Text Small Bold"/>
    <w:rsid w:val="00265C41"/>
    <w:pPr>
      <w:spacing w:before="60" w:after="60"/>
    </w:pPr>
    <w:rPr>
      <w:rFonts w:ascii="Arial" w:eastAsia="Times" w:hAnsi="Arial" w:cs="Arial"/>
      <w:b/>
      <w:sz w:val="16"/>
      <w:szCs w:val="18"/>
      <w:lang w:eastAsia="en-US"/>
    </w:rPr>
  </w:style>
  <w:style w:type="character" w:customStyle="1" w:styleId="FootnoteTextChar">
    <w:name w:val="Footnote Text Char"/>
    <w:link w:val="FootnoteText"/>
    <w:uiPriority w:val="99"/>
    <w:rsid w:val="00052799"/>
    <w:rPr>
      <w:rFonts w:ascii="Arial" w:hAnsi="Arial" w:cs="Arial"/>
      <w:sz w:val="16"/>
    </w:rPr>
  </w:style>
  <w:style w:type="paragraph" w:customStyle="1" w:styleId="Tableheading">
    <w:name w:val="Tableheading"/>
    <w:basedOn w:val="BodyText"/>
    <w:qFormat/>
    <w:rsid w:val="00052799"/>
    <w:pPr>
      <w:suppressAutoHyphens/>
      <w:ind w:left="0"/>
    </w:pPr>
    <w:rPr>
      <w:rFonts w:eastAsia="Times" w:cs="Times New Roman"/>
      <w:b/>
      <w:szCs w:val="20"/>
    </w:rPr>
  </w:style>
  <w:style w:type="paragraph" w:customStyle="1" w:styleId="PictureIndent">
    <w:name w:val="Picture Indent"/>
    <w:next w:val="BodyText"/>
    <w:rsid w:val="003E5FE7"/>
    <w:pPr>
      <w:spacing w:before="120" w:after="60"/>
      <w:ind w:left="794"/>
    </w:pPr>
    <w:rPr>
      <w:rFonts w:ascii="Arial" w:hAnsi="Arial" w:cs="Arial"/>
      <w:szCs w:val="24"/>
      <w:lang w:eastAsia="en-US"/>
    </w:rPr>
  </w:style>
  <w:style w:type="paragraph" w:customStyle="1" w:styleId="TableHeaderSecondary">
    <w:name w:val="Table Header Secondary"/>
    <w:rsid w:val="00024CD4"/>
    <w:pPr>
      <w:spacing w:before="60" w:after="20"/>
    </w:pPr>
    <w:rPr>
      <w:rFonts w:ascii="Arial" w:hAnsi="Arial" w:cs="Arial"/>
      <w:b/>
      <w:color w:val="FFFFFF"/>
      <w:sz w:val="18"/>
      <w:lang w:eastAsia="en-US"/>
    </w:rPr>
  </w:style>
  <w:style w:type="paragraph" w:customStyle="1" w:styleId="CommonContentBookmark">
    <w:name w:val="Common Content Bookmark"/>
    <w:semiHidden/>
    <w:rsid w:val="00A10C51"/>
    <w:pPr>
      <w:pageBreakBefore/>
    </w:pPr>
    <w:rPr>
      <w:rFonts w:ascii="Verdana" w:eastAsia="Times" w:hAnsi="Verdana"/>
      <w:color w:val="002B45"/>
      <w:sz w:val="22"/>
      <w:szCs w:val="30"/>
    </w:rPr>
  </w:style>
  <w:style w:type="paragraph" w:customStyle="1" w:styleId="CommonContentDescription">
    <w:name w:val="Common Content Description"/>
    <w:semiHidden/>
    <w:rsid w:val="00A10C51"/>
    <w:pPr>
      <w:pageBreakBefore/>
    </w:pPr>
    <w:rPr>
      <w:rFonts w:ascii="Verdana" w:hAnsi="Verdana"/>
      <w:color w:val="002B45"/>
      <w:sz w:val="22"/>
      <w:szCs w:val="18"/>
      <w:lang w:eastAsia="en-US"/>
    </w:rPr>
  </w:style>
  <w:style w:type="paragraph" w:customStyle="1" w:styleId="CommonContentHeading">
    <w:name w:val="Common Content Heading"/>
    <w:basedOn w:val="NoStyle"/>
    <w:semiHidden/>
    <w:rsid w:val="00A10C51"/>
    <w:rPr>
      <w:rFonts w:ascii="Verdana" w:hAnsi="Verdana" w:cs="Times New Roman"/>
      <w:b/>
      <w:color w:val="002B45"/>
      <w:sz w:val="22"/>
      <w:lang w:val="en-US"/>
    </w:rPr>
  </w:style>
  <w:style w:type="paragraph" w:customStyle="1" w:styleId="CommonContentHelpText">
    <w:name w:val="Common Content Help Text"/>
    <w:semiHidden/>
    <w:rsid w:val="00A10C51"/>
    <w:pPr>
      <w:spacing w:before="60" w:after="60"/>
    </w:pPr>
    <w:rPr>
      <w:rFonts w:ascii="Verdana" w:hAnsi="Verdana"/>
      <w:color w:val="FF0000"/>
      <w:sz w:val="22"/>
      <w:szCs w:val="18"/>
      <w:lang w:eastAsia="en-US"/>
    </w:rPr>
  </w:style>
  <w:style w:type="paragraph" w:customStyle="1" w:styleId="CommonContentPageBreak">
    <w:name w:val="Common Content Page Break"/>
    <w:semiHidden/>
    <w:rsid w:val="00A10C51"/>
    <w:pPr>
      <w:pageBreakBefore/>
    </w:pPr>
    <w:rPr>
      <w:rFonts w:ascii="Verdana" w:hAnsi="Verdana"/>
      <w:b/>
      <w:color w:val="002B45"/>
      <w:sz w:val="22"/>
      <w:szCs w:val="18"/>
      <w:lang w:eastAsia="en-US"/>
    </w:rPr>
  </w:style>
  <w:style w:type="paragraph" w:customStyle="1" w:styleId="PictureLeft">
    <w:name w:val="Picture Left"/>
    <w:next w:val="BodyText"/>
    <w:rsid w:val="003E5FE7"/>
    <w:pPr>
      <w:spacing w:before="120" w:after="60"/>
    </w:pPr>
    <w:rPr>
      <w:rFonts w:ascii="Arial" w:eastAsia="Times" w:hAnsi="Arial" w:cs="Arial"/>
      <w:szCs w:val="24"/>
      <w:lang w:eastAsia="en-US"/>
    </w:rPr>
  </w:style>
  <w:style w:type="character" w:customStyle="1" w:styleId="BodyTextChar">
    <w:name w:val="Body Text Char"/>
    <w:link w:val="BodyText"/>
    <w:rsid w:val="00A942CC"/>
    <w:rPr>
      <w:rFonts w:ascii="Arial" w:hAnsi="Arial" w:cs="Arial"/>
      <w:szCs w:val="24"/>
      <w:lang w:val="en-AU" w:eastAsia="en-US" w:bidi="ar-SA"/>
    </w:rPr>
  </w:style>
  <w:style w:type="paragraph" w:customStyle="1" w:styleId="Tabletext0">
    <w:name w:val="Tabletext"/>
    <w:basedOn w:val="BodyText"/>
    <w:qFormat/>
    <w:rsid w:val="00052799"/>
    <w:pPr>
      <w:suppressAutoHyphens/>
      <w:spacing w:before="40" w:after="40"/>
      <w:ind w:left="0"/>
    </w:pPr>
    <w:rPr>
      <w:rFonts w:eastAsia="Times" w:cs="Times New Roman"/>
      <w:szCs w:val="20"/>
    </w:rPr>
  </w:style>
  <w:style w:type="character" w:customStyle="1" w:styleId="CommentTextChar">
    <w:name w:val="Comment Text Char"/>
    <w:link w:val="CommentText"/>
    <w:uiPriority w:val="99"/>
    <w:rsid w:val="00052799"/>
    <w:rPr>
      <w:rFonts w:ascii="Arial" w:hAnsi="Arial" w:cs="Arial"/>
      <w:sz w:val="24"/>
      <w:lang w:eastAsia="en-US"/>
    </w:rPr>
  </w:style>
  <w:style w:type="paragraph" w:styleId="Revision">
    <w:name w:val="Revision"/>
    <w:hidden/>
    <w:uiPriority w:val="99"/>
    <w:semiHidden/>
    <w:rsid w:val="00052799"/>
    <w:rPr>
      <w:rFonts w:ascii="Arial" w:hAnsi="Arial" w:cs="Arial"/>
      <w:sz w:val="28"/>
      <w:lang w:eastAsia="en-US"/>
    </w:rPr>
  </w:style>
  <w:style w:type="character" w:customStyle="1" w:styleId="Heading1Char">
    <w:name w:val="Heading 1 Char"/>
    <w:link w:val="Heading1"/>
    <w:rsid w:val="00052799"/>
    <w:rPr>
      <w:rFonts w:ascii="Arial" w:hAnsi="Arial" w:cs="Arial"/>
      <w:b/>
      <w:color w:val="01356E"/>
      <w:sz w:val="32"/>
      <w:szCs w:val="36"/>
      <w:lang w:eastAsia="en-US"/>
    </w:rPr>
  </w:style>
  <w:style w:type="character" w:customStyle="1" w:styleId="Heading2Char">
    <w:name w:val="Heading 2 Char"/>
    <w:link w:val="Heading2"/>
    <w:rsid w:val="00052799"/>
    <w:rPr>
      <w:rFonts w:ascii="Arial" w:hAnsi="Arial" w:cs="Arial"/>
      <w:b/>
      <w:color w:val="01356E"/>
      <w:sz w:val="28"/>
      <w:szCs w:val="28"/>
      <w:lang w:eastAsia="en-US"/>
    </w:rPr>
  </w:style>
  <w:style w:type="paragraph" w:customStyle="1" w:styleId="Tableheading0">
    <w:name w:val="Table heading"/>
    <w:basedOn w:val="Normal"/>
    <w:qFormat/>
    <w:rsid w:val="00052799"/>
    <w:pPr>
      <w:jc w:val="center"/>
    </w:pPr>
    <w:rPr>
      <w:rFonts w:ascii="Univers 45 Light" w:hAnsi="Univers 45 Light" w:cs="Times New Roman"/>
      <w:b/>
      <w:bCs/>
      <w:color w:val="FFFFFF"/>
      <w:sz w:val="16"/>
      <w:szCs w:val="16"/>
      <w:lang w:eastAsia="en-AU"/>
    </w:rPr>
  </w:style>
  <w:style w:type="paragraph" w:customStyle="1" w:styleId="Tabletext1">
    <w:name w:val="Table text"/>
    <w:qFormat/>
    <w:rsid w:val="00052799"/>
    <w:pPr>
      <w:spacing w:before="40" w:after="40"/>
    </w:pPr>
    <w:rPr>
      <w:rFonts w:ascii="Univers 45 Light" w:eastAsia="Calibri" w:hAnsi="Univers 45 Light"/>
      <w:sz w:val="16"/>
      <w:szCs w:val="22"/>
    </w:rPr>
  </w:style>
  <w:style w:type="paragraph" w:customStyle="1" w:styleId="Tablenumber">
    <w:name w:val="Tablenumber"/>
    <w:basedOn w:val="Normal"/>
    <w:qFormat/>
    <w:rsid w:val="00052799"/>
    <w:pPr>
      <w:spacing w:before="40" w:after="40"/>
      <w:jc w:val="right"/>
    </w:pPr>
    <w:rPr>
      <w:rFonts w:ascii="Univers 45 Light" w:hAnsi="Univers 45 Light" w:cs="Times New Roman"/>
      <w:color w:val="000000"/>
      <w:sz w:val="16"/>
      <w:szCs w:val="16"/>
      <w:lang w:eastAsia="en-AU"/>
    </w:rPr>
  </w:style>
  <w:style w:type="paragraph" w:customStyle="1" w:styleId="Tablebullet1">
    <w:name w:val="Tablebullet1"/>
    <w:basedOn w:val="ListBullet"/>
    <w:qFormat/>
    <w:rsid w:val="00052799"/>
    <w:pPr>
      <w:numPr>
        <w:numId w:val="0"/>
      </w:numPr>
      <w:tabs>
        <w:tab w:val="num" w:pos="1492"/>
      </w:tabs>
      <w:spacing w:before="40" w:after="40"/>
      <w:ind w:left="1492" w:hanging="360"/>
      <w:contextualSpacing/>
    </w:pPr>
    <w:rPr>
      <w:rFonts w:ascii="Univers 45 Light" w:eastAsia="Calibri" w:hAnsi="Univers 45 Light" w:cs="Times New Roman"/>
      <w:color w:val="auto"/>
      <w:sz w:val="16"/>
      <w:szCs w:val="22"/>
      <w:u w:val="none"/>
    </w:rPr>
  </w:style>
  <w:style w:type="paragraph" w:customStyle="1" w:styleId="Tablenote">
    <w:name w:val="Table_note"/>
    <w:basedOn w:val="Caption"/>
    <w:link w:val="TablenoteChar"/>
    <w:qFormat/>
    <w:rsid w:val="00052799"/>
    <w:pPr>
      <w:keepNext/>
      <w:ind w:left="709" w:firstLine="142"/>
    </w:pPr>
    <w:rPr>
      <w:b w:val="0"/>
      <w:sz w:val="16"/>
    </w:rPr>
  </w:style>
  <w:style w:type="character" w:customStyle="1" w:styleId="CaptionChar">
    <w:name w:val="Caption Char"/>
    <w:link w:val="Caption"/>
    <w:uiPriority w:val="35"/>
    <w:rsid w:val="00052799"/>
    <w:rPr>
      <w:rFonts w:ascii="Arial" w:hAnsi="Arial" w:cs="Arial"/>
      <w:b/>
      <w:bCs/>
      <w:lang w:eastAsia="en-US"/>
    </w:rPr>
  </w:style>
  <w:style w:type="character" w:customStyle="1" w:styleId="TablenoteChar">
    <w:name w:val="Table_note Char"/>
    <w:link w:val="Tablenote"/>
    <w:rsid w:val="00052799"/>
    <w:rPr>
      <w:rFonts w:ascii="Arial" w:hAnsi="Arial" w:cs="Arial"/>
      <w:bCs/>
      <w:sz w:val="16"/>
      <w:lang w:eastAsia="en-US"/>
    </w:rPr>
  </w:style>
  <w:style w:type="paragraph" w:customStyle="1" w:styleId="Appendix">
    <w:name w:val="Appendix"/>
    <w:basedOn w:val="Heading1"/>
    <w:link w:val="AppendixChar"/>
    <w:qFormat/>
    <w:rsid w:val="00052799"/>
    <w:pPr>
      <w:pageBreakBefore/>
      <w:numPr>
        <w:numId w:val="0"/>
      </w:numPr>
      <w:ind w:left="794" w:hanging="794"/>
    </w:pPr>
  </w:style>
  <w:style w:type="character" w:customStyle="1" w:styleId="AppendixChar">
    <w:name w:val="Appendix Char"/>
    <w:link w:val="Appendix"/>
    <w:rsid w:val="00052799"/>
    <w:rPr>
      <w:rFonts w:ascii="Arial" w:hAnsi="Arial" w:cs="Arial"/>
      <w:b/>
      <w:color w:val="01356E"/>
      <w:sz w:val="32"/>
      <w:szCs w:val="36"/>
      <w:lang w:eastAsia="en-US"/>
    </w:rPr>
  </w:style>
  <w:style w:type="paragraph" w:customStyle="1" w:styleId="Bullet2ndlevel">
    <w:name w:val="Bullet 2nd level"/>
    <w:basedOn w:val="Normal"/>
    <w:qFormat/>
    <w:rsid w:val="00052799"/>
    <w:pPr>
      <w:numPr>
        <w:numId w:val="69"/>
      </w:numPr>
      <w:tabs>
        <w:tab w:val="clear" w:pos="340"/>
        <w:tab w:val="num" w:pos="142"/>
      </w:tabs>
      <w:spacing w:before="60" w:after="60" w:line="280" w:lineRule="exact"/>
      <w:ind w:left="624" w:hanging="284"/>
    </w:pPr>
    <w:rPr>
      <w:rFonts w:ascii="Univers 45 Light" w:eastAsia="Calibri" w:hAnsi="Univers 45 Light" w:cs="Times New Roman"/>
      <w:sz w:val="20"/>
      <w:szCs w:val="22"/>
    </w:rPr>
  </w:style>
  <w:style w:type="paragraph" w:customStyle="1" w:styleId="source">
    <w:name w:val="source"/>
    <w:basedOn w:val="Caption"/>
    <w:qFormat/>
    <w:rsid w:val="00052799"/>
    <w:pPr>
      <w:spacing w:before="120" w:after="120"/>
      <w:ind w:left="709"/>
    </w:pPr>
    <w:rPr>
      <w:rFonts w:ascii="Univers 45 Light" w:eastAsia="Calibri" w:hAnsi="Univers 45 Light" w:cs="Times New Roman"/>
      <w:b w:val="0"/>
      <w:bCs w:val="0"/>
      <w:i/>
      <w:iCs/>
      <w:color w:val="44546A"/>
      <w:sz w:val="18"/>
      <w:szCs w:val="18"/>
    </w:rPr>
  </w:style>
  <w:style w:type="table" w:customStyle="1" w:styleId="TableGrid10">
    <w:name w:val="Table Grid1"/>
    <w:basedOn w:val="TableNormal"/>
    <w:next w:val="TableGrid"/>
    <w:uiPriority w:val="39"/>
    <w:rsid w:val="0005279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er">
    <w:name w:val="Appendix_header"/>
    <w:basedOn w:val="Heading1"/>
    <w:link w:val="AppendixheaderChar"/>
    <w:qFormat/>
    <w:rsid w:val="00052799"/>
    <w:pPr>
      <w:pageBreakBefore/>
      <w:numPr>
        <w:numId w:val="75"/>
      </w:numPr>
    </w:pPr>
  </w:style>
  <w:style w:type="character" w:customStyle="1" w:styleId="AppendixheaderChar">
    <w:name w:val="Appendix_header Char"/>
    <w:link w:val="Appendixheader"/>
    <w:rsid w:val="00052799"/>
    <w:rPr>
      <w:rFonts w:ascii="Arial" w:hAnsi="Arial" w:cs="Arial"/>
      <w:b/>
      <w:color w:val="01356E"/>
      <w:sz w:val="32"/>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engage.vic.gov.au/firearmsregulations" TargetMode="External"/><Relationship Id="rId22" Type="http://schemas.openxmlformats.org/officeDocument/2006/relationships/header" Target="header9.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www.lrc.justice.wa.gov.au/_files/P105_D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B4A72-C5C6-443B-B105-FB5AD4965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43919</Words>
  <Characters>250339</Characters>
  <Application>Microsoft Office Word</Application>
  <DocSecurity>4</DocSecurity>
  <Lines>2086</Lines>
  <Paragraphs>587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293671</CharactersWithSpaces>
  <SharedDoc>false</SharedDoc>
  <HLinks>
    <vt:vector size="36" baseType="variant">
      <vt:variant>
        <vt:i4>1507383</vt:i4>
      </vt:variant>
      <vt:variant>
        <vt:i4>53</vt:i4>
      </vt:variant>
      <vt:variant>
        <vt:i4>0</vt:i4>
      </vt:variant>
      <vt:variant>
        <vt:i4>5</vt:i4>
      </vt:variant>
      <vt:variant>
        <vt:lpwstr/>
      </vt:variant>
      <vt:variant>
        <vt:lpwstr>_Toc488686388</vt:lpwstr>
      </vt:variant>
      <vt:variant>
        <vt:i4>1507383</vt:i4>
      </vt:variant>
      <vt:variant>
        <vt:i4>45</vt:i4>
      </vt:variant>
      <vt:variant>
        <vt:i4>0</vt:i4>
      </vt:variant>
      <vt:variant>
        <vt:i4>5</vt:i4>
      </vt:variant>
      <vt:variant>
        <vt:lpwstr/>
      </vt:variant>
      <vt:variant>
        <vt:lpwstr>_Toc488686387</vt:lpwstr>
      </vt:variant>
      <vt:variant>
        <vt:i4>1507383</vt:i4>
      </vt:variant>
      <vt:variant>
        <vt:i4>37</vt:i4>
      </vt:variant>
      <vt:variant>
        <vt:i4>0</vt:i4>
      </vt:variant>
      <vt:variant>
        <vt:i4>5</vt:i4>
      </vt:variant>
      <vt:variant>
        <vt:lpwstr/>
      </vt:variant>
      <vt:variant>
        <vt:lpwstr>_Toc488686386</vt:lpwstr>
      </vt:variant>
      <vt:variant>
        <vt:i4>1507383</vt:i4>
      </vt:variant>
      <vt:variant>
        <vt:i4>31</vt:i4>
      </vt:variant>
      <vt:variant>
        <vt:i4>0</vt:i4>
      </vt:variant>
      <vt:variant>
        <vt:i4>5</vt:i4>
      </vt:variant>
      <vt:variant>
        <vt:lpwstr/>
      </vt:variant>
      <vt:variant>
        <vt:lpwstr>_Toc488686385</vt:lpwstr>
      </vt:variant>
      <vt:variant>
        <vt:i4>1507383</vt:i4>
      </vt:variant>
      <vt:variant>
        <vt:i4>25</vt:i4>
      </vt:variant>
      <vt:variant>
        <vt:i4>0</vt:i4>
      </vt:variant>
      <vt:variant>
        <vt:i4>5</vt:i4>
      </vt:variant>
      <vt:variant>
        <vt:lpwstr/>
      </vt:variant>
      <vt:variant>
        <vt:lpwstr>_Toc488686384</vt:lpwstr>
      </vt:variant>
      <vt:variant>
        <vt:i4>1507383</vt:i4>
      </vt:variant>
      <vt:variant>
        <vt:i4>19</vt:i4>
      </vt:variant>
      <vt:variant>
        <vt:i4>0</vt:i4>
      </vt:variant>
      <vt:variant>
        <vt:i4>5</vt:i4>
      </vt:variant>
      <vt:variant>
        <vt:lpwstr/>
      </vt:variant>
      <vt:variant>
        <vt:lpwstr>_Toc488686383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2019-01-10T04:55:00Z</dcterms:created>
  <dcterms:modified xsi:type="dcterms:W3CDTF">2019-01-10T04:55:00Z</dcterms:modified>
</cp:coreProperties>
</file>