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990" w:rsidRPr="00B309AB" w:rsidRDefault="00417CC6" w:rsidP="00A55989">
      <w:pPr>
        <w:pStyle w:val="WOVGbodynospace"/>
        <w:rPr>
          <w:rFonts w:ascii="Verdana" w:hAnsi="Verdana"/>
        </w:rPr>
      </w:pPr>
      <w:bookmarkStart w:id="0" w:name="_GoBack"/>
      <w:bookmarkEnd w:id="0"/>
      <w:r w:rsidRPr="00B309AB">
        <w:rPr>
          <w:rFonts w:ascii="Verdana" w:hAnsi="Verdana"/>
          <w:noProof/>
          <w:lang w:eastAsia="en-AU"/>
        </w:rPr>
        <w:drawing>
          <wp:anchor distT="0" distB="0" distL="114300" distR="114300" simplePos="0" relativeHeight="251658240" behindDoc="1" locked="1" layoutInCell="0" allowOverlap="1" wp14:anchorId="60BB20D1" wp14:editId="60BB20D2">
            <wp:simplePos x="0" y="0"/>
            <wp:positionH relativeFrom="page">
              <wp:posOffset>0</wp:posOffset>
            </wp:positionH>
            <wp:positionV relativeFrom="page">
              <wp:posOffset>0</wp:posOffset>
            </wp:positionV>
            <wp:extent cx="7562850" cy="10698480"/>
            <wp:effectExtent l="0" t="0" r="0" b="7620"/>
            <wp:wrapNone/>
            <wp:docPr id="100" name="Picture 99" descr="Victoria State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ictoria State Government Department of Health and Human Service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56285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7C28">
        <w:rPr>
          <w:rFonts w:ascii="Verdana" w:hAnsi="Verdana"/>
        </w:rPr>
        <w:t>`</w:t>
      </w:r>
    </w:p>
    <w:tbl>
      <w:tblPr>
        <w:tblW w:w="4707" w:type="dxa"/>
        <w:tblInd w:w="113" w:type="dxa"/>
        <w:tblCellMar>
          <w:left w:w="0" w:type="dxa"/>
          <w:right w:w="0" w:type="dxa"/>
        </w:tblCellMar>
        <w:tblLook w:val="0600" w:firstRow="0" w:lastRow="0" w:firstColumn="0" w:lastColumn="0" w:noHBand="1" w:noVBand="1"/>
      </w:tblPr>
      <w:tblGrid>
        <w:gridCol w:w="3998"/>
        <w:gridCol w:w="709"/>
      </w:tblGrid>
      <w:tr w:rsidR="001817CD" w:rsidRPr="00B309AB" w:rsidTr="00FF2701">
        <w:trPr>
          <w:gridAfter w:val="1"/>
          <w:wAfter w:w="709" w:type="dxa"/>
          <w:cantSplit/>
        </w:trPr>
        <w:tc>
          <w:tcPr>
            <w:tcW w:w="3998" w:type="dxa"/>
            <w:shd w:val="clear" w:color="auto" w:fill="auto"/>
          </w:tcPr>
          <w:p w:rsidR="00444D82" w:rsidRPr="00B309AB" w:rsidRDefault="00FB7679" w:rsidP="00264577">
            <w:pPr>
              <w:pStyle w:val="WOVGreportmaintitlewhite"/>
              <w:rPr>
                <w:rFonts w:ascii="Verdana" w:hAnsi="Verdana"/>
              </w:rPr>
            </w:pPr>
            <w:r w:rsidRPr="00B309AB">
              <w:rPr>
                <w:rFonts w:ascii="Verdana" w:hAnsi="Verdana"/>
              </w:rPr>
              <w:t>Regulatory Impact Statement</w:t>
            </w:r>
          </w:p>
        </w:tc>
      </w:tr>
      <w:tr w:rsidR="00264577" w:rsidRPr="00B309AB" w:rsidTr="00FF2701">
        <w:trPr>
          <w:cantSplit/>
        </w:trPr>
        <w:tc>
          <w:tcPr>
            <w:tcW w:w="4707" w:type="dxa"/>
            <w:gridSpan w:val="2"/>
            <w:shd w:val="clear" w:color="auto" w:fill="auto"/>
          </w:tcPr>
          <w:p w:rsidR="00264577" w:rsidRPr="00B309AB" w:rsidRDefault="00FB7679" w:rsidP="00264577">
            <w:pPr>
              <w:pStyle w:val="WOVGreportsubtitlewhite"/>
              <w:rPr>
                <w:rFonts w:ascii="Verdana" w:hAnsi="Verdana"/>
              </w:rPr>
            </w:pPr>
            <w:r w:rsidRPr="00B309AB">
              <w:rPr>
                <w:rFonts w:ascii="Verdana" w:hAnsi="Verdana"/>
              </w:rPr>
              <w:t>Child Wellbeing and Safety (Information Sharing)</w:t>
            </w:r>
            <w:r w:rsidR="00B309AB">
              <w:rPr>
                <w:rFonts w:ascii="Verdana" w:hAnsi="Verdana"/>
              </w:rPr>
              <w:t xml:space="preserve"> </w:t>
            </w:r>
            <w:r w:rsidR="00C25AA2">
              <w:rPr>
                <w:rFonts w:ascii="Verdana" w:hAnsi="Verdana"/>
              </w:rPr>
              <w:t xml:space="preserve">Amendment </w:t>
            </w:r>
            <w:r w:rsidR="00B309AB">
              <w:rPr>
                <w:rFonts w:ascii="Verdana" w:hAnsi="Verdana"/>
              </w:rPr>
              <w:t>Regulations 2020</w:t>
            </w:r>
          </w:p>
        </w:tc>
      </w:tr>
    </w:tbl>
    <w:p w:rsidR="00C51B1C" w:rsidRPr="00B309AB" w:rsidRDefault="00C51B1C" w:rsidP="00256E7C">
      <w:pPr>
        <w:pStyle w:val="WOVGbody"/>
        <w:rPr>
          <w:rFonts w:ascii="Verdana" w:hAnsi="Verdana"/>
        </w:rPr>
        <w:sectPr w:rsidR="00C51B1C" w:rsidRPr="00B309AB" w:rsidSect="007228D3">
          <w:type w:val="oddPage"/>
          <w:pgSz w:w="11906" w:h="16838"/>
          <w:pgMar w:top="3969" w:right="1304" w:bottom="1134" w:left="1304" w:header="454" w:footer="567" w:gutter="0"/>
          <w:cols w:space="720"/>
          <w:docGrid w:linePitch="360"/>
        </w:sectPr>
      </w:pPr>
    </w:p>
    <w:tbl>
      <w:tblPr>
        <w:tblW w:w="0" w:type="auto"/>
        <w:tblCellMar>
          <w:top w:w="113" w:type="dxa"/>
          <w:left w:w="0" w:type="dxa"/>
          <w:bottom w:w="57" w:type="dxa"/>
          <w:right w:w="0" w:type="dxa"/>
        </w:tblCellMar>
        <w:tblLook w:val="0600" w:firstRow="0" w:lastRow="0" w:firstColumn="0" w:lastColumn="0" w:noHBand="1" w:noVBand="1"/>
      </w:tblPr>
      <w:tblGrid>
        <w:gridCol w:w="9298"/>
      </w:tblGrid>
      <w:tr w:rsidR="00564E8F" w:rsidRPr="00B309AB" w:rsidTr="00972535">
        <w:trPr>
          <w:trHeight w:val="5387"/>
        </w:trPr>
        <w:tc>
          <w:tcPr>
            <w:tcW w:w="9298" w:type="dxa"/>
            <w:vAlign w:val="bottom"/>
          </w:tcPr>
          <w:p w:rsidR="00551789" w:rsidRPr="00B309AB" w:rsidRDefault="00551789" w:rsidP="00551789">
            <w:pPr>
              <w:pStyle w:val="WOVGaccessibilitypara"/>
              <w:rPr>
                <w:rFonts w:ascii="Verdana" w:hAnsi="Verdana"/>
              </w:rPr>
            </w:pPr>
            <w:r w:rsidRPr="00B309AB">
              <w:rPr>
                <w:rFonts w:ascii="Verdana" w:hAnsi="Verdana"/>
              </w:rPr>
              <w:lastRenderedPageBreak/>
              <w:t xml:space="preserve">To receive this publication in an accessible format phone </w:t>
            </w:r>
            <w:r w:rsidR="00655798" w:rsidRPr="00FE00CC">
              <w:rPr>
                <w:rFonts w:ascii="Verdana" w:hAnsi="Verdana"/>
              </w:rPr>
              <w:t>1800 549 646</w:t>
            </w:r>
            <w:r w:rsidRPr="00B309AB">
              <w:rPr>
                <w:rFonts w:ascii="Verdana" w:hAnsi="Verdana"/>
              </w:rPr>
              <w:t>, using the National Relay Service 13 36 77 if required, or email</w:t>
            </w:r>
            <w:r w:rsidR="00D25676">
              <w:rPr>
                <w:rFonts w:ascii="Verdana" w:hAnsi="Verdana"/>
              </w:rPr>
              <w:t xml:space="preserve"> Child Information</w:t>
            </w:r>
            <w:r w:rsidR="00FE00CC">
              <w:rPr>
                <w:rFonts w:ascii="Verdana" w:hAnsi="Verdana"/>
              </w:rPr>
              <w:t xml:space="preserve"> Sharing</w:t>
            </w:r>
            <w:r w:rsidR="00D25676">
              <w:rPr>
                <w:rFonts w:ascii="Verdana" w:hAnsi="Verdana"/>
              </w:rPr>
              <w:t xml:space="preserve"> Enquiry Line</w:t>
            </w:r>
            <w:r w:rsidRPr="00B309AB">
              <w:rPr>
                <w:rFonts w:ascii="Verdana" w:hAnsi="Verdana"/>
              </w:rPr>
              <w:t xml:space="preserve"> </w:t>
            </w:r>
            <w:r w:rsidR="00D25676">
              <w:rPr>
                <w:rFonts w:ascii="Verdana" w:hAnsi="Verdana"/>
              </w:rPr>
              <w:t>(</w:t>
            </w:r>
            <w:hyperlink r:id="rId13" w:history="1">
              <w:r w:rsidR="00655798" w:rsidRPr="001F445D">
                <w:rPr>
                  <w:rStyle w:val="rpl-linkinner1"/>
                  <w:rFonts w:ascii="Verdana" w:hAnsi="Verdana"/>
                  <w:color w:val="0000FF"/>
                  <w:lang w:val="en"/>
                  <w:specVanish w:val="0"/>
                </w:rPr>
                <w:t>childinfosharing@edumail.vic.gov.au</w:t>
              </w:r>
            </w:hyperlink>
            <w:r w:rsidR="00D25676">
              <w:rPr>
                <w:rFonts w:ascii="Verdana" w:hAnsi="Verdana" w:cs="Arial"/>
                <w:color w:val="011A3C"/>
                <w:lang w:val="en"/>
              </w:rPr>
              <w:t>)</w:t>
            </w:r>
          </w:p>
          <w:p w:rsidR="00551789" w:rsidRPr="00B309AB" w:rsidRDefault="00551789" w:rsidP="00551789">
            <w:pPr>
              <w:pStyle w:val="WOVGbody"/>
              <w:rPr>
                <w:rFonts w:ascii="Verdana" w:hAnsi="Verdana"/>
              </w:rPr>
            </w:pPr>
            <w:r w:rsidRPr="00B309AB">
              <w:rPr>
                <w:rFonts w:ascii="Verdana" w:hAnsi="Verdana"/>
              </w:rPr>
              <w:t>Authorised and published by the Victorian Government, 1 Treasury Place, Melbourne.</w:t>
            </w:r>
          </w:p>
          <w:p w:rsidR="00551789" w:rsidRPr="00972535" w:rsidRDefault="00A66FAD" w:rsidP="00551789">
            <w:pPr>
              <w:pStyle w:val="WOVGbody"/>
              <w:rPr>
                <w:rFonts w:ascii="Verdana" w:hAnsi="Verdana"/>
              </w:rPr>
            </w:pPr>
            <w:r w:rsidRPr="00B309AB">
              <w:rPr>
                <w:rFonts w:ascii="Verdana" w:hAnsi="Verdana"/>
              </w:rPr>
              <w:t>© State of Victoria, Australia,</w:t>
            </w:r>
            <w:r w:rsidR="00551789" w:rsidRPr="00B309AB">
              <w:rPr>
                <w:rFonts w:ascii="Verdana" w:hAnsi="Verdana"/>
                <w:color w:val="008950"/>
              </w:rPr>
              <w:t xml:space="preserve"> </w:t>
            </w:r>
            <w:r w:rsidR="00ED4B90" w:rsidRPr="00FE00CC">
              <w:rPr>
                <w:rFonts w:ascii="Verdana" w:hAnsi="Verdana"/>
              </w:rPr>
              <w:t>November 2019</w:t>
            </w:r>
            <w:r w:rsidR="00972535">
              <w:rPr>
                <w:rFonts w:ascii="Verdana" w:hAnsi="Verdana"/>
              </w:rPr>
              <w:t>.</w:t>
            </w:r>
          </w:p>
          <w:p w:rsidR="00551789" w:rsidRPr="00900085" w:rsidRDefault="00551789" w:rsidP="00551789">
            <w:pPr>
              <w:pStyle w:val="WOVGbody"/>
              <w:rPr>
                <w:rFonts w:ascii="Verdana" w:hAnsi="Verdana"/>
              </w:rPr>
            </w:pPr>
            <w:r w:rsidRPr="00900085">
              <w:rPr>
                <w:rFonts w:ascii="Verdana" w:hAnsi="Verdana"/>
              </w:rPr>
              <w:t>In this document, ‘Aboriginal’ refers to both Aboriginal and Torres Strait Islander people. ‘Indigenous’ or ‘Koori/Koorie’ is retained when part of the title of a report, program or quotation.</w:t>
            </w:r>
          </w:p>
          <w:p w:rsidR="00564E8F" w:rsidRPr="002A799D" w:rsidRDefault="00B77342" w:rsidP="00551789">
            <w:pPr>
              <w:pStyle w:val="WOVGbody"/>
              <w:rPr>
                <w:rFonts w:ascii="Verdana" w:hAnsi="Verdana"/>
                <w:color w:val="000000"/>
                <w:szCs w:val="19"/>
              </w:rPr>
            </w:pPr>
            <w:r w:rsidRPr="00900085">
              <w:rPr>
                <w:rFonts w:ascii="Verdana" w:hAnsi="Verdana" w:cs="Arial"/>
                <w:b/>
                <w:bCs/>
                <w:color w:val="000000"/>
              </w:rPr>
              <w:t xml:space="preserve">ISBN </w:t>
            </w:r>
            <w:r w:rsidRPr="00900085">
              <w:rPr>
                <w:rFonts w:ascii="Verdana" w:hAnsi="Verdana" w:cs="Arial"/>
                <w:color w:val="000000"/>
              </w:rPr>
              <w:t>978-0-7594-0854-8</w:t>
            </w:r>
            <w:r w:rsidRPr="00900085">
              <w:rPr>
                <w:rFonts w:ascii="Verdana" w:hAnsi="Verdana" w:cs="Arial"/>
                <w:b/>
                <w:bCs/>
                <w:color w:val="000000"/>
              </w:rPr>
              <w:t xml:space="preserve"> (pdf/online/MS word)</w:t>
            </w:r>
            <w:r>
              <w:rPr>
                <w:rFonts w:cs="Arial"/>
                <w:color w:val="000000"/>
              </w:rPr>
              <w:t xml:space="preserve"> </w:t>
            </w:r>
            <w:r w:rsidR="00551789" w:rsidRPr="00B309AB">
              <w:rPr>
                <w:rFonts w:ascii="Verdana" w:hAnsi="Verdana"/>
                <w:szCs w:val="19"/>
              </w:rPr>
              <w:t xml:space="preserve">Available at </w:t>
            </w:r>
            <w:hyperlink r:id="rId14" w:history="1">
              <w:r w:rsidR="000023F3">
                <w:rPr>
                  <w:rStyle w:val="Hyperlink"/>
                </w:rPr>
                <w:t>http://www.betterregulation.vic.gov.au/Home</w:t>
              </w:r>
            </w:hyperlink>
            <w:r w:rsidR="000023F3">
              <w:t xml:space="preserve"> </w:t>
            </w:r>
          </w:p>
        </w:tc>
      </w:tr>
      <w:tr w:rsidR="009906C7" w:rsidRPr="00B309AB" w:rsidTr="00972535">
        <w:tc>
          <w:tcPr>
            <w:tcW w:w="9298" w:type="dxa"/>
            <w:vAlign w:val="bottom"/>
          </w:tcPr>
          <w:p w:rsidR="009906C7" w:rsidRPr="00B309AB" w:rsidRDefault="009906C7" w:rsidP="003741AD">
            <w:pPr>
              <w:pStyle w:val="WOVGbodynospace"/>
              <w:rPr>
                <w:rFonts w:ascii="Verdana" w:hAnsi="Verdana"/>
              </w:rPr>
            </w:pPr>
          </w:p>
        </w:tc>
      </w:tr>
    </w:tbl>
    <w:p w:rsidR="00ED4D17" w:rsidRPr="00B309AB" w:rsidRDefault="00ED4D17" w:rsidP="003072C6">
      <w:pPr>
        <w:pStyle w:val="WOVGbody"/>
        <w:rPr>
          <w:rFonts w:ascii="Verdana" w:hAnsi="Verdana"/>
        </w:rPr>
      </w:pPr>
    </w:p>
    <w:p w:rsidR="00AC0C3B" w:rsidRPr="00B309AB" w:rsidRDefault="00AC0C3B" w:rsidP="00D13C5D">
      <w:pPr>
        <w:pStyle w:val="WOVGTOCheadingreport"/>
        <w:numPr>
          <w:ilvl w:val="0"/>
          <w:numId w:val="0"/>
        </w:numPr>
        <w:rPr>
          <w:rFonts w:ascii="Verdana" w:hAnsi="Verdana"/>
        </w:rPr>
      </w:pPr>
      <w:r w:rsidRPr="00B309AB">
        <w:rPr>
          <w:rFonts w:ascii="Verdana" w:hAnsi="Verdana"/>
        </w:rPr>
        <w:lastRenderedPageBreak/>
        <w:t>Contents</w:t>
      </w:r>
    </w:p>
    <w:p w:rsidR="0057155D" w:rsidRDefault="00E15DA9">
      <w:pPr>
        <w:pStyle w:val="TOC1"/>
        <w:rPr>
          <w:rFonts w:asciiTheme="minorHAnsi" w:eastAsiaTheme="minorEastAsia" w:hAnsiTheme="minorHAnsi" w:cstheme="minorBidi"/>
          <w:b w:val="0"/>
          <w:sz w:val="22"/>
          <w:szCs w:val="22"/>
          <w:lang w:eastAsia="en-AU"/>
        </w:rPr>
      </w:pPr>
      <w:r w:rsidRPr="00B309AB">
        <w:rPr>
          <w:rFonts w:ascii="Verdana" w:hAnsi="Verdana"/>
          <w:noProof w:val="0"/>
        </w:rPr>
        <w:fldChar w:fldCharType="begin"/>
      </w:r>
      <w:r w:rsidRPr="00B309AB">
        <w:rPr>
          <w:rFonts w:ascii="Verdana" w:hAnsi="Verdana"/>
          <w:noProof w:val="0"/>
        </w:rPr>
        <w:instrText xml:space="preserve"> TOC \h \z \t "Heading 1,1,Heading 2,2" </w:instrText>
      </w:r>
      <w:r w:rsidRPr="00B309AB">
        <w:rPr>
          <w:rFonts w:ascii="Verdana" w:hAnsi="Verdana"/>
          <w:noProof w:val="0"/>
        </w:rPr>
        <w:fldChar w:fldCharType="separate"/>
      </w:r>
      <w:hyperlink w:anchor="_Toc23510748" w:history="1">
        <w:r w:rsidR="0057155D" w:rsidRPr="003C26B7">
          <w:rPr>
            <w:rStyle w:val="Hyperlink"/>
            <w:rFonts w:ascii="Verdana" w:hAnsi="Verdana"/>
          </w:rPr>
          <w:t>Executive summary</w:t>
        </w:r>
        <w:r w:rsidR="0057155D">
          <w:rPr>
            <w:webHidden/>
          </w:rPr>
          <w:tab/>
        </w:r>
        <w:r w:rsidR="0057155D">
          <w:rPr>
            <w:webHidden/>
          </w:rPr>
          <w:fldChar w:fldCharType="begin"/>
        </w:r>
        <w:r w:rsidR="0057155D">
          <w:rPr>
            <w:webHidden/>
          </w:rPr>
          <w:instrText xml:space="preserve"> PAGEREF _Toc23510748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49" w:history="1">
        <w:r w:rsidR="0057155D" w:rsidRPr="003C26B7">
          <w:rPr>
            <w:rStyle w:val="Hyperlink"/>
            <w:rFonts w:ascii="Verdana" w:hAnsi="Verdana"/>
          </w:rPr>
          <w:t>Objectives of the proposed Amendment Regulations</w:t>
        </w:r>
        <w:r w:rsidR="0057155D">
          <w:rPr>
            <w:webHidden/>
          </w:rPr>
          <w:tab/>
        </w:r>
        <w:r w:rsidR="0057155D">
          <w:rPr>
            <w:webHidden/>
          </w:rPr>
          <w:fldChar w:fldCharType="begin"/>
        </w:r>
        <w:r w:rsidR="0057155D">
          <w:rPr>
            <w:webHidden/>
          </w:rPr>
          <w:instrText xml:space="preserve"> PAGEREF _Toc23510749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0" w:history="1">
        <w:r w:rsidR="0057155D" w:rsidRPr="003C26B7">
          <w:rPr>
            <w:rStyle w:val="Hyperlink"/>
            <w:rFonts w:ascii="Verdana" w:hAnsi="Verdana"/>
          </w:rPr>
          <w:t>Regulatory Options</w:t>
        </w:r>
        <w:r w:rsidR="0057155D">
          <w:rPr>
            <w:webHidden/>
          </w:rPr>
          <w:tab/>
        </w:r>
        <w:r w:rsidR="0057155D">
          <w:rPr>
            <w:webHidden/>
          </w:rPr>
          <w:fldChar w:fldCharType="begin"/>
        </w:r>
        <w:r w:rsidR="0057155D">
          <w:rPr>
            <w:webHidden/>
          </w:rPr>
          <w:instrText xml:space="preserve"> PAGEREF _Toc23510750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1" w:history="1">
        <w:r w:rsidR="0057155D" w:rsidRPr="003C26B7">
          <w:rPr>
            <w:rStyle w:val="Hyperlink"/>
            <w:rFonts w:ascii="Verdana" w:hAnsi="Verdana"/>
          </w:rPr>
          <w:t>Preferred Option</w:t>
        </w:r>
        <w:r w:rsidR="0057155D">
          <w:rPr>
            <w:webHidden/>
          </w:rPr>
          <w:tab/>
        </w:r>
        <w:r w:rsidR="0057155D">
          <w:rPr>
            <w:webHidden/>
          </w:rPr>
          <w:fldChar w:fldCharType="begin"/>
        </w:r>
        <w:r w:rsidR="0057155D">
          <w:rPr>
            <w:webHidden/>
          </w:rPr>
          <w:instrText xml:space="preserve"> PAGEREF _Toc23510751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2" w:history="1">
        <w:r w:rsidR="0057155D" w:rsidRPr="003C26B7">
          <w:rPr>
            <w:rStyle w:val="Hyperlink"/>
            <w:rFonts w:ascii="Verdana" w:hAnsi="Verdana"/>
          </w:rPr>
          <w:t>Impact of the proposed Amendment Regulations</w:t>
        </w:r>
        <w:r w:rsidR="0057155D">
          <w:rPr>
            <w:webHidden/>
          </w:rPr>
          <w:tab/>
        </w:r>
        <w:r w:rsidR="0057155D">
          <w:rPr>
            <w:webHidden/>
          </w:rPr>
          <w:fldChar w:fldCharType="begin"/>
        </w:r>
        <w:r w:rsidR="0057155D">
          <w:rPr>
            <w:webHidden/>
          </w:rPr>
          <w:instrText xml:space="preserve"> PAGEREF _Toc23510752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3" w:history="1">
        <w:r w:rsidR="0057155D" w:rsidRPr="003C26B7">
          <w:rPr>
            <w:rStyle w:val="Hyperlink"/>
            <w:rFonts w:ascii="Verdana" w:hAnsi="Verdana"/>
          </w:rPr>
          <w:t>Implementation</w:t>
        </w:r>
        <w:r w:rsidR="0057155D">
          <w:rPr>
            <w:webHidden/>
          </w:rPr>
          <w:tab/>
        </w:r>
        <w:r w:rsidR="0057155D">
          <w:rPr>
            <w:webHidden/>
          </w:rPr>
          <w:fldChar w:fldCharType="begin"/>
        </w:r>
        <w:r w:rsidR="0057155D">
          <w:rPr>
            <w:webHidden/>
          </w:rPr>
          <w:instrText xml:space="preserve"> PAGEREF _Toc23510753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4" w:history="1">
        <w:r w:rsidR="0057155D" w:rsidRPr="003C26B7">
          <w:rPr>
            <w:rStyle w:val="Hyperlink"/>
            <w:rFonts w:ascii="Verdana" w:hAnsi="Verdana"/>
          </w:rPr>
          <w:t>Consultation</w:t>
        </w:r>
        <w:r w:rsidR="0057155D">
          <w:rPr>
            <w:webHidden/>
          </w:rPr>
          <w:tab/>
        </w:r>
        <w:r w:rsidR="0057155D">
          <w:rPr>
            <w:webHidden/>
          </w:rPr>
          <w:fldChar w:fldCharType="begin"/>
        </w:r>
        <w:r w:rsidR="0057155D">
          <w:rPr>
            <w:webHidden/>
          </w:rPr>
          <w:instrText xml:space="preserve"> PAGEREF _Toc23510754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5" w:history="1">
        <w:r w:rsidR="0057155D" w:rsidRPr="003C26B7">
          <w:rPr>
            <w:rStyle w:val="Hyperlink"/>
            <w:rFonts w:ascii="Verdana" w:hAnsi="Verdana"/>
          </w:rPr>
          <w:t>Review</w:t>
        </w:r>
        <w:r w:rsidR="0057155D">
          <w:rPr>
            <w:webHidden/>
          </w:rPr>
          <w:tab/>
        </w:r>
        <w:r w:rsidR="0057155D">
          <w:rPr>
            <w:webHidden/>
          </w:rPr>
          <w:fldChar w:fldCharType="begin"/>
        </w:r>
        <w:r w:rsidR="0057155D">
          <w:rPr>
            <w:webHidden/>
          </w:rPr>
          <w:instrText xml:space="preserve"> PAGEREF _Toc23510755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56" w:history="1">
        <w:r w:rsidR="0057155D" w:rsidRPr="003C26B7">
          <w:rPr>
            <w:rStyle w:val="Hyperlink"/>
            <w:rFonts w:ascii="Verdana" w:hAnsi="Verdana"/>
          </w:rPr>
          <w:t>1.</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Background</w:t>
        </w:r>
        <w:r w:rsidR="0057155D">
          <w:rPr>
            <w:webHidden/>
          </w:rPr>
          <w:tab/>
        </w:r>
        <w:r w:rsidR="0057155D">
          <w:rPr>
            <w:webHidden/>
          </w:rPr>
          <w:fldChar w:fldCharType="begin"/>
        </w:r>
        <w:r w:rsidR="0057155D">
          <w:rPr>
            <w:webHidden/>
          </w:rPr>
          <w:instrText xml:space="preserve"> PAGEREF _Toc23510756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7" w:history="1">
        <w:r w:rsidR="0057155D" w:rsidRPr="003C26B7">
          <w:rPr>
            <w:rStyle w:val="Hyperlink"/>
            <w:rFonts w:ascii="Verdana" w:hAnsi="Verdana"/>
          </w:rPr>
          <w:t>The need for reform</w:t>
        </w:r>
        <w:r w:rsidR="0057155D">
          <w:rPr>
            <w:webHidden/>
          </w:rPr>
          <w:tab/>
        </w:r>
        <w:r w:rsidR="0057155D">
          <w:rPr>
            <w:webHidden/>
          </w:rPr>
          <w:fldChar w:fldCharType="begin"/>
        </w:r>
        <w:r w:rsidR="0057155D">
          <w:rPr>
            <w:webHidden/>
          </w:rPr>
          <w:instrText xml:space="preserve"> PAGEREF _Toc23510757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8" w:history="1">
        <w:r w:rsidR="0057155D" w:rsidRPr="003C26B7">
          <w:rPr>
            <w:rStyle w:val="Hyperlink"/>
            <w:rFonts w:ascii="Verdana" w:hAnsi="Verdana"/>
          </w:rPr>
          <w:t>Policy context</w:t>
        </w:r>
        <w:r w:rsidR="0057155D">
          <w:rPr>
            <w:webHidden/>
          </w:rPr>
          <w:tab/>
        </w:r>
        <w:r w:rsidR="0057155D">
          <w:rPr>
            <w:webHidden/>
          </w:rPr>
          <w:fldChar w:fldCharType="begin"/>
        </w:r>
        <w:r w:rsidR="0057155D">
          <w:rPr>
            <w:webHidden/>
          </w:rPr>
          <w:instrText xml:space="preserve"> PAGEREF _Toc23510758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59" w:history="1">
        <w:r w:rsidR="0057155D" w:rsidRPr="003C26B7">
          <w:rPr>
            <w:rStyle w:val="Hyperlink"/>
            <w:rFonts w:ascii="Verdana" w:hAnsi="Verdana"/>
          </w:rPr>
          <w:t>Interface between the CIS and FVIS schemes</w:t>
        </w:r>
        <w:r w:rsidR="0057155D">
          <w:rPr>
            <w:webHidden/>
          </w:rPr>
          <w:tab/>
        </w:r>
        <w:r w:rsidR="0057155D">
          <w:rPr>
            <w:webHidden/>
          </w:rPr>
          <w:fldChar w:fldCharType="begin"/>
        </w:r>
        <w:r w:rsidR="0057155D">
          <w:rPr>
            <w:webHidden/>
          </w:rPr>
          <w:instrText xml:space="preserve"> PAGEREF _Toc23510759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0" w:history="1">
        <w:r w:rsidR="0057155D" w:rsidRPr="003C26B7">
          <w:rPr>
            <w:rStyle w:val="Hyperlink"/>
            <w:rFonts w:ascii="Verdana" w:hAnsi="Verdana"/>
          </w:rPr>
          <w:t>CIS confidentiality considerations</w:t>
        </w:r>
        <w:r w:rsidR="0057155D">
          <w:rPr>
            <w:webHidden/>
          </w:rPr>
          <w:tab/>
        </w:r>
        <w:r w:rsidR="0057155D">
          <w:rPr>
            <w:webHidden/>
          </w:rPr>
          <w:fldChar w:fldCharType="begin"/>
        </w:r>
        <w:r w:rsidR="0057155D">
          <w:rPr>
            <w:webHidden/>
          </w:rPr>
          <w:instrText xml:space="preserve"> PAGEREF _Toc23510760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61" w:history="1">
        <w:r w:rsidR="0057155D" w:rsidRPr="003C26B7">
          <w:rPr>
            <w:rStyle w:val="Hyperlink"/>
            <w:rFonts w:ascii="Verdana" w:hAnsi="Verdana"/>
          </w:rPr>
          <w:t>2.</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Problem analysis</w:t>
        </w:r>
        <w:r w:rsidR="0057155D">
          <w:rPr>
            <w:webHidden/>
          </w:rPr>
          <w:tab/>
        </w:r>
        <w:r w:rsidR="0057155D">
          <w:rPr>
            <w:webHidden/>
          </w:rPr>
          <w:fldChar w:fldCharType="begin"/>
        </w:r>
        <w:r w:rsidR="0057155D">
          <w:rPr>
            <w:webHidden/>
          </w:rPr>
          <w:instrText xml:space="preserve"> PAGEREF _Toc23510761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2" w:history="1">
        <w:r w:rsidR="0057155D" w:rsidRPr="003C26B7">
          <w:rPr>
            <w:rStyle w:val="Hyperlink"/>
            <w:rFonts w:ascii="Verdana" w:hAnsi="Verdana"/>
          </w:rPr>
          <w:t>Lack of access to relevant information for service providers limits service delivery and hinders early intervention, compromising child wellbeing and safety</w:t>
        </w:r>
        <w:r w:rsidR="0057155D">
          <w:rPr>
            <w:webHidden/>
          </w:rPr>
          <w:tab/>
        </w:r>
        <w:r w:rsidR="0057155D">
          <w:rPr>
            <w:webHidden/>
          </w:rPr>
          <w:fldChar w:fldCharType="begin"/>
        </w:r>
        <w:r w:rsidR="0057155D">
          <w:rPr>
            <w:webHidden/>
          </w:rPr>
          <w:instrText xml:space="preserve"> PAGEREF _Toc23510762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3" w:history="1">
        <w:r w:rsidR="0057155D" w:rsidRPr="003C26B7">
          <w:rPr>
            <w:rStyle w:val="Hyperlink"/>
            <w:rFonts w:ascii="Verdana" w:hAnsi="Verdana"/>
          </w:rPr>
          <w:t>The absence of regulation will lead to inconsistent information sharing practices between service providers</w:t>
        </w:r>
        <w:r w:rsidR="0057155D">
          <w:rPr>
            <w:webHidden/>
          </w:rPr>
          <w:tab/>
        </w:r>
        <w:r w:rsidR="0057155D">
          <w:rPr>
            <w:webHidden/>
          </w:rPr>
          <w:fldChar w:fldCharType="begin"/>
        </w:r>
        <w:r w:rsidR="0057155D">
          <w:rPr>
            <w:webHidden/>
          </w:rPr>
          <w:instrText xml:space="preserve"> PAGEREF _Toc23510763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64" w:history="1">
        <w:r w:rsidR="0057155D" w:rsidRPr="003C26B7">
          <w:rPr>
            <w:rStyle w:val="Hyperlink"/>
            <w:rFonts w:ascii="Verdana" w:hAnsi="Verdana"/>
          </w:rPr>
          <w:t>3.</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Objectives</w:t>
        </w:r>
        <w:r w:rsidR="0057155D">
          <w:rPr>
            <w:webHidden/>
          </w:rPr>
          <w:tab/>
        </w:r>
        <w:r w:rsidR="0057155D">
          <w:rPr>
            <w:webHidden/>
          </w:rPr>
          <w:fldChar w:fldCharType="begin"/>
        </w:r>
        <w:r w:rsidR="0057155D">
          <w:rPr>
            <w:webHidden/>
          </w:rPr>
          <w:instrText xml:space="preserve"> PAGEREF _Toc23510764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5" w:history="1">
        <w:r w:rsidR="0057155D" w:rsidRPr="003C26B7">
          <w:rPr>
            <w:rStyle w:val="Hyperlink"/>
            <w:rFonts w:ascii="Verdana" w:hAnsi="Verdana"/>
          </w:rPr>
          <w:t>Objectives of the CIS Scheme</w:t>
        </w:r>
        <w:r w:rsidR="0057155D">
          <w:rPr>
            <w:webHidden/>
          </w:rPr>
          <w:tab/>
        </w:r>
        <w:r w:rsidR="0057155D">
          <w:rPr>
            <w:webHidden/>
          </w:rPr>
          <w:fldChar w:fldCharType="begin"/>
        </w:r>
        <w:r w:rsidR="0057155D">
          <w:rPr>
            <w:webHidden/>
          </w:rPr>
          <w:instrText xml:space="preserve"> PAGEREF _Toc23510765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6" w:history="1">
        <w:r w:rsidR="0057155D" w:rsidRPr="003C26B7">
          <w:rPr>
            <w:rStyle w:val="Hyperlink"/>
            <w:rFonts w:ascii="Verdana" w:hAnsi="Verdana"/>
          </w:rPr>
          <w:t>Objectives of the proposed Child Wellbeing and Safety (Information Sharing) Amendment Regulations 2020</w:t>
        </w:r>
        <w:r w:rsidR="0057155D">
          <w:rPr>
            <w:webHidden/>
          </w:rPr>
          <w:tab/>
        </w:r>
        <w:r w:rsidR="0057155D">
          <w:rPr>
            <w:webHidden/>
          </w:rPr>
          <w:fldChar w:fldCharType="begin"/>
        </w:r>
        <w:r w:rsidR="0057155D">
          <w:rPr>
            <w:webHidden/>
          </w:rPr>
          <w:instrText xml:space="preserve"> PAGEREF _Toc23510766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67" w:history="1">
        <w:r w:rsidR="0057155D" w:rsidRPr="003C26B7">
          <w:rPr>
            <w:rStyle w:val="Hyperlink"/>
            <w:rFonts w:ascii="Verdana" w:hAnsi="Verdana"/>
          </w:rPr>
          <w:t>4.</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Options</w:t>
        </w:r>
        <w:r w:rsidR="0057155D">
          <w:rPr>
            <w:webHidden/>
          </w:rPr>
          <w:tab/>
        </w:r>
        <w:r w:rsidR="0057155D">
          <w:rPr>
            <w:webHidden/>
          </w:rPr>
          <w:fldChar w:fldCharType="begin"/>
        </w:r>
        <w:r w:rsidR="0057155D">
          <w:rPr>
            <w:webHidden/>
          </w:rPr>
          <w:instrText xml:space="preserve"> PAGEREF _Toc23510767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8" w:history="1">
        <w:r w:rsidR="0057155D" w:rsidRPr="003C26B7">
          <w:rPr>
            <w:rStyle w:val="Hyperlink"/>
            <w:rFonts w:ascii="Verdana" w:hAnsi="Verdana"/>
          </w:rPr>
          <w:t>Consideration of a non-regulatory option (base case scenario)</w:t>
        </w:r>
        <w:r w:rsidR="0057155D">
          <w:rPr>
            <w:webHidden/>
          </w:rPr>
          <w:tab/>
        </w:r>
        <w:r w:rsidR="0057155D">
          <w:rPr>
            <w:webHidden/>
          </w:rPr>
          <w:fldChar w:fldCharType="begin"/>
        </w:r>
        <w:r w:rsidR="0057155D">
          <w:rPr>
            <w:webHidden/>
          </w:rPr>
          <w:instrText xml:space="preserve"> PAGEREF _Toc23510768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69" w:history="1">
        <w:r w:rsidR="0057155D" w:rsidRPr="003C26B7">
          <w:rPr>
            <w:rStyle w:val="Hyperlink"/>
            <w:rFonts w:ascii="Verdana" w:hAnsi="Verdana"/>
          </w:rPr>
          <w:t>Options for determining prescribed ISEs</w:t>
        </w:r>
        <w:r w:rsidR="0057155D">
          <w:rPr>
            <w:webHidden/>
          </w:rPr>
          <w:tab/>
        </w:r>
        <w:r w:rsidR="0057155D">
          <w:rPr>
            <w:webHidden/>
          </w:rPr>
          <w:fldChar w:fldCharType="begin"/>
        </w:r>
        <w:r w:rsidR="0057155D">
          <w:rPr>
            <w:webHidden/>
          </w:rPr>
          <w:instrText xml:space="preserve"> PAGEREF _Toc23510769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70" w:history="1">
        <w:r w:rsidR="0057155D" w:rsidRPr="003C26B7">
          <w:rPr>
            <w:rStyle w:val="Hyperlink"/>
            <w:rFonts w:ascii="Verdana" w:hAnsi="Verdana"/>
          </w:rPr>
          <w:t>5.</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Determining the preferred option</w:t>
        </w:r>
        <w:r w:rsidR="0057155D">
          <w:rPr>
            <w:webHidden/>
          </w:rPr>
          <w:tab/>
        </w:r>
        <w:r w:rsidR="0057155D">
          <w:rPr>
            <w:webHidden/>
          </w:rPr>
          <w:fldChar w:fldCharType="begin"/>
        </w:r>
        <w:r w:rsidR="0057155D">
          <w:rPr>
            <w:webHidden/>
          </w:rPr>
          <w:instrText xml:space="preserve"> PAGEREF _Toc23510770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1" w:history="1">
        <w:r w:rsidR="0057155D" w:rsidRPr="003C26B7">
          <w:rPr>
            <w:rStyle w:val="Hyperlink"/>
            <w:rFonts w:ascii="Verdana" w:hAnsi="Verdana"/>
          </w:rPr>
          <w:t>Approach to analysis</w:t>
        </w:r>
        <w:r w:rsidR="0057155D">
          <w:rPr>
            <w:webHidden/>
          </w:rPr>
          <w:tab/>
        </w:r>
        <w:r w:rsidR="0057155D">
          <w:rPr>
            <w:webHidden/>
          </w:rPr>
          <w:fldChar w:fldCharType="begin"/>
        </w:r>
        <w:r w:rsidR="0057155D">
          <w:rPr>
            <w:webHidden/>
          </w:rPr>
          <w:instrText xml:space="preserve"> PAGEREF _Toc23510771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2" w:history="1">
        <w:r w:rsidR="0057155D" w:rsidRPr="003C26B7">
          <w:rPr>
            <w:rStyle w:val="Hyperlink"/>
            <w:rFonts w:ascii="Verdana" w:hAnsi="Verdana"/>
          </w:rPr>
          <w:t>Criteria for analysis</w:t>
        </w:r>
        <w:r w:rsidR="0057155D">
          <w:rPr>
            <w:webHidden/>
          </w:rPr>
          <w:tab/>
        </w:r>
        <w:r w:rsidR="0057155D">
          <w:rPr>
            <w:webHidden/>
          </w:rPr>
          <w:fldChar w:fldCharType="begin"/>
        </w:r>
        <w:r w:rsidR="0057155D">
          <w:rPr>
            <w:webHidden/>
          </w:rPr>
          <w:instrText xml:space="preserve"> PAGEREF _Toc23510772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3" w:history="1">
        <w:r w:rsidR="0057155D" w:rsidRPr="003C26B7">
          <w:rPr>
            <w:rStyle w:val="Hyperlink"/>
            <w:rFonts w:ascii="Verdana" w:hAnsi="Verdana"/>
          </w:rPr>
          <w:t>Options assessment</w:t>
        </w:r>
        <w:r w:rsidR="0057155D">
          <w:rPr>
            <w:webHidden/>
          </w:rPr>
          <w:tab/>
        </w:r>
        <w:r w:rsidR="0057155D">
          <w:rPr>
            <w:webHidden/>
          </w:rPr>
          <w:fldChar w:fldCharType="begin"/>
        </w:r>
        <w:r w:rsidR="0057155D">
          <w:rPr>
            <w:webHidden/>
          </w:rPr>
          <w:instrText xml:space="preserve"> PAGEREF _Toc23510773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74" w:history="1">
        <w:r w:rsidR="0057155D" w:rsidRPr="003C26B7">
          <w:rPr>
            <w:rStyle w:val="Hyperlink"/>
            <w:rFonts w:ascii="Verdana" w:hAnsi="Verdana"/>
          </w:rPr>
          <w:t>6.</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Preferred Option</w:t>
        </w:r>
        <w:r w:rsidR="0057155D">
          <w:rPr>
            <w:webHidden/>
          </w:rPr>
          <w:tab/>
        </w:r>
        <w:r w:rsidR="0057155D">
          <w:rPr>
            <w:webHidden/>
          </w:rPr>
          <w:fldChar w:fldCharType="begin"/>
        </w:r>
        <w:r w:rsidR="0057155D">
          <w:rPr>
            <w:webHidden/>
          </w:rPr>
          <w:instrText xml:space="preserve"> PAGEREF _Toc23510774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5" w:history="1">
        <w:r w:rsidR="0057155D" w:rsidRPr="003C26B7">
          <w:rPr>
            <w:rStyle w:val="Hyperlink"/>
            <w:rFonts w:ascii="Verdana" w:hAnsi="Verdana"/>
          </w:rPr>
          <w:t>Summary of the preferred option</w:t>
        </w:r>
        <w:r w:rsidR="0057155D">
          <w:rPr>
            <w:webHidden/>
          </w:rPr>
          <w:tab/>
        </w:r>
        <w:r w:rsidR="0057155D">
          <w:rPr>
            <w:webHidden/>
          </w:rPr>
          <w:fldChar w:fldCharType="begin"/>
        </w:r>
        <w:r w:rsidR="0057155D">
          <w:rPr>
            <w:webHidden/>
          </w:rPr>
          <w:instrText xml:space="preserve"> PAGEREF _Toc23510775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6" w:history="1">
        <w:r w:rsidR="0057155D" w:rsidRPr="003C26B7">
          <w:rPr>
            <w:rStyle w:val="Hyperlink"/>
            <w:rFonts w:ascii="Verdana" w:hAnsi="Verdana"/>
          </w:rPr>
          <w:t>How workforce impacts were assessed</w:t>
        </w:r>
        <w:r w:rsidR="0057155D">
          <w:rPr>
            <w:webHidden/>
          </w:rPr>
          <w:tab/>
        </w:r>
        <w:r w:rsidR="0057155D">
          <w:rPr>
            <w:webHidden/>
          </w:rPr>
          <w:fldChar w:fldCharType="begin"/>
        </w:r>
        <w:r w:rsidR="0057155D">
          <w:rPr>
            <w:webHidden/>
          </w:rPr>
          <w:instrText xml:space="preserve"> PAGEREF _Toc23510776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7" w:history="1">
        <w:r w:rsidR="0057155D" w:rsidRPr="003C26B7">
          <w:rPr>
            <w:rStyle w:val="Hyperlink"/>
            <w:rFonts w:ascii="Verdana" w:hAnsi="Verdana"/>
          </w:rPr>
          <w:t>Key assumptions informing the analysis of workforce costs</w:t>
        </w:r>
        <w:r w:rsidR="0057155D">
          <w:rPr>
            <w:webHidden/>
          </w:rPr>
          <w:tab/>
        </w:r>
        <w:r w:rsidR="0057155D">
          <w:rPr>
            <w:webHidden/>
          </w:rPr>
          <w:fldChar w:fldCharType="begin"/>
        </w:r>
        <w:r w:rsidR="0057155D">
          <w:rPr>
            <w:webHidden/>
          </w:rPr>
          <w:instrText xml:space="preserve"> PAGEREF _Toc23510777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8" w:history="1">
        <w:r w:rsidR="0057155D" w:rsidRPr="003C26B7">
          <w:rPr>
            <w:rStyle w:val="Hyperlink"/>
            <w:rFonts w:ascii="Verdana" w:hAnsi="Verdana"/>
          </w:rPr>
          <w:t>Total cost of the proposed Amendment Regulations</w:t>
        </w:r>
        <w:r w:rsidR="0057155D">
          <w:rPr>
            <w:webHidden/>
          </w:rPr>
          <w:tab/>
        </w:r>
        <w:r w:rsidR="0057155D">
          <w:rPr>
            <w:webHidden/>
          </w:rPr>
          <w:fldChar w:fldCharType="begin"/>
        </w:r>
        <w:r w:rsidR="0057155D">
          <w:rPr>
            <w:webHidden/>
          </w:rPr>
          <w:instrText xml:space="preserve"> PAGEREF _Toc23510778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79" w:history="1">
        <w:r w:rsidR="0057155D" w:rsidRPr="003C26B7">
          <w:rPr>
            <w:rStyle w:val="Hyperlink"/>
            <w:rFonts w:ascii="Verdana" w:hAnsi="Verdana"/>
          </w:rPr>
          <w:t>Costs to workforces proposed for prescription</w:t>
        </w:r>
        <w:r w:rsidR="0057155D">
          <w:rPr>
            <w:webHidden/>
          </w:rPr>
          <w:tab/>
        </w:r>
        <w:r w:rsidR="0057155D">
          <w:rPr>
            <w:webHidden/>
          </w:rPr>
          <w:fldChar w:fldCharType="begin"/>
        </w:r>
        <w:r w:rsidR="0057155D">
          <w:rPr>
            <w:webHidden/>
          </w:rPr>
          <w:instrText xml:space="preserve"> PAGEREF _Toc23510779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0" w:history="1">
        <w:r w:rsidR="0057155D" w:rsidRPr="003C26B7">
          <w:rPr>
            <w:rStyle w:val="Hyperlink"/>
            <w:rFonts w:ascii="Verdana" w:hAnsi="Verdana"/>
          </w:rPr>
          <w:t>Qualitative ISE impact assessment</w:t>
        </w:r>
        <w:r w:rsidR="0057155D">
          <w:rPr>
            <w:webHidden/>
          </w:rPr>
          <w:tab/>
        </w:r>
        <w:r w:rsidR="0057155D">
          <w:rPr>
            <w:webHidden/>
          </w:rPr>
          <w:fldChar w:fldCharType="begin"/>
        </w:r>
        <w:r w:rsidR="0057155D">
          <w:rPr>
            <w:webHidden/>
          </w:rPr>
          <w:instrText xml:space="preserve"> PAGEREF _Toc23510780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1" w:history="1">
        <w:r w:rsidR="0057155D" w:rsidRPr="003C26B7">
          <w:rPr>
            <w:rStyle w:val="Hyperlink"/>
            <w:rFonts w:ascii="Verdana" w:hAnsi="Verdana"/>
          </w:rPr>
          <w:t>Direct Costs to Government</w:t>
        </w:r>
        <w:r w:rsidR="0057155D">
          <w:rPr>
            <w:webHidden/>
          </w:rPr>
          <w:tab/>
        </w:r>
        <w:r w:rsidR="0057155D">
          <w:rPr>
            <w:webHidden/>
          </w:rPr>
          <w:fldChar w:fldCharType="begin"/>
        </w:r>
        <w:r w:rsidR="0057155D">
          <w:rPr>
            <w:webHidden/>
          </w:rPr>
          <w:instrText xml:space="preserve"> PAGEREF _Toc23510781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82" w:history="1">
        <w:r w:rsidR="0057155D" w:rsidRPr="003C26B7">
          <w:rPr>
            <w:rStyle w:val="Hyperlink"/>
            <w:rFonts w:ascii="Verdana" w:hAnsi="Verdana"/>
          </w:rPr>
          <w:t>7.</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Expected benefits of the CIS Scheme</w:t>
        </w:r>
        <w:r w:rsidR="0057155D">
          <w:rPr>
            <w:webHidden/>
          </w:rPr>
          <w:tab/>
        </w:r>
        <w:r w:rsidR="0057155D">
          <w:rPr>
            <w:webHidden/>
          </w:rPr>
          <w:fldChar w:fldCharType="begin"/>
        </w:r>
        <w:r w:rsidR="0057155D">
          <w:rPr>
            <w:webHidden/>
          </w:rPr>
          <w:instrText xml:space="preserve"> PAGEREF _Toc23510782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3" w:history="1">
        <w:r w:rsidR="0057155D" w:rsidRPr="003C26B7">
          <w:rPr>
            <w:rStyle w:val="Hyperlink"/>
            <w:rFonts w:ascii="Verdana" w:hAnsi="Verdana"/>
          </w:rPr>
          <w:t>Reduced over-reliance on acute and statutory services</w:t>
        </w:r>
        <w:r w:rsidR="0057155D">
          <w:rPr>
            <w:webHidden/>
          </w:rPr>
          <w:tab/>
        </w:r>
        <w:r w:rsidR="0057155D">
          <w:rPr>
            <w:webHidden/>
          </w:rPr>
          <w:fldChar w:fldCharType="begin"/>
        </w:r>
        <w:r w:rsidR="0057155D">
          <w:rPr>
            <w:webHidden/>
          </w:rPr>
          <w:instrText xml:space="preserve"> PAGEREF _Toc23510783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4" w:history="1">
        <w:r w:rsidR="0057155D" w:rsidRPr="003C26B7">
          <w:rPr>
            <w:rStyle w:val="Hyperlink"/>
            <w:rFonts w:ascii="Verdana" w:hAnsi="Verdana"/>
          </w:rPr>
          <w:t>Improvements in health and wellbeing outcomes for Victorian children</w:t>
        </w:r>
        <w:r w:rsidR="0057155D">
          <w:rPr>
            <w:webHidden/>
          </w:rPr>
          <w:tab/>
        </w:r>
        <w:r w:rsidR="0057155D">
          <w:rPr>
            <w:webHidden/>
          </w:rPr>
          <w:fldChar w:fldCharType="begin"/>
        </w:r>
        <w:r w:rsidR="0057155D">
          <w:rPr>
            <w:webHidden/>
          </w:rPr>
          <w:instrText xml:space="preserve"> PAGEREF _Toc23510784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5" w:history="1">
        <w:r w:rsidR="0057155D" w:rsidRPr="003C26B7">
          <w:rPr>
            <w:rStyle w:val="Hyperlink"/>
            <w:rFonts w:ascii="Verdana" w:hAnsi="Verdana"/>
          </w:rPr>
          <w:t>The CIS Scheme costs versus benefits</w:t>
        </w:r>
        <w:r w:rsidR="0057155D">
          <w:rPr>
            <w:webHidden/>
          </w:rPr>
          <w:tab/>
        </w:r>
        <w:r w:rsidR="0057155D">
          <w:rPr>
            <w:webHidden/>
          </w:rPr>
          <w:fldChar w:fldCharType="begin"/>
        </w:r>
        <w:r w:rsidR="0057155D">
          <w:rPr>
            <w:webHidden/>
          </w:rPr>
          <w:instrText xml:space="preserve"> PAGEREF _Toc23510785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86" w:history="1">
        <w:r w:rsidR="0057155D" w:rsidRPr="003C26B7">
          <w:rPr>
            <w:rStyle w:val="Hyperlink"/>
            <w:rFonts w:ascii="Verdana" w:hAnsi="Verdana"/>
          </w:rPr>
          <w:t>8.</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Implementation of the CIS Scheme</w:t>
        </w:r>
        <w:r w:rsidR="0057155D">
          <w:rPr>
            <w:webHidden/>
          </w:rPr>
          <w:tab/>
        </w:r>
        <w:r w:rsidR="0057155D">
          <w:rPr>
            <w:webHidden/>
          </w:rPr>
          <w:fldChar w:fldCharType="begin"/>
        </w:r>
        <w:r w:rsidR="0057155D">
          <w:rPr>
            <w:webHidden/>
          </w:rPr>
          <w:instrText xml:space="preserve"> PAGEREF _Toc23510786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7" w:history="1">
        <w:r w:rsidR="0057155D" w:rsidRPr="003C26B7">
          <w:rPr>
            <w:rStyle w:val="Hyperlink"/>
            <w:rFonts w:ascii="Verdana" w:hAnsi="Verdana"/>
          </w:rPr>
          <w:t>Approach to implementation of the CIS Scheme</w:t>
        </w:r>
        <w:r w:rsidR="0057155D">
          <w:rPr>
            <w:webHidden/>
          </w:rPr>
          <w:tab/>
        </w:r>
        <w:r w:rsidR="0057155D">
          <w:rPr>
            <w:webHidden/>
          </w:rPr>
          <w:fldChar w:fldCharType="begin"/>
        </w:r>
        <w:r w:rsidR="0057155D">
          <w:rPr>
            <w:webHidden/>
          </w:rPr>
          <w:instrText xml:space="preserve"> PAGEREF _Toc23510787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8" w:history="1">
        <w:r w:rsidR="0057155D" w:rsidRPr="003C26B7">
          <w:rPr>
            <w:rStyle w:val="Hyperlink"/>
            <w:rFonts w:ascii="Verdana" w:hAnsi="Verdana"/>
          </w:rPr>
          <w:t>Training and change management</w:t>
        </w:r>
        <w:r w:rsidR="0057155D">
          <w:rPr>
            <w:webHidden/>
          </w:rPr>
          <w:tab/>
        </w:r>
        <w:r w:rsidR="0057155D">
          <w:rPr>
            <w:webHidden/>
          </w:rPr>
          <w:fldChar w:fldCharType="begin"/>
        </w:r>
        <w:r w:rsidR="0057155D">
          <w:rPr>
            <w:webHidden/>
          </w:rPr>
          <w:instrText xml:space="preserve"> PAGEREF _Toc23510788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89" w:history="1">
        <w:r w:rsidR="0057155D" w:rsidRPr="003C26B7">
          <w:rPr>
            <w:rStyle w:val="Hyperlink"/>
            <w:rFonts w:ascii="Verdana" w:hAnsi="Verdana"/>
          </w:rPr>
          <w:t>Alignment with the FVIS Scheme</w:t>
        </w:r>
        <w:r w:rsidR="0057155D">
          <w:rPr>
            <w:webHidden/>
          </w:rPr>
          <w:tab/>
        </w:r>
        <w:r w:rsidR="0057155D">
          <w:rPr>
            <w:webHidden/>
          </w:rPr>
          <w:fldChar w:fldCharType="begin"/>
        </w:r>
        <w:r w:rsidR="0057155D">
          <w:rPr>
            <w:webHidden/>
          </w:rPr>
          <w:instrText xml:space="preserve"> PAGEREF _Toc23510789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0" w:history="1">
        <w:r w:rsidR="0057155D" w:rsidRPr="003C26B7">
          <w:rPr>
            <w:rStyle w:val="Hyperlink"/>
            <w:rFonts w:ascii="Verdana" w:hAnsi="Verdana"/>
          </w:rPr>
          <w:t>A multi-agency approach</w:t>
        </w:r>
        <w:r w:rsidR="0057155D">
          <w:rPr>
            <w:webHidden/>
          </w:rPr>
          <w:tab/>
        </w:r>
        <w:r w:rsidR="0057155D">
          <w:rPr>
            <w:webHidden/>
          </w:rPr>
          <w:fldChar w:fldCharType="begin"/>
        </w:r>
        <w:r w:rsidR="0057155D">
          <w:rPr>
            <w:webHidden/>
          </w:rPr>
          <w:instrText xml:space="preserve"> PAGEREF _Toc23510790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1" w:history="1">
        <w:r w:rsidR="0057155D" w:rsidRPr="003C26B7">
          <w:rPr>
            <w:rStyle w:val="Hyperlink"/>
            <w:rFonts w:ascii="Verdana" w:hAnsi="Verdana"/>
          </w:rPr>
          <w:t>Managing complaints under the CIS Scheme</w:t>
        </w:r>
        <w:r w:rsidR="0057155D">
          <w:rPr>
            <w:webHidden/>
          </w:rPr>
          <w:tab/>
        </w:r>
        <w:r w:rsidR="0057155D">
          <w:rPr>
            <w:webHidden/>
          </w:rPr>
          <w:fldChar w:fldCharType="begin"/>
        </w:r>
        <w:r w:rsidR="0057155D">
          <w:rPr>
            <w:webHidden/>
          </w:rPr>
          <w:instrText xml:space="preserve"> PAGEREF _Toc23510791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567"/>
        </w:tabs>
        <w:rPr>
          <w:rFonts w:asciiTheme="minorHAnsi" w:eastAsiaTheme="minorEastAsia" w:hAnsiTheme="minorHAnsi" w:cstheme="minorBidi"/>
          <w:b w:val="0"/>
          <w:sz w:val="22"/>
          <w:szCs w:val="22"/>
          <w:lang w:eastAsia="en-AU"/>
        </w:rPr>
      </w:pPr>
      <w:hyperlink w:anchor="_Toc23510792" w:history="1">
        <w:r w:rsidR="0057155D" w:rsidRPr="003C26B7">
          <w:rPr>
            <w:rStyle w:val="Hyperlink"/>
            <w:rFonts w:ascii="Verdana" w:hAnsi="Verdana"/>
          </w:rPr>
          <w:t>9.</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Review of the CIS Scheme</w:t>
        </w:r>
        <w:r w:rsidR="0057155D">
          <w:rPr>
            <w:webHidden/>
          </w:rPr>
          <w:tab/>
        </w:r>
        <w:r w:rsidR="0057155D">
          <w:rPr>
            <w:webHidden/>
          </w:rPr>
          <w:fldChar w:fldCharType="begin"/>
        </w:r>
        <w:r w:rsidR="0057155D">
          <w:rPr>
            <w:webHidden/>
          </w:rPr>
          <w:instrText xml:space="preserve"> PAGEREF _Toc23510792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3" w:history="1">
        <w:r w:rsidR="0057155D" w:rsidRPr="003C26B7">
          <w:rPr>
            <w:rStyle w:val="Hyperlink"/>
            <w:rFonts w:ascii="Verdana" w:hAnsi="Verdana"/>
          </w:rPr>
          <w:t>Two-year and five year legislative reviews</w:t>
        </w:r>
        <w:r w:rsidR="0057155D">
          <w:rPr>
            <w:webHidden/>
          </w:rPr>
          <w:tab/>
        </w:r>
        <w:r w:rsidR="0057155D">
          <w:rPr>
            <w:webHidden/>
          </w:rPr>
          <w:fldChar w:fldCharType="begin"/>
        </w:r>
        <w:r w:rsidR="0057155D">
          <w:rPr>
            <w:webHidden/>
          </w:rPr>
          <w:instrText xml:space="preserve"> PAGEREF _Toc23510793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800"/>
        </w:tabs>
        <w:rPr>
          <w:rFonts w:asciiTheme="minorHAnsi" w:eastAsiaTheme="minorEastAsia" w:hAnsiTheme="minorHAnsi" w:cstheme="minorBidi"/>
          <w:b w:val="0"/>
          <w:sz w:val="22"/>
          <w:szCs w:val="22"/>
          <w:lang w:eastAsia="en-AU"/>
        </w:rPr>
      </w:pPr>
      <w:hyperlink w:anchor="_Toc23510794" w:history="1">
        <w:r w:rsidR="0057155D" w:rsidRPr="003C26B7">
          <w:rPr>
            <w:rStyle w:val="Hyperlink"/>
            <w:rFonts w:ascii="Verdana" w:hAnsi="Verdana"/>
          </w:rPr>
          <w:t>10.</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Consultation</w:t>
        </w:r>
        <w:r w:rsidR="0057155D">
          <w:rPr>
            <w:webHidden/>
          </w:rPr>
          <w:tab/>
        </w:r>
        <w:r w:rsidR="0057155D">
          <w:rPr>
            <w:webHidden/>
          </w:rPr>
          <w:fldChar w:fldCharType="begin"/>
        </w:r>
        <w:r w:rsidR="0057155D">
          <w:rPr>
            <w:webHidden/>
          </w:rPr>
          <w:instrText xml:space="preserve"> PAGEREF _Toc23510794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5" w:history="1">
        <w:r w:rsidR="0057155D" w:rsidRPr="003C26B7">
          <w:rPr>
            <w:rStyle w:val="Hyperlink"/>
            <w:rFonts w:ascii="Verdana" w:hAnsi="Verdana"/>
          </w:rPr>
          <w:t>Objectives of consultation</w:t>
        </w:r>
        <w:r w:rsidR="0057155D">
          <w:rPr>
            <w:webHidden/>
          </w:rPr>
          <w:tab/>
        </w:r>
        <w:r w:rsidR="0057155D">
          <w:rPr>
            <w:webHidden/>
          </w:rPr>
          <w:fldChar w:fldCharType="begin"/>
        </w:r>
        <w:r w:rsidR="0057155D">
          <w:rPr>
            <w:webHidden/>
          </w:rPr>
          <w:instrText xml:space="preserve"> PAGEREF _Toc23510795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6" w:history="1">
        <w:r w:rsidR="0057155D" w:rsidRPr="003C26B7">
          <w:rPr>
            <w:rStyle w:val="Hyperlink"/>
            <w:rFonts w:ascii="Verdana" w:hAnsi="Verdana"/>
          </w:rPr>
          <w:t>Consultation approach</w:t>
        </w:r>
        <w:r w:rsidR="0057155D">
          <w:rPr>
            <w:webHidden/>
          </w:rPr>
          <w:tab/>
        </w:r>
        <w:r w:rsidR="0057155D">
          <w:rPr>
            <w:webHidden/>
          </w:rPr>
          <w:fldChar w:fldCharType="begin"/>
        </w:r>
        <w:r w:rsidR="0057155D">
          <w:rPr>
            <w:webHidden/>
          </w:rPr>
          <w:instrText xml:space="preserve"> PAGEREF _Toc23510796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7" w:history="1">
        <w:r w:rsidR="0057155D" w:rsidRPr="003C26B7">
          <w:rPr>
            <w:rStyle w:val="Hyperlink"/>
            <w:rFonts w:ascii="Verdana" w:hAnsi="Verdana"/>
          </w:rPr>
          <w:t>Consultation participation</w:t>
        </w:r>
        <w:r w:rsidR="0057155D">
          <w:rPr>
            <w:webHidden/>
          </w:rPr>
          <w:tab/>
        </w:r>
        <w:r w:rsidR="0057155D">
          <w:rPr>
            <w:webHidden/>
          </w:rPr>
          <w:fldChar w:fldCharType="begin"/>
        </w:r>
        <w:r w:rsidR="0057155D">
          <w:rPr>
            <w:webHidden/>
          </w:rPr>
          <w:instrText xml:space="preserve"> PAGEREF _Toc23510797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798" w:history="1">
        <w:r w:rsidR="0057155D" w:rsidRPr="003C26B7">
          <w:rPr>
            <w:rStyle w:val="Hyperlink"/>
            <w:rFonts w:ascii="Verdana" w:hAnsi="Verdana"/>
          </w:rPr>
          <w:t>Key inputs form the consultations</w:t>
        </w:r>
        <w:r w:rsidR="0057155D">
          <w:rPr>
            <w:webHidden/>
          </w:rPr>
          <w:tab/>
        </w:r>
        <w:r w:rsidR="0057155D">
          <w:rPr>
            <w:webHidden/>
          </w:rPr>
          <w:fldChar w:fldCharType="begin"/>
        </w:r>
        <w:r w:rsidR="0057155D">
          <w:rPr>
            <w:webHidden/>
          </w:rPr>
          <w:instrText xml:space="preserve"> PAGEREF _Toc23510798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800"/>
        </w:tabs>
        <w:rPr>
          <w:rFonts w:asciiTheme="minorHAnsi" w:eastAsiaTheme="minorEastAsia" w:hAnsiTheme="minorHAnsi" w:cstheme="minorBidi"/>
          <w:b w:val="0"/>
          <w:sz w:val="22"/>
          <w:szCs w:val="22"/>
          <w:lang w:eastAsia="en-AU"/>
        </w:rPr>
      </w:pPr>
      <w:hyperlink w:anchor="_Toc23510799" w:history="1">
        <w:r w:rsidR="0057155D" w:rsidRPr="003C26B7">
          <w:rPr>
            <w:rStyle w:val="Hyperlink"/>
            <w:rFonts w:ascii="Verdana" w:hAnsi="Verdana"/>
          </w:rPr>
          <w:t>11.</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References</w:t>
        </w:r>
        <w:r w:rsidR="0057155D">
          <w:rPr>
            <w:webHidden/>
          </w:rPr>
          <w:tab/>
        </w:r>
        <w:r w:rsidR="0057155D">
          <w:rPr>
            <w:webHidden/>
          </w:rPr>
          <w:fldChar w:fldCharType="begin"/>
        </w:r>
        <w:r w:rsidR="0057155D">
          <w:rPr>
            <w:webHidden/>
          </w:rPr>
          <w:instrText xml:space="preserve"> PAGEREF _Toc23510799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800"/>
        </w:tabs>
        <w:rPr>
          <w:rFonts w:asciiTheme="minorHAnsi" w:eastAsiaTheme="minorEastAsia" w:hAnsiTheme="minorHAnsi" w:cstheme="minorBidi"/>
          <w:b w:val="0"/>
          <w:sz w:val="22"/>
          <w:szCs w:val="22"/>
          <w:lang w:eastAsia="en-AU"/>
        </w:rPr>
      </w:pPr>
      <w:hyperlink w:anchor="_Toc23510800" w:history="1">
        <w:r w:rsidR="0057155D" w:rsidRPr="003C26B7">
          <w:rPr>
            <w:rStyle w:val="Hyperlink"/>
            <w:rFonts w:ascii="Verdana" w:hAnsi="Verdana"/>
          </w:rPr>
          <w:t>12.</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Appendix A Prescribed Phase One Entities</w:t>
        </w:r>
        <w:r w:rsidR="0057155D">
          <w:rPr>
            <w:webHidden/>
          </w:rPr>
          <w:tab/>
        </w:r>
        <w:r w:rsidR="0057155D">
          <w:rPr>
            <w:webHidden/>
          </w:rPr>
          <w:fldChar w:fldCharType="begin"/>
        </w:r>
        <w:r w:rsidR="0057155D">
          <w:rPr>
            <w:webHidden/>
          </w:rPr>
          <w:instrText xml:space="preserve"> PAGEREF _Toc23510800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800"/>
        </w:tabs>
        <w:rPr>
          <w:rFonts w:asciiTheme="minorHAnsi" w:eastAsiaTheme="minorEastAsia" w:hAnsiTheme="minorHAnsi" w:cstheme="minorBidi"/>
          <w:b w:val="0"/>
          <w:sz w:val="22"/>
          <w:szCs w:val="22"/>
          <w:lang w:eastAsia="en-AU"/>
        </w:rPr>
      </w:pPr>
      <w:hyperlink w:anchor="_Toc23510801" w:history="1">
        <w:r w:rsidR="0057155D" w:rsidRPr="003C26B7">
          <w:rPr>
            <w:rStyle w:val="Hyperlink"/>
            <w:rFonts w:ascii="Verdana" w:hAnsi="Verdana"/>
          </w:rPr>
          <w:t>13.</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Appendix B Entities Proposed for Phase Two Prescription</w:t>
        </w:r>
        <w:r w:rsidR="0057155D">
          <w:rPr>
            <w:webHidden/>
          </w:rPr>
          <w:tab/>
        </w:r>
        <w:r w:rsidR="0057155D">
          <w:rPr>
            <w:webHidden/>
          </w:rPr>
          <w:fldChar w:fldCharType="begin"/>
        </w:r>
        <w:r w:rsidR="0057155D">
          <w:rPr>
            <w:webHidden/>
          </w:rPr>
          <w:instrText xml:space="preserve"> PAGEREF _Toc23510801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1"/>
        <w:tabs>
          <w:tab w:val="left" w:pos="800"/>
        </w:tabs>
        <w:rPr>
          <w:rFonts w:asciiTheme="minorHAnsi" w:eastAsiaTheme="minorEastAsia" w:hAnsiTheme="minorHAnsi" w:cstheme="minorBidi"/>
          <w:b w:val="0"/>
          <w:sz w:val="22"/>
          <w:szCs w:val="22"/>
          <w:lang w:eastAsia="en-AU"/>
        </w:rPr>
      </w:pPr>
      <w:hyperlink w:anchor="_Toc23510802" w:history="1">
        <w:r w:rsidR="0057155D" w:rsidRPr="003C26B7">
          <w:rPr>
            <w:rStyle w:val="Hyperlink"/>
            <w:rFonts w:ascii="Verdana" w:hAnsi="Verdana"/>
          </w:rPr>
          <w:t>14.</w:t>
        </w:r>
        <w:r w:rsidR="0057155D">
          <w:rPr>
            <w:rFonts w:asciiTheme="minorHAnsi" w:eastAsiaTheme="minorEastAsia" w:hAnsiTheme="minorHAnsi" w:cstheme="minorBidi"/>
            <w:b w:val="0"/>
            <w:sz w:val="22"/>
            <w:szCs w:val="22"/>
            <w:lang w:eastAsia="en-AU"/>
          </w:rPr>
          <w:tab/>
        </w:r>
        <w:r w:rsidR="0057155D" w:rsidRPr="003C26B7">
          <w:rPr>
            <w:rStyle w:val="Hyperlink"/>
            <w:rFonts w:ascii="Verdana" w:hAnsi="Verdana"/>
          </w:rPr>
          <w:t>Appendix C Costing Methodology and Assumptions</w:t>
        </w:r>
        <w:r w:rsidR="0057155D">
          <w:rPr>
            <w:webHidden/>
          </w:rPr>
          <w:tab/>
        </w:r>
        <w:r w:rsidR="0057155D">
          <w:rPr>
            <w:webHidden/>
          </w:rPr>
          <w:fldChar w:fldCharType="begin"/>
        </w:r>
        <w:r w:rsidR="0057155D">
          <w:rPr>
            <w:webHidden/>
          </w:rPr>
          <w:instrText xml:space="preserve"> PAGEREF _Toc23510802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803" w:history="1">
        <w:r w:rsidR="0057155D" w:rsidRPr="003C26B7">
          <w:rPr>
            <w:rStyle w:val="Hyperlink"/>
            <w:rFonts w:ascii="Verdana" w:hAnsi="Verdana"/>
          </w:rPr>
          <w:t>Overview</w:t>
        </w:r>
        <w:r w:rsidR="0057155D">
          <w:rPr>
            <w:webHidden/>
          </w:rPr>
          <w:tab/>
        </w:r>
        <w:r w:rsidR="0057155D">
          <w:rPr>
            <w:webHidden/>
          </w:rPr>
          <w:fldChar w:fldCharType="begin"/>
        </w:r>
        <w:r w:rsidR="0057155D">
          <w:rPr>
            <w:webHidden/>
          </w:rPr>
          <w:instrText xml:space="preserve"> PAGEREF _Toc23510803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804" w:history="1">
        <w:r w:rsidR="0057155D" w:rsidRPr="003C26B7">
          <w:rPr>
            <w:rStyle w:val="Hyperlink"/>
            <w:rFonts w:ascii="Verdana" w:hAnsi="Verdana"/>
          </w:rPr>
          <w:t>Costing methodology</w:t>
        </w:r>
        <w:r w:rsidR="0057155D">
          <w:rPr>
            <w:webHidden/>
          </w:rPr>
          <w:tab/>
        </w:r>
        <w:r w:rsidR="0057155D">
          <w:rPr>
            <w:webHidden/>
          </w:rPr>
          <w:fldChar w:fldCharType="begin"/>
        </w:r>
        <w:r w:rsidR="0057155D">
          <w:rPr>
            <w:webHidden/>
          </w:rPr>
          <w:instrText xml:space="preserve"> PAGEREF _Toc23510804 \h </w:instrText>
        </w:r>
        <w:r w:rsidR="0057155D">
          <w:rPr>
            <w:webHidden/>
          </w:rPr>
        </w:r>
        <w:r w:rsidR="0057155D">
          <w:rPr>
            <w:webHidden/>
          </w:rPr>
          <w:fldChar w:fldCharType="separate"/>
        </w:r>
        <w:r w:rsidR="00E33755">
          <w:rPr>
            <w:webHidden/>
          </w:rPr>
          <w:t>4</w:t>
        </w:r>
        <w:r w:rsidR="0057155D">
          <w:rPr>
            <w:webHidden/>
          </w:rPr>
          <w:fldChar w:fldCharType="end"/>
        </w:r>
      </w:hyperlink>
    </w:p>
    <w:p w:rsidR="0057155D" w:rsidRDefault="007D1390">
      <w:pPr>
        <w:pStyle w:val="TOC2"/>
        <w:rPr>
          <w:rFonts w:asciiTheme="minorHAnsi" w:eastAsiaTheme="minorEastAsia" w:hAnsiTheme="minorHAnsi" w:cstheme="minorBidi"/>
          <w:sz w:val="22"/>
          <w:szCs w:val="22"/>
          <w:lang w:eastAsia="en-AU"/>
        </w:rPr>
      </w:pPr>
      <w:hyperlink w:anchor="_Toc23510805" w:history="1">
        <w:r w:rsidR="0057155D" w:rsidRPr="003C26B7">
          <w:rPr>
            <w:rStyle w:val="Hyperlink"/>
            <w:rFonts w:ascii="Verdana" w:hAnsi="Verdana"/>
          </w:rPr>
          <w:t>Workforce groupings and summary data</w:t>
        </w:r>
        <w:r w:rsidR="0057155D">
          <w:rPr>
            <w:webHidden/>
          </w:rPr>
          <w:tab/>
        </w:r>
        <w:r w:rsidR="0057155D">
          <w:rPr>
            <w:webHidden/>
          </w:rPr>
          <w:fldChar w:fldCharType="begin"/>
        </w:r>
        <w:r w:rsidR="0057155D">
          <w:rPr>
            <w:webHidden/>
          </w:rPr>
          <w:instrText xml:space="preserve"> PAGEREF _Toc23510805 \h </w:instrText>
        </w:r>
        <w:r w:rsidR="0057155D">
          <w:rPr>
            <w:webHidden/>
          </w:rPr>
        </w:r>
        <w:r w:rsidR="0057155D">
          <w:rPr>
            <w:webHidden/>
          </w:rPr>
          <w:fldChar w:fldCharType="separate"/>
        </w:r>
        <w:r w:rsidR="00E33755">
          <w:rPr>
            <w:webHidden/>
          </w:rPr>
          <w:t>4</w:t>
        </w:r>
        <w:r w:rsidR="0057155D">
          <w:rPr>
            <w:webHidden/>
          </w:rPr>
          <w:fldChar w:fldCharType="end"/>
        </w:r>
      </w:hyperlink>
    </w:p>
    <w:p w:rsidR="00AC0C3B" w:rsidRPr="00B309AB" w:rsidRDefault="00E15DA9" w:rsidP="00A02472">
      <w:pPr>
        <w:pStyle w:val="TOC2"/>
        <w:rPr>
          <w:rFonts w:ascii="Verdana" w:hAnsi="Verdana"/>
          <w:noProof w:val="0"/>
        </w:rPr>
      </w:pPr>
      <w:r w:rsidRPr="00B309AB">
        <w:rPr>
          <w:rFonts w:ascii="Verdana" w:hAnsi="Verdana"/>
          <w:noProof w:val="0"/>
        </w:rPr>
        <w:fldChar w:fldCharType="end"/>
      </w:r>
    </w:p>
    <w:p w:rsidR="00D13C5D" w:rsidRDefault="00D13C5D">
      <w:pPr>
        <w:rPr>
          <w:rFonts w:ascii="Verdana" w:hAnsi="Verdana"/>
          <w:bCs/>
          <w:color w:val="53565A" w:themeColor="accent1"/>
          <w:sz w:val="44"/>
          <w:szCs w:val="44"/>
        </w:rPr>
      </w:pPr>
      <w:r>
        <w:rPr>
          <w:rFonts w:ascii="Verdana" w:hAnsi="Verdana"/>
        </w:rPr>
        <w:br w:type="page"/>
      </w:r>
    </w:p>
    <w:p w:rsidR="00256E7C" w:rsidRPr="006E5157" w:rsidRDefault="006E5157" w:rsidP="00D13C5D">
      <w:pPr>
        <w:pStyle w:val="Heading1"/>
        <w:numPr>
          <w:ilvl w:val="0"/>
          <w:numId w:val="0"/>
        </w:numPr>
        <w:rPr>
          <w:rFonts w:ascii="Verdana" w:hAnsi="Verdana"/>
        </w:rPr>
      </w:pPr>
      <w:bookmarkStart w:id="1" w:name="_Toc23510748"/>
      <w:r w:rsidRPr="006E5157">
        <w:rPr>
          <w:rFonts w:ascii="Verdana" w:hAnsi="Verdana"/>
        </w:rPr>
        <w:lastRenderedPageBreak/>
        <w:t>Executive summary</w:t>
      </w:r>
      <w:bookmarkEnd w:id="1"/>
    </w:p>
    <w:p w:rsidR="006E5157" w:rsidRPr="00683526" w:rsidRDefault="006E5157" w:rsidP="00683526">
      <w:pPr>
        <w:pStyle w:val="WOVGbody"/>
        <w:rPr>
          <w:rFonts w:ascii="Verdana" w:hAnsi="Verdana"/>
        </w:rPr>
      </w:pPr>
      <w:r w:rsidRPr="00683526">
        <w:rPr>
          <w:rFonts w:ascii="Verdana" w:hAnsi="Verdana"/>
        </w:rPr>
        <w:t>Keeping children safe from harm and promoting their wellbeing is a priority for the Victorian Government. Over the last decade, many independent inquiries and reviews have recommended reform to Victoria’s child information sharing laws. A recurring theme is that improved information sharing and service collaboration around children and families is key to identifying vulnerability and risk early, to enable early support and prevention of harm to children.</w:t>
      </w:r>
    </w:p>
    <w:p w:rsidR="006E5157" w:rsidRPr="00683526" w:rsidRDefault="004615F7" w:rsidP="00683526">
      <w:pPr>
        <w:pStyle w:val="WOVGbody"/>
        <w:rPr>
          <w:rFonts w:ascii="Verdana" w:hAnsi="Verdana"/>
        </w:rPr>
      </w:pPr>
      <w:r>
        <w:rPr>
          <w:rFonts w:ascii="Verdana" w:hAnsi="Verdana"/>
        </w:rPr>
        <w:t>As part of the g</w:t>
      </w:r>
      <w:r w:rsidR="006E5157" w:rsidRPr="00683526">
        <w:rPr>
          <w:rFonts w:ascii="Verdana" w:hAnsi="Verdana"/>
        </w:rPr>
        <w:t>overnment’s response to these challenges, and in line with the Victorian Government’s</w:t>
      </w:r>
      <w:r w:rsidR="001D6204" w:rsidRPr="00683526">
        <w:rPr>
          <w:rFonts w:ascii="Verdana" w:hAnsi="Verdana"/>
        </w:rPr>
        <w:t xml:space="preserve"> </w:t>
      </w:r>
      <w:r w:rsidR="000B6D72" w:rsidRPr="00683526">
        <w:rPr>
          <w:rFonts w:ascii="Verdana" w:hAnsi="Verdana"/>
        </w:rPr>
        <w:t xml:space="preserve">Roadmap for Reform, </w:t>
      </w:r>
      <w:r w:rsidR="000717D4" w:rsidRPr="00683526">
        <w:rPr>
          <w:rFonts w:ascii="Verdana" w:hAnsi="Verdana"/>
        </w:rPr>
        <w:t>Education State reforms</w:t>
      </w:r>
      <w:r w:rsidR="000B6D72" w:rsidRPr="00683526">
        <w:rPr>
          <w:rFonts w:ascii="Verdana" w:hAnsi="Verdana"/>
        </w:rPr>
        <w:t xml:space="preserve"> and broader child safety initiatives,</w:t>
      </w:r>
      <w:r w:rsidR="006E5157" w:rsidRPr="00683526">
        <w:rPr>
          <w:rFonts w:ascii="Verdana" w:hAnsi="Verdana"/>
        </w:rPr>
        <w:t xml:space="preserve"> </w:t>
      </w:r>
      <w:r w:rsidR="00D7672E" w:rsidRPr="00683526">
        <w:rPr>
          <w:rFonts w:ascii="Verdana" w:hAnsi="Verdana"/>
        </w:rPr>
        <w:t xml:space="preserve">Part 6A of the </w:t>
      </w:r>
      <w:r w:rsidR="00D7672E" w:rsidRPr="00683526">
        <w:rPr>
          <w:rFonts w:ascii="Verdana" w:hAnsi="Verdana"/>
          <w:i/>
        </w:rPr>
        <w:t>Chi</w:t>
      </w:r>
      <w:r w:rsidR="003B4FC5">
        <w:rPr>
          <w:rFonts w:ascii="Verdana" w:hAnsi="Verdana"/>
          <w:i/>
        </w:rPr>
        <w:t>ld Wellbeing and Safety Act 2005</w:t>
      </w:r>
      <w:r w:rsidR="001D6204" w:rsidRPr="00683526">
        <w:rPr>
          <w:rFonts w:ascii="Verdana" w:hAnsi="Verdana"/>
        </w:rPr>
        <w:t xml:space="preserve"> (the Act) was proclaimed in</w:t>
      </w:r>
      <w:r w:rsidR="00D7672E" w:rsidRPr="00683526">
        <w:rPr>
          <w:rFonts w:ascii="Verdana" w:hAnsi="Verdana"/>
        </w:rPr>
        <w:t xml:space="preserve"> </w:t>
      </w:r>
      <w:r w:rsidR="001D6204" w:rsidRPr="00683526">
        <w:rPr>
          <w:rFonts w:ascii="Verdana" w:hAnsi="Verdana"/>
        </w:rPr>
        <w:t>September 2018. The Act established</w:t>
      </w:r>
      <w:r w:rsidR="00D7672E" w:rsidRPr="00683526">
        <w:rPr>
          <w:rFonts w:ascii="Verdana" w:hAnsi="Verdana"/>
        </w:rPr>
        <w:t xml:space="preserve"> the </w:t>
      </w:r>
      <w:r w:rsidR="006E5157" w:rsidRPr="00683526">
        <w:rPr>
          <w:rFonts w:ascii="Verdana" w:hAnsi="Verdana"/>
        </w:rPr>
        <w:t>Child In</w:t>
      </w:r>
      <w:r w:rsidR="00D7672E" w:rsidRPr="00683526">
        <w:rPr>
          <w:rFonts w:ascii="Verdana" w:hAnsi="Verdana"/>
        </w:rPr>
        <w:t>formation Sharing (CIS) Scheme</w:t>
      </w:r>
      <w:r w:rsidR="001D6204" w:rsidRPr="00683526">
        <w:rPr>
          <w:rFonts w:ascii="Verdana" w:hAnsi="Verdana"/>
        </w:rPr>
        <w:t>,</w:t>
      </w:r>
      <w:r w:rsidR="00D7672E" w:rsidRPr="00683526">
        <w:rPr>
          <w:rFonts w:ascii="Verdana" w:hAnsi="Verdana"/>
        </w:rPr>
        <w:t xml:space="preserve"> which enables</w:t>
      </w:r>
      <w:r w:rsidR="006E5157" w:rsidRPr="00683526">
        <w:rPr>
          <w:rFonts w:ascii="Verdana" w:hAnsi="Verdana"/>
        </w:rPr>
        <w:t xml:space="preserve"> information sharing between prescribed entities to promote the wellbeing and safety of children. </w:t>
      </w:r>
      <w:r w:rsidR="001D6204" w:rsidRPr="00683526">
        <w:rPr>
          <w:rFonts w:ascii="Verdana" w:hAnsi="Verdana"/>
        </w:rPr>
        <w:t xml:space="preserve">The Act </w:t>
      </w:r>
      <w:r w:rsidR="006E5157" w:rsidRPr="00683526">
        <w:rPr>
          <w:rFonts w:ascii="Verdana" w:hAnsi="Verdana"/>
        </w:rPr>
        <w:t>also authorise</w:t>
      </w:r>
      <w:r w:rsidR="00D7672E" w:rsidRPr="00683526">
        <w:rPr>
          <w:rFonts w:ascii="Verdana" w:hAnsi="Verdana"/>
        </w:rPr>
        <w:t>d</w:t>
      </w:r>
      <w:r w:rsidR="006E5157" w:rsidRPr="00683526">
        <w:rPr>
          <w:rFonts w:ascii="Verdana" w:hAnsi="Verdana"/>
        </w:rPr>
        <w:t xml:space="preserve"> the development of a </w:t>
      </w:r>
      <w:r w:rsidR="001D6204" w:rsidRPr="00683526">
        <w:rPr>
          <w:rFonts w:ascii="Verdana" w:hAnsi="Verdana"/>
        </w:rPr>
        <w:t>web-</w:t>
      </w:r>
      <w:r w:rsidR="00A318C7" w:rsidRPr="00683526">
        <w:rPr>
          <w:rFonts w:ascii="Verdana" w:hAnsi="Verdana"/>
        </w:rPr>
        <w:t xml:space="preserve">based </w:t>
      </w:r>
      <w:r w:rsidR="006E5157" w:rsidRPr="00683526">
        <w:rPr>
          <w:rFonts w:ascii="Verdana" w:hAnsi="Verdana"/>
        </w:rPr>
        <w:t xml:space="preserve">platform </w:t>
      </w:r>
      <w:r w:rsidR="00A318C7" w:rsidRPr="00683526">
        <w:rPr>
          <w:rFonts w:ascii="Verdana" w:hAnsi="Verdana"/>
        </w:rPr>
        <w:t xml:space="preserve">that will display </w:t>
      </w:r>
      <w:r w:rsidR="00407492">
        <w:rPr>
          <w:rFonts w:ascii="Verdana" w:hAnsi="Verdana"/>
        </w:rPr>
        <w:t>factual</w:t>
      </w:r>
      <w:r w:rsidR="0081351D">
        <w:rPr>
          <w:rFonts w:ascii="Verdana" w:hAnsi="Verdana"/>
        </w:rPr>
        <w:t xml:space="preserve"> </w:t>
      </w:r>
      <w:r w:rsidR="006E5157" w:rsidRPr="00683526">
        <w:rPr>
          <w:rFonts w:ascii="Verdana" w:hAnsi="Verdana"/>
        </w:rPr>
        <w:t>information about children’s participation in services (</w:t>
      </w:r>
      <w:r w:rsidR="00D7672E" w:rsidRPr="00683526">
        <w:rPr>
          <w:rFonts w:ascii="Verdana" w:hAnsi="Verdana"/>
        </w:rPr>
        <w:t xml:space="preserve">the </w:t>
      </w:r>
      <w:r w:rsidR="006E5157" w:rsidRPr="00683526">
        <w:rPr>
          <w:rFonts w:ascii="Verdana" w:hAnsi="Verdana"/>
        </w:rPr>
        <w:t>Child Link</w:t>
      </w:r>
      <w:r w:rsidR="00A318C7" w:rsidRPr="00683526">
        <w:rPr>
          <w:rFonts w:ascii="Verdana" w:hAnsi="Verdana"/>
        </w:rPr>
        <w:t xml:space="preserve"> Register)</w:t>
      </w:r>
      <w:r w:rsidR="006E5157" w:rsidRPr="00683526">
        <w:rPr>
          <w:rFonts w:ascii="Verdana" w:hAnsi="Verdana"/>
        </w:rPr>
        <w:t>.</w:t>
      </w:r>
      <w:r w:rsidR="001D6204" w:rsidRPr="00683526">
        <w:rPr>
          <w:rFonts w:ascii="Verdana" w:hAnsi="Verdana"/>
        </w:rPr>
        <w:t xml:space="preserve"> </w:t>
      </w:r>
      <w:r w:rsidR="006E5157" w:rsidRPr="00683526">
        <w:rPr>
          <w:rFonts w:ascii="Verdana" w:hAnsi="Verdana"/>
        </w:rPr>
        <w:t>The CIS Scheme will:</w:t>
      </w:r>
    </w:p>
    <w:p w:rsidR="006E5157" w:rsidRPr="00683526" w:rsidRDefault="006E5157" w:rsidP="00A76FAF">
      <w:pPr>
        <w:pStyle w:val="WOVGbody"/>
        <w:numPr>
          <w:ilvl w:val="0"/>
          <w:numId w:val="23"/>
        </w:numPr>
        <w:ind w:left="426"/>
        <w:rPr>
          <w:rFonts w:ascii="Verdana" w:hAnsi="Verdana"/>
        </w:rPr>
      </w:pPr>
      <w:r w:rsidRPr="00683526">
        <w:rPr>
          <w:rFonts w:ascii="Verdana" w:hAnsi="Verdana"/>
        </w:rPr>
        <w:t>improve early identification of risk and support for the child and their family</w:t>
      </w:r>
    </w:p>
    <w:p w:rsidR="006E5157" w:rsidRPr="00683526" w:rsidRDefault="006E5157" w:rsidP="00A76FAF">
      <w:pPr>
        <w:pStyle w:val="WOVGbody"/>
        <w:numPr>
          <w:ilvl w:val="0"/>
          <w:numId w:val="23"/>
        </w:numPr>
        <w:ind w:left="426"/>
        <w:rPr>
          <w:rFonts w:ascii="Verdana" w:hAnsi="Verdana"/>
        </w:rPr>
      </w:pPr>
      <w:r w:rsidRPr="00683526">
        <w:rPr>
          <w:rFonts w:ascii="Verdana" w:hAnsi="Verdana"/>
        </w:rPr>
        <w:t>shift a risk averse culture in relation to information sharing</w:t>
      </w:r>
    </w:p>
    <w:p w:rsidR="006E5157" w:rsidRPr="00683526" w:rsidRDefault="006E5157" w:rsidP="00A76FAF">
      <w:pPr>
        <w:pStyle w:val="WOVGbody"/>
        <w:numPr>
          <w:ilvl w:val="0"/>
          <w:numId w:val="23"/>
        </w:numPr>
        <w:ind w:left="426"/>
        <w:rPr>
          <w:rFonts w:ascii="Verdana" w:hAnsi="Verdana"/>
        </w:rPr>
      </w:pPr>
      <w:r w:rsidRPr="00683526">
        <w:rPr>
          <w:rFonts w:ascii="Verdana" w:hAnsi="Verdana"/>
        </w:rPr>
        <w:t>increase collaboration and integration between services involved in supporting children and families</w:t>
      </w:r>
    </w:p>
    <w:p w:rsidR="00D7672E" w:rsidRPr="00053F3B" w:rsidRDefault="006E5157" w:rsidP="00A76FAF">
      <w:pPr>
        <w:pStyle w:val="WOVGbody"/>
        <w:numPr>
          <w:ilvl w:val="0"/>
          <w:numId w:val="23"/>
        </w:numPr>
        <w:ind w:left="426"/>
        <w:rPr>
          <w:rFonts w:ascii="Verdana" w:hAnsi="Verdana"/>
        </w:rPr>
      </w:pPr>
      <w:r w:rsidRPr="00683526">
        <w:rPr>
          <w:rFonts w:ascii="Verdana" w:hAnsi="Verdana"/>
        </w:rPr>
        <w:t>support children's and their families’ participation in services.</w:t>
      </w:r>
    </w:p>
    <w:p w:rsidR="006E5157" w:rsidRPr="00683526" w:rsidRDefault="006E5157" w:rsidP="00683526">
      <w:pPr>
        <w:pStyle w:val="WOVGbody"/>
        <w:rPr>
          <w:rFonts w:ascii="Verdana" w:hAnsi="Verdana"/>
        </w:rPr>
      </w:pPr>
      <w:r w:rsidRPr="00683526">
        <w:rPr>
          <w:rFonts w:ascii="Verdana" w:hAnsi="Verdana"/>
        </w:rPr>
        <w:t xml:space="preserve">The CIS Scheme is modelled on recommendations made by the Royal Commission into Institutional Responses to Child Sexual Abuse (the McClellan Royal Commission) and is supported by a decade of independent reviews and inquiries. </w:t>
      </w:r>
    </w:p>
    <w:p w:rsidR="006E5157" w:rsidRPr="00683526" w:rsidRDefault="006E5157" w:rsidP="00683526">
      <w:pPr>
        <w:pStyle w:val="WOVGbody"/>
        <w:rPr>
          <w:rFonts w:ascii="Verdana" w:hAnsi="Verdana"/>
        </w:rPr>
      </w:pPr>
      <w:r w:rsidRPr="00683526">
        <w:rPr>
          <w:rFonts w:ascii="Verdana" w:hAnsi="Verdana"/>
        </w:rPr>
        <w:t xml:space="preserve">Under the CIS Scheme prescribed entities, known as information sharing entities (ISEs), </w:t>
      </w:r>
      <w:r w:rsidR="00CC6E3F" w:rsidRPr="00683526">
        <w:rPr>
          <w:rFonts w:ascii="Verdana" w:hAnsi="Verdana"/>
        </w:rPr>
        <w:t xml:space="preserve">are </w:t>
      </w:r>
      <w:r w:rsidRPr="00683526">
        <w:rPr>
          <w:rFonts w:ascii="Verdana" w:hAnsi="Verdana"/>
        </w:rPr>
        <w:t xml:space="preserve">authorised to:  </w:t>
      </w:r>
    </w:p>
    <w:p w:rsidR="006E5157" w:rsidRPr="00683526" w:rsidRDefault="006E5157" w:rsidP="00A76FAF">
      <w:pPr>
        <w:pStyle w:val="WOVGbody"/>
        <w:numPr>
          <w:ilvl w:val="0"/>
          <w:numId w:val="24"/>
        </w:numPr>
        <w:ind w:left="284"/>
        <w:rPr>
          <w:rFonts w:ascii="Verdana" w:hAnsi="Verdana"/>
        </w:rPr>
      </w:pPr>
      <w:r w:rsidRPr="00683526">
        <w:rPr>
          <w:rFonts w:ascii="Verdana" w:hAnsi="Verdana"/>
        </w:rPr>
        <w:t>request confidential information from another ISE for the purpose of promoting the wellbeing or safety of a child or a group of children</w:t>
      </w:r>
    </w:p>
    <w:p w:rsidR="006E5157" w:rsidRPr="00683526" w:rsidRDefault="006E5157" w:rsidP="00A76FAF">
      <w:pPr>
        <w:pStyle w:val="WOVGbody"/>
        <w:numPr>
          <w:ilvl w:val="0"/>
          <w:numId w:val="24"/>
        </w:numPr>
        <w:ind w:left="284"/>
        <w:rPr>
          <w:rFonts w:ascii="Verdana" w:hAnsi="Verdana"/>
        </w:rPr>
      </w:pPr>
      <w:r w:rsidRPr="00683526">
        <w:rPr>
          <w:rFonts w:ascii="Verdana" w:hAnsi="Verdana"/>
        </w:rPr>
        <w:t xml:space="preserve">disclose confidential information (either voluntarily or in response to a request) to another ISE for the purpose of promoting the wellbeing or safety of a child or group of children and to assist the recipient to deliver services in relation to the child or group of children. </w:t>
      </w:r>
    </w:p>
    <w:p w:rsidR="00CC6E3F" w:rsidRPr="00683526" w:rsidRDefault="006E5157" w:rsidP="00683526">
      <w:pPr>
        <w:pStyle w:val="WOVGbody"/>
        <w:rPr>
          <w:rFonts w:ascii="Verdana" w:hAnsi="Verdana"/>
        </w:rPr>
      </w:pPr>
      <w:r w:rsidRPr="00683526">
        <w:rPr>
          <w:rFonts w:ascii="Verdana" w:hAnsi="Verdana"/>
        </w:rPr>
        <w:t>To ensure that the privacy of individuals is not arbitrarily displaced, the CIS Scheme</w:t>
      </w:r>
      <w:r w:rsidR="00E41EB8" w:rsidRPr="00683526">
        <w:rPr>
          <w:rFonts w:ascii="Verdana" w:hAnsi="Verdana"/>
        </w:rPr>
        <w:t xml:space="preserve"> provides </w:t>
      </w:r>
      <w:r w:rsidRPr="00683526">
        <w:rPr>
          <w:rFonts w:ascii="Verdana" w:hAnsi="Verdana"/>
        </w:rPr>
        <w:t>for a range of protections for individuals. For example, it recognises that the disclosure of confidential information will not be appropriate in all cases and, therefore, excludes certain information from the operation of the CIS Scheme. The legislative principles include a requirement that information is shared only to the extent necessary to promote the wellbeing or safety of a child or a group of children, consis</w:t>
      </w:r>
      <w:r w:rsidR="00CC6E3F" w:rsidRPr="00683526">
        <w:rPr>
          <w:rFonts w:ascii="Verdana" w:hAnsi="Verdana"/>
        </w:rPr>
        <w:t>tent with their best interests.</w:t>
      </w:r>
    </w:p>
    <w:p w:rsidR="00E41EB8" w:rsidRPr="00683526" w:rsidRDefault="006E5157" w:rsidP="00683526">
      <w:pPr>
        <w:pStyle w:val="WOVGbody"/>
        <w:rPr>
          <w:rFonts w:ascii="Verdana" w:hAnsi="Verdana"/>
        </w:rPr>
      </w:pPr>
      <w:r w:rsidRPr="00683526">
        <w:rPr>
          <w:rFonts w:ascii="Verdana" w:hAnsi="Verdana"/>
        </w:rPr>
        <w:t xml:space="preserve">Alongside the CIS Scheme, the </w:t>
      </w:r>
      <w:r w:rsidRPr="00683526">
        <w:rPr>
          <w:rFonts w:ascii="Verdana" w:hAnsi="Verdana"/>
          <w:i/>
        </w:rPr>
        <w:t>Family Violence Protection Act 2008</w:t>
      </w:r>
      <w:r w:rsidRPr="00683526">
        <w:rPr>
          <w:rFonts w:ascii="Verdana" w:hAnsi="Verdana"/>
        </w:rPr>
        <w:t xml:space="preserve"> now includes the Family Violence Information Sharing (FVIS) Scheme, which enables information to be shared between prescribed entities to assess and manage family violence risk to children and adults. The FVIS Scheme also authorises the operation of a Central I</w:t>
      </w:r>
      <w:r w:rsidR="008750FF">
        <w:rPr>
          <w:rFonts w:ascii="Verdana" w:hAnsi="Verdana"/>
        </w:rPr>
        <w:t>nformation Point to facilitate family v</w:t>
      </w:r>
      <w:r w:rsidRPr="00683526">
        <w:rPr>
          <w:rFonts w:ascii="Verdana" w:hAnsi="Verdana"/>
        </w:rPr>
        <w:t xml:space="preserve">iolence information sharing. The FVIS Scheme, which commenced in February 2018, supports the sharing of information to assess each family member’s risk in </w:t>
      </w:r>
      <w:r w:rsidRPr="00683526">
        <w:rPr>
          <w:rFonts w:ascii="Verdana" w:hAnsi="Verdana"/>
        </w:rPr>
        <w:lastRenderedPageBreak/>
        <w:t>the family violence context (that is, for adult and child victim survivors, and to hold perpetrators to account) and provides for coordinated risk management and safety planning.</w:t>
      </w:r>
    </w:p>
    <w:p w:rsidR="00CC6E3F" w:rsidRPr="00683526" w:rsidRDefault="006E5157" w:rsidP="00683526">
      <w:pPr>
        <w:pStyle w:val="WOVGbody"/>
        <w:rPr>
          <w:rFonts w:ascii="Verdana" w:hAnsi="Verdana"/>
        </w:rPr>
      </w:pPr>
      <w:r w:rsidRPr="00683526">
        <w:rPr>
          <w:rFonts w:ascii="Verdana" w:hAnsi="Verdana"/>
        </w:rPr>
        <w:t xml:space="preserve">The </w:t>
      </w:r>
      <w:r w:rsidRPr="00683526">
        <w:rPr>
          <w:rFonts w:ascii="Verdana" w:hAnsi="Verdana"/>
          <w:i/>
        </w:rPr>
        <w:t>Family Violence Protection Act 2008</w:t>
      </w:r>
      <w:r w:rsidRPr="00683526">
        <w:rPr>
          <w:rFonts w:ascii="Verdana" w:hAnsi="Verdana"/>
        </w:rPr>
        <w:t xml:space="preserve"> also authorises the Family Violence Risk Assessment and Risk Management Framework (</w:t>
      </w:r>
      <w:r w:rsidR="000717D4" w:rsidRPr="00683526">
        <w:rPr>
          <w:rFonts w:ascii="Verdana" w:hAnsi="Verdana"/>
        </w:rPr>
        <w:t>MARAM</w:t>
      </w:r>
      <w:r w:rsidRPr="00683526">
        <w:rPr>
          <w:rFonts w:ascii="Verdana" w:hAnsi="Verdana"/>
        </w:rPr>
        <w:t xml:space="preserve">) which requires </w:t>
      </w:r>
      <w:r w:rsidR="006A70C7">
        <w:rPr>
          <w:rFonts w:ascii="Verdana" w:hAnsi="Verdana"/>
        </w:rPr>
        <w:t xml:space="preserve">prescribed </w:t>
      </w:r>
      <w:r w:rsidRPr="00683526">
        <w:rPr>
          <w:rFonts w:ascii="Verdana" w:hAnsi="Verdana"/>
        </w:rPr>
        <w:t xml:space="preserve">organisations to align their policies, procedures, practice guidance and tools with </w:t>
      </w:r>
      <w:r w:rsidR="000717D4" w:rsidRPr="00683526">
        <w:rPr>
          <w:rFonts w:ascii="Verdana" w:hAnsi="Verdana"/>
        </w:rPr>
        <w:t>MARAM</w:t>
      </w:r>
      <w:r w:rsidR="00683526">
        <w:rPr>
          <w:rFonts w:ascii="Verdana" w:hAnsi="Verdana"/>
        </w:rPr>
        <w:t>.</w:t>
      </w:r>
    </w:p>
    <w:p w:rsidR="00E41EB8" w:rsidRPr="00683526" w:rsidRDefault="006E5157" w:rsidP="00683526">
      <w:pPr>
        <w:pStyle w:val="WOVGbody"/>
        <w:rPr>
          <w:rFonts w:ascii="Verdana" w:hAnsi="Verdana"/>
        </w:rPr>
      </w:pPr>
      <w:r w:rsidRPr="00683526">
        <w:rPr>
          <w:rFonts w:ascii="Verdana" w:hAnsi="Verdana"/>
        </w:rPr>
        <w:t xml:space="preserve">The professionals and service providers permitted to share information under the CIS Scheme </w:t>
      </w:r>
      <w:r w:rsidR="00E41EB8" w:rsidRPr="00683526">
        <w:rPr>
          <w:rFonts w:ascii="Verdana" w:hAnsi="Verdana"/>
        </w:rPr>
        <w:t xml:space="preserve">are </w:t>
      </w:r>
      <w:r w:rsidRPr="00683526">
        <w:rPr>
          <w:rFonts w:ascii="Verdana" w:hAnsi="Verdana"/>
        </w:rPr>
        <w:t xml:space="preserve">very similar to those permitted to share under the FVIS Scheme. Together, the schemes and </w:t>
      </w:r>
      <w:r w:rsidR="000717D4" w:rsidRPr="00683526">
        <w:rPr>
          <w:rFonts w:ascii="Verdana" w:hAnsi="Verdana"/>
        </w:rPr>
        <w:t>MARAM</w:t>
      </w:r>
      <w:r w:rsidRPr="00683526">
        <w:rPr>
          <w:rFonts w:ascii="Verdana" w:hAnsi="Verdana"/>
        </w:rPr>
        <w:t xml:space="preserve"> enable service providers to share information to promote children’s wellbeing and safety and better protect all Victorian children.</w:t>
      </w:r>
    </w:p>
    <w:p w:rsidR="006E5157" w:rsidRPr="00683526" w:rsidRDefault="00D469F4" w:rsidP="00683526">
      <w:pPr>
        <w:pStyle w:val="WOVGbody"/>
        <w:rPr>
          <w:rFonts w:ascii="Verdana" w:hAnsi="Verdana"/>
        </w:rPr>
      </w:pPr>
      <w:r>
        <w:rPr>
          <w:rFonts w:ascii="Verdana" w:hAnsi="Verdana"/>
        </w:rPr>
        <w:t xml:space="preserve">Implementation of the </w:t>
      </w:r>
      <w:r w:rsidR="006E5157" w:rsidRPr="00683526">
        <w:rPr>
          <w:rFonts w:ascii="Verdana" w:hAnsi="Verdana"/>
        </w:rPr>
        <w:t xml:space="preserve">CIS Scheme </w:t>
      </w:r>
      <w:r w:rsidR="00E41EB8" w:rsidRPr="00683526">
        <w:rPr>
          <w:rFonts w:ascii="Verdana" w:hAnsi="Verdana"/>
        </w:rPr>
        <w:t xml:space="preserve">is </w:t>
      </w:r>
      <w:r>
        <w:rPr>
          <w:rFonts w:ascii="Verdana" w:hAnsi="Verdana"/>
        </w:rPr>
        <w:t xml:space="preserve">organised in a </w:t>
      </w:r>
      <w:r w:rsidR="006E5157" w:rsidRPr="00683526">
        <w:rPr>
          <w:rFonts w:ascii="Verdana" w:hAnsi="Verdana"/>
        </w:rPr>
        <w:t xml:space="preserve">phased </w:t>
      </w:r>
      <w:r>
        <w:rPr>
          <w:rFonts w:ascii="Verdana" w:hAnsi="Verdana"/>
        </w:rPr>
        <w:t>manner</w:t>
      </w:r>
      <w:r w:rsidR="006E5157" w:rsidRPr="00683526">
        <w:rPr>
          <w:rFonts w:ascii="Verdana" w:hAnsi="Verdana"/>
        </w:rPr>
        <w:t xml:space="preserve">. Some professionals and service providers </w:t>
      </w:r>
      <w:r w:rsidR="00CC6E3F" w:rsidRPr="00683526">
        <w:rPr>
          <w:rFonts w:ascii="Verdana" w:hAnsi="Verdana"/>
        </w:rPr>
        <w:t xml:space="preserve">were </w:t>
      </w:r>
      <w:r w:rsidR="006E5157" w:rsidRPr="00683526">
        <w:rPr>
          <w:rFonts w:ascii="Verdana" w:hAnsi="Verdana"/>
        </w:rPr>
        <w:t xml:space="preserve">prescribed to share information </w:t>
      </w:r>
      <w:r w:rsidR="00CC6E3F" w:rsidRPr="00683526">
        <w:rPr>
          <w:rFonts w:ascii="Verdana" w:hAnsi="Verdana"/>
        </w:rPr>
        <w:t xml:space="preserve">from September </w:t>
      </w:r>
      <w:r w:rsidR="006E5157" w:rsidRPr="00683526">
        <w:rPr>
          <w:rFonts w:ascii="Verdana" w:hAnsi="Verdana"/>
        </w:rPr>
        <w:t>2018 (Phase One)</w:t>
      </w:r>
      <w:r w:rsidR="00E41EB8" w:rsidRPr="00683526">
        <w:rPr>
          <w:rFonts w:ascii="Verdana" w:hAnsi="Verdana"/>
        </w:rPr>
        <w:t xml:space="preserve">, whereas a greater number of </w:t>
      </w:r>
      <w:r w:rsidR="00590871" w:rsidRPr="00683526">
        <w:rPr>
          <w:rFonts w:ascii="Verdana" w:hAnsi="Verdana"/>
        </w:rPr>
        <w:t xml:space="preserve">service </w:t>
      </w:r>
      <w:r w:rsidR="006E5157" w:rsidRPr="00683526">
        <w:rPr>
          <w:rFonts w:ascii="Verdana" w:hAnsi="Verdana"/>
        </w:rPr>
        <w:t xml:space="preserve">providers will be prescribed in </w:t>
      </w:r>
      <w:r w:rsidR="004615F7">
        <w:rPr>
          <w:rFonts w:ascii="Verdana" w:hAnsi="Verdana"/>
        </w:rPr>
        <w:t>the second half of</w:t>
      </w:r>
      <w:r w:rsidR="00CC6E3F" w:rsidRPr="00683526">
        <w:rPr>
          <w:rFonts w:ascii="Verdana" w:hAnsi="Verdana"/>
        </w:rPr>
        <w:t xml:space="preserve"> </w:t>
      </w:r>
      <w:r w:rsidR="006E5157" w:rsidRPr="00683526">
        <w:rPr>
          <w:rFonts w:ascii="Verdana" w:hAnsi="Verdana"/>
        </w:rPr>
        <w:t>2020</w:t>
      </w:r>
      <w:r w:rsidR="00E41EB8" w:rsidRPr="00683526">
        <w:rPr>
          <w:rFonts w:ascii="Verdana" w:hAnsi="Verdana"/>
        </w:rPr>
        <w:t xml:space="preserve"> (Phase T</w:t>
      </w:r>
      <w:r w:rsidR="00590871" w:rsidRPr="00683526">
        <w:rPr>
          <w:rFonts w:ascii="Verdana" w:hAnsi="Verdana"/>
        </w:rPr>
        <w:t>wo</w:t>
      </w:r>
      <w:r w:rsidR="00E41EB8" w:rsidRPr="00683526">
        <w:rPr>
          <w:rFonts w:ascii="Verdana" w:hAnsi="Verdana"/>
        </w:rPr>
        <w:t xml:space="preserve">). </w:t>
      </w:r>
      <w:r w:rsidR="006E5157" w:rsidRPr="00683526">
        <w:rPr>
          <w:rFonts w:ascii="Verdana" w:hAnsi="Verdana"/>
        </w:rPr>
        <w:t>This aligns with the planned phased prescription of remaining workforces under the FVIS</w:t>
      </w:r>
      <w:r w:rsidR="00CC6E3F" w:rsidRPr="00683526">
        <w:rPr>
          <w:rFonts w:ascii="Verdana" w:hAnsi="Verdana"/>
        </w:rPr>
        <w:t xml:space="preserve"> S</w:t>
      </w:r>
      <w:r w:rsidR="006E5157" w:rsidRPr="00683526">
        <w:rPr>
          <w:rFonts w:ascii="Verdana" w:hAnsi="Verdana"/>
        </w:rPr>
        <w:t>cheme.</w:t>
      </w:r>
    </w:p>
    <w:p w:rsidR="0061317C" w:rsidRPr="00683526" w:rsidRDefault="006E5157" w:rsidP="00683526">
      <w:pPr>
        <w:pStyle w:val="WOVGbody"/>
        <w:rPr>
          <w:rFonts w:ascii="Verdana" w:hAnsi="Verdana"/>
        </w:rPr>
      </w:pPr>
      <w:r w:rsidRPr="00683526">
        <w:rPr>
          <w:rFonts w:ascii="Verdana" w:hAnsi="Verdana"/>
        </w:rPr>
        <w:t>To maximise efficiencies and minimise workforce</w:t>
      </w:r>
      <w:r w:rsidR="0061317C" w:rsidRPr="00683526">
        <w:rPr>
          <w:rFonts w:ascii="Verdana" w:hAnsi="Verdana"/>
        </w:rPr>
        <w:t xml:space="preserve"> confusion and reform fatigue, t</w:t>
      </w:r>
      <w:r w:rsidRPr="00683526">
        <w:rPr>
          <w:rFonts w:ascii="Verdana" w:hAnsi="Verdana"/>
        </w:rPr>
        <w:t>he Department of Education and Training (DET), Family Safety Victoria (FSV)</w:t>
      </w:r>
      <w:r w:rsidR="0061317C" w:rsidRPr="00683526">
        <w:rPr>
          <w:rFonts w:ascii="Verdana" w:hAnsi="Verdana"/>
        </w:rPr>
        <w:t>, the Department of Justice and Community Safety (DJCS)</w:t>
      </w:r>
      <w:r w:rsidR="00407492">
        <w:rPr>
          <w:rFonts w:ascii="Verdana" w:hAnsi="Verdana"/>
        </w:rPr>
        <w:t>,</w:t>
      </w:r>
      <w:r w:rsidR="0061317C" w:rsidRPr="00683526">
        <w:rPr>
          <w:rFonts w:ascii="Verdana" w:hAnsi="Verdana"/>
        </w:rPr>
        <w:t xml:space="preserve"> </w:t>
      </w:r>
      <w:r w:rsidRPr="00683526">
        <w:rPr>
          <w:rFonts w:ascii="Verdana" w:hAnsi="Verdana"/>
        </w:rPr>
        <w:t>the Department of Health and Human Services (DHHS)</w:t>
      </w:r>
      <w:r w:rsidR="00407492">
        <w:rPr>
          <w:rFonts w:ascii="Verdana" w:hAnsi="Verdana"/>
        </w:rPr>
        <w:t>, Victoria Police and Court Services Victoria</w:t>
      </w:r>
      <w:r w:rsidRPr="00683526">
        <w:rPr>
          <w:rFonts w:ascii="Verdana" w:hAnsi="Verdana"/>
        </w:rPr>
        <w:t xml:space="preserve"> are working together to align workforce training and change management activities across the two schemes and </w:t>
      </w:r>
      <w:r w:rsidR="000717D4" w:rsidRPr="00683526">
        <w:rPr>
          <w:rFonts w:ascii="Verdana" w:hAnsi="Verdana"/>
        </w:rPr>
        <w:t>MARAM</w:t>
      </w:r>
      <w:r w:rsidRPr="00683526">
        <w:rPr>
          <w:rFonts w:ascii="Verdana" w:hAnsi="Verdana"/>
        </w:rPr>
        <w:t>.</w:t>
      </w:r>
    </w:p>
    <w:p w:rsidR="006E5157" w:rsidRDefault="006E5157" w:rsidP="00683526">
      <w:pPr>
        <w:pStyle w:val="WOVGbody"/>
        <w:rPr>
          <w:rFonts w:ascii="Verdana" w:hAnsi="Verdana"/>
        </w:rPr>
      </w:pPr>
      <w:r w:rsidRPr="00683526">
        <w:rPr>
          <w:rFonts w:ascii="Verdana" w:hAnsi="Verdana"/>
        </w:rPr>
        <w:t xml:space="preserve">Considering the regulatory impact of the CIS Scheme is key to responsible government decision making. This Regulatory Impact Statement (RIS) has been prepared to assess impacts on </w:t>
      </w:r>
      <w:r w:rsidR="004615F7">
        <w:rPr>
          <w:rFonts w:ascii="Verdana" w:hAnsi="Verdana"/>
        </w:rPr>
        <w:t xml:space="preserve">government and </w:t>
      </w:r>
      <w:r w:rsidRPr="00683526">
        <w:rPr>
          <w:rFonts w:ascii="Verdana" w:hAnsi="Verdana"/>
        </w:rPr>
        <w:t xml:space="preserve">the workforces </w:t>
      </w:r>
      <w:r w:rsidR="00CF3000">
        <w:rPr>
          <w:rFonts w:ascii="Verdana" w:hAnsi="Verdana"/>
        </w:rPr>
        <w:t xml:space="preserve">proposed for prescription under </w:t>
      </w:r>
      <w:r w:rsidRPr="00683526">
        <w:rPr>
          <w:rFonts w:ascii="Verdana" w:hAnsi="Verdana"/>
        </w:rPr>
        <w:t xml:space="preserve">Phase </w:t>
      </w:r>
      <w:r w:rsidR="00CC6E3F" w:rsidRPr="00683526">
        <w:rPr>
          <w:rFonts w:ascii="Verdana" w:hAnsi="Verdana"/>
        </w:rPr>
        <w:t xml:space="preserve">Two </w:t>
      </w:r>
      <w:r w:rsidRPr="00683526">
        <w:rPr>
          <w:rFonts w:ascii="Verdana" w:hAnsi="Verdana"/>
        </w:rPr>
        <w:t>of the CIS Scheme</w:t>
      </w:r>
      <w:r w:rsidR="00CF3000">
        <w:rPr>
          <w:rFonts w:ascii="Verdana" w:hAnsi="Verdana"/>
        </w:rPr>
        <w:t>,</w:t>
      </w:r>
      <w:r w:rsidRPr="00683526">
        <w:rPr>
          <w:rFonts w:ascii="Verdana" w:hAnsi="Verdana"/>
        </w:rPr>
        <w:t xml:space="preserve"> and includes consideration of possible regulatory options</w:t>
      </w:r>
      <w:r w:rsidR="00CC6E3F" w:rsidRPr="00683526">
        <w:rPr>
          <w:rFonts w:ascii="Verdana" w:hAnsi="Verdana"/>
        </w:rPr>
        <w:t>.</w:t>
      </w:r>
    </w:p>
    <w:p w:rsidR="009E6223" w:rsidRPr="008300B7" w:rsidRDefault="009E6223" w:rsidP="009E6223">
      <w:pPr>
        <w:pStyle w:val="Heading2"/>
        <w:rPr>
          <w:rFonts w:ascii="Verdana" w:hAnsi="Verdana"/>
        </w:rPr>
      </w:pPr>
      <w:bookmarkStart w:id="2" w:name="_Toc23510749"/>
      <w:r w:rsidRPr="008300B7">
        <w:rPr>
          <w:rFonts w:ascii="Verdana" w:hAnsi="Verdana"/>
        </w:rPr>
        <w:t xml:space="preserve">Objectives of the </w:t>
      </w:r>
      <w:r w:rsidR="00BF143A" w:rsidRPr="008300B7">
        <w:rPr>
          <w:rFonts w:ascii="Verdana" w:hAnsi="Verdana"/>
        </w:rPr>
        <w:t xml:space="preserve">proposed </w:t>
      </w:r>
      <w:r w:rsidRPr="008300B7">
        <w:rPr>
          <w:rFonts w:ascii="Verdana" w:hAnsi="Verdana"/>
        </w:rPr>
        <w:t>Amendment Regulations</w:t>
      </w:r>
      <w:bookmarkEnd w:id="2"/>
    </w:p>
    <w:p w:rsidR="009E6223" w:rsidRPr="00551865" w:rsidRDefault="009E6223" w:rsidP="009E6223">
      <w:pPr>
        <w:pStyle w:val="WOVGbody"/>
        <w:rPr>
          <w:rFonts w:ascii="Verdana" w:hAnsi="Verdana"/>
        </w:rPr>
      </w:pPr>
      <w:r>
        <w:rPr>
          <w:rFonts w:ascii="Verdana" w:hAnsi="Verdana"/>
        </w:rPr>
        <w:t xml:space="preserve">The </w:t>
      </w:r>
      <w:r w:rsidR="00BF143A">
        <w:rPr>
          <w:rFonts w:ascii="Verdana" w:hAnsi="Verdana"/>
        </w:rPr>
        <w:t xml:space="preserve">proposed </w:t>
      </w:r>
      <w:r w:rsidRPr="00551865">
        <w:rPr>
          <w:rFonts w:ascii="Verdana" w:hAnsi="Verdana"/>
        </w:rPr>
        <w:t xml:space="preserve">Amendment Regulations </w:t>
      </w:r>
      <w:r>
        <w:rPr>
          <w:rFonts w:ascii="Verdana" w:hAnsi="Verdana"/>
        </w:rPr>
        <w:t xml:space="preserve">will enable implementation of Phase Two of the CIS Scheme by prescribing </w:t>
      </w:r>
      <w:r w:rsidRPr="00551865">
        <w:rPr>
          <w:rFonts w:ascii="Verdana" w:hAnsi="Verdana"/>
        </w:rPr>
        <w:t>ISEs that will be authorised to voluntarily share relevant information with one another for the purposes of promoting child wellbeing and safety (and will be obliged to share that information in response to requests from other ISEs).</w:t>
      </w:r>
      <w:r w:rsidRPr="00551865" w:rsidDel="00746677">
        <w:rPr>
          <w:rFonts w:ascii="Verdana" w:hAnsi="Verdana"/>
        </w:rPr>
        <w:t xml:space="preserve"> </w:t>
      </w:r>
    </w:p>
    <w:p w:rsidR="009E6223" w:rsidRDefault="009E6223" w:rsidP="009E6223">
      <w:pPr>
        <w:pStyle w:val="WOVGbody"/>
        <w:rPr>
          <w:rFonts w:ascii="Verdana" w:hAnsi="Verdana"/>
        </w:rPr>
      </w:pPr>
      <w:r w:rsidRPr="00551865">
        <w:rPr>
          <w:rFonts w:ascii="Verdana" w:hAnsi="Verdana"/>
        </w:rPr>
        <w:t>The CIS Scheme authorises ISEs to request, collect, use and disclose information to promote child wellbeing and safety. ISEs are obliged to share that information when lawfully requested to do so by another ISE unless the information fall</w:t>
      </w:r>
      <w:r w:rsidR="008750FF">
        <w:rPr>
          <w:rFonts w:ascii="Verdana" w:hAnsi="Verdana"/>
        </w:rPr>
        <w:t>s under the exclusion category – I</w:t>
      </w:r>
      <w:r w:rsidRPr="00551865">
        <w:rPr>
          <w:rFonts w:ascii="Verdana" w:hAnsi="Verdana"/>
        </w:rPr>
        <w:t>ncluding information that, if shared, would prejudice an ongoing investigation of a breach of the law or a coronial inquest, or would endanger a person’s life or physical safety</w:t>
      </w:r>
      <w:r>
        <w:rPr>
          <w:rFonts w:ascii="Verdana" w:hAnsi="Verdana"/>
        </w:rPr>
        <w:t>.</w:t>
      </w:r>
    </w:p>
    <w:p w:rsidR="009E6223" w:rsidRPr="009E6223" w:rsidRDefault="009E6223" w:rsidP="009E6223">
      <w:pPr>
        <w:pStyle w:val="Heading2"/>
        <w:rPr>
          <w:rFonts w:ascii="Verdana" w:hAnsi="Verdana"/>
        </w:rPr>
      </w:pPr>
      <w:bookmarkStart w:id="3" w:name="_Toc23510750"/>
      <w:r w:rsidRPr="009E6223">
        <w:rPr>
          <w:rFonts w:ascii="Verdana" w:hAnsi="Verdana"/>
        </w:rPr>
        <w:t>Regulatory Options</w:t>
      </w:r>
      <w:bookmarkEnd w:id="3"/>
    </w:p>
    <w:p w:rsidR="009E6223" w:rsidRDefault="009E6223" w:rsidP="009E6223">
      <w:pPr>
        <w:pStyle w:val="WOVGbody"/>
        <w:rPr>
          <w:rFonts w:ascii="Verdana" w:hAnsi="Verdana"/>
        </w:rPr>
      </w:pPr>
      <w:r>
        <w:rPr>
          <w:rFonts w:ascii="Verdana" w:hAnsi="Verdana"/>
        </w:rPr>
        <w:t>Three</w:t>
      </w:r>
      <w:r w:rsidRPr="000B134E">
        <w:rPr>
          <w:rFonts w:ascii="Verdana" w:hAnsi="Verdana"/>
        </w:rPr>
        <w:t xml:space="preserve"> options were</w:t>
      </w:r>
      <w:r>
        <w:rPr>
          <w:rFonts w:ascii="Verdana" w:hAnsi="Verdana"/>
        </w:rPr>
        <w:t xml:space="preserve"> considered </w:t>
      </w:r>
      <w:r w:rsidRPr="009E6223">
        <w:rPr>
          <w:rFonts w:ascii="Verdana" w:hAnsi="Verdana"/>
        </w:rPr>
        <w:t xml:space="preserve">for the proposed Amendment Regulations </w:t>
      </w:r>
      <w:r>
        <w:rPr>
          <w:rFonts w:ascii="Verdana" w:hAnsi="Verdana"/>
        </w:rPr>
        <w:t>for Phase Two prescription of ISEs under the CIS Scheme:</w:t>
      </w:r>
    </w:p>
    <w:p w:rsidR="009E6223" w:rsidRDefault="009E6223" w:rsidP="00A76FAF">
      <w:pPr>
        <w:pStyle w:val="WOVGbody"/>
        <w:numPr>
          <w:ilvl w:val="0"/>
          <w:numId w:val="17"/>
        </w:numPr>
        <w:ind w:left="426"/>
        <w:rPr>
          <w:rFonts w:ascii="Verdana" w:hAnsi="Verdana"/>
        </w:rPr>
      </w:pPr>
      <w:r w:rsidRPr="00D106A4">
        <w:rPr>
          <w:rFonts w:ascii="Verdana" w:hAnsi="Verdana"/>
          <w:b/>
        </w:rPr>
        <w:t>Option 1</w:t>
      </w:r>
      <w:r>
        <w:rPr>
          <w:rFonts w:ascii="Verdana" w:hAnsi="Verdana"/>
        </w:rPr>
        <w:t>. Targeted prescription of universal health services</w:t>
      </w:r>
      <w:r w:rsidR="00B434A7">
        <w:rPr>
          <w:rFonts w:ascii="Verdana" w:hAnsi="Verdana"/>
        </w:rPr>
        <w:t>.</w:t>
      </w:r>
      <w:r>
        <w:rPr>
          <w:rFonts w:ascii="Verdana" w:hAnsi="Verdana"/>
        </w:rPr>
        <w:t xml:space="preserve"> </w:t>
      </w:r>
    </w:p>
    <w:p w:rsidR="009E6223" w:rsidRDefault="009E6223" w:rsidP="00A76FAF">
      <w:pPr>
        <w:pStyle w:val="WOVGbody"/>
        <w:numPr>
          <w:ilvl w:val="0"/>
          <w:numId w:val="17"/>
        </w:numPr>
        <w:ind w:left="426"/>
        <w:rPr>
          <w:rFonts w:ascii="Verdana" w:hAnsi="Verdana"/>
        </w:rPr>
      </w:pPr>
      <w:r w:rsidRPr="00D106A4">
        <w:rPr>
          <w:rFonts w:ascii="Verdana" w:hAnsi="Verdana"/>
          <w:b/>
        </w:rPr>
        <w:t>Option 2</w:t>
      </w:r>
      <w:r>
        <w:rPr>
          <w:rFonts w:ascii="Verdana" w:hAnsi="Verdana"/>
        </w:rPr>
        <w:t>. Targeted prescription of universal health and education services and other key child service providers</w:t>
      </w:r>
      <w:r w:rsidR="00B434A7">
        <w:rPr>
          <w:rFonts w:ascii="Verdana" w:hAnsi="Verdana"/>
        </w:rPr>
        <w:t>.</w:t>
      </w:r>
    </w:p>
    <w:p w:rsidR="009E6223" w:rsidRDefault="009E6223" w:rsidP="00A76FAF">
      <w:pPr>
        <w:pStyle w:val="WOVGbody"/>
        <w:numPr>
          <w:ilvl w:val="0"/>
          <w:numId w:val="17"/>
        </w:numPr>
        <w:ind w:left="426"/>
        <w:rPr>
          <w:rFonts w:ascii="Verdana" w:hAnsi="Verdana"/>
        </w:rPr>
      </w:pPr>
      <w:r w:rsidRPr="00D106A4">
        <w:rPr>
          <w:rFonts w:ascii="Verdana" w:hAnsi="Verdana"/>
          <w:b/>
        </w:rPr>
        <w:t>Option 3</w:t>
      </w:r>
      <w:r>
        <w:rPr>
          <w:rFonts w:ascii="Verdana" w:hAnsi="Verdana"/>
        </w:rPr>
        <w:t>. Services prescribed in O</w:t>
      </w:r>
      <w:r w:rsidR="00C04154">
        <w:rPr>
          <w:rFonts w:ascii="Verdana" w:hAnsi="Verdana"/>
        </w:rPr>
        <w:t>ption 2 with the addition of</w:t>
      </w:r>
      <w:r>
        <w:rPr>
          <w:rFonts w:ascii="Verdana" w:hAnsi="Verdana"/>
        </w:rPr>
        <w:t xml:space="preserve"> other universal </w:t>
      </w:r>
      <w:r w:rsidR="00FE00CC">
        <w:rPr>
          <w:rFonts w:ascii="Verdana" w:hAnsi="Verdana"/>
        </w:rPr>
        <w:t xml:space="preserve">health and education services </w:t>
      </w:r>
      <w:r>
        <w:rPr>
          <w:rFonts w:ascii="Verdana" w:hAnsi="Verdana"/>
        </w:rPr>
        <w:t>and child service providers</w:t>
      </w:r>
      <w:r w:rsidR="00B434A7">
        <w:rPr>
          <w:rFonts w:ascii="Verdana" w:hAnsi="Verdana"/>
        </w:rPr>
        <w:t>.</w:t>
      </w:r>
    </w:p>
    <w:p w:rsidR="009E6223" w:rsidRPr="008300B7" w:rsidRDefault="009E6223" w:rsidP="009E6223">
      <w:pPr>
        <w:pStyle w:val="Heading2"/>
        <w:rPr>
          <w:rFonts w:ascii="Verdana" w:hAnsi="Verdana"/>
        </w:rPr>
      </w:pPr>
      <w:bookmarkStart w:id="4" w:name="_Toc23510751"/>
      <w:r w:rsidRPr="008300B7">
        <w:rPr>
          <w:rFonts w:ascii="Verdana" w:hAnsi="Verdana"/>
        </w:rPr>
        <w:lastRenderedPageBreak/>
        <w:t>Preferred Option</w:t>
      </w:r>
      <w:bookmarkEnd w:id="4"/>
    </w:p>
    <w:p w:rsidR="00DB3CD0" w:rsidRDefault="00DB3CD0" w:rsidP="009E6223">
      <w:pPr>
        <w:pStyle w:val="WOVGbody"/>
        <w:rPr>
          <w:rFonts w:ascii="Verdana" w:hAnsi="Verdana"/>
        </w:rPr>
      </w:pPr>
      <w:r w:rsidRPr="00381A85">
        <w:rPr>
          <w:rFonts w:ascii="Verdana" w:hAnsi="Verdana"/>
        </w:rPr>
        <w:t xml:space="preserve">In considering the full range of analytical techniques available for determining the preferred option in this RIS, </w:t>
      </w:r>
      <w:r>
        <w:rPr>
          <w:rFonts w:ascii="Verdana" w:hAnsi="Verdana"/>
        </w:rPr>
        <w:t>Multi-Criteria Analysis (</w:t>
      </w:r>
      <w:r w:rsidRPr="00381A85">
        <w:rPr>
          <w:rFonts w:ascii="Verdana" w:hAnsi="Verdana"/>
        </w:rPr>
        <w:t>MCA</w:t>
      </w:r>
      <w:r>
        <w:rPr>
          <w:rFonts w:ascii="Verdana" w:hAnsi="Verdana"/>
        </w:rPr>
        <w:t>) is</w:t>
      </w:r>
      <w:r w:rsidRPr="00381A85">
        <w:rPr>
          <w:rFonts w:ascii="Verdana" w:hAnsi="Verdana"/>
        </w:rPr>
        <w:t xml:space="preserve"> </w:t>
      </w:r>
      <w:r>
        <w:rPr>
          <w:rFonts w:ascii="Verdana" w:hAnsi="Verdana"/>
        </w:rPr>
        <w:t xml:space="preserve">determined to be </w:t>
      </w:r>
      <w:r w:rsidRPr="00381A85">
        <w:rPr>
          <w:rFonts w:ascii="Verdana" w:hAnsi="Verdana"/>
        </w:rPr>
        <w:t>the most appropriate. This is due to the difficulty involved in quantifying the expected effects of information shared under the CIS Scheme and associated improvements in child wellbeing or safety</w:t>
      </w:r>
      <w:r>
        <w:rPr>
          <w:rFonts w:ascii="Verdana" w:hAnsi="Verdana"/>
        </w:rPr>
        <w:t xml:space="preserve">. This </w:t>
      </w:r>
      <w:r w:rsidRPr="00381A85">
        <w:rPr>
          <w:rFonts w:ascii="Verdana" w:hAnsi="Verdana"/>
        </w:rPr>
        <w:t xml:space="preserve">is </w:t>
      </w:r>
      <w:r>
        <w:rPr>
          <w:rFonts w:ascii="Verdana" w:hAnsi="Verdana"/>
        </w:rPr>
        <w:t>compounded</w:t>
      </w:r>
      <w:r w:rsidRPr="00381A85">
        <w:rPr>
          <w:rFonts w:ascii="Verdana" w:hAnsi="Verdana"/>
        </w:rPr>
        <w:t xml:space="preserve"> by the fact that the CIS Scheme is part of a larger reform program</w:t>
      </w:r>
      <w:r>
        <w:rPr>
          <w:rFonts w:ascii="Verdana" w:hAnsi="Verdana"/>
        </w:rPr>
        <w:t>,</w:t>
      </w:r>
      <w:r w:rsidRPr="00381A85">
        <w:rPr>
          <w:rFonts w:ascii="Verdana" w:hAnsi="Verdana"/>
        </w:rPr>
        <w:t xml:space="preserve"> </w:t>
      </w:r>
      <w:r>
        <w:rPr>
          <w:rFonts w:ascii="Verdana" w:hAnsi="Verdana"/>
        </w:rPr>
        <w:t xml:space="preserve">which aims </w:t>
      </w:r>
      <w:r w:rsidRPr="00381A85">
        <w:rPr>
          <w:rFonts w:ascii="Verdana" w:hAnsi="Verdana"/>
        </w:rPr>
        <w:t xml:space="preserve">to grow and improve </w:t>
      </w:r>
      <w:r>
        <w:rPr>
          <w:rFonts w:ascii="Verdana" w:hAnsi="Verdana"/>
        </w:rPr>
        <w:t xml:space="preserve">service delivery, and </w:t>
      </w:r>
      <w:r w:rsidRPr="00381A85">
        <w:rPr>
          <w:rFonts w:ascii="Verdana" w:hAnsi="Verdana"/>
        </w:rPr>
        <w:t>early interventi</w:t>
      </w:r>
      <w:r>
        <w:rPr>
          <w:rFonts w:ascii="Verdana" w:hAnsi="Verdana"/>
        </w:rPr>
        <w:t>on and preventative action for children.</w:t>
      </w:r>
    </w:p>
    <w:p w:rsidR="00DB3CD0" w:rsidRDefault="00DB3CD0" w:rsidP="00DB3CD0">
      <w:pPr>
        <w:pStyle w:val="WOVGbody"/>
        <w:rPr>
          <w:rFonts w:ascii="Verdana" w:hAnsi="Verdana"/>
        </w:rPr>
      </w:pPr>
      <w:r>
        <w:rPr>
          <w:rFonts w:ascii="Verdana" w:hAnsi="Verdana"/>
        </w:rPr>
        <w:t>MCA is typically applied as an analytical technique</w:t>
      </w:r>
      <w:r w:rsidRPr="00381A85">
        <w:rPr>
          <w:rFonts w:ascii="Verdana" w:hAnsi="Verdana"/>
        </w:rPr>
        <w:t xml:space="preserve"> in cases where full cost-benefit analysis is infeasible due to </w:t>
      </w:r>
      <w:r>
        <w:rPr>
          <w:rFonts w:ascii="Verdana" w:hAnsi="Verdana"/>
        </w:rPr>
        <w:t xml:space="preserve">difficulties in </w:t>
      </w:r>
      <w:r w:rsidRPr="00381A85">
        <w:rPr>
          <w:rFonts w:ascii="Verdana" w:hAnsi="Verdana"/>
        </w:rPr>
        <w:t>quantify</w:t>
      </w:r>
      <w:r>
        <w:rPr>
          <w:rFonts w:ascii="Verdana" w:hAnsi="Verdana"/>
        </w:rPr>
        <w:t>ing</w:t>
      </w:r>
      <w:r w:rsidRPr="00381A85">
        <w:rPr>
          <w:rFonts w:ascii="Verdana" w:hAnsi="Verdana"/>
        </w:rPr>
        <w:t xml:space="preserve"> benefits. MCA allows options to be compared through both quantitative and qualitative analysis and enables a wider range of criteria, such as social considerations, to be included in the analysis. It involves determining a set of criteria considered to be most </w:t>
      </w:r>
      <w:r>
        <w:rPr>
          <w:rFonts w:ascii="Verdana" w:hAnsi="Verdana"/>
        </w:rPr>
        <w:t>relevant</w:t>
      </w:r>
      <w:r w:rsidRPr="00381A85">
        <w:rPr>
          <w:rFonts w:ascii="Verdana" w:hAnsi="Verdana"/>
        </w:rPr>
        <w:t xml:space="preserve"> to weighing up options and then scoring each option with reference to the selected criteria, where a positive score indicates an option is better than the base case and a negative score indicates an option is worse that the base case. The criteria are also weighted according to their relative importance in the overall decision.  </w:t>
      </w:r>
    </w:p>
    <w:p w:rsidR="00DB3CD0" w:rsidRDefault="00DB3CD0" w:rsidP="00DB3CD0">
      <w:pPr>
        <w:pStyle w:val="WOVGbody"/>
        <w:rPr>
          <w:rFonts w:ascii="Verdana" w:hAnsi="Verdana"/>
        </w:rPr>
      </w:pPr>
      <w:r>
        <w:rPr>
          <w:rFonts w:ascii="Verdana" w:hAnsi="Verdana"/>
        </w:rPr>
        <w:t>The table below shows the results of the MCA analysis, determining the preferred option for Phase Two prescription of ISEs under the CIS Scheme.</w:t>
      </w:r>
      <w:r w:rsidR="00CF3000">
        <w:rPr>
          <w:rFonts w:ascii="Verdana" w:hAnsi="Verdana"/>
        </w:rPr>
        <w:t xml:space="preserve"> </w:t>
      </w:r>
      <w:r w:rsidR="00CF3000" w:rsidRPr="00315ADD">
        <w:rPr>
          <w:rFonts w:ascii="Verdana" w:hAnsi="Verdana"/>
        </w:rPr>
        <w:t>Based on the result of the MCA, it was determined that the ISEs listed</w:t>
      </w:r>
      <w:r w:rsidR="00CF3000">
        <w:rPr>
          <w:rFonts w:ascii="Verdana" w:hAnsi="Verdana"/>
        </w:rPr>
        <w:t xml:space="preserve"> according to</w:t>
      </w:r>
      <w:r w:rsidR="00CF3000" w:rsidRPr="00315ADD">
        <w:rPr>
          <w:rFonts w:ascii="Verdana" w:hAnsi="Verdana"/>
        </w:rPr>
        <w:t xml:space="preserve"> </w:t>
      </w:r>
      <w:r w:rsidR="00CF3000" w:rsidRPr="00CF3000">
        <w:rPr>
          <w:rFonts w:ascii="Verdana" w:hAnsi="Verdana"/>
          <w:b/>
        </w:rPr>
        <w:t>Option 2, ‘Targeted prescription of universal health and education services and other key child service providers’</w:t>
      </w:r>
      <w:r w:rsidR="00CF3000">
        <w:rPr>
          <w:rFonts w:ascii="Verdana" w:hAnsi="Verdana"/>
        </w:rPr>
        <w:t>,</w:t>
      </w:r>
      <w:r w:rsidR="00CF3000" w:rsidRPr="00315ADD">
        <w:rPr>
          <w:rFonts w:ascii="Verdana" w:hAnsi="Verdana"/>
        </w:rPr>
        <w:t xml:space="preserve"> should be prescribed in Phase Two of the CIS Scheme.</w:t>
      </w:r>
      <w:r w:rsidR="00CF3000">
        <w:rPr>
          <w:rFonts w:ascii="Verdana" w:hAnsi="Verdana"/>
        </w:rPr>
        <w:t xml:space="preserve"> The preferred option prescribes universal health and education related services as well as services that support vulnerable children and families, ensuring prescription of services that interact with the vast majority of Victorian children and particularly with those who are in greatest need of support. The ISEs prescribed under the preferred option have the capacity to provide timely access to information deemed relevant to the wellbeing or safety of a chi</w:t>
      </w:r>
      <w:r w:rsidR="002E4C36">
        <w:rPr>
          <w:rFonts w:ascii="Verdana" w:hAnsi="Verdana"/>
        </w:rPr>
        <w:t xml:space="preserve">ld, and to facilitate </w:t>
      </w:r>
      <w:r w:rsidR="00CF3000">
        <w:rPr>
          <w:rFonts w:ascii="Verdana" w:hAnsi="Verdana"/>
        </w:rPr>
        <w:t xml:space="preserve">reform </w:t>
      </w:r>
      <w:r w:rsidR="00FB3DE8">
        <w:rPr>
          <w:rFonts w:ascii="Verdana" w:hAnsi="Verdana"/>
        </w:rPr>
        <w:t>delivery</w:t>
      </w:r>
      <w:r w:rsidR="004615F7">
        <w:rPr>
          <w:rFonts w:ascii="Verdana" w:hAnsi="Verdana"/>
        </w:rPr>
        <w:t xml:space="preserve"> within current timelines</w:t>
      </w:r>
      <w:r w:rsidR="00FB3DE8">
        <w:rPr>
          <w:rFonts w:ascii="Verdana" w:hAnsi="Verdana"/>
        </w:rPr>
        <w:t>, with appropriate support from government.</w:t>
      </w:r>
    </w:p>
    <w:p w:rsidR="009D3FC5" w:rsidRPr="00CF3000" w:rsidRDefault="009D3FC5" w:rsidP="00DB3CD0">
      <w:pPr>
        <w:pStyle w:val="WOVGbody"/>
        <w:rPr>
          <w:rFonts w:ascii="Verdana" w:hAnsi="Verdana"/>
        </w:rPr>
      </w:pPr>
      <w:r w:rsidRPr="00900085">
        <w:rPr>
          <w:rFonts w:ascii="Verdana" w:hAnsi="Verdana"/>
          <w:b/>
        </w:rPr>
        <w:t xml:space="preserve">Table ES.1 MCA results </w:t>
      </w:r>
      <w:r w:rsidR="00987C28">
        <w:rPr>
          <w:rFonts w:ascii="Verdana" w:hAnsi="Verdana"/>
          <w:b/>
        </w:rPr>
        <w:t xml:space="preserve">for </w:t>
      </w:r>
      <w:r w:rsidR="004615F7">
        <w:rPr>
          <w:rFonts w:ascii="Verdana" w:hAnsi="Verdana"/>
          <w:b/>
        </w:rPr>
        <w:t xml:space="preserve">the </w:t>
      </w:r>
      <w:r w:rsidR="00987C28">
        <w:rPr>
          <w:rFonts w:ascii="Verdana" w:hAnsi="Verdana"/>
          <w:b/>
        </w:rPr>
        <w:t>prescribed entities options</w:t>
      </w:r>
    </w:p>
    <w:tbl>
      <w:tblPr>
        <w:tblStyle w:val="TableGrid"/>
        <w:tblW w:w="9495" w:type="dxa"/>
        <w:tblLook w:val="06A0" w:firstRow="1" w:lastRow="0" w:firstColumn="1" w:lastColumn="0" w:noHBand="1" w:noVBand="1"/>
      </w:tblPr>
      <w:tblGrid>
        <w:gridCol w:w="1595"/>
        <w:gridCol w:w="2009"/>
        <w:gridCol w:w="1921"/>
        <w:gridCol w:w="2170"/>
        <w:gridCol w:w="1800"/>
      </w:tblGrid>
      <w:tr w:rsidR="00987C28" w:rsidRPr="00B309AB" w:rsidTr="00DE7C18">
        <w:trPr>
          <w:cnfStyle w:val="100000000000" w:firstRow="1" w:lastRow="0" w:firstColumn="0" w:lastColumn="0" w:oddVBand="0" w:evenVBand="0" w:oddHBand="0" w:evenHBand="0" w:firstRowFirstColumn="0" w:firstRowLastColumn="0" w:lastRowFirstColumn="0" w:lastRowLastColumn="0"/>
          <w:trHeight w:val="695"/>
          <w:tblHeader/>
        </w:trPr>
        <w:tc>
          <w:tcPr>
            <w:cnfStyle w:val="001000000000" w:firstRow="0" w:lastRow="0" w:firstColumn="1" w:lastColumn="0" w:oddVBand="0" w:evenVBand="0" w:oddHBand="0" w:evenHBand="0" w:firstRowFirstColumn="0" w:firstRowLastColumn="0" w:lastRowFirstColumn="0" w:lastRowLastColumn="0"/>
            <w:tcW w:w="1595" w:type="dxa"/>
            <w:hideMark/>
          </w:tcPr>
          <w:p w:rsidR="00987C28" w:rsidRPr="00B309AB" w:rsidRDefault="00987C28" w:rsidP="00F4740E">
            <w:pPr>
              <w:pStyle w:val="WOVGtablecolhead"/>
              <w:jc w:val="center"/>
              <w:rPr>
                <w:rFonts w:ascii="Verdana" w:hAnsi="Verdana"/>
              </w:rPr>
            </w:pPr>
          </w:p>
        </w:tc>
        <w:tc>
          <w:tcPr>
            <w:tcW w:w="2009" w:type="dxa"/>
            <w:hideMark/>
          </w:tcPr>
          <w:p w:rsidR="00987C28" w:rsidRPr="00B309AB" w:rsidRDefault="00987C28" w:rsidP="00F4740E">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Effectiveness</w:t>
            </w:r>
            <w:r>
              <w:rPr>
                <w:rFonts w:ascii="Verdana" w:hAnsi="Verdana"/>
              </w:rPr>
              <w:br/>
              <w:t>(50%)</w:t>
            </w:r>
          </w:p>
        </w:tc>
        <w:tc>
          <w:tcPr>
            <w:tcW w:w="1921" w:type="dxa"/>
            <w:hideMark/>
          </w:tcPr>
          <w:p w:rsidR="00987C28" w:rsidRPr="00B309AB" w:rsidRDefault="00987C28" w:rsidP="00F4740E">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Risk of infeasibility</w:t>
            </w:r>
            <w:r>
              <w:rPr>
                <w:rFonts w:ascii="Verdana" w:hAnsi="Verdana"/>
              </w:rPr>
              <w:br/>
              <w:t>(25%)</w:t>
            </w:r>
          </w:p>
        </w:tc>
        <w:tc>
          <w:tcPr>
            <w:tcW w:w="2170" w:type="dxa"/>
            <w:hideMark/>
          </w:tcPr>
          <w:p w:rsidR="00987C28" w:rsidRPr="00B309AB" w:rsidRDefault="00987C28" w:rsidP="00F4740E">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Implementation costs to ISEs</w:t>
            </w:r>
            <w:r>
              <w:rPr>
                <w:rFonts w:ascii="Verdana" w:hAnsi="Verdana"/>
              </w:rPr>
              <w:br/>
              <w:t>(25%)</w:t>
            </w:r>
          </w:p>
        </w:tc>
        <w:tc>
          <w:tcPr>
            <w:tcW w:w="1800" w:type="dxa"/>
          </w:tcPr>
          <w:p w:rsidR="00987C28" w:rsidRDefault="00987C28" w:rsidP="00F4740E">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Weighted score total</w:t>
            </w:r>
          </w:p>
        </w:tc>
      </w:tr>
      <w:tr w:rsidR="00987C28" w:rsidRPr="00B309AB" w:rsidTr="00DE7C18">
        <w:trPr>
          <w:trHeight w:val="135"/>
        </w:trPr>
        <w:tc>
          <w:tcPr>
            <w:cnfStyle w:val="001000000000" w:firstRow="0" w:lastRow="0" w:firstColumn="1" w:lastColumn="0" w:oddVBand="0" w:evenVBand="0" w:oddHBand="0" w:evenHBand="0" w:firstRowFirstColumn="0" w:firstRowLastColumn="0" w:lastRowFirstColumn="0" w:lastRowLastColumn="0"/>
            <w:tcW w:w="1595" w:type="dxa"/>
            <w:shd w:val="clear" w:color="auto" w:fill="00848F" w:themeFill="accent2"/>
          </w:tcPr>
          <w:p w:rsidR="00987C28" w:rsidRPr="00051F04" w:rsidRDefault="00987C28" w:rsidP="00F4740E">
            <w:pPr>
              <w:pStyle w:val="WOVGtabletext"/>
              <w:jc w:val="center"/>
              <w:rPr>
                <w:rFonts w:ascii="Verdana" w:hAnsi="Verdana"/>
                <w:color w:val="FFFFFF" w:themeColor="background2"/>
              </w:rPr>
            </w:pPr>
          </w:p>
        </w:tc>
        <w:tc>
          <w:tcPr>
            <w:tcW w:w="2009" w:type="dxa"/>
            <w:shd w:val="clear" w:color="auto" w:fill="00848F" w:themeFill="accent2"/>
            <w:vAlign w:val="bottom"/>
          </w:tcPr>
          <w:p w:rsidR="00987C28" w:rsidRPr="00051F04" w:rsidRDefault="00987C28" w:rsidP="00F4740E">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sidRPr="00051F04">
              <w:rPr>
                <w:rFonts w:ascii="Verdana" w:hAnsi="Verdana"/>
                <w:b/>
                <w:color w:val="FFFFFF" w:themeColor="background2"/>
              </w:rPr>
              <w:t>Score</w:t>
            </w:r>
          </w:p>
        </w:tc>
        <w:tc>
          <w:tcPr>
            <w:tcW w:w="1921" w:type="dxa"/>
            <w:shd w:val="clear" w:color="auto" w:fill="00848F" w:themeFill="accent2"/>
          </w:tcPr>
          <w:p w:rsidR="00987C28" w:rsidRPr="00051F04" w:rsidRDefault="00987C28" w:rsidP="00F4740E">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sidRPr="00051F04">
              <w:rPr>
                <w:rFonts w:ascii="Verdana" w:hAnsi="Verdana"/>
                <w:b/>
                <w:color w:val="FFFFFF" w:themeColor="background2"/>
              </w:rPr>
              <w:t>Score</w:t>
            </w:r>
          </w:p>
        </w:tc>
        <w:tc>
          <w:tcPr>
            <w:tcW w:w="2170" w:type="dxa"/>
            <w:shd w:val="clear" w:color="auto" w:fill="00848F" w:themeFill="accent2"/>
          </w:tcPr>
          <w:p w:rsidR="00987C28" w:rsidRPr="00051F04" w:rsidRDefault="00987C28" w:rsidP="00F4740E">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sidRPr="00051F04">
              <w:rPr>
                <w:rFonts w:ascii="Verdana" w:hAnsi="Verdana"/>
                <w:b/>
                <w:color w:val="FFFFFF" w:themeColor="background2"/>
              </w:rPr>
              <w:t>Score</w:t>
            </w:r>
          </w:p>
        </w:tc>
        <w:tc>
          <w:tcPr>
            <w:tcW w:w="1800" w:type="dxa"/>
            <w:shd w:val="clear" w:color="auto" w:fill="00848F" w:themeFill="accent2"/>
          </w:tcPr>
          <w:p w:rsidR="00987C28" w:rsidRPr="00051F04" w:rsidRDefault="00987C28" w:rsidP="00F4740E">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Pr>
                <w:rFonts w:ascii="Verdana" w:hAnsi="Verdana"/>
                <w:b/>
                <w:color w:val="FFFFFF" w:themeColor="background2"/>
              </w:rPr>
              <w:t>Score</w:t>
            </w:r>
          </w:p>
        </w:tc>
      </w:tr>
      <w:tr w:rsidR="0049311C" w:rsidRPr="00B309AB" w:rsidTr="00DE7C18">
        <w:trPr>
          <w:trHeight w:val="227"/>
        </w:trPr>
        <w:tc>
          <w:tcPr>
            <w:cnfStyle w:val="001000000000" w:firstRow="0" w:lastRow="0" w:firstColumn="1" w:lastColumn="0" w:oddVBand="0" w:evenVBand="0" w:oddHBand="0" w:evenHBand="0" w:firstRowFirstColumn="0" w:firstRowLastColumn="0" w:lastRowFirstColumn="0" w:lastRowLastColumn="0"/>
            <w:tcW w:w="1595" w:type="dxa"/>
          </w:tcPr>
          <w:p w:rsidR="0049311C" w:rsidRDefault="0049311C" w:rsidP="0049311C">
            <w:pPr>
              <w:pStyle w:val="WOVGtabletext"/>
              <w:rPr>
                <w:rFonts w:ascii="Verdana" w:hAnsi="Verdana"/>
              </w:rPr>
            </w:pPr>
            <w:r>
              <w:rPr>
                <w:rFonts w:ascii="Verdana" w:hAnsi="Verdana"/>
              </w:rPr>
              <w:t>Base case</w:t>
            </w:r>
          </w:p>
        </w:tc>
        <w:tc>
          <w:tcPr>
            <w:tcW w:w="2009" w:type="dxa"/>
            <w:vAlign w:val="bottom"/>
          </w:tcPr>
          <w:p w:rsidR="0049311C" w:rsidRDefault="0049311C" w:rsidP="0049311C">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1921" w:type="dxa"/>
          </w:tcPr>
          <w:p w:rsidR="0049311C" w:rsidRDefault="0049311C" w:rsidP="0049311C">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2170" w:type="dxa"/>
          </w:tcPr>
          <w:p w:rsidR="0049311C" w:rsidRDefault="0049311C" w:rsidP="0049311C">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1800" w:type="dxa"/>
          </w:tcPr>
          <w:p w:rsidR="0049311C" w:rsidRDefault="0049311C" w:rsidP="0049311C">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r>
      <w:tr w:rsidR="0049311C" w:rsidRPr="00B309AB" w:rsidTr="00DE7C18">
        <w:trPr>
          <w:trHeight w:val="227"/>
        </w:trPr>
        <w:tc>
          <w:tcPr>
            <w:cnfStyle w:val="001000000000" w:firstRow="0" w:lastRow="0" w:firstColumn="1" w:lastColumn="0" w:oddVBand="0" w:evenVBand="0" w:oddHBand="0" w:evenHBand="0" w:firstRowFirstColumn="0" w:firstRowLastColumn="0" w:lastRowFirstColumn="0" w:lastRowLastColumn="0"/>
            <w:tcW w:w="1595" w:type="dxa"/>
          </w:tcPr>
          <w:p w:rsidR="0049311C" w:rsidRDefault="0049311C" w:rsidP="0049311C">
            <w:pPr>
              <w:pStyle w:val="WOVGtabletext"/>
              <w:rPr>
                <w:rFonts w:ascii="Verdana" w:hAnsi="Verdana"/>
              </w:rPr>
            </w:pPr>
            <w:r>
              <w:rPr>
                <w:rFonts w:ascii="Verdana" w:hAnsi="Verdana"/>
              </w:rPr>
              <w:t>Option 1</w:t>
            </w:r>
          </w:p>
        </w:tc>
        <w:tc>
          <w:tcPr>
            <w:tcW w:w="2009" w:type="dxa"/>
            <w:vAlign w:val="bottom"/>
          </w:tcPr>
          <w:p w:rsidR="0049311C" w:rsidRDefault="0049311C" w:rsidP="0049311C">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w:t>
            </w:r>
          </w:p>
        </w:tc>
        <w:tc>
          <w:tcPr>
            <w:tcW w:w="1921" w:type="dxa"/>
          </w:tcPr>
          <w:p w:rsidR="0049311C" w:rsidRDefault="003C1805" w:rsidP="0049311C">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-6</w:t>
            </w:r>
          </w:p>
        </w:tc>
        <w:tc>
          <w:tcPr>
            <w:tcW w:w="2170" w:type="dxa"/>
          </w:tcPr>
          <w:p w:rsidR="0049311C" w:rsidRDefault="00BC2B99" w:rsidP="0049311C">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p>
        </w:tc>
        <w:tc>
          <w:tcPr>
            <w:tcW w:w="1800" w:type="dxa"/>
          </w:tcPr>
          <w:p w:rsidR="0049311C" w:rsidRDefault="00BC2B99" w:rsidP="003C1805">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r>
      <w:tr w:rsidR="0049311C" w:rsidRPr="00B309AB" w:rsidTr="00DE7C18">
        <w:trPr>
          <w:trHeight w:val="227"/>
        </w:trPr>
        <w:tc>
          <w:tcPr>
            <w:cnfStyle w:val="001000000000" w:firstRow="0" w:lastRow="0" w:firstColumn="1" w:lastColumn="0" w:oddVBand="0" w:evenVBand="0" w:oddHBand="0" w:evenHBand="0" w:firstRowFirstColumn="0" w:firstRowLastColumn="0" w:lastRowFirstColumn="0" w:lastRowLastColumn="0"/>
            <w:tcW w:w="1595" w:type="dxa"/>
          </w:tcPr>
          <w:p w:rsidR="0049311C" w:rsidRDefault="0049311C" w:rsidP="0049311C">
            <w:pPr>
              <w:pStyle w:val="WOVGtabletext"/>
              <w:rPr>
                <w:rFonts w:ascii="Verdana" w:hAnsi="Verdana"/>
              </w:rPr>
            </w:pPr>
            <w:r>
              <w:rPr>
                <w:rFonts w:ascii="Verdana" w:hAnsi="Verdana"/>
              </w:rPr>
              <w:t>Option 2</w:t>
            </w:r>
          </w:p>
        </w:tc>
        <w:tc>
          <w:tcPr>
            <w:tcW w:w="2009" w:type="dxa"/>
            <w:vAlign w:val="bottom"/>
          </w:tcPr>
          <w:p w:rsidR="0049311C" w:rsidRDefault="0049311C" w:rsidP="0049311C">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8</w:t>
            </w:r>
          </w:p>
        </w:tc>
        <w:tc>
          <w:tcPr>
            <w:tcW w:w="1921" w:type="dxa"/>
          </w:tcPr>
          <w:p w:rsidR="0049311C" w:rsidRDefault="003C1805" w:rsidP="0049311C">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p>
        </w:tc>
        <w:tc>
          <w:tcPr>
            <w:tcW w:w="2170" w:type="dxa"/>
          </w:tcPr>
          <w:p w:rsidR="0049311C" w:rsidRDefault="00BC2B99" w:rsidP="0049311C">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-5</w:t>
            </w:r>
          </w:p>
        </w:tc>
        <w:tc>
          <w:tcPr>
            <w:tcW w:w="1800" w:type="dxa"/>
          </w:tcPr>
          <w:p w:rsidR="0049311C" w:rsidRDefault="00BC2B99" w:rsidP="0049311C">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2.2</w:t>
            </w:r>
            <w:r w:rsidR="00BE4139">
              <w:rPr>
                <w:rFonts w:ascii="Verdana" w:hAnsi="Verdana"/>
              </w:rPr>
              <w:t>5</w:t>
            </w:r>
          </w:p>
        </w:tc>
      </w:tr>
      <w:tr w:rsidR="0049311C" w:rsidRPr="00B309AB" w:rsidTr="00DE7C18">
        <w:trPr>
          <w:trHeight w:val="227"/>
        </w:trPr>
        <w:tc>
          <w:tcPr>
            <w:cnfStyle w:val="001000000000" w:firstRow="0" w:lastRow="0" w:firstColumn="1" w:lastColumn="0" w:oddVBand="0" w:evenVBand="0" w:oddHBand="0" w:evenHBand="0" w:firstRowFirstColumn="0" w:firstRowLastColumn="0" w:lastRowFirstColumn="0" w:lastRowLastColumn="0"/>
            <w:tcW w:w="1595" w:type="dxa"/>
          </w:tcPr>
          <w:p w:rsidR="0049311C" w:rsidRDefault="0049311C" w:rsidP="0049311C">
            <w:pPr>
              <w:pStyle w:val="WOVGtabletext"/>
              <w:rPr>
                <w:rFonts w:ascii="Verdana" w:hAnsi="Verdana"/>
              </w:rPr>
            </w:pPr>
            <w:r>
              <w:rPr>
                <w:rFonts w:ascii="Verdana" w:hAnsi="Verdana"/>
              </w:rPr>
              <w:t>Option 3</w:t>
            </w:r>
          </w:p>
        </w:tc>
        <w:tc>
          <w:tcPr>
            <w:tcW w:w="2009" w:type="dxa"/>
            <w:vAlign w:val="bottom"/>
          </w:tcPr>
          <w:p w:rsidR="0049311C" w:rsidRDefault="00BE4139" w:rsidP="0049311C">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9</w:t>
            </w:r>
          </w:p>
        </w:tc>
        <w:tc>
          <w:tcPr>
            <w:tcW w:w="1921" w:type="dxa"/>
          </w:tcPr>
          <w:p w:rsidR="0049311C" w:rsidRDefault="00BE4139" w:rsidP="0049311C">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-9</w:t>
            </w:r>
          </w:p>
        </w:tc>
        <w:tc>
          <w:tcPr>
            <w:tcW w:w="2170" w:type="dxa"/>
          </w:tcPr>
          <w:p w:rsidR="0049311C" w:rsidRDefault="00BC2B99" w:rsidP="0049311C">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w:t>
            </w:r>
          </w:p>
        </w:tc>
        <w:tc>
          <w:tcPr>
            <w:tcW w:w="1800" w:type="dxa"/>
          </w:tcPr>
          <w:p w:rsidR="0049311C" w:rsidRDefault="00BE4139" w:rsidP="0049311C">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r w:rsidR="00BC2B99">
              <w:rPr>
                <w:rFonts w:ascii="Verdana" w:hAnsi="Verdana"/>
              </w:rPr>
              <w:t>.5</w:t>
            </w:r>
          </w:p>
        </w:tc>
      </w:tr>
    </w:tbl>
    <w:p w:rsidR="00FB649B" w:rsidRPr="008300B7" w:rsidRDefault="00FB649B" w:rsidP="00FB649B">
      <w:pPr>
        <w:pStyle w:val="Heading2"/>
        <w:rPr>
          <w:rFonts w:ascii="Verdana" w:hAnsi="Verdana"/>
        </w:rPr>
      </w:pPr>
      <w:bookmarkStart w:id="5" w:name="_Toc23510752"/>
      <w:r w:rsidRPr="008300B7">
        <w:rPr>
          <w:rFonts w:ascii="Verdana" w:hAnsi="Verdana"/>
        </w:rPr>
        <w:t>Impact of the proposed Amendment Regulations</w:t>
      </w:r>
      <w:bookmarkEnd w:id="5"/>
    </w:p>
    <w:p w:rsidR="00AB1E6D" w:rsidRDefault="00303CED" w:rsidP="00AB1E6D">
      <w:pPr>
        <w:pStyle w:val="WOVGbody"/>
        <w:rPr>
          <w:rFonts w:ascii="Verdana" w:hAnsi="Verdana"/>
        </w:rPr>
      </w:pPr>
      <w:r w:rsidRPr="006A60FF">
        <w:rPr>
          <w:rFonts w:ascii="Verdana" w:hAnsi="Verdana"/>
        </w:rPr>
        <w:t>When factoring in the total costs to prescribed ISEs (both government and non-government organisations) and the direct costs to government, the total cost of Phase Two implementation of the CIS Scheme is estimated at $21</w:t>
      </w:r>
      <w:r w:rsidR="00FB3DE8">
        <w:rPr>
          <w:rFonts w:ascii="Verdana" w:hAnsi="Verdana"/>
        </w:rPr>
        <w:t xml:space="preserve">6 </w:t>
      </w:r>
      <w:r w:rsidRPr="006A60FF">
        <w:rPr>
          <w:rFonts w:ascii="Verdana" w:hAnsi="Verdana"/>
        </w:rPr>
        <w:t xml:space="preserve">million </w:t>
      </w:r>
      <w:r w:rsidR="008750FF">
        <w:rPr>
          <w:rFonts w:ascii="Verdana" w:hAnsi="Verdana"/>
        </w:rPr>
        <w:t>over 10</w:t>
      </w:r>
      <w:r w:rsidR="004615F7">
        <w:rPr>
          <w:rFonts w:ascii="Verdana" w:hAnsi="Verdana"/>
        </w:rPr>
        <w:t xml:space="preserve"> years </w:t>
      </w:r>
      <w:r w:rsidR="00875411">
        <w:rPr>
          <w:rFonts w:ascii="Verdana" w:hAnsi="Verdana"/>
        </w:rPr>
        <w:t xml:space="preserve">in Net Present Value </w:t>
      </w:r>
      <w:r w:rsidRPr="006A60FF">
        <w:rPr>
          <w:rFonts w:ascii="Verdana" w:hAnsi="Verdana"/>
        </w:rPr>
        <w:t>(NPV)</w:t>
      </w:r>
      <w:r w:rsidR="00875411">
        <w:rPr>
          <w:rFonts w:ascii="Verdana" w:hAnsi="Verdana"/>
        </w:rPr>
        <w:t xml:space="preserve"> terms</w:t>
      </w:r>
      <w:r w:rsidR="005B4D34">
        <w:rPr>
          <w:rFonts w:ascii="Verdana" w:hAnsi="Verdana"/>
        </w:rPr>
        <w:t>.</w:t>
      </w:r>
      <w:r w:rsidR="00875411">
        <w:rPr>
          <w:rStyle w:val="FootnoteReference"/>
          <w:rFonts w:ascii="Verdana" w:hAnsi="Verdana"/>
        </w:rPr>
        <w:footnoteReference w:id="2"/>
      </w:r>
      <w:r>
        <w:rPr>
          <w:rFonts w:ascii="Verdana" w:hAnsi="Verdana"/>
        </w:rPr>
        <w:t xml:space="preserve"> </w:t>
      </w:r>
      <w:r w:rsidR="00952537">
        <w:rPr>
          <w:rFonts w:ascii="Verdana" w:hAnsi="Verdana"/>
        </w:rPr>
        <w:t>This includes $65.7</w:t>
      </w:r>
      <w:r w:rsidR="00AB1E6D">
        <w:rPr>
          <w:rFonts w:ascii="Verdana" w:hAnsi="Verdana"/>
        </w:rPr>
        <w:t xml:space="preserve"> million in the first year, in direct costs to </w:t>
      </w:r>
      <w:r w:rsidR="00AB1E6D">
        <w:rPr>
          <w:rFonts w:ascii="Verdana" w:hAnsi="Verdana"/>
        </w:rPr>
        <w:lastRenderedPageBreak/>
        <w:t>government</w:t>
      </w:r>
      <w:r w:rsidR="004F6F37">
        <w:rPr>
          <w:rStyle w:val="FootnoteReference"/>
          <w:rFonts w:ascii="Verdana" w:hAnsi="Verdana"/>
        </w:rPr>
        <w:footnoteReference w:id="3"/>
      </w:r>
      <w:r w:rsidR="005B4D34">
        <w:rPr>
          <w:rFonts w:ascii="Verdana" w:hAnsi="Verdana"/>
        </w:rPr>
        <w:t>,</w:t>
      </w:r>
      <w:r w:rsidR="00AB1E6D">
        <w:rPr>
          <w:rFonts w:ascii="Verdana" w:hAnsi="Verdana"/>
        </w:rPr>
        <w:t xml:space="preserve"> upfront costs to ISEs and first year ongoing costs to ISEs</w:t>
      </w:r>
      <w:r w:rsidR="005B4D34">
        <w:rPr>
          <w:rFonts w:ascii="Verdana" w:hAnsi="Verdana"/>
        </w:rPr>
        <w:t>.</w:t>
      </w:r>
      <w:r w:rsidR="00AB1E6D">
        <w:rPr>
          <w:rStyle w:val="FootnoteReference"/>
          <w:rFonts w:ascii="Verdana" w:hAnsi="Verdana"/>
        </w:rPr>
        <w:footnoteReference w:id="4"/>
      </w:r>
      <w:r w:rsidR="00AB1E6D">
        <w:rPr>
          <w:rFonts w:ascii="Verdana" w:hAnsi="Verdana"/>
        </w:rPr>
        <w:t xml:space="preserve"> Across the following ni</w:t>
      </w:r>
      <w:r w:rsidR="00952537">
        <w:rPr>
          <w:rFonts w:ascii="Verdana" w:hAnsi="Verdana"/>
        </w:rPr>
        <w:t>ne years, the total cost is $150.3</w:t>
      </w:r>
      <w:r w:rsidR="00AB1E6D">
        <w:rPr>
          <w:rFonts w:ascii="Verdana" w:hAnsi="Verdana"/>
        </w:rPr>
        <w:t xml:space="preserve"> million. This includes ongoing costs to ISEs and direct costs to government.</w:t>
      </w:r>
    </w:p>
    <w:p w:rsidR="00FB649B" w:rsidRDefault="00303CED" w:rsidP="00FB649B">
      <w:pPr>
        <w:pStyle w:val="WOVGbody"/>
        <w:rPr>
          <w:rFonts w:ascii="Verdana" w:hAnsi="Verdana"/>
        </w:rPr>
      </w:pPr>
      <w:r>
        <w:rPr>
          <w:rFonts w:ascii="Verdana" w:hAnsi="Verdana"/>
        </w:rPr>
        <w:t>A breakdown of these costs to government and to ISEs is outlined below.</w:t>
      </w:r>
    </w:p>
    <w:p w:rsidR="00303CED" w:rsidRPr="008300B7" w:rsidRDefault="00706BE0" w:rsidP="00706BE0">
      <w:pPr>
        <w:pStyle w:val="Heading3"/>
        <w:rPr>
          <w:rFonts w:ascii="Verdana" w:hAnsi="Verdana"/>
        </w:rPr>
      </w:pPr>
      <w:r w:rsidRPr="008300B7">
        <w:rPr>
          <w:rFonts w:ascii="Verdana" w:hAnsi="Verdana"/>
        </w:rPr>
        <w:t>Direct costs to government</w:t>
      </w:r>
    </w:p>
    <w:p w:rsidR="00CF4546" w:rsidRDefault="00CF4546" w:rsidP="00706BE0">
      <w:pPr>
        <w:pStyle w:val="WOVGbody"/>
        <w:rPr>
          <w:rFonts w:ascii="Verdana" w:hAnsi="Verdana"/>
        </w:rPr>
      </w:pPr>
      <w:r>
        <w:rPr>
          <w:rFonts w:ascii="Verdana" w:hAnsi="Verdana"/>
        </w:rPr>
        <w:t>The 2018-2022 State Budget allocated $42.9 million over four years, and ongoing funding of $5.2 million per year, to the implementation of the CIS Scheme. This funding was distributed to DET, DHHS, DJCS, FSV, Victoria Police and Court Services Victoria as the a</w:t>
      </w:r>
      <w:r w:rsidR="008750FF">
        <w:rPr>
          <w:rFonts w:ascii="Verdana" w:hAnsi="Verdana"/>
        </w:rPr>
        <w:t>gencies and d</w:t>
      </w:r>
      <w:r>
        <w:rPr>
          <w:rFonts w:ascii="Verdana" w:hAnsi="Verdana"/>
        </w:rPr>
        <w:t>epartments responsible for Phase One and Phase Two implementation of the scheme.</w:t>
      </w:r>
    </w:p>
    <w:p w:rsidR="00706BE0" w:rsidRDefault="00706BE0" w:rsidP="00706BE0">
      <w:pPr>
        <w:pStyle w:val="WOVGbody"/>
        <w:rPr>
          <w:rFonts w:ascii="Verdana" w:hAnsi="Verdana"/>
        </w:rPr>
      </w:pPr>
      <w:r>
        <w:rPr>
          <w:rFonts w:ascii="Verdana" w:hAnsi="Verdana"/>
        </w:rPr>
        <w:t>The direct</w:t>
      </w:r>
      <w:r w:rsidRPr="00A33DAC">
        <w:rPr>
          <w:rFonts w:ascii="Verdana" w:hAnsi="Verdana"/>
        </w:rPr>
        <w:t xml:space="preserve"> costs to government of implementing </w:t>
      </w:r>
      <w:r w:rsidR="008300B7">
        <w:rPr>
          <w:rFonts w:ascii="Verdana" w:hAnsi="Verdana"/>
        </w:rPr>
        <w:t xml:space="preserve">Phase Two </w:t>
      </w:r>
      <w:r w:rsidRPr="00A33DAC">
        <w:rPr>
          <w:rFonts w:ascii="Verdana" w:hAnsi="Verdana"/>
        </w:rPr>
        <w:t xml:space="preserve">the CIS Scheme, as presented below, represent </w:t>
      </w:r>
      <w:r>
        <w:rPr>
          <w:rFonts w:ascii="Verdana" w:hAnsi="Verdana"/>
        </w:rPr>
        <w:t>direct</w:t>
      </w:r>
      <w:r w:rsidR="00CF3000">
        <w:rPr>
          <w:rFonts w:ascii="Verdana" w:hAnsi="Verdana"/>
        </w:rPr>
        <w:t xml:space="preserve"> government costs</w:t>
      </w:r>
      <w:r w:rsidRPr="00A33DAC">
        <w:rPr>
          <w:rFonts w:ascii="Verdana" w:hAnsi="Verdana"/>
        </w:rPr>
        <w:t xml:space="preserve"> </w:t>
      </w:r>
      <w:r>
        <w:rPr>
          <w:rFonts w:ascii="Verdana" w:hAnsi="Verdana"/>
        </w:rPr>
        <w:t xml:space="preserve">from the 2019-20 financial year (FY) onwards. Although some funding will be allocated to training and support of Phase One workforces in the period, the </w:t>
      </w:r>
      <w:r w:rsidR="00721757">
        <w:rPr>
          <w:rFonts w:ascii="Verdana" w:hAnsi="Verdana"/>
        </w:rPr>
        <w:t>larger part</w:t>
      </w:r>
      <w:r>
        <w:rPr>
          <w:rFonts w:ascii="Verdana" w:hAnsi="Verdana"/>
        </w:rPr>
        <w:t xml:space="preserve"> of costs incurred from 2019-20 FY onwards will be related to Phase Two implementation of the scheme</w:t>
      </w:r>
      <w:r w:rsidRPr="00A33DAC">
        <w:rPr>
          <w:rFonts w:ascii="Verdana" w:hAnsi="Verdana"/>
        </w:rPr>
        <w:t>.</w:t>
      </w:r>
      <w:r w:rsidR="00CF4546">
        <w:rPr>
          <w:rFonts w:ascii="Verdana" w:hAnsi="Verdana"/>
        </w:rPr>
        <w:t xml:space="preserve"> </w:t>
      </w:r>
      <w:r>
        <w:rPr>
          <w:rFonts w:ascii="Verdana" w:hAnsi="Verdana"/>
        </w:rPr>
        <w:t>The costs presented below include funding allocate</w:t>
      </w:r>
      <w:r w:rsidR="008750FF">
        <w:rPr>
          <w:rFonts w:ascii="Verdana" w:hAnsi="Verdana"/>
        </w:rPr>
        <w:t>d to DET, DHHS and DJCS as the d</w:t>
      </w:r>
      <w:r>
        <w:rPr>
          <w:rFonts w:ascii="Verdana" w:hAnsi="Verdana"/>
        </w:rPr>
        <w:t>epartments that represent workforces proposed for prescription in Phase Two of the CIS Scheme</w:t>
      </w:r>
      <w:r w:rsidR="005B4D34">
        <w:rPr>
          <w:rFonts w:ascii="Verdana" w:hAnsi="Verdana"/>
        </w:rPr>
        <w:t>.</w:t>
      </w:r>
      <w:r w:rsidR="00257BC5">
        <w:rPr>
          <w:rStyle w:val="FootnoteReference"/>
          <w:rFonts w:ascii="Verdana" w:hAnsi="Verdana"/>
        </w:rPr>
        <w:footnoteReference w:id="5"/>
      </w:r>
      <w:r w:rsidR="000444D2">
        <w:rPr>
          <w:rFonts w:ascii="Verdana" w:hAnsi="Verdana"/>
        </w:rPr>
        <w:t xml:space="preserve"> In all, t</w:t>
      </w:r>
      <w:r>
        <w:rPr>
          <w:rFonts w:ascii="Verdana" w:hAnsi="Verdana"/>
        </w:rPr>
        <w:t xml:space="preserve">he </w:t>
      </w:r>
      <w:r w:rsidRPr="00A33DAC">
        <w:rPr>
          <w:rFonts w:ascii="Verdana" w:hAnsi="Verdana"/>
        </w:rPr>
        <w:t xml:space="preserve">Victorian Government </w:t>
      </w:r>
      <w:r>
        <w:rPr>
          <w:rFonts w:ascii="Verdana" w:hAnsi="Verdana"/>
        </w:rPr>
        <w:t>has a</w:t>
      </w:r>
      <w:r w:rsidRPr="00A33DAC">
        <w:rPr>
          <w:rFonts w:ascii="Verdana" w:hAnsi="Verdana"/>
        </w:rPr>
        <w:t xml:space="preserve">llocated </w:t>
      </w:r>
      <w:r>
        <w:rPr>
          <w:rFonts w:ascii="Verdana" w:hAnsi="Verdana"/>
        </w:rPr>
        <w:t>$21.8</w:t>
      </w:r>
      <w:r w:rsidRPr="00A33DAC">
        <w:rPr>
          <w:rFonts w:ascii="Verdana" w:hAnsi="Verdana"/>
        </w:rPr>
        <w:t xml:space="preserve"> </w:t>
      </w:r>
      <w:r>
        <w:rPr>
          <w:rFonts w:ascii="Verdana" w:hAnsi="Verdana"/>
        </w:rPr>
        <w:t>million over three</w:t>
      </w:r>
      <w:r w:rsidRPr="00A33DAC">
        <w:rPr>
          <w:rFonts w:ascii="Verdana" w:hAnsi="Verdana"/>
        </w:rPr>
        <w:t xml:space="preserve"> years,</w:t>
      </w:r>
      <w:r>
        <w:rPr>
          <w:rFonts w:ascii="Verdana" w:hAnsi="Verdana"/>
        </w:rPr>
        <w:t xml:space="preserve"> from FY 2019-20 and ongoing funding of $2.8</w:t>
      </w:r>
      <w:r w:rsidRPr="00A33DAC">
        <w:rPr>
          <w:rFonts w:ascii="Verdana" w:hAnsi="Verdana"/>
        </w:rPr>
        <w:t xml:space="preserve"> million per annum, to </w:t>
      </w:r>
      <w:r w:rsidR="00CF3000">
        <w:rPr>
          <w:rFonts w:ascii="Verdana" w:hAnsi="Verdana"/>
        </w:rPr>
        <w:t xml:space="preserve">support Phase Two </w:t>
      </w:r>
      <w:r w:rsidR="00B12BD4">
        <w:rPr>
          <w:rFonts w:ascii="Verdana" w:hAnsi="Verdana"/>
        </w:rPr>
        <w:t>implementation of the CIS S</w:t>
      </w:r>
      <w:r w:rsidRPr="00A33DAC">
        <w:rPr>
          <w:rFonts w:ascii="Verdana" w:hAnsi="Verdana"/>
        </w:rPr>
        <w:t>cheme</w:t>
      </w:r>
      <w:r w:rsidR="00CF3000">
        <w:rPr>
          <w:rFonts w:ascii="Verdana" w:hAnsi="Verdana"/>
        </w:rPr>
        <w:t>.</w:t>
      </w:r>
    </w:p>
    <w:p w:rsidR="009D3FC5" w:rsidRPr="00900085" w:rsidRDefault="009D3FC5" w:rsidP="00706BE0">
      <w:pPr>
        <w:pStyle w:val="WOVGbody"/>
        <w:rPr>
          <w:b/>
        </w:rPr>
      </w:pPr>
      <w:r w:rsidRPr="00900085">
        <w:rPr>
          <w:rFonts w:ascii="Verdana" w:hAnsi="Verdana"/>
          <w:b/>
        </w:rPr>
        <w:t>Table ES.2 Overall costs to government</w:t>
      </w:r>
    </w:p>
    <w:tbl>
      <w:tblPr>
        <w:tblStyle w:val="TableGrid"/>
        <w:tblW w:w="9464" w:type="dxa"/>
        <w:tblLook w:val="06A0" w:firstRow="1" w:lastRow="0" w:firstColumn="1" w:lastColumn="0" w:noHBand="1" w:noVBand="1"/>
      </w:tblPr>
      <w:tblGrid>
        <w:gridCol w:w="1829"/>
        <w:gridCol w:w="1581"/>
        <w:gridCol w:w="2097"/>
        <w:gridCol w:w="2181"/>
        <w:gridCol w:w="1776"/>
      </w:tblGrid>
      <w:tr w:rsidR="00706BE0" w:rsidRPr="00B309AB" w:rsidTr="00DE7C18">
        <w:trPr>
          <w:cnfStyle w:val="100000000000" w:firstRow="1" w:lastRow="0" w:firstColumn="0" w:lastColumn="0" w:oddVBand="0" w:evenVBand="0" w:oddHBand="0" w:evenHBand="0" w:firstRowFirstColumn="0" w:firstRowLastColumn="0" w:lastRowFirstColumn="0" w:lastRowLastColumn="0"/>
          <w:trHeight w:val="307"/>
          <w:tblHeader/>
        </w:trPr>
        <w:tc>
          <w:tcPr>
            <w:cnfStyle w:val="001000000000" w:firstRow="0" w:lastRow="0" w:firstColumn="1" w:lastColumn="0" w:oddVBand="0" w:evenVBand="0" w:oddHBand="0" w:evenHBand="0" w:firstRowFirstColumn="0" w:firstRowLastColumn="0" w:lastRowFirstColumn="0" w:lastRowLastColumn="0"/>
            <w:tcW w:w="1829" w:type="dxa"/>
          </w:tcPr>
          <w:p w:rsidR="00706BE0" w:rsidRPr="00B309AB" w:rsidRDefault="00706BE0" w:rsidP="00187191">
            <w:pPr>
              <w:pStyle w:val="WOVGtablecolhead"/>
              <w:rPr>
                <w:rFonts w:ascii="Verdana" w:hAnsi="Verdana"/>
              </w:rPr>
            </w:pPr>
          </w:p>
        </w:tc>
        <w:tc>
          <w:tcPr>
            <w:tcW w:w="1581" w:type="dxa"/>
          </w:tcPr>
          <w:p w:rsidR="00706BE0" w:rsidRPr="004D1050" w:rsidRDefault="00706BE0" w:rsidP="00187191">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2019/20</w:t>
            </w:r>
          </w:p>
        </w:tc>
        <w:tc>
          <w:tcPr>
            <w:tcW w:w="2097" w:type="dxa"/>
          </w:tcPr>
          <w:p w:rsidR="00706BE0" w:rsidRDefault="00706BE0" w:rsidP="00187191">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2020/21</w:t>
            </w:r>
          </w:p>
        </w:tc>
        <w:tc>
          <w:tcPr>
            <w:tcW w:w="2181" w:type="dxa"/>
          </w:tcPr>
          <w:p w:rsidR="00706BE0" w:rsidRDefault="00706BE0" w:rsidP="00187191">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2021/22</w:t>
            </w:r>
          </w:p>
        </w:tc>
        <w:tc>
          <w:tcPr>
            <w:tcW w:w="1776" w:type="dxa"/>
          </w:tcPr>
          <w:p w:rsidR="00706BE0" w:rsidRDefault="00706BE0" w:rsidP="00187191">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Ongoing</w:t>
            </w:r>
          </w:p>
        </w:tc>
      </w:tr>
      <w:tr w:rsidR="00706BE0" w:rsidRPr="00B309AB" w:rsidTr="00DE7C18">
        <w:trPr>
          <w:trHeight w:val="233"/>
        </w:trPr>
        <w:tc>
          <w:tcPr>
            <w:cnfStyle w:val="001000000000" w:firstRow="0" w:lastRow="0" w:firstColumn="1" w:lastColumn="0" w:oddVBand="0" w:evenVBand="0" w:oddHBand="0" w:evenHBand="0" w:firstRowFirstColumn="0" w:firstRowLastColumn="0" w:lastRowFirstColumn="0" w:lastRowLastColumn="0"/>
            <w:tcW w:w="1829" w:type="dxa"/>
          </w:tcPr>
          <w:p w:rsidR="00706BE0" w:rsidRPr="00B309AB" w:rsidRDefault="00706BE0" w:rsidP="00706BE0">
            <w:pPr>
              <w:pStyle w:val="WOVGtabletext"/>
              <w:rPr>
                <w:rFonts w:ascii="Verdana" w:hAnsi="Verdana"/>
              </w:rPr>
            </w:pPr>
            <w:r>
              <w:rPr>
                <w:rFonts w:ascii="Verdana" w:hAnsi="Verdana"/>
              </w:rPr>
              <w:t>WoVG implementation</w:t>
            </w:r>
          </w:p>
        </w:tc>
        <w:tc>
          <w:tcPr>
            <w:tcW w:w="1581" w:type="dxa"/>
            <w:vAlign w:val="bottom"/>
          </w:tcPr>
          <w:p w:rsidR="00706BE0" w:rsidRPr="00B309AB" w:rsidRDefault="00706BE0" w:rsidP="00706BE0">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r w:rsidR="00FB3DE8">
              <w:rPr>
                <w:rFonts w:ascii="Verdana" w:hAnsi="Verdana"/>
              </w:rPr>
              <w:t>89</w:t>
            </w:r>
            <w:r>
              <w:rPr>
                <w:rFonts w:ascii="Verdana" w:hAnsi="Verdana"/>
              </w:rPr>
              <w:t>M</w:t>
            </w:r>
          </w:p>
        </w:tc>
        <w:tc>
          <w:tcPr>
            <w:tcW w:w="2097" w:type="dxa"/>
          </w:tcPr>
          <w:p w:rsidR="00706BE0" w:rsidRDefault="00706BE0"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Pr="00B309AB" w:rsidRDefault="00706BE0"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r w:rsidR="00FB3DE8">
              <w:rPr>
                <w:rFonts w:ascii="Verdana" w:hAnsi="Verdana"/>
              </w:rPr>
              <w:t>26</w:t>
            </w:r>
            <w:r>
              <w:rPr>
                <w:rFonts w:ascii="Verdana" w:hAnsi="Verdana"/>
              </w:rPr>
              <w:t>M</w:t>
            </w:r>
          </w:p>
        </w:tc>
        <w:tc>
          <w:tcPr>
            <w:tcW w:w="2181" w:type="dxa"/>
          </w:tcPr>
          <w:p w:rsidR="00706BE0" w:rsidRDefault="00706BE0"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Pr="00B309AB" w:rsidRDefault="00706BE0"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r w:rsidR="00FB3DE8">
              <w:rPr>
                <w:rFonts w:ascii="Verdana" w:hAnsi="Verdana"/>
              </w:rPr>
              <w:t>29</w:t>
            </w:r>
            <w:r>
              <w:rPr>
                <w:rFonts w:ascii="Verdana" w:hAnsi="Verdana"/>
              </w:rPr>
              <w:t>M</w:t>
            </w:r>
          </w:p>
        </w:tc>
        <w:tc>
          <w:tcPr>
            <w:tcW w:w="1776" w:type="dxa"/>
          </w:tcPr>
          <w:p w:rsidR="00706BE0" w:rsidRDefault="00706BE0"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Pr="00B309AB" w:rsidRDefault="00706BE0"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$0.2</w:t>
            </w:r>
            <w:r w:rsidR="00FB3DE8">
              <w:rPr>
                <w:rFonts w:ascii="Verdana" w:hAnsi="Verdana"/>
              </w:rPr>
              <w:t>3</w:t>
            </w:r>
            <w:r>
              <w:rPr>
                <w:rFonts w:ascii="Verdana" w:hAnsi="Verdana"/>
              </w:rPr>
              <w:t>M</w:t>
            </w:r>
          </w:p>
        </w:tc>
      </w:tr>
      <w:tr w:rsidR="00706BE0" w:rsidRPr="00B309AB" w:rsidTr="00DE7C18">
        <w:trPr>
          <w:trHeight w:val="233"/>
        </w:trPr>
        <w:tc>
          <w:tcPr>
            <w:cnfStyle w:val="001000000000" w:firstRow="0" w:lastRow="0" w:firstColumn="1" w:lastColumn="0" w:oddVBand="0" w:evenVBand="0" w:oddHBand="0" w:evenHBand="0" w:firstRowFirstColumn="0" w:firstRowLastColumn="0" w:lastRowFirstColumn="0" w:lastRowLastColumn="0"/>
            <w:tcW w:w="1829" w:type="dxa"/>
          </w:tcPr>
          <w:p w:rsidR="00706BE0" w:rsidRDefault="00706BE0" w:rsidP="00706BE0">
            <w:pPr>
              <w:pStyle w:val="WOVGtabletext"/>
              <w:rPr>
                <w:rFonts w:ascii="Verdana" w:hAnsi="Verdana"/>
              </w:rPr>
            </w:pPr>
            <w:r>
              <w:rPr>
                <w:rFonts w:ascii="Verdana" w:hAnsi="Verdana"/>
              </w:rPr>
              <w:t>Sector support</w:t>
            </w:r>
          </w:p>
        </w:tc>
        <w:tc>
          <w:tcPr>
            <w:tcW w:w="1581" w:type="dxa"/>
            <w:vAlign w:val="bottom"/>
          </w:tcPr>
          <w:p w:rsidR="00706BE0" w:rsidRDefault="00706BE0" w:rsidP="00706BE0">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$2.42M</w:t>
            </w:r>
          </w:p>
        </w:tc>
        <w:tc>
          <w:tcPr>
            <w:tcW w:w="2097" w:type="dxa"/>
          </w:tcPr>
          <w:p w:rsidR="00706BE0" w:rsidRDefault="00706BE0"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Default="00706BE0"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$2.35M</w:t>
            </w:r>
          </w:p>
        </w:tc>
        <w:tc>
          <w:tcPr>
            <w:tcW w:w="2181" w:type="dxa"/>
          </w:tcPr>
          <w:p w:rsidR="00706BE0" w:rsidRDefault="00706BE0"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Default="00706BE0"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$0.56M</w:t>
            </w:r>
          </w:p>
        </w:tc>
        <w:tc>
          <w:tcPr>
            <w:tcW w:w="1776" w:type="dxa"/>
          </w:tcPr>
          <w:p w:rsidR="00706BE0" w:rsidRDefault="00706BE0"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Default="00706BE0"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$0.00M</w:t>
            </w:r>
          </w:p>
        </w:tc>
      </w:tr>
      <w:tr w:rsidR="00706BE0" w:rsidRPr="00B309AB" w:rsidTr="00DE7C18">
        <w:trPr>
          <w:trHeight w:val="233"/>
        </w:trPr>
        <w:tc>
          <w:tcPr>
            <w:cnfStyle w:val="001000000000" w:firstRow="0" w:lastRow="0" w:firstColumn="1" w:lastColumn="0" w:oddVBand="0" w:evenVBand="0" w:oddHBand="0" w:evenHBand="0" w:firstRowFirstColumn="0" w:firstRowLastColumn="0" w:lastRowFirstColumn="0" w:lastRowLastColumn="0"/>
            <w:tcW w:w="1829" w:type="dxa"/>
          </w:tcPr>
          <w:p w:rsidR="00706BE0" w:rsidRDefault="00706BE0" w:rsidP="00706BE0">
            <w:pPr>
              <w:pStyle w:val="WOVGtabletext"/>
              <w:rPr>
                <w:rFonts w:ascii="Verdana" w:hAnsi="Verdana"/>
              </w:rPr>
            </w:pPr>
            <w:r>
              <w:rPr>
                <w:rFonts w:ascii="Verdana" w:hAnsi="Verdana"/>
              </w:rPr>
              <w:t>Workforce training</w:t>
            </w:r>
          </w:p>
        </w:tc>
        <w:tc>
          <w:tcPr>
            <w:tcW w:w="1581" w:type="dxa"/>
            <w:vAlign w:val="bottom"/>
          </w:tcPr>
          <w:p w:rsidR="00706BE0" w:rsidRDefault="00706BE0" w:rsidP="00706BE0">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$7.40M</w:t>
            </w:r>
          </w:p>
        </w:tc>
        <w:tc>
          <w:tcPr>
            <w:tcW w:w="2097" w:type="dxa"/>
          </w:tcPr>
          <w:p w:rsidR="00706BE0" w:rsidRDefault="00706BE0"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Default="00706BE0"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$2.05M</w:t>
            </w:r>
          </w:p>
        </w:tc>
        <w:tc>
          <w:tcPr>
            <w:tcW w:w="2181" w:type="dxa"/>
          </w:tcPr>
          <w:p w:rsidR="00706BE0" w:rsidRDefault="00706BE0"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Default="00706BE0"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$2.54M</w:t>
            </w:r>
          </w:p>
        </w:tc>
        <w:tc>
          <w:tcPr>
            <w:tcW w:w="1776" w:type="dxa"/>
          </w:tcPr>
          <w:p w:rsidR="00706BE0" w:rsidRDefault="00706BE0"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06BE0" w:rsidRDefault="00706BE0"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$2.58M</w:t>
            </w:r>
          </w:p>
        </w:tc>
      </w:tr>
      <w:tr w:rsidR="00706BE0" w:rsidRPr="00B309AB" w:rsidTr="00DE7C18">
        <w:trPr>
          <w:trHeight w:val="233"/>
        </w:trPr>
        <w:tc>
          <w:tcPr>
            <w:cnfStyle w:val="001000000000" w:firstRow="0" w:lastRow="0" w:firstColumn="1" w:lastColumn="0" w:oddVBand="0" w:evenVBand="0" w:oddHBand="0" w:evenHBand="0" w:firstRowFirstColumn="0" w:firstRowLastColumn="0" w:lastRowFirstColumn="0" w:lastRowLastColumn="0"/>
            <w:tcW w:w="1829" w:type="dxa"/>
          </w:tcPr>
          <w:p w:rsidR="00706BE0" w:rsidRPr="00706BE0" w:rsidRDefault="00706BE0" w:rsidP="00706BE0">
            <w:pPr>
              <w:pStyle w:val="WOVGtabletext"/>
              <w:rPr>
                <w:rFonts w:ascii="Verdana" w:hAnsi="Verdana"/>
                <w:b/>
              </w:rPr>
            </w:pPr>
            <w:r w:rsidRPr="00706BE0">
              <w:rPr>
                <w:rFonts w:ascii="Verdana" w:hAnsi="Verdana"/>
                <w:b/>
              </w:rPr>
              <w:t>Total</w:t>
            </w:r>
          </w:p>
        </w:tc>
        <w:tc>
          <w:tcPr>
            <w:tcW w:w="1581" w:type="dxa"/>
            <w:vAlign w:val="bottom"/>
          </w:tcPr>
          <w:p w:rsidR="00706BE0" w:rsidRPr="00706BE0" w:rsidRDefault="00313F2A" w:rsidP="00706BE0">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w:t>
            </w:r>
            <w:r w:rsidR="00721757">
              <w:rPr>
                <w:rFonts w:ascii="Verdana" w:hAnsi="Verdana"/>
                <w:b/>
              </w:rPr>
              <w:t>11.71</w:t>
            </w:r>
            <w:r>
              <w:rPr>
                <w:rFonts w:ascii="Verdana" w:hAnsi="Verdana"/>
                <w:b/>
              </w:rPr>
              <w:t>M</w:t>
            </w:r>
          </w:p>
        </w:tc>
        <w:tc>
          <w:tcPr>
            <w:tcW w:w="2097" w:type="dxa"/>
          </w:tcPr>
          <w:p w:rsidR="00706BE0" w:rsidRPr="00706BE0" w:rsidRDefault="00313F2A" w:rsidP="00706BE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w:t>
            </w:r>
            <w:r w:rsidR="00721757">
              <w:rPr>
                <w:rFonts w:ascii="Verdana" w:hAnsi="Verdana"/>
                <w:b/>
              </w:rPr>
              <w:t>5.66</w:t>
            </w:r>
            <w:r>
              <w:rPr>
                <w:rFonts w:ascii="Verdana" w:hAnsi="Verdana"/>
                <w:b/>
              </w:rPr>
              <w:t>M</w:t>
            </w:r>
          </w:p>
        </w:tc>
        <w:tc>
          <w:tcPr>
            <w:tcW w:w="2181" w:type="dxa"/>
          </w:tcPr>
          <w:p w:rsidR="00706BE0" w:rsidRPr="00706BE0" w:rsidRDefault="00313F2A" w:rsidP="00706BE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w:t>
            </w:r>
            <w:r w:rsidR="00721757">
              <w:rPr>
                <w:rFonts w:ascii="Verdana" w:hAnsi="Verdana"/>
                <w:b/>
              </w:rPr>
              <w:t>4.39</w:t>
            </w:r>
            <w:r>
              <w:rPr>
                <w:rFonts w:ascii="Verdana" w:hAnsi="Verdana"/>
                <w:b/>
              </w:rPr>
              <w:t>M</w:t>
            </w:r>
          </w:p>
        </w:tc>
        <w:tc>
          <w:tcPr>
            <w:tcW w:w="1776" w:type="dxa"/>
          </w:tcPr>
          <w:p w:rsidR="00706BE0" w:rsidRPr="00706BE0" w:rsidRDefault="00313F2A" w:rsidP="00706BE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w:t>
            </w:r>
            <w:r w:rsidR="00721757">
              <w:rPr>
                <w:rFonts w:ascii="Verdana" w:hAnsi="Verdana"/>
                <w:b/>
              </w:rPr>
              <w:t>2.81</w:t>
            </w:r>
            <w:r>
              <w:rPr>
                <w:rFonts w:ascii="Verdana" w:hAnsi="Verdana"/>
                <w:b/>
              </w:rPr>
              <w:t>M</w:t>
            </w:r>
          </w:p>
        </w:tc>
      </w:tr>
    </w:tbl>
    <w:p w:rsidR="00706BE0" w:rsidRPr="008300B7" w:rsidRDefault="00053F3B" w:rsidP="008300B7">
      <w:pPr>
        <w:pStyle w:val="Heading3"/>
        <w:rPr>
          <w:rFonts w:ascii="Verdana" w:hAnsi="Verdana"/>
        </w:rPr>
      </w:pPr>
      <w:r>
        <w:rPr>
          <w:rFonts w:ascii="Verdana" w:hAnsi="Verdana"/>
        </w:rPr>
        <w:t>Costs to workforces proposed for prescription</w:t>
      </w:r>
    </w:p>
    <w:p w:rsidR="00FB3420" w:rsidRDefault="00FB3420" w:rsidP="00FB3420">
      <w:pPr>
        <w:pStyle w:val="WOVGbody"/>
        <w:rPr>
          <w:rFonts w:ascii="Verdana" w:hAnsi="Verdana"/>
        </w:rPr>
      </w:pPr>
      <w:r>
        <w:rPr>
          <w:rFonts w:ascii="Verdana" w:hAnsi="Verdana"/>
        </w:rPr>
        <w:t>The main upfront costs to ISEs are expected to be associated with:</w:t>
      </w:r>
    </w:p>
    <w:p w:rsidR="00BD0C56" w:rsidRDefault="008750FF" w:rsidP="00A76FAF">
      <w:pPr>
        <w:pStyle w:val="WOVGbody"/>
        <w:numPr>
          <w:ilvl w:val="0"/>
          <w:numId w:val="43"/>
        </w:numPr>
        <w:ind w:left="426"/>
        <w:rPr>
          <w:rFonts w:ascii="Verdana" w:hAnsi="Verdana"/>
        </w:rPr>
      </w:pPr>
      <w:r>
        <w:rPr>
          <w:rFonts w:ascii="Verdana" w:hAnsi="Verdana"/>
        </w:rPr>
        <w:lastRenderedPageBreak/>
        <w:t>t</w:t>
      </w:r>
      <w:r w:rsidR="00B069DE">
        <w:rPr>
          <w:rFonts w:ascii="Verdana" w:hAnsi="Verdana"/>
        </w:rPr>
        <w:t>raining of staff</w:t>
      </w:r>
    </w:p>
    <w:p w:rsidR="00B069DE" w:rsidRPr="00BD0C56" w:rsidRDefault="008750FF" w:rsidP="00A76FAF">
      <w:pPr>
        <w:pStyle w:val="WOVGbody"/>
        <w:numPr>
          <w:ilvl w:val="0"/>
          <w:numId w:val="43"/>
        </w:numPr>
        <w:ind w:left="426"/>
        <w:rPr>
          <w:rFonts w:ascii="Verdana" w:hAnsi="Verdana"/>
        </w:rPr>
      </w:pPr>
      <w:r>
        <w:rPr>
          <w:rFonts w:ascii="Verdana" w:hAnsi="Verdana"/>
        </w:rPr>
        <w:t>u</w:t>
      </w:r>
      <w:r w:rsidR="00B434A7" w:rsidRPr="00BD0C56">
        <w:rPr>
          <w:rFonts w:ascii="Verdana" w:hAnsi="Verdana"/>
        </w:rPr>
        <w:t>pdating policies and procedures.</w:t>
      </w:r>
    </w:p>
    <w:p w:rsidR="00FB3420" w:rsidRDefault="00FB3420" w:rsidP="00FB3420">
      <w:pPr>
        <w:pStyle w:val="WOVGbody"/>
        <w:rPr>
          <w:rFonts w:ascii="Verdana" w:hAnsi="Verdana"/>
        </w:rPr>
      </w:pPr>
      <w:r>
        <w:rPr>
          <w:rFonts w:ascii="Verdana" w:hAnsi="Verdana"/>
        </w:rPr>
        <w:t>The main ongoing costs to ISEs are expected to be associated with:</w:t>
      </w:r>
    </w:p>
    <w:p w:rsidR="00B069DE" w:rsidRPr="00540CA7" w:rsidRDefault="008750FF" w:rsidP="00A76FAF">
      <w:pPr>
        <w:pStyle w:val="WOVGbody"/>
        <w:numPr>
          <w:ilvl w:val="0"/>
          <w:numId w:val="43"/>
        </w:numPr>
        <w:ind w:left="426"/>
        <w:rPr>
          <w:rFonts w:ascii="Verdana" w:hAnsi="Verdana"/>
        </w:rPr>
      </w:pPr>
      <w:r>
        <w:rPr>
          <w:rFonts w:ascii="Verdana" w:hAnsi="Verdana"/>
        </w:rPr>
        <w:t>training of</w:t>
      </w:r>
      <w:r w:rsidR="00B069DE" w:rsidRPr="00540CA7">
        <w:rPr>
          <w:rFonts w:ascii="Verdana" w:hAnsi="Verdana"/>
        </w:rPr>
        <w:t xml:space="preserve"> new staff, who are not involved in</w:t>
      </w:r>
      <w:r w:rsidR="00B069DE">
        <w:rPr>
          <w:rFonts w:ascii="Verdana" w:hAnsi="Verdana"/>
        </w:rPr>
        <w:t xml:space="preserve"> the initial workforce training</w:t>
      </w:r>
    </w:p>
    <w:p w:rsidR="00B069DE" w:rsidRPr="00540CA7" w:rsidRDefault="00B069DE" w:rsidP="00A76FAF">
      <w:pPr>
        <w:pStyle w:val="WOVGbody"/>
        <w:numPr>
          <w:ilvl w:val="0"/>
          <w:numId w:val="43"/>
        </w:numPr>
        <w:ind w:left="426"/>
        <w:rPr>
          <w:rFonts w:ascii="Verdana" w:hAnsi="Verdana"/>
        </w:rPr>
      </w:pPr>
      <w:r w:rsidRPr="00540CA7">
        <w:rPr>
          <w:rFonts w:ascii="Verdana" w:hAnsi="Verdana"/>
        </w:rPr>
        <w:t>time taken to respond to requests for information</w:t>
      </w:r>
    </w:p>
    <w:p w:rsidR="00B069DE" w:rsidRPr="00540CA7" w:rsidRDefault="008750FF" w:rsidP="00A76FAF">
      <w:pPr>
        <w:pStyle w:val="WOVGbody"/>
        <w:numPr>
          <w:ilvl w:val="0"/>
          <w:numId w:val="43"/>
        </w:numPr>
        <w:ind w:left="426"/>
        <w:rPr>
          <w:rFonts w:ascii="Verdana" w:hAnsi="Verdana"/>
        </w:rPr>
      </w:pPr>
      <w:r>
        <w:rPr>
          <w:rFonts w:ascii="Verdana" w:hAnsi="Verdana"/>
        </w:rPr>
        <w:t>t</w:t>
      </w:r>
      <w:r w:rsidR="00B069DE" w:rsidRPr="00540CA7">
        <w:rPr>
          <w:rFonts w:ascii="Verdana" w:hAnsi="Verdana"/>
        </w:rPr>
        <w:t>i</w:t>
      </w:r>
      <w:r w:rsidR="0008323E">
        <w:rPr>
          <w:rFonts w:ascii="Verdana" w:hAnsi="Verdana"/>
        </w:rPr>
        <w:t>me sp</w:t>
      </w:r>
      <w:r>
        <w:rPr>
          <w:rFonts w:ascii="Verdana" w:hAnsi="Verdana"/>
        </w:rPr>
        <w:t>ent requesting information</w:t>
      </w:r>
    </w:p>
    <w:p w:rsidR="00FB3420" w:rsidRPr="00B069DE" w:rsidRDefault="008750FF" w:rsidP="00A76FAF">
      <w:pPr>
        <w:pStyle w:val="WOVGbody"/>
        <w:numPr>
          <w:ilvl w:val="0"/>
          <w:numId w:val="43"/>
        </w:numPr>
        <w:ind w:left="426"/>
        <w:rPr>
          <w:rFonts w:ascii="Verdana" w:hAnsi="Verdana"/>
        </w:rPr>
      </w:pPr>
      <w:r>
        <w:rPr>
          <w:rFonts w:ascii="Verdana" w:hAnsi="Verdana"/>
        </w:rPr>
        <w:t>t</w:t>
      </w:r>
      <w:r w:rsidR="00B069DE" w:rsidRPr="00540CA7">
        <w:rPr>
          <w:rFonts w:ascii="Verdana" w:hAnsi="Verdana"/>
        </w:rPr>
        <w:t>ime spent record keeping</w:t>
      </w:r>
      <w:r w:rsidR="00B069DE">
        <w:rPr>
          <w:rFonts w:ascii="Verdana" w:hAnsi="Verdana"/>
        </w:rPr>
        <w:t>.</w:t>
      </w:r>
    </w:p>
    <w:p w:rsidR="00BD0C56" w:rsidRPr="004B023E" w:rsidRDefault="00FB3420" w:rsidP="00BD0C56">
      <w:pPr>
        <w:pStyle w:val="WOVGbody"/>
        <w:rPr>
          <w:rFonts w:ascii="Verdana" w:hAnsi="Verdana"/>
          <w:highlight w:val="yellow"/>
        </w:rPr>
      </w:pPr>
      <w:r w:rsidRPr="00B069DE">
        <w:rPr>
          <w:rFonts w:ascii="Verdana" w:hAnsi="Verdana"/>
        </w:rPr>
        <w:t xml:space="preserve">As shown in the tables below, </w:t>
      </w:r>
      <w:r w:rsidR="00944F2B">
        <w:rPr>
          <w:rFonts w:ascii="Verdana" w:hAnsi="Verdana"/>
        </w:rPr>
        <w:t xml:space="preserve">the </w:t>
      </w:r>
      <w:r w:rsidR="00944F2B" w:rsidRPr="00AF7065">
        <w:rPr>
          <w:rFonts w:ascii="Verdana" w:hAnsi="Verdana"/>
        </w:rPr>
        <w:t xml:space="preserve">total estimated cost impact </w:t>
      </w:r>
      <w:r w:rsidR="00944F2B">
        <w:rPr>
          <w:rFonts w:ascii="Verdana" w:hAnsi="Verdana"/>
        </w:rPr>
        <w:t>on Phase Two</w:t>
      </w:r>
      <w:r w:rsidR="00944F2B" w:rsidRPr="00AF7065">
        <w:rPr>
          <w:rFonts w:ascii="Verdana" w:hAnsi="Verdana"/>
        </w:rPr>
        <w:t xml:space="preserve"> workforces over a 10-year period is expected to be approximately $18</w:t>
      </w:r>
      <w:r w:rsidR="00944F2B">
        <w:rPr>
          <w:rFonts w:ascii="Verdana" w:hAnsi="Verdana"/>
        </w:rPr>
        <w:t>1.6</w:t>
      </w:r>
      <w:r w:rsidR="00944F2B" w:rsidRPr="00AF7065">
        <w:rPr>
          <w:rFonts w:ascii="Verdana" w:hAnsi="Verdana"/>
        </w:rPr>
        <w:t xml:space="preserve"> million</w:t>
      </w:r>
      <w:r w:rsidR="008750FF">
        <w:rPr>
          <w:rFonts w:ascii="Verdana" w:hAnsi="Verdana"/>
        </w:rPr>
        <w:t xml:space="preserve"> in NPV terms, of which $</w:t>
      </w:r>
      <w:r w:rsidR="00FE00CC">
        <w:rPr>
          <w:rFonts w:ascii="Verdana" w:hAnsi="Verdana"/>
        </w:rPr>
        <w:t>80.5</w:t>
      </w:r>
      <w:r w:rsidR="008750FF">
        <w:rPr>
          <w:rFonts w:ascii="Verdana" w:hAnsi="Verdana"/>
        </w:rPr>
        <w:t xml:space="preserve"> million is</w:t>
      </w:r>
      <w:r w:rsidR="00944F2B">
        <w:rPr>
          <w:rFonts w:ascii="Verdana" w:hAnsi="Verdana"/>
        </w:rPr>
        <w:t xml:space="preserve"> attributable to non-g</w:t>
      </w:r>
      <w:r w:rsidR="00AF3B21">
        <w:rPr>
          <w:rFonts w:ascii="Verdana" w:hAnsi="Verdana"/>
        </w:rPr>
        <w:t>overnment organisations and $101.1</w:t>
      </w:r>
      <w:r w:rsidR="00944F2B">
        <w:rPr>
          <w:rFonts w:ascii="Verdana" w:hAnsi="Verdana"/>
        </w:rPr>
        <w:t xml:space="preserve"> million is attributable to government organisations</w:t>
      </w:r>
      <w:r w:rsidR="005B4D34">
        <w:rPr>
          <w:rFonts w:ascii="Verdana" w:hAnsi="Verdana"/>
        </w:rPr>
        <w:t>.</w:t>
      </w:r>
      <w:r w:rsidR="00944F2B">
        <w:rPr>
          <w:rStyle w:val="FootnoteReference"/>
          <w:rFonts w:ascii="Verdana" w:hAnsi="Verdana"/>
        </w:rPr>
        <w:footnoteReference w:id="6"/>
      </w:r>
      <w:r w:rsidR="00944F2B">
        <w:rPr>
          <w:rFonts w:ascii="Verdana" w:hAnsi="Verdana"/>
        </w:rPr>
        <w:t xml:space="preserve"> A</w:t>
      </w:r>
      <w:r w:rsidR="00BD0C56">
        <w:rPr>
          <w:rFonts w:ascii="Verdana" w:hAnsi="Verdana"/>
        </w:rPr>
        <w:t xml:space="preserve">pproximately </w:t>
      </w:r>
      <w:r w:rsidR="00BD0C56" w:rsidRPr="00AF7065">
        <w:rPr>
          <w:rFonts w:ascii="Verdana" w:hAnsi="Verdana"/>
        </w:rPr>
        <w:t xml:space="preserve">$28 million </w:t>
      </w:r>
      <w:r w:rsidR="00944F2B">
        <w:rPr>
          <w:rFonts w:ascii="Verdana" w:hAnsi="Verdana"/>
        </w:rPr>
        <w:t xml:space="preserve">of the total costs represent </w:t>
      </w:r>
      <w:r w:rsidR="00BD0C56" w:rsidRPr="00AF7065">
        <w:rPr>
          <w:rFonts w:ascii="Verdana" w:hAnsi="Verdana"/>
        </w:rPr>
        <w:t>u</w:t>
      </w:r>
      <w:r w:rsidR="00944F2B">
        <w:rPr>
          <w:rFonts w:ascii="Verdana" w:hAnsi="Verdana"/>
        </w:rPr>
        <w:t>pfront costs and $154 million represent</w:t>
      </w:r>
      <w:r w:rsidR="00BD0C56" w:rsidRPr="00AF7065">
        <w:rPr>
          <w:rFonts w:ascii="Verdana" w:hAnsi="Verdana"/>
        </w:rPr>
        <w:t xml:space="preserve"> ongoing costs</w:t>
      </w:r>
      <w:r w:rsidR="00944F2B">
        <w:rPr>
          <w:rFonts w:ascii="Verdana" w:hAnsi="Verdana"/>
        </w:rPr>
        <w:t xml:space="preserve"> to ISEs.</w:t>
      </w:r>
    </w:p>
    <w:p w:rsidR="008300B7" w:rsidRPr="00944F2B" w:rsidRDefault="00BD0C56" w:rsidP="00944F2B">
      <w:pPr>
        <w:pStyle w:val="WOVGbody"/>
        <w:rPr>
          <w:rFonts w:ascii="Verdana" w:hAnsi="Verdana"/>
        </w:rPr>
      </w:pPr>
      <w:r>
        <w:rPr>
          <w:rFonts w:ascii="Verdana" w:hAnsi="Verdana"/>
        </w:rPr>
        <w:t>U</w:t>
      </w:r>
      <w:r w:rsidR="00FB3420" w:rsidRPr="00B069DE">
        <w:rPr>
          <w:rFonts w:ascii="Verdana" w:hAnsi="Verdana"/>
        </w:rPr>
        <w:t xml:space="preserve">pfront costs are estimated </w:t>
      </w:r>
      <w:r w:rsidR="00053F3B">
        <w:rPr>
          <w:rFonts w:ascii="Verdana" w:hAnsi="Verdana"/>
        </w:rPr>
        <w:t>at</w:t>
      </w:r>
      <w:r w:rsidR="00FB3420" w:rsidRPr="00B069DE">
        <w:rPr>
          <w:rFonts w:ascii="Verdana" w:hAnsi="Verdana"/>
        </w:rPr>
        <w:t xml:space="preserve"> $</w:t>
      </w:r>
      <w:r w:rsidR="00B069DE" w:rsidRPr="00B069DE">
        <w:rPr>
          <w:rFonts w:ascii="Verdana" w:hAnsi="Verdana"/>
        </w:rPr>
        <w:t>3,738</w:t>
      </w:r>
      <w:r w:rsidR="00FB3420" w:rsidRPr="00B069DE">
        <w:rPr>
          <w:rFonts w:ascii="Verdana" w:hAnsi="Verdana"/>
        </w:rPr>
        <w:t xml:space="preserve"> on average per organisation, and ongoing costs are estimated </w:t>
      </w:r>
      <w:r w:rsidR="00053F3B">
        <w:rPr>
          <w:rFonts w:ascii="Verdana" w:hAnsi="Verdana"/>
        </w:rPr>
        <w:t>at</w:t>
      </w:r>
      <w:r w:rsidR="00FB3420" w:rsidRPr="00B069DE">
        <w:rPr>
          <w:rFonts w:ascii="Verdana" w:hAnsi="Verdana"/>
        </w:rPr>
        <w:t xml:space="preserve"> $2</w:t>
      </w:r>
      <w:r w:rsidR="00B069DE" w:rsidRPr="00B069DE">
        <w:rPr>
          <w:rFonts w:ascii="Verdana" w:hAnsi="Verdana"/>
        </w:rPr>
        <w:t>,177</w:t>
      </w:r>
      <w:r w:rsidR="00FB3420" w:rsidRPr="00B069DE">
        <w:rPr>
          <w:rFonts w:ascii="Verdana" w:hAnsi="Verdana"/>
        </w:rPr>
        <w:t xml:space="preserve"> on average per organisation per year. This </w:t>
      </w:r>
      <w:r w:rsidR="00BB3629">
        <w:rPr>
          <w:rFonts w:ascii="Verdana" w:hAnsi="Verdana"/>
        </w:rPr>
        <w:t>represents</w:t>
      </w:r>
      <w:r w:rsidR="00AF3B21">
        <w:rPr>
          <w:rFonts w:ascii="Verdana" w:hAnsi="Verdana"/>
        </w:rPr>
        <w:t xml:space="preserve"> </w:t>
      </w:r>
      <w:r w:rsidR="00FB3420" w:rsidRPr="00B069DE">
        <w:rPr>
          <w:rFonts w:ascii="Verdana" w:hAnsi="Verdana"/>
        </w:rPr>
        <w:t>a total of $</w:t>
      </w:r>
      <w:r w:rsidR="00B069DE" w:rsidRPr="00B069DE">
        <w:rPr>
          <w:rFonts w:ascii="Verdana" w:hAnsi="Verdana"/>
        </w:rPr>
        <w:t>24,277</w:t>
      </w:r>
      <w:r w:rsidR="00DE7C18">
        <w:rPr>
          <w:rFonts w:ascii="Verdana" w:hAnsi="Verdana"/>
        </w:rPr>
        <w:t xml:space="preserve"> </w:t>
      </w:r>
      <w:r w:rsidR="00BB3629">
        <w:rPr>
          <w:rFonts w:ascii="Verdana" w:hAnsi="Verdana"/>
        </w:rPr>
        <w:t>(</w:t>
      </w:r>
      <w:r w:rsidR="00FB3420" w:rsidRPr="00B069DE">
        <w:rPr>
          <w:rFonts w:ascii="Verdana" w:hAnsi="Verdana"/>
        </w:rPr>
        <w:t>NPV</w:t>
      </w:r>
      <w:r w:rsidR="00BB3629">
        <w:rPr>
          <w:rFonts w:ascii="Verdana" w:hAnsi="Verdana"/>
        </w:rPr>
        <w:t>)</w:t>
      </w:r>
      <w:r w:rsidR="008300B7">
        <w:rPr>
          <w:rFonts w:ascii="Verdana" w:hAnsi="Verdana"/>
        </w:rPr>
        <w:t xml:space="preserve"> per organisation </w:t>
      </w:r>
      <w:r w:rsidR="008750FF">
        <w:rPr>
          <w:rFonts w:ascii="Verdana" w:hAnsi="Verdana"/>
        </w:rPr>
        <w:t>over 10</w:t>
      </w:r>
      <w:r w:rsidR="00FB3420" w:rsidRPr="00B069DE">
        <w:rPr>
          <w:rFonts w:ascii="Verdana" w:hAnsi="Verdana"/>
        </w:rPr>
        <w:t xml:space="preserve"> years, when inclu</w:t>
      </w:r>
      <w:r w:rsidR="00944F2B">
        <w:rPr>
          <w:rFonts w:ascii="Verdana" w:hAnsi="Verdana"/>
        </w:rPr>
        <w:t>ding initial and ongoing costs.</w:t>
      </w:r>
    </w:p>
    <w:p w:rsidR="000303C3" w:rsidRPr="00B872B7" w:rsidRDefault="00B872B7" w:rsidP="00B872B7">
      <w:pPr>
        <w:pStyle w:val="WOVGbody"/>
        <w:rPr>
          <w:rFonts w:ascii="Verdana" w:hAnsi="Verdana"/>
          <w:b/>
        </w:rPr>
      </w:pPr>
      <w:r>
        <w:rPr>
          <w:rFonts w:ascii="Verdana" w:hAnsi="Verdana"/>
          <w:b/>
        </w:rPr>
        <w:t xml:space="preserve">Table </w:t>
      </w:r>
      <w:r w:rsidR="009D3FC5">
        <w:rPr>
          <w:rFonts w:ascii="Verdana" w:hAnsi="Verdana"/>
          <w:b/>
        </w:rPr>
        <w:t xml:space="preserve">ES.3 </w:t>
      </w:r>
      <w:r w:rsidR="000303C3" w:rsidRPr="00331E1F">
        <w:rPr>
          <w:rFonts w:ascii="Verdana" w:hAnsi="Verdana"/>
          <w:b/>
        </w:rPr>
        <w:t>Total workforce costs, 10 year totals</w:t>
      </w:r>
    </w:p>
    <w:tbl>
      <w:tblPr>
        <w:tblStyle w:val="TableGrid"/>
        <w:tblW w:w="9504" w:type="dxa"/>
        <w:tblLook w:val="04A0" w:firstRow="1" w:lastRow="0" w:firstColumn="1" w:lastColumn="0" w:noHBand="0" w:noVBand="1"/>
      </w:tblPr>
      <w:tblGrid>
        <w:gridCol w:w="2590"/>
        <w:gridCol w:w="2589"/>
        <w:gridCol w:w="2302"/>
        <w:gridCol w:w="2023"/>
      </w:tblGrid>
      <w:tr w:rsidR="00F97F6A" w:rsidTr="00DE7C18">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590" w:type="dxa"/>
            <w:tcBorders>
              <w:right w:val="single" w:sz="4" w:space="0" w:color="auto"/>
            </w:tcBorders>
          </w:tcPr>
          <w:p w:rsidR="00F97F6A" w:rsidRPr="00216955" w:rsidRDefault="00F97F6A" w:rsidP="00187191">
            <w:pPr>
              <w:rPr>
                <w:rFonts w:ascii="Verdana" w:eastAsia="Times" w:hAnsi="Verdana"/>
                <w:color w:val="FFFFFF" w:themeColor="background1"/>
              </w:rPr>
            </w:pPr>
            <w:r w:rsidRPr="00216955">
              <w:rPr>
                <w:rFonts w:ascii="Verdana" w:eastAsia="Times" w:hAnsi="Verdana"/>
                <w:color w:val="FFFFFF" w:themeColor="background1"/>
              </w:rPr>
              <w:t>Cost Category</w:t>
            </w:r>
          </w:p>
        </w:tc>
        <w:tc>
          <w:tcPr>
            <w:tcW w:w="2589" w:type="dxa"/>
            <w:tcBorders>
              <w:left w:val="single" w:sz="4" w:space="0" w:color="auto"/>
              <w:right w:val="single" w:sz="4" w:space="0" w:color="auto"/>
            </w:tcBorders>
          </w:tcPr>
          <w:p w:rsidR="00F97F6A" w:rsidRPr="00216955" w:rsidRDefault="00F97F6A" w:rsidP="00187191">
            <w:pPr>
              <w:cnfStyle w:val="100000000000" w:firstRow="1"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216955">
              <w:rPr>
                <w:rFonts w:ascii="Verdana" w:eastAsia="Times" w:hAnsi="Verdana"/>
                <w:color w:val="FFFFFF" w:themeColor="background1"/>
              </w:rPr>
              <w:t xml:space="preserve">Government </w:t>
            </w:r>
          </w:p>
        </w:tc>
        <w:tc>
          <w:tcPr>
            <w:tcW w:w="2302" w:type="dxa"/>
            <w:tcBorders>
              <w:left w:val="single" w:sz="4" w:space="0" w:color="auto"/>
              <w:right w:val="single" w:sz="4" w:space="0" w:color="auto"/>
            </w:tcBorders>
          </w:tcPr>
          <w:p w:rsidR="00F97F6A" w:rsidRPr="00216955" w:rsidRDefault="004615F7" w:rsidP="00187191">
            <w:pPr>
              <w:cnfStyle w:val="100000000000" w:firstRow="1"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Pr>
                <w:rFonts w:ascii="Verdana" w:eastAsia="Times" w:hAnsi="Verdana"/>
                <w:color w:val="FFFFFF" w:themeColor="background1"/>
              </w:rPr>
              <w:t>Non-g</w:t>
            </w:r>
            <w:r w:rsidR="00F97F6A" w:rsidRPr="00216955">
              <w:rPr>
                <w:rFonts w:ascii="Verdana" w:eastAsia="Times" w:hAnsi="Verdana"/>
                <w:color w:val="FFFFFF" w:themeColor="background1"/>
              </w:rPr>
              <w:t>overnment</w:t>
            </w:r>
          </w:p>
        </w:tc>
        <w:tc>
          <w:tcPr>
            <w:tcW w:w="2020" w:type="dxa"/>
            <w:tcBorders>
              <w:left w:val="single" w:sz="4" w:space="0" w:color="auto"/>
            </w:tcBorders>
          </w:tcPr>
          <w:p w:rsidR="00F97F6A" w:rsidRPr="00216955" w:rsidRDefault="00F97F6A" w:rsidP="00187191">
            <w:pPr>
              <w:cnfStyle w:val="100000000000" w:firstRow="1"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216955">
              <w:rPr>
                <w:rFonts w:ascii="Verdana" w:eastAsia="Times" w:hAnsi="Verdana"/>
                <w:color w:val="FFFFFF" w:themeColor="background1"/>
              </w:rPr>
              <w:t>Total</w:t>
            </w:r>
          </w:p>
        </w:tc>
      </w:tr>
      <w:tr w:rsidR="00F97F6A"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shd w:val="clear" w:color="auto" w:fill="00848F"/>
          </w:tcPr>
          <w:p w:rsidR="00F97F6A" w:rsidRPr="00C76C28" w:rsidRDefault="00F97F6A" w:rsidP="00187191">
            <w:pPr>
              <w:rPr>
                <w:rFonts w:ascii="Verdana" w:eastAsia="Times" w:hAnsi="Verdana"/>
                <w:color w:val="FFFFFF" w:themeColor="background1"/>
              </w:rPr>
            </w:pPr>
            <w:r w:rsidRPr="00C76C28">
              <w:rPr>
                <w:rFonts w:ascii="Verdana" w:eastAsia="Times" w:hAnsi="Verdana"/>
                <w:color w:val="FFFFFF" w:themeColor="background1"/>
              </w:rPr>
              <w:t>Upfront costs</w:t>
            </w:r>
          </w:p>
        </w:tc>
        <w:tc>
          <w:tcPr>
            <w:tcW w:w="2589" w:type="dxa"/>
            <w:shd w:val="clear" w:color="auto" w:fill="00848F"/>
          </w:tcPr>
          <w:p w:rsidR="00F97F6A" w:rsidRPr="00C76C28"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C76C28">
              <w:rPr>
                <w:rFonts w:ascii="Verdana" w:eastAsia="Times" w:hAnsi="Verdana"/>
                <w:color w:val="FFFFFF" w:themeColor="background1"/>
              </w:rPr>
              <w:t>‘000</w:t>
            </w:r>
          </w:p>
        </w:tc>
        <w:tc>
          <w:tcPr>
            <w:tcW w:w="2302" w:type="dxa"/>
            <w:shd w:val="clear" w:color="auto" w:fill="00848F"/>
          </w:tcPr>
          <w:p w:rsidR="00F97F6A" w:rsidRPr="00C76C28"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C76C28">
              <w:rPr>
                <w:rFonts w:ascii="Verdana" w:eastAsia="Times" w:hAnsi="Verdana"/>
                <w:color w:val="FFFFFF" w:themeColor="background1"/>
              </w:rPr>
              <w:t>‘000</w:t>
            </w:r>
          </w:p>
        </w:tc>
        <w:tc>
          <w:tcPr>
            <w:tcW w:w="2020" w:type="dxa"/>
            <w:shd w:val="clear" w:color="auto" w:fill="00848F"/>
          </w:tcPr>
          <w:p w:rsidR="00F97F6A" w:rsidRPr="00C76C28"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C76C28">
              <w:rPr>
                <w:rFonts w:ascii="Verdana" w:eastAsia="Times" w:hAnsi="Verdana"/>
                <w:color w:val="FFFFFF" w:themeColor="background1"/>
              </w:rPr>
              <w:t>‘000</w:t>
            </w:r>
          </w:p>
        </w:tc>
      </w:tr>
      <w:tr w:rsidR="00F97F6A"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tcPr>
          <w:p w:rsidR="00F97F6A" w:rsidRPr="006A6AC9" w:rsidRDefault="00F97F6A" w:rsidP="00187191">
            <w:pPr>
              <w:rPr>
                <w:rFonts w:ascii="Verdana" w:eastAsia="Times" w:hAnsi="Verdana"/>
              </w:rPr>
            </w:pPr>
            <w:r w:rsidRPr="006A6AC9">
              <w:rPr>
                <w:rFonts w:ascii="Verdana" w:eastAsia="Times" w:hAnsi="Verdana"/>
              </w:rPr>
              <w:t>Update policies</w:t>
            </w:r>
          </w:p>
        </w:tc>
        <w:tc>
          <w:tcPr>
            <w:tcW w:w="2589"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$4,677</w:t>
            </w:r>
          </w:p>
        </w:tc>
        <w:tc>
          <w:tcPr>
            <w:tcW w:w="2302"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$13,499</w:t>
            </w:r>
          </w:p>
        </w:tc>
        <w:tc>
          <w:tcPr>
            <w:tcW w:w="2020"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$18,176</w:t>
            </w:r>
          </w:p>
        </w:tc>
      </w:tr>
      <w:tr w:rsidR="00F97F6A" w:rsidTr="00DE7C18">
        <w:trPr>
          <w:trHeight w:val="225"/>
        </w:trPr>
        <w:tc>
          <w:tcPr>
            <w:cnfStyle w:val="001000000000" w:firstRow="0" w:lastRow="0" w:firstColumn="1" w:lastColumn="0" w:oddVBand="0" w:evenVBand="0" w:oddHBand="0" w:evenHBand="0" w:firstRowFirstColumn="0" w:firstRowLastColumn="0" w:lastRowFirstColumn="0" w:lastRowLastColumn="0"/>
            <w:tcW w:w="2590" w:type="dxa"/>
          </w:tcPr>
          <w:p w:rsidR="00F97F6A" w:rsidRPr="006A6AC9" w:rsidRDefault="00F97F6A" w:rsidP="00187191">
            <w:pPr>
              <w:rPr>
                <w:rFonts w:ascii="Verdana" w:eastAsia="Times" w:hAnsi="Verdana"/>
              </w:rPr>
            </w:pPr>
            <w:r w:rsidRPr="006A6AC9">
              <w:rPr>
                <w:rFonts w:ascii="Verdana" w:eastAsia="Times" w:hAnsi="Verdana"/>
              </w:rPr>
              <w:t>Upfront training</w:t>
            </w:r>
          </w:p>
        </w:tc>
        <w:tc>
          <w:tcPr>
            <w:tcW w:w="2589"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$2,207</w:t>
            </w:r>
          </w:p>
        </w:tc>
        <w:tc>
          <w:tcPr>
            <w:tcW w:w="2302"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$7,577</w:t>
            </w:r>
          </w:p>
        </w:tc>
        <w:tc>
          <w:tcPr>
            <w:tcW w:w="2020"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$9,784</w:t>
            </w:r>
          </w:p>
        </w:tc>
      </w:tr>
      <w:tr w:rsidR="00F97F6A"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shd w:val="clear" w:color="auto" w:fill="00848F" w:themeFill="accent2"/>
          </w:tcPr>
          <w:p w:rsidR="00F97F6A" w:rsidRPr="00900085" w:rsidRDefault="00F97F6A" w:rsidP="00187191">
            <w:pPr>
              <w:rPr>
                <w:rFonts w:ascii="Verdana" w:eastAsia="Times" w:hAnsi="Verdana"/>
                <w:color w:val="FFFFFF" w:themeColor="background1"/>
              </w:rPr>
            </w:pPr>
            <w:r w:rsidRPr="00900085">
              <w:rPr>
                <w:rFonts w:ascii="Verdana" w:eastAsia="Times" w:hAnsi="Verdana"/>
                <w:color w:val="FFFFFF" w:themeColor="background1"/>
              </w:rPr>
              <w:t xml:space="preserve">Ongoing costs </w:t>
            </w:r>
          </w:p>
        </w:tc>
        <w:tc>
          <w:tcPr>
            <w:tcW w:w="2589" w:type="dxa"/>
            <w:shd w:val="clear" w:color="auto" w:fill="00848F" w:themeFill="accent2"/>
          </w:tcPr>
          <w:p w:rsidR="00F97F6A" w:rsidRPr="00900085"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900085">
              <w:rPr>
                <w:rFonts w:ascii="Verdana" w:eastAsia="Times" w:hAnsi="Verdana"/>
                <w:color w:val="FFFFFF" w:themeColor="background1"/>
              </w:rPr>
              <w:t>‘000</w:t>
            </w:r>
          </w:p>
        </w:tc>
        <w:tc>
          <w:tcPr>
            <w:tcW w:w="2302" w:type="dxa"/>
            <w:shd w:val="clear" w:color="auto" w:fill="00848F" w:themeFill="accent2"/>
          </w:tcPr>
          <w:p w:rsidR="00F97F6A" w:rsidRPr="00900085"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900085">
              <w:rPr>
                <w:rFonts w:ascii="Verdana" w:eastAsia="Times" w:hAnsi="Verdana"/>
                <w:color w:val="FFFFFF" w:themeColor="background1"/>
              </w:rPr>
              <w:t>‘000</w:t>
            </w:r>
          </w:p>
        </w:tc>
        <w:tc>
          <w:tcPr>
            <w:tcW w:w="2020" w:type="dxa"/>
            <w:shd w:val="clear" w:color="auto" w:fill="00848F" w:themeFill="accent2"/>
          </w:tcPr>
          <w:p w:rsidR="00F97F6A" w:rsidRPr="00900085"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900085">
              <w:rPr>
                <w:rFonts w:ascii="Verdana" w:eastAsia="Times" w:hAnsi="Verdana"/>
                <w:color w:val="FFFFFF" w:themeColor="background1"/>
              </w:rPr>
              <w:t>‘000</w:t>
            </w:r>
          </w:p>
        </w:tc>
      </w:tr>
      <w:tr w:rsidR="00F97F6A"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shd w:val="clear" w:color="auto" w:fill="DBDCDE" w:themeFill="accent1" w:themeFillTint="33"/>
          </w:tcPr>
          <w:p w:rsidR="00F97F6A" w:rsidRPr="00900085" w:rsidRDefault="00F97F6A" w:rsidP="00187191">
            <w:pPr>
              <w:rPr>
                <w:rFonts w:ascii="Verdana" w:eastAsia="Times" w:hAnsi="Verdana"/>
              </w:rPr>
            </w:pPr>
            <w:r w:rsidRPr="00900085">
              <w:rPr>
                <w:rFonts w:ascii="Verdana" w:eastAsia="Times" w:hAnsi="Verdana"/>
              </w:rPr>
              <w:t>Ongoing training</w:t>
            </w:r>
          </w:p>
        </w:tc>
        <w:tc>
          <w:tcPr>
            <w:tcW w:w="2589" w:type="dxa"/>
            <w:shd w:val="clear" w:color="auto" w:fill="DBDCDE" w:themeFill="accent1" w:themeFillTint="33"/>
          </w:tcPr>
          <w:p w:rsidR="00F97F6A" w:rsidRPr="00900085" w:rsidRDefault="008750FF"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w:t>
            </w:r>
            <w:r w:rsidR="00F97F6A" w:rsidRPr="00900085">
              <w:rPr>
                <w:rFonts w:ascii="Verdana" w:eastAsia="Times" w:hAnsi="Verdana"/>
              </w:rPr>
              <w:t>256</w:t>
            </w:r>
          </w:p>
        </w:tc>
        <w:tc>
          <w:tcPr>
            <w:tcW w:w="2302" w:type="dxa"/>
            <w:shd w:val="clear" w:color="auto" w:fill="DBDCDE" w:themeFill="accent1" w:themeFillTint="33"/>
          </w:tcPr>
          <w:p w:rsidR="00F97F6A" w:rsidRPr="00900085"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900085">
              <w:rPr>
                <w:rFonts w:ascii="Verdana" w:eastAsia="Times" w:hAnsi="Verdana"/>
              </w:rPr>
              <w:t>$7,748</w:t>
            </w:r>
          </w:p>
        </w:tc>
        <w:tc>
          <w:tcPr>
            <w:tcW w:w="2020" w:type="dxa"/>
            <w:shd w:val="clear" w:color="auto" w:fill="DBDCDE" w:themeFill="accent1" w:themeFillTint="33"/>
          </w:tcPr>
          <w:p w:rsidR="00F97F6A" w:rsidRPr="00900085"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900085">
              <w:rPr>
                <w:rFonts w:ascii="Verdana" w:eastAsia="Times" w:hAnsi="Verdana"/>
              </w:rPr>
              <w:t>$10,004</w:t>
            </w:r>
          </w:p>
        </w:tc>
      </w:tr>
      <w:tr w:rsidR="00F97F6A" w:rsidTr="00DE7C18">
        <w:trPr>
          <w:trHeight w:val="483"/>
        </w:trPr>
        <w:tc>
          <w:tcPr>
            <w:cnfStyle w:val="001000000000" w:firstRow="0" w:lastRow="0" w:firstColumn="1" w:lastColumn="0" w:oddVBand="0" w:evenVBand="0" w:oddHBand="0" w:evenHBand="0" w:firstRowFirstColumn="0" w:firstRowLastColumn="0" w:lastRowFirstColumn="0" w:lastRowLastColumn="0"/>
            <w:tcW w:w="2590" w:type="dxa"/>
          </w:tcPr>
          <w:p w:rsidR="00F97F6A" w:rsidRPr="006A6AC9" w:rsidRDefault="00F97F6A" w:rsidP="00187191">
            <w:pPr>
              <w:rPr>
                <w:rFonts w:ascii="Verdana" w:eastAsia="Times" w:hAnsi="Verdana"/>
              </w:rPr>
            </w:pPr>
            <w:r w:rsidRPr="006A6AC9">
              <w:rPr>
                <w:rFonts w:ascii="Verdana" w:eastAsia="Times" w:hAnsi="Verdana"/>
              </w:rPr>
              <w:t>Requests to share information</w:t>
            </w:r>
          </w:p>
        </w:tc>
        <w:tc>
          <w:tcPr>
            <w:tcW w:w="2589"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$35,973</w:t>
            </w:r>
          </w:p>
        </w:tc>
        <w:tc>
          <w:tcPr>
            <w:tcW w:w="2302"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$16,332</w:t>
            </w:r>
          </w:p>
        </w:tc>
        <w:tc>
          <w:tcPr>
            <w:tcW w:w="2020"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$52,306</w:t>
            </w:r>
          </w:p>
        </w:tc>
      </w:tr>
      <w:tr w:rsidR="00F97F6A"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tcPr>
          <w:p w:rsidR="00F97F6A" w:rsidRPr="006A6AC9" w:rsidRDefault="00F97F6A" w:rsidP="00187191">
            <w:pPr>
              <w:rPr>
                <w:rFonts w:ascii="Verdana" w:eastAsia="Times" w:hAnsi="Verdana"/>
              </w:rPr>
            </w:pPr>
            <w:r w:rsidRPr="006A6AC9">
              <w:rPr>
                <w:rFonts w:ascii="Verdana" w:eastAsia="Times" w:hAnsi="Verdana"/>
              </w:rPr>
              <w:t>Responses to requests</w:t>
            </w:r>
          </w:p>
        </w:tc>
        <w:tc>
          <w:tcPr>
            <w:tcW w:w="2589"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$26,367</w:t>
            </w:r>
          </w:p>
        </w:tc>
        <w:tc>
          <w:tcPr>
            <w:tcW w:w="2302"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$16,162</w:t>
            </w:r>
          </w:p>
        </w:tc>
        <w:tc>
          <w:tcPr>
            <w:tcW w:w="2020" w:type="dxa"/>
          </w:tcPr>
          <w:p w:rsidR="00F97F6A" w:rsidRPr="006A6AC9"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6A6AC9">
              <w:rPr>
                <w:rFonts w:ascii="Verdana" w:eastAsia="Times" w:hAnsi="Verdana"/>
              </w:rPr>
              <w:t>$42,529</w:t>
            </w:r>
          </w:p>
        </w:tc>
      </w:tr>
      <w:tr w:rsidR="00332393"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tcPr>
          <w:p w:rsidR="00332393" w:rsidRPr="006A6AC9" w:rsidRDefault="00B54DB6" w:rsidP="00332393">
            <w:pPr>
              <w:rPr>
                <w:rFonts w:ascii="Verdana" w:eastAsia="Times" w:hAnsi="Verdana"/>
              </w:rPr>
            </w:pPr>
            <w:r>
              <w:rPr>
                <w:rFonts w:ascii="Verdana" w:eastAsia="Times" w:hAnsi="Verdana"/>
              </w:rPr>
              <w:t>Record k</w:t>
            </w:r>
            <w:r w:rsidR="00332393">
              <w:rPr>
                <w:rFonts w:ascii="Verdana" w:eastAsia="Times" w:hAnsi="Verdana"/>
              </w:rPr>
              <w:t xml:space="preserve">eeping </w:t>
            </w:r>
          </w:p>
        </w:tc>
        <w:tc>
          <w:tcPr>
            <w:tcW w:w="2589" w:type="dxa"/>
          </w:tcPr>
          <w:p w:rsidR="00332393" w:rsidRPr="006A6AC9" w:rsidRDefault="00F040D7" w:rsidP="00F040D7">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$29</w:t>
            </w:r>
            <w:r w:rsidR="00332393">
              <w:rPr>
                <w:rFonts w:ascii="Verdana" w:eastAsia="Times" w:hAnsi="Verdana"/>
              </w:rPr>
              <w:t>,</w:t>
            </w:r>
            <w:r>
              <w:rPr>
                <w:rFonts w:ascii="Verdana" w:eastAsia="Times" w:hAnsi="Verdana"/>
              </w:rPr>
              <w:t>652</w:t>
            </w:r>
          </w:p>
        </w:tc>
        <w:tc>
          <w:tcPr>
            <w:tcW w:w="2302" w:type="dxa"/>
          </w:tcPr>
          <w:p w:rsidR="00332393" w:rsidRPr="006A6AC9"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$19,143</w:t>
            </w:r>
          </w:p>
        </w:tc>
        <w:tc>
          <w:tcPr>
            <w:tcW w:w="2020" w:type="dxa"/>
          </w:tcPr>
          <w:p w:rsidR="00332393" w:rsidRPr="006A6AC9"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$48,796</w:t>
            </w:r>
          </w:p>
        </w:tc>
      </w:tr>
      <w:tr w:rsidR="00332393" w:rsidTr="00DE7C18">
        <w:trPr>
          <w:trHeight w:val="239"/>
        </w:trPr>
        <w:tc>
          <w:tcPr>
            <w:cnfStyle w:val="001000000000" w:firstRow="0" w:lastRow="0" w:firstColumn="1" w:lastColumn="0" w:oddVBand="0" w:evenVBand="0" w:oddHBand="0" w:evenHBand="0" w:firstRowFirstColumn="0" w:firstRowLastColumn="0" w:lastRowFirstColumn="0" w:lastRowLastColumn="0"/>
            <w:tcW w:w="2590" w:type="dxa"/>
          </w:tcPr>
          <w:p w:rsidR="00332393" w:rsidRDefault="00332393" w:rsidP="00332393">
            <w:pPr>
              <w:rPr>
                <w:rFonts w:ascii="Verdana" w:eastAsia="Times" w:hAnsi="Verdana"/>
              </w:rPr>
            </w:pPr>
            <w:r>
              <w:rPr>
                <w:rFonts w:ascii="Verdana" w:eastAsia="Times" w:hAnsi="Verdana"/>
              </w:rPr>
              <w:t>Total Costs</w:t>
            </w:r>
          </w:p>
        </w:tc>
        <w:tc>
          <w:tcPr>
            <w:tcW w:w="2589" w:type="dxa"/>
          </w:tcPr>
          <w:p w:rsidR="00332393" w:rsidRDefault="00F040D7"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$101,133</w:t>
            </w:r>
          </w:p>
        </w:tc>
        <w:tc>
          <w:tcPr>
            <w:tcW w:w="2302" w:type="dxa"/>
          </w:tcPr>
          <w:p w:rsidR="00332393" w:rsidRDefault="00F040D7" w:rsidP="00F040D7">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$80</w:t>
            </w:r>
            <w:r w:rsidR="00332393">
              <w:rPr>
                <w:rFonts w:ascii="Verdana" w:eastAsia="Times" w:hAnsi="Verdana"/>
              </w:rPr>
              <w:t>,</w:t>
            </w:r>
            <w:r>
              <w:rPr>
                <w:rFonts w:ascii="Verdana" w:eastAsia="Times" w:hAnsi="Verdana"/>
              </w:rPr>
              <w:t>462</w:t>
            </w:r>
          </w:p>
        </w:tc>
        <w:tc>
          <w:tcPr>
            <w:tcW w:w="2020"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$181,595</w:t>
            </w:r>
          </w:p>
        </w:tc>
      </w:tr>
      <w:tr w:rsidR="00332393" w:rsidTr="00DE7C18">
        <w:trPr>
          <w:trHeight w:val="225"/>
        </w:trPr>
        <w:tc>
          <w:tcPr>
            <w:cnfStyle w:val="001000000000" w:firstRow="0" w:lastRow="0" w:firstColumn="1" w:lastColumn="0" w:oddVBand="0" w:evenVBand="0" w:oddHBand="0" w:evenHBand="0" w:firstRowFirstColumn="0" w:firstRowLastColumn="0" w:lastRowFirstColumn="0" w:lastRowLastColumn="0"/>
            <w:tcW w:w="9504" w:type="dxa"/>
            <w:gridSpan w:val="4"/>
          </w:tcPr>
          <w:p w:rsidR="00332393" w:rsidRPr="00792DC3" w:rsidRDefault="00332393" w:rsidP="00332393">
            <w:pPr>
              <w:rPr>
                <w:rFonts w:ascii="Verdana" w:eastAsia="Times" w:hAnsi="Verdana"/>
                <w:i/>
                <w:sz w:val="16"/>
                <w:szCs w:val="16"/>
              </w:rPr>
            </w:pPr>
            <w:r w:rsidRPr="00792DC3">
              <w:rPr>
                <w:rFonts w:ascii="Verdana" w:hAnsi="Verdana"/>
                <w:i/>
                <w:sz w:val="16"/>
                <w:szCs w:val="16"/>
              </w:rPr>
              <w:t>Source: ACIL Allen Consulting 2019</w:t>
            </w:r>
          </w:p>
        </w:tc>
      </w:tr>
    </w:tbl>
    <w:p w:rsidR="004B023E" w:rsidRDefault="004B023E" w:rsidP="000303C3">
      <w:pPr>
        <w:rPr>
          <w:rFonts w:ascii="Verdana" w:eastAsia="Times" w:hAnsi="Verdana"/>
          <w:b/>
        </w:rPr>
      </w:pPr>
    </w:p>
    <w:p w:rsidR="000303C3" w:rsidRPr="00B872B7" w:rsidRDefault="00B872B7" w:rsidP="00B872B7">
      <w:pPr>
        <w:pStyle w:val="WOVGbody"/>
        <w:rPr>
          <w:rFonts w:ascii="Verdana" w:hAnsi="Verdana"/>
          <w:b/>
        </w:rPr>
      </w:pPr>
      <w:r>
        <w:rPr>
          <w:rFonts w:ascii="Verdana" w:hAnsi="Verdana"/>
          <w:b/>
        </w:rPr>
        <w:t>Table ES.4</w:t>
      </w:r>
      <w:r w:rsidR="009D3FC5">
        <w:rPr>
          <w:rFonts w:ascii="Verdana" w:hAnsi="Verdana"/>
          <w:b/>
        </w:rPr>
        <w:t xml:space="preserve"> </w:t>
      </w:r>
      <w:r w:rsidR="000303C3" w:rsidRPr="000303C3">
        <w:rPr>
          <w:rFonts w:ascii="Verdana" w:hAnsi="Verdana"/>
          <w:b/>
        </w:rPr>
        <w:t>Average per organisation</w:t>
      </w:r>
      <w:r w:rsidR="000303C3" w:rsidRPr="00B872B7">
        <w:rPr>
          <w:rFonts w:ascii="Verdana" w:hAnsi="Verdana"/>
          <w:b/>
        </w:rPr>
        <w:t xml:space="preserve"> </w:t>
      </w:r>
      <w:r w:rsidR="000303C3" w:rsidRPr="00331E1F">
        <w:rPr>
          <w:rFonts w:ascii="Verdana" w:hAnsi="Verdana"/>
          <w:b/>
        </w:rPr>
        <w:t>cost, 10 year totals</w:t>
      </w:r>
    </w:p>
    <w:tbl>
      <w:tblPr>
        <w:tblStyle w:val="TableGrid"/>
        <w:tblW w:w="9498" w:type="dxa"/>
        <w:tblLayout w:type="fixed"/>
        <w:tblLook w:val="04A0" w:firstRow="1" w:lastRow="0" w:firstColumn="1" w:lastColumn="0" w:noHBand="0" w:noVBand="1"/>
      </w:tblPr>
      <w:tblGrid>
        <w:gridCol w:w="2813"/>
        <w:gridCol w:w="2333"/>
        <w:gridCol w:w="2334"/>
        <w:gridCol w:w="2018"/>
      </w:tblGrid>
      <w:tr w:rsidR="00F97F6A" w:rsidTr="00DE7C18">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813" w:type="dxa"/>
            <w:tcBorders>
              <w:right w:val="single" w:sz="4" w:space="0" w:color="auto"/>
            </w:tcBorders>
          </w:tcPr>
          <w:p w:rsidR="00F97F6A" w:rsidRDefault="00F97F6A" w:rsidP="00187191">
            <w:pPr>
              <w:rPr>
                <w:rFonts w:ascii="Verdana" w:eastAsia="Times" w:hAnsi="Verdana"/>
              </w:rPr>
            </w:pPr>
            <w:r w:rsidRPr="00216955">
              <w:rPr>
                <w:rFonts w:ascii="Verdana" w:eastAsia="Times" w:hAnsi="Verdana"/>
                <w:color w:val="FFFFFF" w:themeColor="background1"/>
              </w:rPr>
              <w:t>Cost Category</w:t>
            </w:r>
          </w:p>
        </w:tc>
        <w:tc>
          <w:tcPr>
            <w:tcW w:w="2333" w:type="dxa"/>
            <w:tcBorders>
              <w:left w:val="single" w:sz="4" w:space="0" w:color="auto"/>
              <w:right w:val="single" w:sz="4" w:space="0" w:color="auto"/>
            </w:tcBorders>
          </w:tcPr>
          <w:p w:rsidR="00F97F6A" w:rsidRDefault="00F97F6A" w:rsidP="00187191">
            <w:pPr>
              <w:cnfStyle w:val="100000000000" w:firstRow="1" w:lastRow="0" w:firstColumn="0" w:lastColumn="0" w:oddVBand="0" w:evenVBand="0" w:oddHBand="0" w:evenHBand="0" w:firstRowFirstColumn="0" w:firstRowLastColumn="0" w:lastRowFirstColumn="0" w:lastRowLastColumn="0"/>
              <w:rPr>
                <w:rFonts w:ascii="Verdana" w:eastAsia="Times" w:hAnsi="Verdana"/>
              </w:rPr>
            </w:pPr>
            <w:r w:rsidRPr="00216955">
              <w:rPr>
                <w:rFonts w:ascii="Verdana" w:eastAsia="Times" w:hAnsi="Verdana"/>
                <w:color w:val="FFFFFF" w:themeColor="background1"/>
              </w:rPr>
              <w:t xml:space="preserve">Government </w:t>
            </w:r>
          </w:p>
        </w:tc>
        <w:tc>
          <w:tcPr>
            <w:tcW w:w="2334" w:type="dxa"/>
            <w:tcBorders>
              <w:left w:val="single" w:sz="4" w:space="0" w:color="auto"/>
              <w:right w:val="single" w:sz="4" w:space="0" w:color="auto"/>
            </w:tcBorders>
          </w:tcPr>
          <w:p w:rsidR="00F97F6A" w:rsidRDefault="004615F7" w:rsidP="00187191">
            <w:pPr>
              <w:cnfStyle w:val="100000000000" w:firstRow="1"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color w:val="FFFFFF" w:themeColor="background1"/>
              </w:rPr>
              <w:t>Non-g</w:t>
            </w:r>
            <w:r w:rsidR="00F97F6A" w:rsidRPr="00216955">
              <w:rPr>
                <w:rFonts w:ascii="Verdana" w:eastAsia="Times" w:hAnsi="Verdana"/>
                <w:color w:val="FFFFFF" w:themeColor="background1"/>
              </w:rPr>
              <w:t>overnment</w:t>
            </w:r>
          </w:p>
        </w:tc>
        <w:tc>
          <w:tcPr>
            <w:tcW w:w="2018" w:type="dxa"/>
            <w:tcBorders>
              <w:left w:val="single" w:sz="4" w:space="0" w:color="auto"/>
              <w:right w:val="single" w:sz="4" w:space="0" w:color="auto"/>
            </w:tcBorders>
          </w:tcPr>
          <w:p w:rsidR="00F97F6A" w:rsidRDefault="00F97F6A" w:rsidP="00187191">
            <w:pPr>
              <w:cnfStyle w:val="100000000000" w:firstRow="1" w:lastRow="0" w:firstColumn="0" w:lastColumn="0" w:oddVBand="0" w:evenVBand="0" w:oddHBand="0" w:evenHBand="0" w:firstRowFirstColumn="0" w:firstRowLastColumn="0" w:lastRowFirstColumn="0" w:lastRowLastColumn="0"/>
              <w:rPr>
                <w:rFonts w:ascii="Verdana" w:eastAsia="Times" w:hAnsi="Verdana"/>
              </w:rPr>
            </w:pPr>
            <w:r w:rsidRPr="00216955">
              <w:rPr>
                <w:rFonts w:ascii="Verdana" w:eastAsia="Times" w:hAnsi="Verdana"/>
                <w:color w:val="FFFFFF" w:themeColor="background1"/>
              </w:rPr>
              <w:t>Total</w:t>
            </w:r>
          </w:p>
        </w:tc>
      </w:tr>
      <w:tr w:rsidR="00F97F6A" w:rsidTr="00DE7C18">
        <w:trPr>
          <w:trHeight w:val="206"/>
        </w:trPr>
        <w:tc>
          <w:tcPr>
            <w:cnfStyle w:val="001000000000" w:firstRow="0" w:lastRow="0" w:firstColumn="1" w:lastColumn="0" w:oddVBand="0" w:evenVBand="0" w:oddHBand="0" w:evenHBand="0" w:firstRowFirstColumn="0" w:firstRowLastColumn="0" w:lastRowFirstColumn="0" w:lastRowLastColumn="0"/>
            <w:tcW w:w="2813" w:type="dxa"/>
            <w:shd w:val="clear" w:color="auto" w:fill="00848F"/>
          </w:tcPr>
          <w:p w:rsidR="00F97F6A" w:rsidRDefault="00F97F6A" w:rsidP="00187191">
            <w:pPr>
              <w:rPr>
                <w:rFonts w:ascii="Verdana" w:eastAsia="Times" w:hAnsi="Verdana"/>
              </w:rPr>
            </w:pPr>
            <w:r w:rsidRPr="00C76C28">
              <w:rPr>
                <w:rFonts w:ascii="Verdana" w:eastAsia="Times" w:hAnsi="Verdana"/>
                <w:color w:val="FFFFFF" w:themeColor="background1"/>
              </w:rPr>
              <w:t>Upfront costs</w:t>
            </w:r>
            <w:r>
              <w:rPr>
                <w:rFonts w:ascii="Verdana" w:eastAsia="Times" w:hAnsi="Verdana"/>
                <w:color w:val="FFFFFF" w:themeColor="background1"/>
              </w:rPr>
              <w:t xml:space="preserve"> (2020)</w:t>
            </w:r>
          </w:p>
        </w:tc>
        <w:tc>
          <w:tcPr>
            <w:tcW w:w="2333" w:type="dxa"/>
            <w:shd w:val="clear" w:color="auto" w:fill="00848F"/>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color w:val="FFFFFF" w:themeColor="background1"/>
              </w:rPr>
              <w:t>$</w:t>
            </w:r>
          </w:p>
        </w:tc>
        <w:tc>
          <w:tcPr>
            <w:tcW w:w="2334" w:type="dxa"/>
            <w:shd w:val="clear" w:color="auto" w:fill="00848F"/>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color w:val="FFFFFF" w:themeColor="background1"/>
              </w:rPr>
              <w:t>$</w:t>
            </w:r>
          </w:p>
        </w:tc>
        <w:tc>
          <w:tcPr>
            <w:tcW w:w="2018" w:type="dxa"/>
            <w:shd w:val="clear" w:color="auto" w:fill="00848F"/>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color w:val="FFFFFF" w:themeColor="background1"/>
              </w:rPr>
              <w:t>$</w:t>
            </w:r>
          </w:p>
        </w:tc>
      </w:tr>
      <w:tr w:rsidR="00F97F6A" w:rsidTr="00DE7C18">
        <w:trPr>
          <w:trHeight w:val="206"/>
        </w:trPr>
        <w:tc>
          <w:tcPr>
            <w:cnfStyle w:val="001000000000" w:firstRow="0" w:lastRow="0" w:firstColumn="1" w:lastColumn="0" w:oddVBand="0" w:evenVBand="0" w:oddHBand="0" w:evenHBand="0" w:firstRowFirstColumn="0" w:firstRowLastColumn="0" w:lastRowFirstColumn="0" w:lastRowLastColumn="0"/>
            <w:tcW w:w="2813" w:type="dxa"/>
          </w:tcPr>
          <w:p w:rsidR="00F97F6A" w:rsidRDefault="00F97F6A" w:rsidP="00187191">
            <w:pPr>
              <w:rPr>
                <w:rFonts w:ascii="Verdana" w:eastAsia="Times" w:hAnsi="Verdana"/>
              </w:rPr>
            </w:pPr>
            <w:r>
              <w:rPr>
                <w:rFonts w:ascii="Verdana" w:eastAsia="Times" w:hAnsi="Verdana"/>
              </w:rPr>
              <w:t>Update policies</w:t>
            </w:r>
          </w:p>
        </w:tc>
        <w:tc>
          <w:tcPr>
            <w:tcW w:w="2333"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$2,772</w:t>
            </w:r>
          </w:p>
        </w:tc>
        <w:tc>
          <w:tcPr>
            <w:tcW w:w="2334"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$2,330</w:t>
            </w:r>
          </w:p>
        </w:tc>
        <w:tc>
          <w:tcPr>
            <w:tcW w:w="2018"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$2,430</w:t>
            </w:r>
          </w:p>
        </w:tc>
      </w:tr>
      <w:tr w:rsidR="00F97F6A" w:rsidTr="00DE7C18">
        <w:trPr>
          <w:trHeight w:val="193"/>
        </w:trPr>
        <w:tc>
          <w:tcPr>
            <w:cnfStyle w:val="001000000000" w:firstRow="0" w:lastRow="0" w:firstColumn="1" w:lastColumn="0" w:oddVBand="0" w:evenVBand="0" w:oddHBand="0" w:evenHBand="0" w:firstRowFirstColumn="0" w:firstRowLastColumn="0" w:lastRowFirstColumn="0" w:lastRowLastColumn="0"/>
            <w:tcW w:w="2813" w:type="dxa"/>
          </w:tcPr>
          <w:p w:rsidR="00F97F6A" w:rsidRDefault="00F97F6A" w:rsidP="00187191">
            <w:pPr>
              <w:rPr>
                <w:rFonts w:ascii="Verdana" w:eastAsia="Times" w:hAnsi="Verdana"/>
              </w:rPr>
            </w:pPr>
            <w:r>
              <w:rPr>
                <w:rFonts w:ascii="Verdana" w:eastAsia="Times" w:hAnsi="Verdana"/>
              </w:rPr>
              <w:t>Upfront training</w:t>
            </w:r>
          </w:p>
        </w:tc>
        <w:tc>
          <w:tcPr>
            <w:tcW w:w="2333"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$1,308</w:t>
            </w:r>
          </w:p>
        </w:tc>
        <w:tc>
          <w:tcPr>
            <w:tcW w:w="2334"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$1,308</w:t>
            </w:r>
          </w:p>
        </w:tc>
        <w:tc>
          <w:tcPr>
            <w:tcW w:w="2018"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$1,308</w:t>
            </w:r>
          </w:p>
        </w:tc>
      </w:tr>
      <w:tr w:rsidR="00F97F6A" w:rsidTr="00DE7C18">
        <w:trPr>
          <w:trHeight w:val="425"/>
        </w:trPr>
        <w:tc>
          <w:tcPr>
            <w:cnfStyle w:val="001000000000" w:firstRow="0" w:lastRow="0" w:firstColumn="1" w:lastColumn="0" w:oddVBand="0" w:evenVBand="0" w:oddHBand="0" w:evenHBand="0" w:firstRowFirstColumn="0" w:firstRowLastColumn="0" w:lastRowFirstColumn="0" w:lastRowLastColumn="0"/>
            <w:tcW w:w="2813" w:type="dxa"/>
            <w:shd w:val="clear" w:color="auto" w:fill="00848F"/>
          </w:tcPr>
          <w:p w:rsidR="00F97F6A" w:rsidRPr="00C25458" w:rsidRDefault="00F97F6A" w:rsidP="00187191">
            <w:pPr>
              <w:rPr>
                <w:rFonts w:ascii="Verdana" w:eastAsia="Times" w:hAnsi="Verdana"/>
                <w:color w:val="FFFFFF" w:themeColor="background1"/>
              </w:rPr>
            </w:pPr>
            <w:r w:rsidRPr="00C25458">
              <w:rPr>
                <w:rFonts w:ascii="Verdana" w:eastAsia="Times" w:hAnsi="Verdana"/>
                <w:color w:val="FFFFFF" w:themeColor="background1"/>
              </w:rPr>
              <w:t>Ongoing annual costs (from 2022)</w:t>
            </w:r>
          </w:p>
        </w:tc>
        <w:tc>
          <w:tcPr>
            <w:tcW w:w="2333" w:type="dxa"/>
            <w:shd w:val="clear" w:color="auto" w:fill="00848F"/>
          </w:tcPr>
          <w:p w:rsidR="00F97F6A" w:rsidRPr="00C25458"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C25458">
              <w:rPr>
                <w:rFonts w:ascii="Verdana" w:eastAsia="Times" w:hAnsi="Verdana"/>
                <w:color w:val="FFFFFF" w:themeColor="background1"/>
              </w:rPr>
              <w:t>$</w:t>
            </w:r>
          </w:p>
        </w:tc>
        <w:tc>
          <w:tcPr>
            <w:tcW w:w="2334" w:type="dxa"/>
            <w:shd w:val="clear" w:color="auto" w:fill="00848F"/>
          </w:tcPr>
          <w:p w:rsidR="00F97F6A" w:rsidRPr="00C25458"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C25458">
              <w:rPr>
                <w:rFonts w:ascii="Verdana" w:eastAsia="Times" w:hAnsi="Verdana"/>
                <w:color w:val="FFFFFF" w:themeColor="background1"/>
              </w:rPr>
              <w:t>$</w:t>
            </w:r>
          </w:p>
        </w:tc>
        <w:tc>
          <w:tcPr>
            <w:tcW w:w="2018" w:type="dxa"/>
            <w:shd w:val="clear" w:color="auto" w:fill="00848F"/>
          </w:tcPr>
          <w:p w:rsidR="00F97F6A" w:rsidRPr="00C25458"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C25458">
              <w:rPr>
                <w:rFonts w:ascii="Verdana" w:eastAsia="Times" w:hAnsi="Verdana"/>
                <w:color w:val="FFFFFF" w:themeColor="background1"/>
              </w:rPr>
              <w:t>$</w:t>
            </w:r>
          </w:p>
        </w:tc>
      </w:tr>
      <w:tr w:rsidR="00F97F6A" w:rsidTr="00DE7C18">
        <w:trPr>
          <w:trHeight w:val="193"/>
        </w:trPr>
        <w:tc>
          <w:tcPr>
            <w:cnfStyle w:val="001000000000" w:firstRow="0" w:lastRow="0" w:firstColumn="1" w:lastColumn="0" w:oddVBand="0" w:evenVBand="0" w:oddHBand="0" w:evenHBand="0" w:firstRowFirstColumn="0" w:firstRowLastColumn="0" w:lastRowFirstColumn="0" w:lastRowLastColumn="0"/>
            <w:tcW w:w="2813" w:type="dxa"/>
          </w:tcPr>
          <w:p w:rsidR="00F97F6A" w:rsidRDefault="00F97F6A" w:rsidP="00187191">
            <w:pPr>
              <w:rPr>
                <w:rFonts w:ascii="Verdana" w:eastAsia="Times" w:hAnsi="Verdana"/>
              </w:rPr>
            </w:pPr>
            <w:r>
              <w:rPr>
                <w:rFonts w:ascii="Verdana" w:eastAsia="Times" w:hAnsi="Verdana"/>
              </w:rPr>
              <w:t>Ongoing training</w:t>
            </w:r>
          </w:p>
        </w:tc>
        <w:tc>
          <w:tcPr>
            <w:tcW w:w="2333"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$169</w:t>
            </w:r>
          </w:p>
        </w:tc>
        <w:tc>
          <w:tcPr>
            <w:tcW w:w="2334"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$169</w:t>
            </w:r>
          </w:p>
        </w:tc>
        <w:tc>
          <w:tcPr>
            <w:tcW w:w="2018"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$169</w:t>
            </w:r>
          </w:p>
        </w:tc>
      </w:tr>
      <w:tr w:rsidR="00F97F6A" w:rsidTr="00DE7C18">
        <w:trPr>
          <w:trHeight w:val="206"/>
        </w:trPr>
        <w:tc>
          <w:tcPr>
            <w:cnfStyle w:val="001000000000" w:firstRow="0" w:lastRow="0" w:firstColumn="1" w:lastColumn="0" w:oddVBand="0" w:evenVBand="0" w:oddHBand="0" w:evenHBand="0" w:firstRowFirstColumn="0" w:firstRowLastColumn="0" w:lastRowFirstColumn="0" w:lastRowLastColumn="0"/>
            <w:tcW w:w="2813" w:type="dxa"/>
          </w:tcPr>
          <w:p w:rsidR="00F97F6A" w:rsidRDefault="006A70C7" w:rsidP="00187191">
            <w:pPr>
              <w:rPr>
                <w:rFonts w:ascii="Verdana" w:eastAsia="Times" w:hAnsi="Verdana"/>
              </w:rPr>
            </w:pPr>
            <w:r>
              <w:rPr>
                <w:rFonts w:ascii="Verdana" w:eastAsia="Times" w:hAnsi="Verdana"/>
              </w:rPr>
              <w:t>Request</w:t>
            </w:r>
          </w:p>
        </w:tc>
        <w:tc>
          <w:tcPr>
            <w:tcW w:w="2333"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$2,206</w:t>
            </w:r>
          </w:p>
        </w:tc>
        <w:tc>
          <w:tcPr>
            <w:tcW w:w="2334"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$302</w:t>
            </w:r>
          </w:p>
        </w:tc>
        <w:tc>
          <w:tcPr>
            <w:tcW w:w="2018"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$731</w:t>
            </w:r>
          </w:p>
        </w:tc>
      </w:tr>
      <w:tr w:rsidR="00F97F6A" w:rsidTr="00DE7C18">
        <w:trPr>
          <w:trHeight w:val="206"/>
        </w:trPr>
        <w:tc>
          <w:tcPr>
            <w:cnfStyle w:val="001000000000" w:firstRow="0" w:lastRow="0" w:firstColumn="1" w:lastColumn="0" w:oddVBand="0" w:evenVBand="0" w:oddHBand="0" w:evenHBand="0" w:firstRowFirstColumn="0" w:firstRowLastColumn="0" w:lastRowFirstColumn="0" w:lastRowLastColumn="0"/>
            <w:tcW w:w="2813" w:type="dxa"/>
          </w:tcPr>
          <w:p w:rsidR="00F97F6A" w:rsidRDefault="00F97F6A" w:rsidP="00187191">
            <w:pPr>
              <w:rPr>
                <w:rFonts w:ascii="Verdana" w:eastAsia="Times" w:hAnsi="Verdana"/>
              </w:rPr>
            </w:pPr>
            <w:r>
              <w:rPr>
                <w:rFonts w:ascii="Verdana" w:eastAsia="Times" w:hAnsi="Verdana"/>
              </w:rPr>
              <w:t>Respond</w:t>
            </w:r>
          </w:p>
        </w:tc>
        <w:tc>
          <w:tcPr>
            <w:tcW w:w="2333"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$1,622</w:t>
            </w:r>
          </w:p>
        </w:tc>
        <w:tc>
          <w:tcPr>
            <w:tcW w:w="2334"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$289</w:t>
            </w:r>
          </w:p>
        </w:tc>
        <w:tc>
          <w:tcPr>
            <w:tcW w:w="2018" w:type="dxa"/>
          </w:tcPr>
          <w:p w:rsidR="00F97F6A" w:rsidRDefault="00F97F6A" w:rsidP="0018719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$590</w:t>
            </w:r>
          </w:p>
        </w:tc>
      </w:tr>
      <w:tr w:rsidR="00332393" w:rsidTr="00DE7C18">
        <w:trPr>
          <w:trHeight w:val="206"/>
        </w:trPr>
        <w:tc>
          <w:tcPr>
            <w:cnfStyle w:val="001000000000" w:firstRow="0" w:lastRow="0" w:firstColumn="1" w:lastColumn="0" w:oddVBand="0" w:evenVBand="0" w:oddHBand="0" w:evenHBand="0" w:firstRowFirstColumn="0" w:firstRowLastColumn="0" w:lastRowFirstColumn="0" w:lastRowLastColumn="0"/>
            <w:tcW w:w="2813" w:type="dxa"/>
          </w:tcPr>
          <w:p w:rsidR="00332393" w:rsidRDefault="00B54DB6" w:rsidP="00332393">
            <w:pPr>
              <w:rPr>
                <w:rFonts w:ascii="Verdana" w:eastAsia="Times" w:hAnsi="Verdana"/>
              </w:rPr>
            </w:pPr>
            <w:r>
              <w:rPr>
                <w:rFonts w:ascii="Verdana" w:eastAsia="Times" w:hAnsi="Verdana"/>
              </w:rPr>
              <w:t>Record k</w:t>
            </w:r>
            <w:r w:rsidR="00332393">
              <w:rPr>
                <w:rFonts w:ascii="Verdana" w:eastAsia="Times" w:hAnsi="Verdana"/>
              </w:rPr>
              <w:t xml:space="preserve">eeping </w:t>
            </w:r>
          </w:p>
        </w:tc>
        <w:tc>
          <w:tcPr>
            <w:tcW w:w="2333"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$1,851</w:t>
            </w:r>
          </w:p>
        </w:tc>
        <w:tc>
          <w:tcPr>
            <w:tcW w:w="2334"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$348</w:t>
            </w:r>
          </w:p>
        </w:tc>
        <w:tc>
          <w:tcPr>
            <w:tcW w:w="2018"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$687</w:t>
            </w:r>
          </w:p>
        </w:tc>
      </w:tr>
      <w:tr w:rsidR="00332393" w:rsidTr="00DE7C18">
        <w:trPr>
          <w:trHeight w:val="412"/>
        </w:trPr>
        <w:tc>
          <w:tcPr>
            <w:cnfStyle w:val="001000000000" w:firstRow="0" w:lastRow="0" w:firstColumn="1" w:lastColumn="0" w:oddVBand="0" w:evenVBand="0" w:oddHBand="0" w:evenHBand="0" w:firstRowFirstColumn="0" w:firstRowLastColumn="0" w:lastRowFirstColumn="0" w:lastRowLastColumn="0"/>
            <w:tcW w:w="2813" w:type="dxa"/>
          </w:tcPr>
          <w:p w:rsidR="00332393" w:rsidRDefault="00332393" w:rsidP="00332393">
            <w:pPr>
              <w:rPr>
                <w:rFonts w:ascii="Verdana" w:eastAsia="Times" w:hAnsi="Verdana"/>
              </w:rPr>
            </w:pPr>
            <w:r>
              <w:rPr>
                <w:rFonts w:ascii="Verdana" w:eastAsia="Times" w:hAnsi="Verdana"/>
              </w:rPr>
              <w:t>Total ongoing annual costs (from 2022)</w:t>
            </w:r>
          </w:p>
        </w:tc>
        <w:tc>
          <w:tcPr>
            <w:tcW w:w="2333"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$5,863</w:t>
            </w:r>
          </w:p>
        </w:tc>
        <w:tc>
          <w:tcPr>
            <w:tcW w:w="2334"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$1,104</w:t>
            </w:r>
          </w:p>
        </w:tc>
        <w:tc>
          <w:tcPr>
            <w:tcW w:w="2018"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$2,177</w:t>
            </w:r>
          </w:p>
        </w:tc>
      </w:tr>
      <w:tr w:rsidR="00332393" w:rsidTr="00DE7C18">
        <w:trPr>
          <w:trHeight w:val="412"/>
        </w:trPr>
        <w:tc>
          <w:tcPr>
            <w:cnfStyle w:val="001000000000" w:firstRow="0" w:lastRow="0" w:firstColumn="1" w:lastColumn="0" w:oddVBand="0" w:evenVBand="0" w:oddHBand="0" w:evenHBand="0" w:firstRowFirstColumn="0" w:firstRowLastColumn="0" w:lastRowFirstColumn="0" w:lastRowLastColumn="0"/>
            <w:tcW w:w="2813" w:type="dxa"/>
          </w:tcPr>
          <w:p w:rsidR="00332393" w:rsidRDefault="00332393" w:rsidP="00332393">
            <w:pPr>
              <w:rPr>
                <w:rFonts w:ascii="Verdana" w:eastAsia="Times" w:hAnsi="Verdana"/>
              </w:rPr>
            </w:pPr>
            <w:r>
              <w:rPr>
                <w:rFonts w:ascii="Verdana" w:eastAsia="Times" w:hAnsi="Verdana"/>
              </w:rPr>
              <w:t>Avg. total 10 year cost per organisation</w:t>
            </w:r>
          </w:p>
        </w:tc>
        <w:tc>
          <w:tcPr>
            <w:tcW w:w="2333" w:type="dxa"/>
          </w:tcPr>
          <w:p w:rsidR="00332393" w:rsidRDefault="00F040D7" w:rsidP="00F040D7">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$59</w:t>
            </w:r>
            <w:r w:rsidR="00332393">
              <w:rPr>
                <w:rFonts w:ascii="Verdana" w:eastAsia="Times" w:hAnsi="Verdana"/>
              </w:rPr>
              <w:t>,</w:t>
            </w:r>
            <w:r>
              <w:rPr>
                <w:rFonts w:ascii="Verdana" w:eastAsia="Times" w:hAnsi="Verdana"/>
              </w:rPr>
              <w:t>948</w:t>
            </w:r>
          </w:p>
        </w:tc>
        <w:tc>
          <w:tcPr>
            <w:tcW w:w="2334"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w:t>
            </w:r>
            <w:r w:rsidR="00F040D7">
              <w:rPr>
                <w:rFonts w:ascii="Verdana" w:eastAsia="Times" w:hAnsi="Verdana"/>
              </w:rPr>
              <w:t>13,890</w:t>
            </w:r>
          </w:p>
        </w:tc>
        <w:tc>
          <w:tcPr>
            <w:tcW w:w="2018" w:type="dxa"/>
          </w:tcPr>
          <w:p w:rsidR="00332393" w:rsidRDefault="00332393" w:rsidP="00332393">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$24,277</w:t>
            </w:r>
          </w:p>
        </w:tc>
      </w:tr>
      <w:tr w:rsidR="00332393" w:rsidTr="00BB3629">
        <w:trPr>
          <w:trHeight w:val="123"/>
        </w:trPr>
        <w:tc>
          <w:tcPr>
            <w:cnfStyle w:val="001000000000" w:firstRow="0" w:lastRow="0" w:firstColumn="1" w:lastColumn="0" w:oddVBand="0" w:evenVBand="0" w:oddHBand="0" w:evenHBand="0" w:firstRowFirstColumn="0" w:firstRowLastColumn="0" w:lastRowFirstColumn="0" w:lastRowLastColumn="0"/>
            <w:tcW w:w="9498" w:type="dxa"/>
            <w:gridSpan w:val="4"/>
          </w:tcPr>
          <w:p w:rsidR="00332393" w:rsidRPr="00792DC3" w:rsidRDefault="00332393" w:rsidP="00332393">
            <w:pPr>
              <w:rPr>
                <w:rFonts w:ascii="Verdana" w:eastAsia="Times" w:hAnsi="Verdana"/>
                <w:sz w:val="16"/>
                <w:szCs w:val="16"/>
              </w:rPr>
            </w:pPr>
            <w:r w:rsidRPr="00792DC3">
              <w:rPr>
                <w:rFonts w:ascii="Verdana" w:hAnsi="Verdana"/>
                <w:i/>
                <w:sz w:val="16"/>
                <w:szCs w:val="16"/>
              </w:rPr>
              <w:t>Source: ACIL Allen Consulting 2019</w:t>
            </w:r>
          </w:p>
        </w:tc>
      </w:tr>
    </w:tbl>
    <w:p w:rsidR="004B023E" w:rsidRPr="008300B7" w:rsidRDefault="00BD0C56" w:rsidP="008300B7">
      <w:pPr>
        <w:pStyle w:val="Heading3"/>
        <w:rPr>
          <w:rFonts w:ascii="Verdana" w:hAnsi="Verdana"/>
        </w:rPr>
      </w:pPr>
      <w:r>
        <w:rPr>
          <w:rFonts w:ascii="Verdana" w:hAnsi="Verdana"/>
        </w:rPr>
        <w:lastRenderedPageBreak/>
        <w:t>Cost</w:t>
      </w:r>
      <w:r w:rsidR="00053F3B">
        <w:rPr>
          <w:rFonts w:ascii="Verdana" w:hAnsi="Verdana"/>
        </w:rPr>
        <w:t xml:space="preserve"> impacts by workforce category</w:t>
      </w:r>
    </w:p>
    <w:p w:rsidR="004B023E" w:rsidRDefault="004B023E" w:rsidP="004B023E">
      <w:pPr>
        <w:pStyle w:val="WOVGbody"/>
        <w:rPr>
          <w:rFonts w:ascii="Verdana" w:hAnsi="Verdana"/>
        </w:rPr>
      </w:pPr>
      <w:r>
        <w:rPr>
          <w:rFonts w:ascii="Verdana" w:hAnsi="Verdana"/>
        </w:rPr>
        <w:t xml:space="preserve">ISEs proposed for prescription under Phase Two of the CIS Scheme </w:t>
      </w:r>
      <w:r w:rsidR="00AF3B21">
        <w:rPr>
          <w:rFonts w:ascii="Verdana" w:hAnsi="Verdana"/>
        </w:rPr>
        <w:t>represent</w:t>
      </w:r>
      <w:r>
        <w:rPr>
          <w:rFonts w:ascii="Verdana" w:hAnsi="Verdana"/>
        </w:rPr>
        <w:t xml:space="preserve"> a broad r</w:t>
      </w:r>
      <w:r w:rsidR="005C18D7">
        <w:rPr>
          <w:rFonts w:ascii="Verdana" w:hAnsi="Verdana"/>
        </w:rPr>
        <w:t>ange of services and workforces. I</w:t>
      </w:r>
      <w:r>
        <w:rPr>
          <w:rFonts w:ascii="Verdana" w:hAnsi="Verdana"/>
        </w:rPr>
        <w:t xml:space="preserve">n order to </w:t>
      </w:r>
      <w:r w:rsidR="00AF3B21">
        <w:rPr>
          <w:rFonts w:ascii="Verdana" w:hAnsi="Verdana"/>
        </w:rPr>
        <w:t xml:space="preserve">model the </w:t>
      </w:r>
      <w:r>
        <w:rPr>
          <w:rFonts w:ascii="Verdana" w:hAnsi="Verdana"/>
        </w:rPr>
        <w:t xml:space="preserve">impact across workforces, this RIS </w:t>
      </w:r>
      <w:r w:rsidRPr="002B10AB">
        <w:rPr>
          <w:rFonts w:ascii="Verdana" w:hAnsi="Verdana"/>
        </w:rPr>
        <w:t>group</w:t>
      </w:r>
      <w:r>
        <w:rPr>
          <w:rFonts w:ascii="Verdana" w:hAnsi="Verdana"/>
        </w:rPr>
        <w:t>s</w:t>
      </w:r>
      <w:r w:rsidRPr="002B10AB">
        <w:rPr>
          <w:rFonts w:ascii="Verdana" w:hAnsi="Verdana"/>
        </w:rPr>
        <w:t xml:space="preserve"> </w:t>
      </w:r>
      <w:r>
        <w:rPr>
          <w:rFonts w:ascii="Verdana" w:hAnsi="Verdana"/>
        </w:rPr>
        <w:t>workforces</w:t>
      </w:r>
      <w:r w:rsidRPr="002B10AB">
        <w:rPr>
          <w:rFonts w:ascii="Verdana" w:hAnsi="Verdana"/>
        </w:rPr>
        <w:t xml:space="preserve"> together where they are similar in their service offering and cost impacts per </w:t>
      </w:r>
      <w:r w:rsidRPr="008300B7">
        <w:rPr>
          <w:rFonts w:ascii="Verdana" w:hAnsi="Verdana"/>
        </w:rPr>
        <w:t xml:space="preserve">workforce </w:t>
      </w:r>
      <w:r w:rsidRPr="002B10AB">
        <w:rPr>
          <w:rFonts w:ascii="Verdana" w:hAnsi="Verdana"/>
        </w:rPr>
        <w:t>member</w:t>
      </w:r>
      <w:r>
        <w:rPr>
          <w:rFonts w:ascii="Verdana" w:hAnsi="Verdana"/>
        </w:rPr>
        <w:t>.</w:t>
      </w:r>
    </w:p>
    <w:p w:rsidR="001C510F" w:rsidRPr="002B10AB" w:rsidRDefault="001C510F" w:rsidP="001C510F">
      <w:pPr>
        <w:pStyle w:val="WOVGbody"/>
        <w:rPr>
          <w:rFonts w:ascii="Verdana" w:hAnsi="Verdana"/>
        </w:rPr>
      </w:pPr>
      <w:r>
        <w:rPr>
          <w:rFonts w:ascii="Verdana" w:hAnsi="Verdana"/>
        </w:rPr>
        <w:t>The resulting six workforce categories are listed below:</w:t>
      </w:r>
    </w:p>
    <w:p w:rsidR="001C510F" w:rsidRDefault="001C510F" w:rsidP="00A76FAF">
      <w:pPr>
        <w:pStyle w:val="WOVGbody"/>
        <w:numPr>
          <w:ilvl w:val="0"/>
          <w:numId w:val="42"/>
        </w:numPr>
        <w:ind w:left="426"/>
        <w:rPr>
          <w:rFonts w:ascii="Verdana" w:hAnsi="Verdana"/>
        </w:rPr>
      </w:pPr>
      <w:r>
        <w:rPr>
          <w:rFonts w:ascii="Verdana" w:hAnsi="Verdana"/>
        </w:rPr>
        <w:t>Schools (including student disengagement and wellbeing services)</w:t>
      </w:r>
    </w:p>
    <w:p w:rsidR="001C510F" w:rsidRDefault="001C510F" w:rsidP="00A76FAF">
      <w:pPr>
        <w:pStyle w:val="WOVGbody"/>
        <w:numPr>
          <w:ilvl w:val="0"/>
          <w:numId w:val="42"/>
        </w:numPr>
        <w:ind w:left="426"/>
        <w:rPr>
          <w:rFonts w:ascii="Verdana" w:hAnsi="Verdana"/>
        </w:rPr>
      </w:pPr>
      <w:r>
        <w:rPr>
          <w:rFonts w:ascii="Verdana" w:hAnsi="Verdana"/>
        </w:rPr>
        <w:t>Early child</w:t>
      </w:r>
      <w:r w:rsidR="00B54DB6">
        <w:rPr>
          <w:rFonts w:ascii="Verdana" w:hAnsi="Verdana"/>
        </w:rPr>
        <w:t>hood education and care</w:t>
      </w:r>
      <w:r>
        <w:rPr>
          <w:rFonts w:ascii="Verdana" w:hAnsi="Verdana"/>
        </w:rPr>
        <w:t xml:space="preserve"> (ECEC</w:t>
      </w:r>
      <w:r w:rsidR="00B54DB6">
        <w:rPr>
          <w:rFonts w:ascii="Verdana" w:hAnsi="Verdana"/>
        </w:rPr>
        <w:t>) provider</w:t>
      </w:r>
    </w:p>
    <w:p w:rsidR="001C510F" w:rsidRDefault="001C510F" w:rsidP="00A76FAF">
      <w:pPr>
        <w:pStyle w:val="WOVGbody"/>
        <w:numPr>
          <w:ilvl w:val="0"/>
          <w:numId w:val="42"/>
        </w:numPr>
        <w:ind w:left="426"/>
        <w:rPr>
          <w:rFonts w:ascii="Verdana" w:hAnsi="Verdana"/>
        </w:rPr>
      </w:pPr>
      <w:r>
        <w:rPr>
          <w:rFonts w:ascii="Verdana" w:hAnsi="Verdana"/>
        </w:rPr>
        <w:t>Out</w:t>
      </w:r>
      <w:r w:rsidR="004173F9">
        <w:rPr>
          <w:rFonts w:ascii="Verdana" w:hAnsi="Verdana"/>
        </w:rPr>
        <w:t>side school</w:t>
      </w:r>
      <w:r>
        <w:rPr>
          <w:rFonts w:ascii="Verdana" w:hAnsi="Verdana"/>
        </w:rPr>
        <w:t xml:space="preserve"> hours care (OSHC</w:t>
      </w:r>
      <w:r w:rsidR="00B54DB6">
        <w:rPr>
          <w:rFonts w:ascii="Verdana" w:hAnsi="Verdana"/>
        </w:rPr>
        <w:t>) provider</w:t>
      </w:r>
    </w:p>
    <w:p w:rsidR="001C510F" w:rsidRDefault="001C510F" w:rsidP="00A76FAF">
      <w:pPr>
        <w:pStyle w:val="WOVGbody"/>
        <w:numPr>
          <w:ilvl w:val="0"/>
          <w:numId w:val="42"/>
        </w:numPr>
        <w:ind w:left="426"/>
        <w:rPr>
          <w:rFonts w:ascii="Verdana" w:hAnsi="Verdana"/>
        </w:rPr>
      </w:pPr>
      <w:r>
        <w:rPr>
          <w:rFonts w:ascii="Verdana" w:hAnsi="Verdana"/>
        </w:rPr>
        <w:t>Health and support services</w:t>
      </w:r>
    </w:p>
    <w:p w:rsidR="00BD0C56" w:rsidRDefault="001C510F" w:rsidP="00A76FAF">
      <w:pPr>
        <w:pStyle w:val="WOVGbody"/>
        <w:numPr>
          <w:ilvl w:val="0"/>
          <w:numId w:val="42"/>
        </w:numPr>
        <w:ind w:left="426"/>
        <w:rPr>
          <w:rFonts w:ascii="Verdana" w:hAnsi="Verdana"/>
        </w:rPr>
      </w:pPr>
      <w:r>
        <w:rPr>
          <w:rFonts w:ascii="Verdana" w:hAnsi="Verdana"/>
        </w:rPr>
        <w:t>Hospitals</w:t>
      </w:r>
    </w:p>
    <w:p w:rsidR="00987C28" w:rsidRDefault="001C510F" w:rsidP="00A76FAF">
      <w:pPr>
        <w:pStyle w:val="WOVGbody"/>
        <w:numPr>
          <w:ilvl w:val="0"/>
          <w:numId w:val="42"/>
        </w:numPr>
        <w:ind w:left="426"/>
        <w:rPr>
          <w:rFonts w:ascii="Verdana" w:hAnsi="Verdana"/>
        </w:rPr>
      </w:pPr>
      <w:r w:rsidRPr="00BD0C56">
        <w:rPr>
          <w:rFonts w:ascii="Verdana" w:hAnsi="Verdana"/>
        </w:rPr>
        <w:t>Government statutory bodies and organisations/services</w:t>
      </w:r>
    </w:p>
    <w:p w:rsidR="00944F2B" w:rsidRDefault="00944F2B" w:rsidP="007D7CC7">
      <w:pPr>
        <w:pStyle w:val="WOVGbody"/>
        <w:rPr>
          <w:rFonts w:ascii="Verdana" w:hAnsi="Verdana"/>
        </w:rPr>
      </w:pPr>
      <w:r w:rsidRPr="00394F18">
        <w:rPr>
          <w:rFonts w:ascii="Verdana" w:hAnsi="Verdana"/>
          <w:b/>
        </w:rPr>
        <w:t xml:space="preserve">Table </w:t>
      </w:r>
      <w:r>
        <w:rPr>
          <w:rFonts w:ascii="Verdana" w:hAnsi="Verdana"/>
          <w:b/>
        </w:rPr>
        <w:t xml:space="preserve">ES.5 </w:t>
      </w:r>
      <w:r w:rsidR="007D7CC7">
        <w:rPr>
          <w:rFonts w:ascii="Verdana" w:hAnsi="Verdana"/>
          <w:b/>
        </w:rPr>
        <w:t xml:space="preserve">Average annual upfront and </w:t>
      </w:r>
      <w:r w:rsidR="007D7CC7" w:rsidRPr="004A1C5C">
        <w:rPr>
          <w:rFonts w:ascii="Verdana" w:hAnsi="Verdana"/>
          <w:b/>
        </w:rPr>
        <w:t>ongoing costs per organisation by workforce group (2022)</w:t>
      </w:r>
    </w:p>
    <w:tbl>
      <w:tblPr>
        <w:tblStyle w:val="TableGrid"/>
        <w:tblW w:w="4917" w:type="pct"/>
        <w:tblLook w:val="04A0" w:firstRow="1" w:lastRow="0" w:firstColumn="1" w:lastColumn="0" w:noHBand="0" w:noVBand="1"/>
      </w:tblPr>
      <w:tblGrid>
        <w:gridCol w:w="1931"/>
        <w:gridCol w:w="844"/>
        <w:gridCol w:w="885"/>
        <w:gridCol w:w="928"/>
        <w:gridCol w:w="994"/>
        <w:gridCol w:w="1106"/>
        <w:gridCol w:w="1192"/>
        <w:gridCol w:w="1476"/>
      </w:tblGrid>
      <w:tr w:rsidR="00BD0C56" w:rsidRPr="00F93BA1" w:rsidTr="00DE7C1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32" w:type="pct"/>
            <w:vMerge w:val="restart"/>
            <w:tcBorders>
              <w:top w:val="single" w:sz="4" w:space="0" w:color="auto"/>
              <w:left w:val="single" w:sz="4" w:space="0" w:color="auto"/>
              <w:bottom w:val="single" w:sz="4" w:space="0" w:color="53565A" w:themeColor="accent1"/>
              <w:right w:val="single" w:sz="4" w:space="0" w:color="auto"/>
            </w:tcBorders>
          </w:tcPr>
          <w:p w:rsidR="00BD0C56" w:rsidRPr="002112EE" w:rsidRDefault="00BD0C56" w:rsidP="00DB6DBE">
            <w:pPr>
              <w:pStyle w:val="WOVGbody"/>
              <w:rPr>
                <w:rFonts w:ascii="Verdana" w:hAnsi="Verdana"/>
                <w:color w:val="FFFFFF" w:themeColor="background1"/>
                <w:sz w:val="16"/>
              </w:rPr>
            </w:pPr>
            <w:r w:rsidRPr="002112EE">
              <w:rPr>
                <w:rFonts w:ascii="Verdana" w:hAnsi="Verdana"/>
                <w:color w:val="FFFFFF" w:themeColor="background1"/>
                <w:sz w:val="16"/>
              </w:rPr>
              <w:t>Workforce group</w:t>
            </w:r>
          </w:p>
        </w:tc>
        <w:tc>
          <w:tcPr>
            <w:tcW w:w="923" w:type="pct"/>
            <w:gridSpan w:val="2"/>
            <w:tcBorders>
              <w:top w:val="nil"/>
              <w:left w:val="single" w:sz="4" w:space="0" w:color="auto"/>
              <w:bottom w:val="nil"/>
              <w:right w:val="single" w:sz="4" w:space="0" w:color="auto"/>
            </w:tcBorders>
          </w:tcPr>
          <w:p w:rsidR="00BD0C56" w:rsidRPr="002112EE" w:rsidRDefault="00BD0C56" w:rsidP="00DB6DB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Upfront Costs</w:t>
            </w:r>
          </w:p>
        </w:tc>
        <w:tc>
          <w:tcPr>
            <w:tcW w:w="2255" w:type="pct"/>
            <w:gridSpan w:val="4"/>
            <w:tcBorders>
              <w:top w:val="nil"/>
              <w:left w:val="single" w:sz="4" w:space="0" w:color="auto"/>
              <w:bottom w:val="nil"/>
            </w:tcBorders>
          </w:tcPr>
          <w:p w:rsidR="00BD0C56" w:rsidRPr="002112EE" w:rsidRDefault="00BD0C56" w:rsidP="00DB6DB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Pr>
                <w:rFonts w:ascii="Verdana" w:hAnsi="Verdana"/>
                <w:color w:val="FFFFFF" w:themeColor="background1"/>
                <w:sz w:val="16"/>
              </w:rPr>
              <w:t>Ongoing Costs in 2022</w:t>
            </w:r>
          </w:p>
        </w:tc>
        <w:tc>
          <w:tcPr>
            <w:tcW w:w="789" w:type="pct"/>
            <w:tcBorders>
              <w:top w:val="nil"/>
              <w:left w:val="single" w:sz="4" w:space="0" w:color="auto"/>
              <w:bottom w:val="nil"/>
            </w:tcBorders>
          </w:tcPr>
          <w:p w:rsidR="00BD0C56" w:rsidRPr="002112EE" w:rsidRDefault="00BD0C56" w:rsidP="00DB6DB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p>
        </w:tc>
      </w:tr>
      <w:tr w:rsidR="00DE7C18" w:rsidRPr="00F93BA1" w:rsidTr="00DE7C18">
        <w:trPr>
          <w:trHeight w:val="759"/>
        </w:trPr>
        <w:tc>
          <w:tcPr>
            <w:cnfStyle w:val="001000000000" w:firstRow="0" w:lastRow="0" w:firstColumn="1" w:lastColumn="0" w:oddVBand="0" w:evenVBand="0" w:oddHBand="0" w:evenHBand="0" w:firstRowFirstColumn="0" w:firstRowLastColumn="0" w:lastRowFirstColumn="0" w:lastRowLastColumn="0"/>
            <w:tcW w:w="1032" w:type="pct"/>
            <w:vMerge/>
            <w:tcBorders>
              <w:top w:val="single" w:sz="4" w:space="0" w:color="auto"/>
              <w:right w:val="single" w:sz="4" w:space="0" w:color="auto"/>
            </w:tcBorders>
          </w:tcPr>
          <w:p w:rsidR="00BD0C56" w:rsidRPr="002112EE" w:rsidRDefault="00BD0C56" w:rsidP="00DB6DBE">
            <w:pPr>
              <w:pStyle w:val="WOVGbody"/>
              <w:rPr>
                <w:rFonts w:ascii="Verdana" w:hAnsi="Verdana"/>
                <w:color w:val="FFFFFF" w:themeColor="background1"/>
                <w:sz w:val="16"/>
              </w:rPr>
            </w:pPr>
          </w:p>
        </w:tc>
        <w:tc>
          <w:tcPr>
            <w:tcW w:w="451" w:type="pct"/>
            <w:tcBorders>
              <w:top w:val="nil"/>
              <w:left w:val="single" w:sz="4" w:space="0" w:color="auto"/>
              <w:bottom w:val="nil"/>
              <w:right w:val="nil"/>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Update Policies</w:t>
            </w:r>
          </w:p>
        </w:tc>
        <w:tc>
          <w:tcPr>
            <w:tcW w:w="473" w:type="pct"/>
            <w:tcBorders>
              <w:top w:val="nil"/>
              <w:left w:val="nil"/>
              <w:bottom w:val="nil"/>
              <w:right w:val="single" w:sz="4" w:space="0" w:color="auto"/>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Upfront training</w:t>
            </w:r>
          </w:p>
        </w:tc>
        <w:tc>
          <w:tcPr>
            <w:tcW w:w="496" w:type="pct"/>
            <w:tcBorders>
              <w:top w:val="nil"/>
              <w:left w:val="single" w:sz="4" w:space="0" w:color="auto"/>
              <w:bottom w:val="nil"/>
              <w:right w:val="nil"/>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Ongoing training</w:t>
            </w:r>
          </w:p>
        </w:tc>
        <w:tc>
          <w:tcPr>
            <w:tcW w:w="531" w:type="pct"/>
            <w:tcBorders>
              <w:top w:val="nil"/>
              <w:left w:val="nil"/>
              <w:bottom w:val="nil"/>
              <w:right w:val="nil"/>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Requests</w:t>
            </w:r>
          </w:p>
        </w:tc>
        <w:tc>
          <w:tcPr>
            <w:tcW w:w="591" w:type="pct"/>
            <w:tcBorders>
              <w:top w:val="nil"/>
              <w:left w:val="nil"/>
              <w:bottom w:val="nil"/>
              <w:right w:val="nil"/>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Respond</w:t>
            </w:r>
          </w:p>
        </w:tc>
        <w:tc>
          <w:tcPr>
            <w:tcW w:w="636" w:type="pct"/>
            <w:tcBorders>
              <w:top w:val="nil"/>
              <w:left w:val="nil"/>
              <w:bottom w:val="nil"/>
              <w:right w:val="single" w:sz="4" w:space="0" w:color="auto"/>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szCs w:val="16"/>
              </w:rPr>
            </w:pPr>
            <w:r w:rsidRPr="002112EE">
              <w:rPr>
                <w:rFonts w:ascii="Verdana" w:hAnsi="Verdana"/>
                <w:color w:val="FFFFFF" w:themeColor="background1"/>
                <w:sz w:val="16"/>
              </w:rPr>
              <w:t>Record</w:t>
            </w:r>
          </w:p>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szCs w:val="16"/>
              </w:rPr>
              <w:t>Keeping</w:t>
            </w:r>
          </w:p>
        </w:tc>
        <w:tc>
          <w:tcPr>
            <w:tcW w:w="789" w:type="pct"/>
            <w:tcBorders>
              <w:top w:val="nil"/>
              <w:left w:val="single" w:sz="4" w:space="0" w:color="auto"/>
              <w:bottom w:val="nil"/>
              <w:right w:val="single" w:sz="4" w:space="0" w:color="auto"/>
            </w:tcBorders>
            <w:shd w:val="clear" w:color="auto" w:fill="53565A" w:themeFill="accent1"/>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Annual ongoing costs (excl.</w:t>
            </w:r>
            <w:r>
              <w:rPr>
                <w:rFonts w:ascii="Verdana" w:hAnsi="Verdana"/>
                <w:color w:val="FFFFFF" w:themeColor="background1"/>
                <w:sz w:val="16"/>
              </w:rPr>
              <w:t xml:space="preserve"> </w:t>
            </w:r>
            <w:r w:rsidRPr="002112EE">
              <w:rPr>
                <w:rFonts w:ascii="Verdana" w:hAnsi="Verdana"/>
                <w:color w:val="FFFFFF" w:themeColor="background1"/>
                <w:sz w:val="16"/>
              </w:rPr>
              <w:t>upfront)</w:t>
            </w:r>
          </w:p>
        </w:tc>
      </w:tr>
      <w:tr w:rsidR="00DE7C18" w:rsidRPr="00F93BA1" w:rsidTr="00DE7C18">
        <w:trPr>
          <w:trHeight w:val="263"/>
        </w:trPr>
        <w:tc>
          <w:tcPr>
            <w:cnfStyle w:val="001000000000" w:firstRow="0" w:lastRow="0" w:firstColumn="1" w:lastColumn="0" w:oddVBand="0" w:evenVBand="0" w:oddHBand="0" w:evenHBand="0" w:firstRowFirstColumn="0" w:firstRowLastColumn="0" w:lastRowFirstColumn="0" w:lastRowLastColumn="0"/>
            <w:tcW w:w="1032" w:type="pct"/>
            <w:shd w:val="clear" w:color="auto" w:fill="00848F" w:themeFill="accent2"/>
          </w:tcPr>
          <w:p w:rsidR="00BD0C56" w:rsidRPr="002112EE" w:rsidRDefault="00BD0C56" w:rsidP="00DB6DBE">
            <w:pPr>
              <w:pStyle w:val="WOVGbody"/>
              <w:rPr>
                <w:rFonts w:ascii="Verdana" w:hAnsi="Verdana"/>
                <w:sz w:val="16"/>
              </w:rPr>
            </w:pPr>
          </w:p>
        </w:tc>
        <w:tc>
          <w:tcPr>
            <w:tcW w:w="451"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473"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496"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31"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91"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636"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789" w:type="pct"/>
            <w:tcBorders>
              <w:top w:val="nil"/>
            </w:tcBorders>
            <w:shd w:val="clear" w:color="auto" w:fill="00848F" w:themeFill="accent2"/>
          </w:tcPr>
          <w:p w:rsidR="00BD0C56" w:rsidRPr="002112EE" w:rsidRDefault="00BD0C56" w:rsidP="00DB6DB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szCs w:val="16"/>
              </w:rPr>
              <w:t>$</w:t>
            </w:r>
          </w:p>
        </w:tc>
      </w:tr>
      <w:tr w:rsidR="00DE7C18" w:rsidRPr="00F93BA1" w:rsidTr="00DE7C18">
        <w:trPr>
          <w:trHeight w:val="274"/>
        </w:trPr>
        <w:tc>
          <w:tcPr>
            <w:cnfStyle w:val="001000000000" w:firstRow="0" w:lastRow="0" w:firstColumn="1" w:lastColumn="0" w:oddVBand="0" w:evenVBand="0" w:oddHBand="0" w:evenHBand="0" w:firstRowFirstColumn="0" w:firstRowLastColumn="0" w:lastRowFirstColumn="0" w:lastRowLastColumn="0"/>
            <w:tcW w:w="1032" w:type="pct"/>
          </w:tcPr>
          <w:p w:rsidR="00BD0C56" w:rsidRPr="002112EE" w:rsidRDefault="00BD0C56" w:rsidP="00DB6DBE">
            <w:pPr>
              <w:pStyle w:val="WOVGbody"/>
              <w:rPr>
                <w:rFonts w:ascii="Verdana" w:hAnsi="Verdana"/>
                <w:sz w:val="16"/>
              </w:rPr>
            </w:pPr>
            <w:r w:rsidRPr="002112EE">
              <w:rPr>
                <w:rFonts w:ascii="Verdana" w:hAnsi="Verdana"/>
                <w:sz w:val="16"/>
              </w:rPr>
              <w:t>Grp 1: Schools</w:t>
            </w:r>
          </w:p>
        </w:tc>
        <w:tc>
          <w:tcPr>
            <w:tcW w:w="45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$2,507</w:t>
            </w:r>
          </w:p>
        </w:tc>
        <w:tc>
          <w:tcPr>
            <w:tcW w:w="473"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3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$637</w:t>
            </w:r>
          </w:p>
        </w:tc>
        <w:tc>
          <w:tcPr>
            <w:tcW w:w="59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610</w:t>
            </w:r>
          </w:p>
        </w:tc>
        <w:tc>
          <w:tcPr>
            <w:tcW w:w="63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376</w:t>
            </w:r>
          </w:p>
        </w:tc>
        <w:tc>
          <w:tcPr>
            <w:tcW w:w="789"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$1,792</w:t>
            </w:r>
          </w:p>
        </w:tc>
      </w:tr>
      <w:tr w:rsidR="00DE7C18" w:rsidRPr="00F93BA1" w:rsidTr="00DE7C18">
        <w:trPr>
          <w:trHeight w:val="463"/>
        </w:trPr>
        <w:tc>
          <w:tcPr>
            <w:cnfStyle w:val="001000000000" w:firstRow="0" w:lastRow="0" w:firstColumn="1" w:lastColumn="0" w:oddVBand="0" w:evenVBand="0" w:oddHBand="0" w:evenHBand="0" w:firstRowFirstColumn="0" w:firstRowLastColumn="0" w:lastRowFirstColumn="0" w:lastRowLastColumn="0"/>
            <w:tcW w:w="1032" w:type="pct"/>
          </w:tcPr>
          <w:p w:rsidR="00BD0C56" w:rsidRPr="002112EE" w:rsidRDefault="00BD0C56" w:rsidP="00DB6DBE">
            <w:pPr>
              <w:pStyle w:val="WOVGbody"/>
              <w:rPr>
                <w:rFonts w:ascii="Verdana" w:hAnsi="Verdana"/>
                <w:sz w:val="16"/>
              </w:rPr>
            </w:pPr>
            <w:r w:rsidRPr="002112EE">
              <w:rPr>
                <w:rFonts w:ascii="Verdana" w:hAnsi="Verdana"/>
                <w:sz w:val="16"/>
              </w:rPr>
              <w:t>Grp 2: ECEC provider</w:t>
            </w:r>
          </w:p>
        </w:tc>
        <w:tc>
          <w:tcPr>
            <w:tcW w:w="45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$1,728</w:t>
            </w:r>
          </w:p>
        </w:tc>
        <w:tc>
          <w:tcPr>
            <w:tcW w:w="473"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3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$286</w:t>
            </w:r>
          </w:p>
        </w:tc>
        <w:tc>
          <w:tcPr>
            <w:tcW w:w="59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187</w:t>
            </w:r>
          </w:p>
        </w:tc>
        <w:tc>
          <w:tcPr>
            <w:tcW w:w="63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472</w:t>
            </w:r>
          </w:p>
        </w:tc>
        <w:tc>
          <w:tcPr>
            <w:tcW w:w="789"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$1,114</w:t>
            </w:r>
          </w:p>
        </w:tc>
      </w:tr>
      <w:tr w:rsidR="00DE7C18" w:rsidRPr="00F93BA1" w:rsidTr="00DE7C18">
        <w:trPr>
          <w:trHeight w:val="453"/>
        </w:trPr>
        <w:tc>
          <w:tcPr>
            <w:cnfStyle w:val="001000000000" w:firstRow="0" w:lastRow="0" w:firstColumn="1" w:lastColumn="0" w:oddVBand="0" w:evenVBand="0" w:oddHBand="0" w:evenHBand="0" w:firstRowFirstColumn="0" w:firstRowLastColumn="0" w:lastRowFirstColumn="0" w:lastRowLastColumn="0"/>
            <w:tcW w:w="1032" w:type="pct"/>
          </w:tcPr>
          <w:p w:rsidR="00BD0C56" w:rsidRPr="002112EE" w:rsidRDefault="00BD0C56" w:rsidP="00DB6DBE">
            <w:pPr>
              <w:pStyle w:val="WOVGbody"/>
              <w:rPr>
                <w:rFonts w:ascii="Verdana" w:hAnsi="Verdana"/>
                <w:sz w:val="16"/>
              </w:rPr>
            </w:pPr>
            <w:r w:rsidRPr="002112EE">
              <w:rPr>
                <w:rFonts w:ascii="Verdana" w:hAnsi="Verdana"/>
                <w:sz w:val="16"/>
              </w:rPr>
              <w:t>Grp 3: OSHC provider</w:t>
            </w:r>
          </w:p>
        </w:tc>
        <w:tc>
          <w:tcPr>
            <w:tcW w:w="45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$1,265</w:t>
            </w:r>
          </w:p>
        </w:tc>
        <w:tc>
          <w:tcPr>
            <w:tcW w:w="473"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3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$140</w:t>
            </w:r>
          </w:p>
        </w:tc>
        <w:tc>
          <w:tcPr>
            <w:tcW w:w="59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56</w:t>
            </w:r>
          </w:p>
        </w:tc>
        <w:tc>
          <w:tcPr>
            <w:tcW w:w="63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138</w:t>
            </w:r>
          </w:p>
        </w:tc>
        <w:tc>
          <w:tcPr>
            <w:tcW w:w="789"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$503</w:t>
            </w:r>
          </w:p>
        </w:tc>
      </w:tr>
      <w:tr w:rsidR="00DE7C18" w:rsidRPr="00F93BA1" w:rsidTr="00DE7C18">
        <w:trPr>
          <w:trHeight w:val="463"/>
        </w:trPr>
        <w:tc>
          <w:tcPr>
            <w:cnfStyle w:val="001000000000" w:firstRow="0" w:lastRow="0" w:firstColumn="1" w:lastColumn="0" w:oddVBand="0" w:evenVBand="0" w:oddHBand="0" w:evenHBand="0" w:firstRowFirstColumn="0" w:firstRowLastColumn="0" w:lastRowFirstColumn="0" w:lastRowLastColumn="0"/>
            <w:tcW w:w="1032" w:type="pct"/>
          </w:tcPr>
          <w:p w:rsidR="00BD0C56" w:rsidRPr="002112EE" w:rsidRDefault="00BD0C56" w:rsidP="00DB6DBE">
            <w:pPr>
              <w:pStyle w:val="WOVGbody"/>
              <w:rPr>
                <w:rFonts w:ascii="Verdana" w:hAnsi="Verdana"/>
                <w:sz w:val="16"/>
              </w:rPr>
            </w:pPr>
            <w:r w:rsidRPr="002112EE">
              <w:rPr>
                <w:rFonts w:ascii="Verdana" w:hAnsi="Verdana"/>
                <w:sz w:val="16"/>
              </w:rPr>
              <w:t>Grp 4: Health and support services</w:t>
            </w:r>
          </w:p>
        </w:tc>
        <w:tc>
          <w:tcPr>
            <w:tcW w:w="45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$3,292</w:t>
            </w:r>
          </w:p>
        </w:tc>
        <w:tc>
          <w:tcPr>
            <w:tcW w:w="473"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3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$155</w:t>
            </w:r>
          </w:p>
        </w:tc>
        <w:tc>
          <w:tcPr>
            <w:tcW w:w="59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333</w:t>
            </w:r>
          </w:p>
        </w:tc>
        <w:tc>
          <w:tcPr>
            <w:tcW w:w="63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174</w:t>
            </w:r>
          </w:p>
        </w:tc>
        <w:tc>
          <w:tcPr>
            <w:tcW w:w="789"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$831</w:t>
            </w:r>
          </w:p>
        </w:tc>
      </w:tr>
      <w:tr w:rsidR="00DE7C18" w:rsidRPr="00F93BA1" w:rsidTr="00DE7C18">
        <w:trPr>
          <w:trHeight w:val="274"/>
        </w:trPr>
        <w:tc>
          <w:tcPr>
            <w:cnfStyle w:val="001000000000" w:firstRow="0" w:lastRow="0" w:firstColumn="1" w:lastColumn="0" w:oddVBand="0" w:evenVBand="0" w:oddHBand="0" w:evenHBand="0" w:firstRowFirstColumn="0" w:firstRowLastColumn="0" w:lastRowFirstColumn="0" w:lastRowLastColumn="0"/>
            <w:tcW w:w="1032" w:type="pct"/>
          </w:tcPr>
          <w:p w:rsidR="00BD0C56" w:rsidRPr="002112EE" w:rsidRDefault="00BD0C56" w:rsidP="00DB6DBE">
            <w:pPr>
              <w:pStyle w:val="WOVGbody"/>
              <w:rPr>
                <w:rFonts w:ascii="Verdana" w:hAnsi="Verdana"/>
                <w:sz w:val="16"/>
              </w:rPr>
            </w:pPr>
            <w:r w:rsidRPr="002112EE">
              <w:rPr>
                <w:rFonts w:ascii="Verdana" w:hAnsi="Verdana"/>
                <w:sz w:val="16"/>
              </w:rPr>
              <w:t>Grp 5: Hospitals</w:t>
            </w:r>
          </w:p>
        </w:tc>
        <w:tc>
          <w:tcPr>
            <w:tcW w:w="45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$8,667</w:t>
            </w:r>
          </w:p>
        </w:tc>
        <w:tc>
          <w:tcPr>
            <w:tcW w:w="473"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3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$33,130</w:t>
            </w:r>
          </w:p>
        </w:tc>
        <w:tc>
          <w:tcPr>
            <w:tcW w:w="59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21,055</w:t>
            </w:r>
          </w:p>
        </w:tc>
        <w:tc>
          <w:tcPr>
            <w:tcW w:w="63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29,692</w:t>
            </w:r>
          </w:p>
        </w:tc>
        <w:tc>
          <w:tcPr>
            <w:tcW w:w="789"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$84,047</w:t>
            </w:r>
          </w:p>
        </w:tc>
      </w:tr>
      <w:tr w:rsidR="00DE7C18" w:rsidRPr="00F93BA1" w:rsidTr="00DE7C18">
        <w:trPr>
          <w:trHeight w:val="834"/>
        </w:trPr>
        <w:tc>
          <w:tcPr>
            <w:cnfStyle w:val="001000000000" w:firstRow="0" w:lastRow="0" w:firstColumn="1" w:lastColumn="0" w:oddVBand="0" w:evenVBand="0" w:oddHBand="0" w:evenHBand="0" w:firstRowFirstColumn="0" w:firstRowLastColumn="0" w:lastRowFirstColumn="0" w:lastRowLastColumn="0"/>
            <w:tcW w:w="1032" w:type="pct"/>
          </w:tcPr>
          <w:p w:rsidR="00BD0C56" w:rsidRPr="002112EE" w:rsidRDefault="00BD0C56" w:rsidP="00DB6DBE">
            <w:pPr>
              <w:pStyle w:val="WOVGbody"/>
              <w:rPr>
                <w:rFonts w:ascii="Verdana" w:hAnsi="Verdana"/>
                <w:sz w:val="16"/>
              </w:rPr>
            </w:pPr>
            <w:r w:rsidRPr="002112EE">
              <w:rPr>
                <w:rFonts w:ascii="Verdana" w:hAnsi="Verdana"/>
                <w:sz w:val="16"/>
              </w:rPr>
              <w:t>Grp 6: Govt. statutory bodies and organisation/service</w:t>
            </w:r>
          </w:p>
        </w:tc>
        <w:tc>
          <w:tcPr>
            <w:tcW w:w="45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$1,027</w:t>
            </w:r>
          </w:p>
        </w:tc>
        <w:tc>
          <w:tcPr>
            <w:tcW w:w="473"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3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$18</w:t>
            </w:r>
          </w:p>
        </w:tc>
        <w:tc>
          <w:tcPr>
            <w:tcW w:w="591"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160</w:t>
            </w:r>
          </w:p>
        </w:tc>
        <w:tc>
          <w:tcPr>
            <w:tcW w:w="636"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67</w:t>
            </w:r>
          </w:p>
        </w:tc>
        <w:tc>
          <w:tcPr>
            <w:tcW w:w="789" w:type="pct"/>
          </w:tcPr>
          <w:p w:rsidR="00BD0C56" w:rsidRPr="002112EE"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$415</w:t>
            </w:r>
          </w:p>
        </w:tc>
      </w:tr>
      <w:tr w:rsidR="00DE7C18" w:rsidRPr="00E5759B" w:rsidTr="00DE7C18">
        <w:trPr>
          <w:trHeight w:val="463"/>
        </w:trPr>
        <w:tc>
          <w:tcPr>
            <w:cnfStyle w:val="001000000000" w:firstRow="0" w:lastRow="0" w:firstColumn="1" w:lastColumn="0" w:oddVBand="0" w:evenVBand="0" w:oddHBand="0" w:evenHBand="0" w:firstRowFirstColumn="0" w:firstRowLastColumn="0" w:lastRowFirstColumn="0" w:lastRowLastColumn="0"/>
            <w:tcW w:w="1032" w:type="pct"/>
          </w:tcPr>
          <w:p w:rsidR="00BD0C56" w:rsidRPr="00E5759B" w:rsidRDefault="00BD0C56" w:rsidP="00DB6DBE">
            <w:pPr>
              <w:pStyle w:val="WOVGbody"/>
              <w:rPr>
                <w:rFonts w:ascii="Verdana" w:hAnsi="Verdana"/>
                <w:sz w:val="16"/>
              </w:rPr>
            </w:pPr>
            <w:r w:rsidRPr="00E5759B">
              <w:rPr>
                <w:rFonts w:ascii="Verdana" w:hAnsi="Verdana"/>
                <w:sz w:val="16"/>
              </w:rPr>
              <w:t>Avg. all organisations</w:t>
            </w:r>
          </w:p>
        </w:tc>
        <w:tc>
          <w:tcPr>
            <w:tcW w:w="451"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$2430</w:t>
            </w:r>
          </w:p>
        </w:tc>
        <w:tc>
          <w:tcPr>
            <w:tcW w:w="473"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$1,308</w:t>
            </w:r>
          </w:p>
        </w:tc>
        <w:tc>
          <w:tcPr>
            <w:tcW w:w="496"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$169</w:t>
            </w:r>
          </w:p>
        </w:tc>
        <w:tc>
          <w:tcPr>
            <w:tcW w:w="531"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$731</w:t>
            </w:r>
          </w:p>
        </w:tc>
        <w:tc>
          <w:tcPr>
            <w:tcW w:w="591"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w:t>
            </w:r>
            <w:r w:rsidRPr="00E5759B">
              <w:rPr>
                <w:rFonts w:ascii="Verdana" w:hAnsi="Verdana"/>
                <w:sz w:val="16"/>
                <w:szCs w:val="16"/>
              </w:rPr>
              <w:t>590</w:t>
            </w:r>
          </w:p>
        </w:tc>
        <w:tc>
          <w:tcPr>
            <w:tcW w:w="636"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w:t>
            </w:r>
            <w:r w:rsidRPr="00E5759B">
              <w:rPr>
                <w:rFonts w:ascii="Verdana" w:hAnsi="Verdana"/>
                <w:sz w:val="16"/>
                <w:szCs w:val="16"/>
              </w:rPr>
              <w:t>687</w:t>
            </w:r>
          </w:p>
        </w:tc>
        <w:tc>
          <w:tcPr>
            <w:tcW w:w="789" w:type="pct"/>
          </w:tcPr>
          <w:p w:rsidR="00BD0C56" w:rsidRPr="00E5759B" w:rsidRDefault="00BD0C56" w:rsidP="00DB6DB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$2,177</w:t>
            </w:r>
          </w:p>
        </w:tc>
      </w:tr>
      <w:tr w:rsidR="00BD0C56" w:rsidRPr="00F93BA1" w:rsidTr="00DE7C18">
        <w:trPr>
          <w:trHeight w:val="265"/>
        </w:trPr>
        <w:tc>
          <w:tcPr>
            <w:cnfStyle w:val="001000000000" w:firstRow="0" w:lastRow="0" w:firstColumn="1" w:lastColumn="0" w:oddVBand="0" w:evenVBand="0" w:oddHBand="0" w:evenHBand="0" w:firstRowFirstColumn="0" w:firstRowLastColumn="0" w:lastRowFirstColumn="0" w:lastRowLastColumn="0"/>
            <w:tcW w:w="5000" w:type="pct"/>
            <w:gridSpan w:val="8"/>
          </w:tcPr>
          <w:p w:rsidR="00BD0C56" w:rsidRPr="00792DC3" w:rsidRDefault="00BD0C56" w:rsidP="00DB6DBE">
            <w:pPr>
              <w:pStyle w:val="WOVGbody"/>
              <w:rPr>
                <w:rFonts w:ascii="Verdana" w:hAnsi="Verdana"/>
                <w:sz w:val="16"/>
                <w:szCs w:val="16"/>
              </w:rPr>
            </w:pPr>
            <w:r w:rsidRPr="00792DC3">
              <w:rPr>
                <w:rFonts w:ascii="Verdana" w:hAnsi="Verdana"/>
                <w:i/>
                <w:sz w:val="16"/>
                <w:szCs w:val="16"/>
              </w:rPr>
              <w:t>Source: ACIL Allen Consulting 2019</w:t>
            </w:r>
          </w:p>
        </w:tc>
      </w:tr>
    </w:tbl>
    <w:p w:rsidR="00377C4F" w:rsidRDefault="00377C4F" w:rsidP="00053F3B">
      <w:pPr>
        <w:pStyle w:val="WOVGbody"/>
        <w:rPr>
          <w:rFonts w:ascii="Verdana" w:hAnsi="Verdana"/>
        </w:rPr>
      </w:pPr>
    </w:p>
    <w:p w:rsidR="00053F3B" w:rsidRPr="00394F18" w:rsidRDefault="00053F3B" w:rsidP="00053F3B">
      <w:pPr>
        <w:pStyle w:val="WOVGbody"/>
        <w:rPr>
          <w:rFonts w:ascii="Verdana" w:hAnsi="Verdana"/>
        </w:rPr>
      </w:pPr>
      <w:r w:rsidRPr="00394F18">
        <w:rPr>
          <w:rFonts w:ascii="Verdana" w:hAnsi="Verdana"/>
        </w:rPr>
        <w:t>The breakdown of costs per workforce category revealed variations in cost impacts, including:</w:t>
      </w:r>
    </w:p>
    <w:p w:rsidR="00053F3B" w:rsidRPr="00394F18" w:rsidRDefault="00053F3B" w:rsidP="00A76FAF">
      <w:pPr>
        <w:pStyle w:val="WOVGbody"/>
        <w:numPr>
          <w:ilvl w:val="0"/>
          <w:numId w:val="31"/>
        </w:numPr>
        <w:ind w:left="426"/>
        <w:rPr>
          <w:rFonts w:ascii="Verdana" w:hAnsi="Verdana"/>
        </w:rPr>
      </w:pPr>
      <w:r w:rsidRPr="00394F18">
        <w:rPr>
          <w:rFonts w:ascii="Verdana" w:hAnsi="Verdana"/>
        </w:rPr>
        <w:t xml:space="preserve">Variation according to size of organisation, with hospitals ranking highest both in terms of </w:t>
      </w:r>
      <w:r w:rsidR="003019EA">
        <w:rPr>
          <w:rFonts w:ascii="Verdana" w:hAnsi="Verdana"/>
        </w:rPr>
        <w:t xml:space="preserve">absolute </w:t>
      </w:r>
      <w:r w:rsidRPr="00394F18">
        <w:rPr>
          <w:rFonts w:ascii="Verdana" w:hAnsi="Verdana"/>
        </w:rPr>
        <w:t>size and cost</w:t>
      </w:r>
      <w:r w:rsidR="003019EA">
        <w:rPr>
          <w:rFonts w:ascii="Verdana" w:hAnsi="Verdana"/>
        </w:rPr>
        <w:t xml:space="preserve"> per organisation</w:t>
      </w:r>
      <w:r w:rsidRPr="00394F18">
        <w:rPr>
          <w:rFonts w:ascii="Verdana" w:hAnsi="Verdana"/>
        </w:rPr>
        <w:t>, at $84,000 annually (excluding upfront costs).</w:t>
      </w:r>
      <w:r w:rsidR="003165BD">
        <w:rPr>
          <w:rFonts w:ascii="Verdana" w:hAnsi="Verdana"/>
        </w:rPr>
        <w:t xml:space="preserve"> The cost to a hospital is significantly higher than that of any other organisation and is largely a reflection of the very significant size of the average</w:t>
      </w:r>
      <w:r w:rsidR="00251023">
        <w:rPr>
          <w:rFonts w:ascii="Verdana" w:hAnsi="Verdana"/>
        </w:rPr>
        <w:t xml:space="preserve"> hospital workforce, at around 1,0</w:t>
      </w:r>
      <w:r w:rsidR="003165BD">
        <w:rPr>
          <w:rFonts w:ascii="Verdana" w:hAnsi="Verdana"/>
        </w:rPr>
        <w:t xml:space="preserve">00 </w:t>
      </w:r>
      <w:r w:rsidR="00B54DB6">
        <w:rPr>
          <w:rFonts w:ascii="Verdana" w:hAnsi="Verdana"/>
        </w:rPr>
        <w:t>full-time equivalent (</w:t>
      </w:r>
      <w:r w:rsidR="003165BD">
        <w:rPr>
          <w:rFonts w:ascii="Verdana" w:hAnsi="Verdana"/>
        </w:rPr>
        <w:t>FTE</w:t>
      </w:r>
      <w:r w:rsidR="00B54DB6">
        <w:rPr>
          <w:rFonts w:ascii="Verdana" w:hAnsi="Verdana"/>
        </w:rPr>
        <w:t>)</w:t>
      </w:r>
      <w:r w:rsidR="003165BD" w:rsidRPr="002B10AB">
        <w:rPr>
          <w:rFonts w:ascii="Verdana" w:hAnsi="Verdana"/>
        </w:rPr>
        <w:t>.</w:t>
      </w:r>
      <w:r w:rsidRPr="00394F18">
        <w:rPr>
          <w:rFonts w:ascii="Verdana" w:hAnsi="Verdana"/>
        </w:rPr>
        <w:t xml:space="preserve"> </w:t>
      </w:r>
      <w:r w:rsidR="00B54DB6">
        <w:rPr>
          <w:rFonts w:ascii="Verdana" w:hAnsi="Verdana"/>
        </w:rPr>
        <w:t>OSHC</w:t>
      </w:r>
      <w:r w:rsidRPr="00394F18">
        <w:rPr>
          <w:rFonts w:ascii="Verdana" w:hAnsi="Verdana"/>
        </w:rPr>
        <w:t xml:space="preserve">, health and support services and </w:t>
      </w:r>
      <w:r w:rsidRPr="00394F18">
        <w:rPr>
          <w:rFonts w:ascii="Verdana" w:hAnsi="Verdana"/>
        </w:rPr>
        <w:lastRenderedPageBreak/>
        <w:t>gov</w:t>
      </w:r>
      <w:r w:rsidR="005C18D7">
        <w:rPr>
          <w:rFonts w:ascii="Verdana" w:hAnsi="Verdana"/>
        </w:rPr>
        <w:t>ernment statutory bodies rank</w:t>
      </w:r>
      <w:r w:rsidRPr="00394F18">
        <w:rPr>
          <w:rFonts w:ascii="Verdana" w:hAnsi="Verdana"/>
        </w:rPr>
        <w:t xml:space="preserve"> lowest </w:t>
      </w:r>
      <w:r w:rsidR="005C18D7">
        <w:rPr>
          <w:rFonts w:ascii="Verdana" w:hAnsi="Verdana"/>
        </w:rPr>
        <w:t>in terms of cost</w:t>
      </w:r>
      <w:r w:rsidR="00AF3B21">
        <w:rPr>
          <w:rFonts w:ascii="Verdana" w:hAnsi="Verdana"/>
        </w:rPr>
        <w:t xml:space="preserve"> per organisation</w:t>
      </w:r>
      <w:r w:rsidR="005C18D7">
        <w:rPr>
          <w:rFonts w:ascii="Verdana" w:hAnsi="Verdana"/>
        </w:rPr>
        <w:t xml:space="preserve">, </w:t>
      </w:r>
      <w:r w:rsidRPr="00394F18">
        <w:rPr>
          <w:rFonts w:ascii="Verdana" w:hAnsi="Verdana"/>
        </w:rPr>
        <w:t>at under $1,000 annually (excluding upfront costs).</w:t>
      </w:r>
    </w:p>
    <w:p w:rsidR="00053F3B" w:rsidRPr="00394F18" w:rsidRDefault="00053F3B" w:rsidP="00A76FAF">
      <w:pPr>
        <w:pStyle w:val="WOVGbody"/>
        <w:numPr>
          <w:ilvl w:val="0"/>
          <w:numId w:val="31"/>
        </w:numPr>
        <w:ind w:left="426"/>
        <w:rPr>
          <w:rFonts w:ascii="Verdana" w:hAnsi="Verdana"/>
        </w:rPr>
      </w:pPr>
      <w:r w:rsidRPr="00394F18">
        <w:rPr>
          <w:rFonts w:ascii="Verdana" w:hAnsi="Verdana"/>
        </w:rPr>
        <w:t xml:space="preserve">Variation according to expected information sharing activity, with schools, </w:t>
      </w:r>
      <w:r w:rsidR="00B54DB6">
        <w:rPr>
          <w:rFonts w:ascii="Verdana" w:hAnsi="Verdana"/>
        </w:rPr>
        <w:t>ECEC</w:t>
      </w:r>
      <w:r w:rsidRPr="00394F18">
        <w:rPr>
          <w:rFonts w:ascii="Verdana" w:hAnsi="Verdana"/>
        </w:rPr>
        <w:t xml:space="preserve"> services, hospitals, and health and support services recording a higher cost level per </w:t>
      </w:r>
      <w:r w:rsidR="00B54DB6">
        <w:rPr>
          <w:rFonts w:ascii="Verdana" w:hAnsi="Verdana"/>
        </w:rPr>
        <w:t>FTE</w:t>
      </w:r>
      <w:r w:rsidRPr="00394F18">
        <w:rPr>
          <w:rFonts w:ascii="Verdana" w:hAnsi="Verdana"/>
        </w:rPr>
        <w:t xml:space="preserve"> staff member than </w:t>
      </w:r>
      <w:r w:rsidR="00B54DB6">
        <w:rPr>
          <w:rFonts w:ascii="Verdana" w:hAnsi="Verdana"/>
        </w:rPr>
        <w:t>OSHC</w:t>
      </w:r>
      <w:r w:rsidRPr="00394F18">
        <w:rPr>
          <w:rFonts w:ascii="Verdana" w:hAnsi="Verdana"/>
        </w:rPr>
        <w:t xml:space="preserve"> services and government statutory bodies and services.</w:t>
      </w:r>
    </w:p>
    <w:p w:rsidR="004B023E" w:rsidRPr="00FB3420" w:rsidRDefault="004B023E" w:rsidP="00FB3420">
      <w:pPr>
        <w:pStyle w:val="WOVGbody"/>
        <w:rPr>
          <w:rFonts w:ascii="Verdana" w:hAnsi="Verdana"/>
        </w:rPr>
      </w:pPr>
      <w:r>
        <w:rPr>
          <w:rFonts w:ascii="Verdana" w:hAnsi="Verdana"/>
        </w:rPr>
        <w:t xml:space="preserve">Please refer to Chapter 6 for a detailed presentation of </w:t>
      </w:r>
      <w:r w:rsidR="008300B7">
        <w:rPr>
          <w:rFonts w:ascii="Verdana" w:hAnsi="Verdana"/>
        </w:rPr>
        <w:t>the cost impacts on workforce groupings, and the variation of costs illustrated through sensitivity analysis.</w:t>
      </w:r>
    </w:p>
    <w:p w:rsidR="00FB649B" w:rsidRPr="008300B7" w:rsidRDefault="00FB649B" w:rsidP="00FB649B">
      <w:pPr>
        <w:pStyle w:val="Heading2"/>
        <w:rPr>
          <w:rFonts w:ascii="Verdana" w:hAnsi="Verdana"/>
        </w:rPr>
      </w:pPr>
      <w:bookmarkStart w:id="6" w:name="_Toc23510753"/>
      <w:r w:rsidRPr="008300B7">
        <w:rPr>
          <w:rFonts w:ascii="Verdana" w:hAnsi="Verdana"/>
        </w:rPr>
        <w:t>Implementation</w:t>
      </w:r>
      <w:bookmarkEnd w:id="6"/>
    </w:p>
    <w:p w:rsidR="00FB649B" w:rsidRDefault="0026106A" w:rsidP="00FB649B">
      <w:pPr>
        <w:pStyle w:val="WOVGbody"/>
        <w:rPr>
          <w:rFonts w:ascii="Verdana" w:hAnsi="Verdana"/>
        </w:rPr>
      </w:pPr>
      <w:r w:rsidRPr="0026106A">
        <w:rPr>
          <w:rFonts w:ascii="Verdana" w:hAnsi="Verdana"/>
        </w:rPr>
        <w:t xml:space="preserve">In line with the recommendations of the McClellan Royal Commission, </w:t>
      </w:r>
      <w:r w:rsidR="00AF3B21">
        <w:rPr>
          <w:rFonts w:ascii="Verdana" w:hAnsi="Verdana"/>
        </w:rPr>
        <w:t xml:space="preserve">implementation of the </w:t>
      </w:r>
      <w:r w:rsidRPr="0026106A">
        <w:rPr>
          <w:rFonts w:ascii="Verdana" w:hAnsi="Verdana"/>
        </w:rPr>
        <w:t xml:space="preserve">CIS Scheme </w:t>
      </w:r>
      <w:r w:rsidR="003019EA">
        <w:rPr>
          <w:rFonts w:ascii="Verdana" w:hAnsi="Verdana"/>
        </w:rPr>
        <w:t>will occur in a phased manner</w:t>
      </w:r>
      <w:r>
        <w:rPr>
          <w:rFonts w:ascii="Verdana" w:hAnsi="Verdana"/>
        </w:rPr>
        <w:t>:</w:t>
      </w:r>
    </w:p>
    <w:p w:rsidR="0026106A" w:rsidRPr="00D75B5B" w:rsidRDefault="0026106A" w:rsidP="00A76FAF">
      <w:pPr>
        <w:pStyle w:val="WOVGbody"/>
        <w:numPr>
          <w:ilvl w:val="0"/>
          <w:numId w:val="31"/>
        </w:numPr>
        <w:ind w:left="426"/>
        <w:rPr>
          <w:rFonts w:ascii="Verdana" w:hAnsi="Verdana"/>
        </w:rPr>
      </w:pPr>
      <w:r w:rsidRPr="00D75B5B">
        <w:rPr>
          <w:rFonts w:ascii="Verdana" w:hAnsi="Verdana"/>
        </w:rPr>
        <w:t>Phase One</w:t>
      </w:r>
      <w:r>
        <w:rPr>
          <w:rFonts w:ascii="Verdana" w:hAnsi="Verdana"/>
        </w:rPr>
        <w:t xml:space="preserve"> of the CIS Scheme commenced </w:t>
      </w:r>
      <w:r w:rsidRPr="00D75B5B">
        <w:rPr>
          <w:rFonts w:ascii="Verdana" w:hAnsi="Verdana"/>
        </w:rPr>
        <w:t xml:space="preserve">in </w:t>
      </w:r>
      <w:r>
        <w:rPr>
          <w:rFonts w:ascii="Verdana" w:hAnsi="Verdana"/>
        </w:rPr>
        <w:t>September 2018, pr</w:t>
      </w:r>
      <w:r w:rsidRPr="00D75B5B">
        <w:rPr>
          <w:rFonts w:ascii="Verdana" w:hAnsi="Verdana"/>
        </w:rPr>
        <w:t xml:space="preserve">escribing ISEs </w:t>
      </w:r>
      <w:r>
        <w:rPr>
          <w:rFonts w:ascii="Verdana" w:hAnsi="Verdana"/>
        </w:rPr>
        <w:t>primarily within secondary and tertiary services.</w:t>
      </w:r>
    </w:p>
    <w:p w:rsidR="0026106A" w:rsidRPr="0026106A" w:rsidRDefault="0026106A" w:rsidP="00A76FAF">
      <w:pPr>
        <w:pStyle w:val="WOVGbody"/>
        <w:numPr>
          <w:ilvl w:val="0"/>
          <w:numId w:val="31"/>
        </w:numPr>
        <w:ind w:left="426"/>
        <w:rPr>
          <w:rFonts w:ascii="Verdana" w:hAnsi="Verdana"/>
        </w:rPr>
      </w:pPr>
      <w:r w:rsidRPr="00D75B5B">
        <w:rPr>
          <w:rFonts w:ascii="Verdana" w:hAnsi="Verdana"/>
        </w:rPr>
        <w:t xml:space="preserve">Phase Two, commencing in </w:t>
      </w:r>
      <w:r>
        <w:rPr>
          <w:rFonts w:ascii="Verdana" w:hAnsi="Verdana"/>
        </w:rPr>
        <w:t>the second half of 2020, p</w:t>
      </w:r>
      <w:r w:rsidRPr="00D75B5B">
        <w:rPr>
          <w:rFonts w:ascii="Verdana" w:hAnsi="Verdana"/>
        </w:rPr>
        <w:t xml:space="preserve">rescribing ISEs </w:t>
      </w:r>
      <w:r>
        <w:rPr>
          <w:rFonts w:ascii="Verdana" w:hAnsi="Verdana"/>
        </w:rPr>
        <w:t xml:space="preserve">in </w:t>
      </w:r>
      <w:r w:rsidRPr="00D75B5B">
        <w:rPr>
          <w:rFonts w:ascii="Verdana" w:hAnsi="Verdana"/>
        </w:rPr>
        <w:t xml:space="preserve">primary and </w:t>
      </w:r>
      <w:r>
        <w:rPr>
          <w:rFonts w:ascii="Verdana" w:hAnsi="Verdana"/>
        </w:rPr>
        <w:t>key universal services across the education, health and justice portfolios</w:t>
      </w:r>
      <w:r w:rsidRPr="00D75B5B">
        <w:rPr>
          <w:rFonts w:ascii="Verdana" w:hAnsi="Verdana"/>
        </w:rPr>
        <w:t>, according to the preferred option identified in this RIS</w:t>
      </w:r>
      <w:r>
        <w:rPr>
          <w:rFonts w:ascii="Verdana" w:hAnsi="Verdana"/>
        </w:rPr>
        <w:t>.</w:t>
      </w:r>
    </w:p>
    <w:p w:rsidR="00FB649B" w:rsidRPr="008300B7" w:rsidRDefault="00FB649B" w:rsidP="00FB649B">
      <w:pPr>
        <w:pStyle w:val="Heading2"/>
        <w:rPr>
          <w:rFonts w:ascii="Verdana" w:hAnsi="Verdana"/>
        </w:rPr>
      </w:pPr>
      <w:bookmarkStart w:id="7" w:name="_Toc23510754"/>
      <w:r w:rsidRPr="008300B7">
        <w:rPr>
          <w:rFonts w:ascii="Verdana" w:hAnsi="Verdana"/>
        </w:rPr>
        <w:t>Consultation</w:t>
      </w:r>
      <w:bookmarkEnd w:id="7"/>
    </w:p>
    <w:p w:rsidR="0026106A" w:rsidRPr="0026106A" w:rsidRDefault="0026106A" w:rsidP="0026106A">
      <w:pPr>
        <w:pStyle w:val="WOVGbody"/>
        <w:rPr>
          <w:rFonts w:ascii="Verdana" w:hAnsi="Verdana"/>
        </w:rPr>
      </w:pPr>
      <w:r w:rsidRPr="0026106A">
        <w:rPr>
          <w:rFonts w:ascii="Verdana" w:hAnsi="Verdana"/>
        </w:rPr>
        <w:t>Impacts of the</w:t>
      </w:r>
      <w:r w:rsidR="00B54DB6">
        <w:rPr>
          <w:rFonts w:ascii="Verdana" w:hAnsi="Verdana"/>
        </w:rPr>
        <w:t xml:space="preserve"> p</w:t>
      </w:r>
      <w:r w:rsidR="003019EA">
        <w:rPr>
          <w:rFonts w:ascii="Verdana" w:hAnsi="Verdana"/>
        </w:rPr>
        <w:t>roposed Amendment Regulations</w:t>
      </w:r>
      <w:r w:rsidRPr="0026106A">
        <w:rPr>
          <w:rFonts w:ascii="Verdana" w:hAnsi="Verdana"/>
        </w:rPr>
        <w:t xml:space="preserve"> have been estimated through consultations with representatives from entitie</w:t>
      </w:r>
      <w:r w:rsidR="003019EA">
        <w:rPr>
          <w:rFonts w:ascii="Verdana" w:hAnsi="Verdana"/>
        </w:rPr>
        <w:t>s likely to be impacted by the r</w:t>
      </w:r>
      <w:r w:rsidRPr="0026106A">
        <w:rPr>
          <w:rFonts w:ascii="Verdana" w:hAnsi="Verdana"/>
        </w:rPr>
        <w:t xml:space="preserve">egulations. While the stakeholders consulted included </w:t>
      </w:r>
      <w:r>
        <w:rPr>
          <w:rFonts w:ascii="Verdana" w:hAnsi="Verdana"/>
        </w:rPr>
        <w:t>approximately 120 workforce representatives from 60 different</w:t>
      </w:r>
      <w:r w:rsidRPr="0026106A">
        <w:rPr>
          <w:rFonts w:ascii="Verdana" w:hAnsi="Verdana"/>
        </w:rPr>
        <w:t xml:space="preserve"> government and non-government organisations across a range of sectors, it should be noted that only a small sample of the organisations likely to be affected by the CIS Scheme could be consulted. As such, the impact estimates reported in this RIS shoul</w:t>
      </w:r>
      <w:r w:rsidR="00680980">
        <w:rPr>
          <w:rFonts w:ascii="Verdana" w:hAnsi="Verdana"/>
        </w:rPr>
        <w:t>d be considered an approximate</w:t>
      </w:r>
      <w:r w:rsidRPr="0026106A">
        <w:rPr>
          <w:rFonts w:ascii="Verdana" w:hAnsi="Verdana"/>
        </w:rPr>
        <w:t xml:space="preserve"> indication, rather </w:t>
      </w:r>
      <w:r>
        <w:rPr>
          <w:rFonts w:ascii="Verdana" w:hAnsi="Verdana"/>
        </w:rPr>
        <w:t xml:space="preserve">than anything more definitive. </w:t>
      </w:r>
      <w:r w:rsidRPr="0026106A">
        <w:rPr>
          <w:rFonts w:ascii="Verdana" w:hAnsi="Verdana"/>
        </w:rPr>
        <w:t>Imp</w:t>
      </w:r>
      <w:r w:rsidR="006A70C7">
        <w:rPr>
          <w:rFonts w:ascii="Verdana" w:hAnsi="Verdana"/>
        </w:rPr>
        <w:t xml:space="preserve">acted stakeholders are </w:t>
      </w:r>
      <w:r w:rsidRPr="0026106A">
        <w:rPr>
          <w:rFonts w:ascii="Verdana" w:hAnsi="Verdana"/>
        </w:rPr>
        <w:t>encouraged to provide feedback on the perceived accuracy of the estimated impacts as part of the public consultation process for this RIS.</w:t>
      </w:r>
    </w:p>
    <w:p w:rsidR="0026106A" w:rsidRPr="00CB765B" w:rsidRDefault="0026106A" w:rsidP="0026106A">
      <w:pPr>
        <w:pStyle w:val="WOVGbody"/>
        <w:rPr>
          <w:rFonts w:ascii="Verdana" w:hAnsi="Verdana"/>
        </w:rPr>
      </w:pPr>
      <w:r w:rsidRPr="00CB765B">
        <w:rPr>
          <w:rFonts w:ascii="Verdana" w:hAnsi="Verdana"/>
        </w:rPr>
        <w:t>The consultations indicated significant variation across organisations in th</w:t>
      </w:r>
      <w:r>
        <w:rPr>
          <w:rFonts w:ascii="Verdana" w:hAnsi="Verdana"/>
        </w:rPr>
        <w:t>e level of expected impact of their prescription under</w:t>
      </w:r>
      <w:r w:rsidRPr="00CB765B">
        <w:rPr>
          <w:rFonts w:ascii="Verdana" w:hAnsi="Verdana"/>
        </w:rPr>
        <w:t xml:space="preserve"> </w:t>
      </w:r>
      <w:r>
        <w:rPr>
          <w:rFonts w:ascii="Verdana" w:hAnsi="Verdana"/>
        </w:rPr>
        <w:t xml:space="preserve">Phase Two of </w:t>
      </w:r>
      <w:r w:rsidRPr="00CB765B">
        <w:rPr>
          <w:rFonts w:ascii="Verdana" w:hAnsi="Verdana"/>
        </w:rPr>
        <w:t>the CIS Scheme. This in part reflects the uncertainty that organisations invariably face wh</w:t>
      </w:r>
      <w:r w:rsidR="003019EA">
        <w:rPr>
          <w:rFonts w:ascii="Verdana" w:hAnsi="Verdana"/>
        </w:rPr>
        <w:t>en contemplating the impact of r</w:t>
      </w:r>
      <w:r w:rsidRPr="00CB765B">
        <w:rPr>
          <w:rFonts w:ascii="Verdana" w:hAnsi="Verdana"/>
        </w:rPr>
        <w:t xml:space="preserve">egulations they have not previously encountered. It also reflects the fundamental factors that will drive variation in the regulations’ impacts across ISEs, including the size of the organisation, their resourcing capacity, the nature of their work involving information sharing, and their </w:t>
      </w:r>
      <w:r>
        <w:rPr>
          <w:rFonts w:ascii="Verdana" w:hAnsi="Verdana"/>
        </w:rPr>
        <w:t>existing systems and processes.</w:t>
      </w:r>
    </w:p>
    <w:p w:rsidR="0026106A" w:rsidRPr="0026106A" w:rsidRDefault="0026106A" w:rsidP="0026106A">
      <w:pPr>
        <w:pStyle w:val="WOVGbody"/>
        <w:rPr>
          <w:rFonts w:ascii="Verdana" w:hAnsi="Verdana"/>
        </w:rPr>
      </w:pPr>
      <w:r w:rsidRPr="0026106A">
        <w:rPr>
          <w:rFonts w:ascii="Verdana" w:hAnsi="Verdana"/>
        </w:rPr>
        <w:t>The release of this RIS marks the beginning of the consultation through which interested members of the public can provide inp</w:t>
      </w:r>
      <w:r w:rsidR="003019EA">
        <w:rPr>
          <w:rFonts w:ascii="Verdana" w:hAnsi="Verdana"/>
        </w:rPr>
        <w:t>ut into the development of the Amendment Regulations</w:t>
      </w:r>
      <w:r w:rsidR="00B54DB6">
        <w:rPr>
          <w:rFonts w:ascii="Verdana" w:hAnsi="Verdana"/>
        </w:rPr>
        <w:t xml:space="preserve">. For a minimum of 28 days, </w:t>
      </w:r>
      <w:r w:rsidRPr="0026106A">
        <w:rPr>
          <w:rFonts w:ascii="Verdana" w:hAnsi="Verdana"/>
        </w:rPr>
        <w:t xml:space="preserve">DET will invite public comments or submissions to consider </w:t>
      </w:r>
      <w:r w:rsidR="003019EA">
        <w:rPr>
          <w:rFonts w:ascii="Verdana" w:hAnsi="Verdana"/>
        </w:rPr>
        <w:t>before it finalises the</w:t>
      </w:r>
      <w:r w:rsidRPr="0026106A">
        <w:rPr>
          <w:rFonts w:ascii="Verdana" w:hAnsi="Verdana"/>
        </w:rPr>
        <w:t xml:space="preserve"> </w:t>
      </w:r>
      <w:r w:rsidR="003019EA">
        <w:rPr>
          <w:rFonts w:ascii="Verdana" w:hAnsi="Verdana"/>
        </w:rPr>
        <w:t xml:space="preserve">Amendment </w:t>
      </w:r>
      <w:r w:rsidRPr="0026106A">
        <w:rPr>
          <w:rFonts w:ascii="Verdana" w:hAnsi="Verdana"/>
        </w:rPr>
        <w:t>Regulations. Information on how to lodge submissions can be found at the Engage Vic</w:t>
      </w:r>
      <w:r w:rsidR="003019EA">
        <w:rPr>
          <w:rFonts w:ascii="Verdana" w:hAnsi="Verdana"/>
        </w:rPr>
        <w:t>toria Consultations web page at:</w:t>
      </w:r>
      <w:r w:rsidR="003019EA">
        <w:rPr>
          <w:rFonts w:ascii="Verdana" w:hAnsi="Verdana"/>
        </w:rPr>
        <w:br/>
      </w:r>
      <w:hyperlink r:id="rId15" w:history="1">
        <w:r w:rsidRPr="0075531D">
          <w:rPr>
            <w:rStyle w:val="Hyperlink"/>
            <w:rFonts w:ascii="Verdana" w:hAnsi="Verdana"/>
          </w:rPr>
          <w:t>engage.vic.gov.au/consultations</w:t>
        </w:r>
      </w:hyperlink>
      <w:r>
        <w:rPr>
          <w:rFonts w:ascii="Verdana" w:hAnsi="Verdana"/>
        </w:rPr>
        <w:t>.</w:t>
      </w:r>
    </w:p>
    <w:p w:rsidR="006A70C7" w:rsidRDefault="0026106A" w:rsidP="00FB649B">
      <w:pPr>
        <w:pStyle w:val="WOVGbody"/>
        <w:rPr>
          <w:rFonts w:ascii="Verdana" w:hAnsi="Verdana"/>
        </w:rPr>
      </w:pPr>
      <w:r w:rsidRPr="0026106A">
        <w:rPr>
          <w:rFonts w:ascii="Verdana" w:hAnsi="Verdana"/>
        </w:rPr>
        <w:t xml:space="preserve">Submissions on this RIS are to be received via the Engage Victoria website by </w:t>
      </w:r>
      <w:r w:rsidR="0059239E" w:rsidRPr="0059239E">
        <w:rPr>
          <w:rFonts w:ascii="Verdana" w:hAnsi="Verdana"/>
        </w:rPr>
        <w:t>5</w:t>
      </w:r>
      <w:r w:rsidRPr="0059239E">
        <w:rPr>
          <w:rFonts w:ascii="Verdana" w:hAnsi="Verdana"/>
        </w:rPr>
        <w:t xml:space="preserve">pm </w:t>
      </w:r>
      <w:r w:rsidR="006A70C7">
        <w:rPr>
          <w:rFonts w:ascii="Verdana" w:hAnsi="Verdana"/>
        </w:rPr>
        <w:t>Friday</w:t>
      </w:r>
      <w:r w:rsidR="00076112">
        <w:rPr>
          <w:rFonts w:ascii="Verdana" w:hAnsi="Verdana"/>
        </w:rPr>
        <w:t xml:space="preserve"> </w:t>
      </w:r>
      <w:r w:rsidR="000918C8">
        <w:rPr>
          <w:rFonts w:ascii="Verdana" w:hAnsi="Verdana"/>
        </w:rPr>
        <w:t>6</w:t>
      </w:r>
      <w:r w:rsidRPr="0059239E">
        <w:rPr>
          <w:rFonts w:ascii="Verdana" w:hAnsi="Verdana"/>
        </w:rPr>
        <w:t>th</w:t>
      </w:r>
      <w:r w:rsidRPr="0026106A">
        <w:rPr>
          <w:rFonts w:ascii="Verdana" w:hAnsi="Verdana"/>
        </w:rPr>
        <w:t xml:space="preserve"> </w:t>
      </w:r>
      <w:r>
        <w:rPr>
          <w:rFonts w:ascii="Verdana" w:hAnsi="Verdana"/>
        </w:rPr>
        <w:t>December</w:t>
      </w:r>
      <w:r w:rsidRPr="0026106A">
        <w:rPr>
          <w:rFonts w:ascii="Verdana" w:hAnsi="Verdana"/>
        </w:rPr>
        <w:t xml:space="preserve"> </w:t>
      </w:r>
      <w:r>
        <w:rPr>
          <w:rFonts w:ascii="Verdana" w:hAnsi="Verdana"/>
        </w:rPr>
        <w:t>2019</w:t>
      </w:r>
      <w:r w:rsidRPr="0026106A">
        <w:rPr>
          <w:rFonts w:ascii="Verdana" w:hAnsi="Verdana"/>
        </w:rPr>
        <w:t xml:space="preserve">. </w:t>
      </w:r>
    </w:p>
    <w:p w:rsidR="006A70C7" w:rsidRDefault="006A70C7">
      <w:pPr>
        <w:rPr>
          <w:rFonts w:ascii="Verdana" w:eastAsia="Times" w:hAnsi="Verdana"/>
        </w:rPr>
      </w:pPr>
      <w:r>
        <w:rPr>
          <w:rFonts w:ascii="Verdana" w:hAnsi="Verdana"/>
        </w:rPr>
        <w:br w:type="page"/>
      </w:r>
    </w:p>
    <w:p w:rsidR="00FB649B" w:rsidRPr="008300B7" w:rsidRDefault="00FB649B" w:rsidP="00FB649B">
      <w:pPr>
        <w:pStyle w:val="Heading2"/>
        <w:rPr>
          <w:rFonts w:ascii="Verdana" w:hAnsi="Verdana"/>
        </w:rPr>
      </w:pPr>
      <w:bookmarkStart w:id="8" w:name="_Toc23510755"/>
      <w:r w:rsidRPr="008300B7">
        <w:rPr>
          <w:rFonts w:ascii="Verdana" w:hAnsi="Verdana"/>
        </w:rPr>
        <w:lastRenderedPageBreak/>
        <w:t>Review</w:t>
      </w:r>
      <w:bookmarkEnd w:id="8"/>
    </w:p>
    <w:p w:rsidR="0026106A" w:rsidRPr="00976886" w:rsidRDefault="0026106A" w:rsidP="0026106A">
      <w:pPr>
        <w:pStyle w:val="WOVGbody"/>
        <w:rPr>
          <w:rFonts w:ascii="Verdana" w:hAnsi="Verdana"/>
        </w:rPr>
      </w:pPr>
      <w:r w:rsidRPr="00976886">
        <w:rPr>
          <w:rFonts w:ascii="Verdana" w:hAnsi="Verdana"/>
        </w:rPr>
        <w:t>The</w:t>
      </w:r>
      <w:r>
        <w:rPr>
          <w:rFonts w:ascii="Verdana" w:hAnsi="Verdana"/>
        </w:rPr>
        <w:t xml:space="preserve"> Act</w:t>
      </w:r>
      <w:r w:rsidRPr="00976886">
        <w:rPr>
          <w:rFonts w:ascii="Verdana" w:hAnsi="Verdana"/>
        </w:rPr>
        <w:t xml:space="preserve"> </w:t>
      </w:r>
      <w:r>
        <w:rPr>
          <w:rFonts w:ascii="Verdana" w:hAnsi="Verdana"/>
        </w:rPr>
        <w:t>requires review of the</w:t>
      </w:r>
      <w:r w:rsidRPr="00976886">
        <w:rPr>
          <w:rFonts w:ascii="Verdana" w:hAnsi="Verdana"/>
        </w:rPr>
        <w:t xml:space="preserve"> operation of the </w:t>
      </w:r>
      <w:r>
        <w:rPr>
          <w:rFonts w:ascii="Verdana" w:hAnsi="Verdana"/>
        </w:rPr>
        <w:t xml:space="preserve">CIS Scheme </w:t>
      </w:r>
      <w:r w:rsidR="00B54DB6">
        <w:rPr>
          <w:rFonts w:ascii="Verdana" w:hAnsi="Verdana"/>
        </w:rPr>
        <w:t>within two</w:t>
      </w:r>
      <w:r w:rsidRPr="00976886">
        <w:rPr>
          <w:rFonts w:ascii="Verdana" w:hAnsi="Verdana"/>
        </w:rPr>
        <w:t xml:space="preserve"> </w:t>
      </w:r>
      <w:r>
        <w:rPr>
          <w:rFonts w:ascii="Verdana" w:hAnsi="Verdana"/>
        </w:rPr>
        <w:t xml:space="preserve">and five years </w:t>
      </w:r>
      <w:r w:rsidRPr="00976886">
        <w:rPr>
          <w:rFonts w:ascii="Verdana" w:hAnsi="Verdana"/>
        </w:rPr>
        <w:t xml:space="preserve">of </w:t>
      </w:r>
      <w:r>
        <w:rPr>
          <w:rFonts w:ascii="Verdana" w:hAnsi="Verdana"/>
        </w:rPr>
        <w:t>commencement of the scheme, and the tabling of a review report in both houses of Parliament within six months of the end of the two-ye</w:t>
      </w:r>
      <w:r w:rsidR="006A70C7">
        <w:rPr>
          <w:rFonts w:ascii="Verdana" w:hAnsi="Verdana"/>
        </w:rPr>
        <w:t>ar and five-year review periods.</w:t>
      </w:r>
      <w:r>
        <w:rPr>
          <w:rFonts w:ascii="Verdana" w:hAnsi="Verdana"/>
        </w:rPr>
        <w:t xml:space="preserve"> </w:t>
      </w:r>
      <w:r w:rsidRPr="00976886">
        <w:rPr>
          <w:rFonts w:ascii="Verdana" w:hAnsi="Verdana"/>
        </w:rPr>
        <w:t xml:space="preserve">The </w:t>
      </w:r>
      <w:r>
        <w:rPr>
          <w:rFonts w:ascii="Verdana" w:hAnsi="Verdana"/>
        </w:rPr>
        <w:t>Act</w:t>
      </w:r>
      <w:r w:rsidRPr="00976886">
        <w:rPr>
          <w:rFonts w:ascii="Verdana" w:hAnsi="Verdana"/>
        </w:rPr>
        <w:t xml:space="preserve"> further states that the review</w:t>
      </w:r>
      <w:r>
        <w:rPr>
          <w:rFonts w:ascii="Verdana" w:hAnsi="Verdana"/>
        </w:rPr>
        <w:t>s</w:t>
      </w:r>
      <w:r w:rsidRPr="00976886">
        <w:rPr>
          <w:rFonts w:ascii="Verdana" w:hAnsi="Verdana"/>
        </w:rPr>
        <w:t xml:space="preserve"> must be independent and must consider any adverse impacts of the legislation.</w:t>
      </w:r>
      <w:r>
        <w:rPr>
          <w:rFonts w:ascii="Verdana" w:hAnsi="Verdana"/>
        </w:rPr>
        <w:t xml:space="preserve"> The reviews </w:t>
      </w:r>
      <w:r w:rsidRPr="00976886">
        <w:rPr>
          <w:rFonts w:ascii="Verdana" w:hAnsi="Verdana"/>
        </w:rPr>
        <w:t xml:space="preserve">may also include recommendations on any </w:t>
      </w:r>
      <w:r>
        <w:rPr>
          <w:rFonts w:ascii="Verdana" w:hAnsi="Verdana"/>
        </w:rPr>
        <w:t>matter addressed in the review.</w:t>
      </w:r>
    </w:p>
    <w:p w:rsidR="00377C4F" w:rsidRDefault="00C638F1" w:rsidP="00377C4F">
      <w:pPr>
        <w:pStyle w:val="WOVGbody"/>
        <w:rPr>
          <w:rFonts w:ascii="Verdana" w:hAnsi="Verdana"/>
        </w:rPr>
      </w:pPr>
      <w:r>
        <w:rPr>
          <w:rFonts w:ascii="Verdana" w:hAnsi="Verdana"/>
        </w:rPr>
        <w:t>DET is</w:t>
      </w:r>
      <w:r w:rsidR="0026106A" w:rsidRPr="00976886">
        <w:rPr>
          <w:rFonts w:ascii="Verdana" w:hAnsi="Verdana"/>
        </w:rPr>
        <w:t xml:space="preserve"> responsible for the review process</w:t>
      </w:r>
      <w:r w:rsidR="0026106A">
        <w:rPr>
          <w:rFonts w:ascii="Verdana" w:hAnsi="Verdana"/>
        </w:rPr>
        <w:t>es</w:t>
      </w:r>
      <w:r w:rsidR="00B54DB6">
        <w:rPr>
          <w:rFonts w:ascii="Verdana" w:hAnsi="Verdana"/>
        </w:rPr>
        <w:t>, and both the two-year and</w:t>
      </w:r>
      <w:r>
        <w:rPr>
          <w:rFonts w:ascii="Verdana" w:hAnsi="Verdana"/>
        </w:rPr>
        <w:t xml:space="preserve"> five-year reviews are to be performed by independent suppliers w</w:t>
      </w:r>
      <w:r w:rsidR="004615F7">
        <w:rPr>
          <w:rFonts w:ascii="Verdana" w:hAnsi="Verdana"/>
        </w:rPr>
        <w:t xml:space="preserve">ith expertise in </w:t>
      </w:r>
      <w:r w:rsidR="00F366F5">
        <w:rPr>
          <w:rFonts w:ascii="Verdana" w:hAnsi="Verdana"/>
        </w:rPr>
        <w:t>review</w:t>
      </w:r>
      <w:r w:rsidR="004615F7">
        <w:rPr>
          <w:rFonts w:ascii="Verdana" w:hAnsi="Verdana"/>
        </w:rPr>
        <w:t xml:space="preserve"> of g</w:t>
      </w:r>
      <w:r>
        <w:rPr>
          <w:rFonts w:ascii="Verdana" w:hAnsi="Verdana"/>
        </w:rPr>
        <w:t>overnment reforms and programs</w:t>
      </w:r>
      <w:r w:rsidR="0026106A">
        <w:rPr>
          <w:rFonts w:ascii="Verdana" w:hAnsi="Verdana"/>
        </w:rPr>
        <w:t>.</w:t>
      </w:r>
    </w:p>
    <w:p w:rsidR="00377C4F" w:rsidRDefault="00377C4F">
      <w:pPr>
        <w:rPr>
          <w:rFonts w:ascii="Verdana" w:eastAsia="Times" w:hAnsi="Verdana"/>
        </w:rPr>
      </w:pPr>
      <w:r>
        <w:rPr>
          <w:rFonts w:ascii="Verdana" w:hAnsi="Verdana"/>
        </w:rPr>
        <w:br w:type="page"/>
      </w:r>
    </w:p>
    <w:p w:rsidR="00AC0C3B" w:rsidRPr="00B309AB" w:rsidRDefault="00FB7679" w:rsidP="00FE48EB">
      <w:pPr>
        <w:pStyle w:val="Heading1"/>
        <w:ind w:left="284"/>
        <w:rPr>
          <w:rFonts w:ascii="Verdana" w:hAnsi="Verdana"/>
        </w:rPr>
      </w:pPr>
      <w:bookmarkStart w:id="9" w:name="_Toc23510756"/>
      <w:r w:rsidRPr="00B309AB">
        <w:rPr>
          <w:rFonts w:ascii="Verdana" w:hAnsi="Verdana"/>
        </w:rPr>
        <w:lastRenderedPageBreak/>
        <w:t>Background</w:t>
      </w:r>
      <w:bookmarkEnd w:id="9"/>
    </w:p>
    <w:p w:rsidR="00FB7679" w:rsidRPr="00B309AB" w:rsidRDefault="00FB7679" w:rsidP="00FB7679">
      <w:pPr>
        <w:pStyle w:val="Heading2"/>
        <w:rPr>
          <w:rFonts w:ascii="Verdana" w:hAnsi="Verdana"/>
        </w:rPr>
      </w:pPr>
      <w:bookmarkStart w:id="10" w:name="_Toc23510757"/>
      <w:r w:rsidRPr="00B309AB">
        <w:rPr>
          <w:rFonts w:ascii="Verdana" w:hAnsi="Verdana"/>
        </w:rPr>
        <w:t>The need for reform</w:t>
      </w:r>
      <w:bookmarkEnd w:id="10"/>
    </w:p>
    <w:p w:rsidR="00FB7679" w:rsidRPr="00683526" w:rsidRDefault="00FB7679" w:rsidP="00683526">
      <w:pPr>
        <w:pStyle w:val="WOVGbody"/>
        <w:rPr>
          <w:rFonts w:ascii="Verdana" w:hAnsi="Verdana"/>
        </w:rPr>
      </w:pPr>
      <w:r w:rsidRPr="00683526">
        <w:rPr>
          <w:rFonts w:ascii="Verdana" w:hAnsi="Verdana"/>
        </w:rPr>
        <w:t xml:space="preserve">Since 2011, </w:t>
      </w:r>
      <w:r w:rsidR="009632D4">
        <w:rPr>
          <w:rFonts w:ascii="Verdana" w:hAnsi="Verdana"/>
        </w:rPr>
        <w:t>numerous</w:t>
      </w:r>
      <w:r w:rsidRPr="00683526">
        <w:rPr>
          <w:rFonts w:ascii="Verdana" w:hAnsi="Verdana"/>
        </w:rPr>
        <w:t xml:space="preserve"> government reviews and inquiries from the Commission for Children and Young People</w:t>
      </w:r>
      <w:r w:rsidR="00B54DB6">
        <w:rPr>
          <w:rFonts w:ascii="Verdana" w:hAnsi="Verdana"/>
        </w:rPr>
        <w:t xml:space="preserve"> (CCYP)</w:t>
      </w:r>
      <w:r w:rsidRPr="00683526">
        <w:rPr>
          <w:rFonts w:ascii="Verdana" w:hAnsi="Verdana"/>
        </w:rPr>
        <w:t>, the Victorian Coroner and the Victorian Auditor-General identified that a lack of information sharing has con</w:t>
      </w:r>
      <w:r w:rsidR="00B54DB6">
        <w:rPr>
          <w:rFonts w:ascii="Verdana" w:hAnsi="Verdana"/>
        </w:rPr>
        <w:t>tributed to negative outcomes for</w:t>
      </w:r>
      <w:r w:rsidRPr="00683526">
        <w:rPr>
          <w:rFonts w:ascii="Verdana" w:hAnsi="Verdana"/>
        </w:rPr>
        <w:t xml:space="preserve"> the wellbeing and safety of Victorian children. Recurring themes relating to child information sharing in these reviews include that: </w:t>
      </w:r>
    </w:p>
    <w:p w:rsidR="00FB7679" w:rsidRPr="00683526" w:rsidRDefault="00FB7679" w:rsidP="00A76FAF">
      <w:pPr>
        <w:pStyle w:val="WOVGbody"/>
        <w:numPr>
          <w:ilvl w:val="0"/>
          <w:numId w:val="25"/>
        </w:numPr>
        <w:ind w:left="426"/>
        <w:rPr>
          <w:rFonts w:ascii="Verdana" w:hAnsi="Verdana"/>
        </w:rPr>
      </w:pPr>
      <w:r w:rsidRPr="00683526">
        <w:rPr>
          <w:rFonts w:ascii="Verdana" w:hAnsi="Verdana"/>
        </w:rPr>
        <w:t>Victoria’s multiple legislative frameworks for information sharing create complexity and contribute to a culture that is risk-averse to sharing information, which has not adequately supported chil</w:t>
      </w:r>
      <w:r w:rsidR="00B54DB6">
        <w:rPr>
          <w:rFonts w:ascii="Verdana" w:hAnsi="Verdana"/>
        </w:rPr>
        <w:t>d safety and wellbeing outcomes.</w:t>
      </w:r>
      <w:r w:rsidRPr="00683526">
        <w:rPr>
          <w:rFonts w:ascii="Verdana" w:hAnsi="Verdana"/>
        </w:rPr>
        <w:t xml:space="preserve"> </w:t>
      </w:r>
    </w:p>
    <w:p w:rsidR="00FB7679" w:rsidRPr="00683526" w:rsidRDefault="00FB7679" w:rsidP="00A76FAF">
      <w:pPr>
        <w:pStyle w:val="WOVGbody"/>
        <w:numPr>
          <w:ilvl w:val="0"/>
          <w:numId w:val="25"/>
        </w:numPr>
        <w:ind w:left="426"/>
        <w:rPr>
          <w:rFonts w:ascii="Verdana" w:hAnsi="Verdana"/>
        </w:rPr>
      </w:pPr>
      <w:r w:rsidRPr="00683526">
        <w:rPr>
          <w:rFonts w:ascii="Verdana" w:hAnsi="Verdana"/>
        </w:rPr>
        <w:t xml:space="preserve">the capacity for professionals to form a holistic picture of a child’s circumstances is compromised when information is not shared across services, inhibiting the timely delivery of early intervention and prevention programs to children at risk and contributing to an over-reliance on </w:t>
      </w:r>
      <w:r w:rsidR="00B54DB6">
        <w:rPr>
          <w:rFonts w:ascii="Verdana" w:hAnsi="Verdana"/>
        </w:rPr>
        <w:t>secondary and tertiary services.</w:t>
      </w:r>
      <w:r w:rsidRPr="00683526">
        <w:rPr>
          <w:rFonts w:ascii="Verdana" w:hAnsi="Verdana"/>
        </w:rPr>
        <w:t xml:space="preserve"> </w:t>
      </w:r>
    </w:p>
    <w:p w:rsidR="00FB7679" w:rsidRPr="00683526" w:rsidRDefault="00FB7679" w:rsidP="00A76FAF">
      <w:pPr>
        <w:pStyle w:val="WOVGbody"/>
        <w:numPr>
          <w:ilvl w:val="0"/>
          <w:numId w:val="25"/>
        </w:numPr>
        <w:ind w:left="426"/>
        <w:rPr>
          <w:rFonts w:ascii="Verdana" w:hAnsi="Verdana"/>
        </w:rPr>
      </w:pPr>
      <w:r w:rsidRPr="00683526">
        <w:rPr>
          <w:rFonts w:ascii="Verdana" w:hAnsi="Verdana"/>
        </w:rPr>
        <w:t>there are difficulties in determining whether children are accessing and participating in universal or targeted services, and improved access to this information might assist to identify and protect vul</w:t>
      </w:r>
      <w:r w:rsidR="00B54DB6">
        <w:rPr>
          <w:rFonts w:ascii="Verdana" w:hAnsi="Verdana"/>
        </w:rPr>
        <w:t>nerable children.</w:t>
      </w:r>
    </w:p>
    <w:p w:rsidR="00FB7679" w:rsidRPr="00683526" w:rsidRDefault="00FB7679" w:rsidP="00A76FAF">
      <w:pPr>
        <w:pStyle w:val="WOVGbody"/>
        <w:numPr>
          <w:ilvl w:val="0"/>
          <w:numId w:val="25"/>
        </w:numPr>
        <w:ind w:left="426"/>
        <w:rPr>
          <w:rFonts w:ascii="Verdana" w:hAnsi="Verdana"/>
        </w:rPr>
      </w:pPr>
      <w:r w:rsidRPr="00683526">
        <w:rPr>
          <w:rFonts w:ascii="Verdana" w:hAnsi="Verdana"/>
        </w:rPr>
        <w:t xml:space="preserve">there are restrictions on data-linkage between government-funded programs, including the impact of children’s interactions with universal and targeted services, which limits the ability for government to design responsive policy and programs, perform evaluations and plan in accordance with patterns of service engagement. </w:t>
      </w:r>
    </w:p>
    <w:p w:rsidR="00FB7679" w:rsidRPr="00683526" w:rsidRDefault="00FB7679" w:rsidP="00683526">
      <w:pPr>
        <w:pStyle w:val="WOVGbody"/>
        <w:rPr>
          <w:rFonts w:ascii="Verdana" w:hAnsi="Verdana"/>
        </w:rPr>
      </w:pPr>
      <w:r w:rsidRPr="00683526">
        <w:rPr>
          <w:rFonts w:ascii="Verdana" w:hAnsi="Verdana"/>
        </w:rPr>
        <w:t xml:space="preserve">The </w:t>
      </w:r>
      <w:r w:rsidRPr="00B54DB6">
        <w:rPr>
          <w:rFonts w:ascii="Verdana" w:hAnsi="Verdana"/>
          <w:b/>
          <w:bCs/>
        </w:rPr>
        <w:t>Royal Commission into Institutional Responses to Child Sexual Abuse</w:t>
      </w:r>
      <w:r w:rsidRPr="00683526">
        <w:rPr>
          <w:rFonts w:ascii="Verdana" w:hAnsi="Verdana"/>
          <w:b/>
          <w:bCs/>
        </w:rPr>
        <w:t xml:space="preserve"> </w:t>
      </w:r>
      <w:r w:rsidRPr="00683526">
        <w:rPr>
          <w:rFonts w:ascii="Verdana" w:hAnsi="Verdana"/>
        </w:rPr>
        <w:t>(the McClellan Royal Commission)</w:t>
      </w:r>
      <w:r w:rsidRPr="00683526">
        <w:rPr>
          <w:rStyle w:val="FootnoteReference"/>
          <w:rFonts w:ascii="Verdana" w:hAnsi="Verdana" w:cs="Arial"/>
        </w:rPr>
        <w:footnoteReference w:id="7"/>
      </w:r>
      <w:r w:rsidRPr="00683526">
        <w:rPr>
          <w:rFonts w:ascii="Verdana" w:hAnsi="Verdana"/>
        </w:rPr>
        <w:t xml:space="preserve"> delivered its recommendations on 15 December 2017 and made a number of recommendations related to improving information sharing and record keeping practices, including for the establishment of a national information exchange scheme between a range of prescribed entities that have responsibilities related to children’s safety and wellbeing. In recommending improvements to information sharing, the McClellan Royal Commission identified New South Wales’ Chapter 16A model in the </w:t>
      </w:r>
      <w:r w:rsidRPr="00683526">
        <w:rPr>
          <w:rFonts w:ascii="Verdana" w:hAnsi="Verdana"/>
          <w:i/>
        </w:rPr>
        <w:t xml:space="preserve">Children and Young Persons (Care and Protection) Act 1998 </w:t>
      </w:r>
      <w:r w:rsidRPr="00683526">
        <w:rPr>
          <w:rFonts w:ascii="Verdana" w:hAnsi="Verdana"/>
        </w:rPr>
        <w:t>as providing the most promising model for a national information exchange scheme for children’s safety and wellbeing. The McClellan Royal Commission identified a number of key elements to enable an</w:t>
      </w:r>
      <w:r w:rsidR="00B54DB6">
        <w:rPr>
          <w:rFonts w:ascii="Verdana" w:hAnsi="Verdana"/>
        </w:rPr>
        <w:t xml:space="preserve"> effective national information </w:t>
      </w:r>
      <w:r w:rsidRPr="00683526">
        <w:rPr>
          <w:rFonts w:ascii="Verdana" w:hAnsi="Verdana"/>
        </w:rPr>
        <w:t>sharing scheme, including:</w:t>
      </w:r>
    </w:p>
    <w:p w:rsidR="00FB7679" w:rsidRPr="00683526" w:rsidRDefault="00FB7679" w:rsidP="00A76FAF">
      <w:pPr>
        <w:pStyle w:val="WOVGbody"/>
        <w:numPr>
          <w:ilvl w:val="0"/>
          <w:numId w:val="26"/>
        </w:numPr>
        <w:ind w:left="426" w:hanging="426"/>
        <w:rPr>
          <w:rFonts w:ascii="Verdana" w:hAnsi="Verdana"/>
        </w:rPr>
      </w:pPr>
      <w:r w:rsidRPr="00683526">
        <w:rPr>
          <w:rFonts w:ascii="Verdana" w:hAnsi="Verdana"/>
        </w:rPr>
        <w:t xml:space="preserve">enable direct exchange of relevant information between a range of prescribed </w:t>
      </w:r>
      <w:r w:rsidR="00A212F3">
        <w:rPr>
          <w:rFonts w:ascii="Verdana" w:hAnsi="Verdana"/>
        </w:rPr>
        <w:t>entities</w:t>
      </w:r>
      <w:r w:rsidRPr="00683526">
        <w:rPr>
          <w:rFonts w:ascii="Verdana" w:hAnsi="Verdana"/>
        </w:rPr>
        <w:t>, including service providers, government and non-government agencies, law enforcement agencies, and regulatory and oversight bodies, which have responsibilities related to children’s safety and wellbeing</w:t>
      </w:r>
      <w:r w:rsidR="00B54DB6">
        <w:rPr>
          <w:rFonts w:ascii="Verdana" w:hAnsi="Verdana"/>
        </w:rPr>
        <w:t>.</w:t>
      </w:r>
    </w:p>
    <w:p w:rsidR="00FB7679" w:rsidRPr="00683526" w:rsidRDefault="00FB7679" w:rsidP="00A76FAF">
      <w:pPr>
        <w:pStyle w:val="WOVGbody"/>
        <w:numPr>
          <w:ilvl w:val="0"/>
          <w:numId w:val="26"/>
        </w:numPr>
        <w:ind w:left="426" w:hanging="426"/>
        <w:rPr>
          <w:rFonts w:ascii="Verdana" w:hAnsi="Verdana"/>
        </w:rPr>
      </w:pPr>
      <w:r w:rsidRPr="00683526">
        <w:rPr>
          <w:rFonts w:ascii="Verdana" w:hAnsi="Verdana"/>
        </w:rPr>
        <w:t xml:space="preserve">permitting prescribed </w:t>
      </w:r>
      <w:r w:rsidR="00A212F3">
        <w:rPr>
          <w:rFonts w:ascii="Verdana" w:hAnsi="Verdana"/>
        </w:rPr>
        <w:t>entities</w:t>
      </w:r>
      <w:r w:rsidRPr="00683526">
        <w:rPr>
          <w:rFonts w:ascii="Verdana" w:hAnsi="Verdana"/>
        </w:rPr>
        <w:t xml:space="preserve"> to request, provide and voluntarily share information related to the wellbeing and safety of child</w:t>
      </w:r>
      <w:r w:rsidR="00A212F3">
        <w:rPr>
          <w:rFonts w:ascii="Verdana" w:hAnsi="Verdana"/>
        </w:rPr>
        <w:t>ren with other prescribed entities</w:t>
      </w:r>
      <w:r w:rsidR="00B54DB6">
        <w:rPr>
          <w:rFonts w:ascii="Verdana" w:hAnsi="Verdana"/>
        </w:rPr>
        <w:t>.</w:t>
      </w:r>
    </w:p>
    <w:p w:rsidR="00FB7679" w:rsidRPr="00683526" w:rsidRDefault="00FB7679" w:rsidP="00A76FAF">
      <w:pPr>
        <w:pStyle w:val="WOVGbody"/>
        <w:numPr>
          <w:ilvl w:val="0"/>
          <w:numId w:val="26"/>
        </w:numPr>
        <w:ind w:left="426" w:hanging="426"/>
        <w:rPr>
          <w:rFonts w:ascii="Verdana" w:hAnsi="Verdana"/>
        </w:rPr>
      </w:pPr>
      <w:r w:rsidRPr="00683526">
        <w:rPr>
          <w:rFonts w:ascii="Verdana" w:hAnsi="Verdana"/>
        </w:rPr>
        <w:t>explicitly prioritising children’s safety and wellbeing over laws which might otherwise prohibit disclosure of that relevant information</w:t>
      </w:r>
      <w:r w:rsidR="00B54DB6">
        <w:rPr>
          <w:rFonts w:ascii="Verdana" w:hAnsi="Verdana"/>
        </w:rPr>
        <w:t>.</w:t>
      </w:r>
    </w:p>
    <w:p w:rsidR="00FB7679" w:rsidRPr="00683526" w:rsidRDefault="00FB7679" w:rsidP="00A76FAF">
      <w:pPr>
        <w:pStyle w:val="WOVGbody"/>
        <w:numPr>
          <w:ilvl w:val="0"/>
          <w:numId w:val="26"/>
        </w:numPr>
        <w:ind w:left="426" w:hanging="426"/>
        <w:rPr>
          <w:rFonts w:ascii="Verdana" w:hAnsi="Verdana"/>
        </w:rPr>
      </w:pPr>
      <w:r w:rsidRPr="00683526">
        <w:rPr>
          <w:rFonts w:ascii="Verdana" w:hAnsi="Verdana"/>
        </w:rPr>
        <w:lastRenderedPageBreak/>
        <w:t>providing safeguards and other measures for oversight and accountability to prevent unauthorised sharing and improper use of information.</w:t>
      </w:r>
    </w:p>
    <w:p w:rsidR="00B363FE" w:rsidRPr="00683526" w:rsidRDefault="00FB7679" w:rsidP="00683526">
      <w:pPr>
        <w:pStyle w:val="WOVGbody"/>
        <w:rPr>
          <w:rFonts w:ascii="Verdana" w:hAnsi="Verdana"/>
          <w:bCs/>
          <w:iCs/>
        </w:rPr>
      </w:pPr>
      <w:r w:rsidRPr="00683526">
        <w:rPr>
          <w:rFonts w:ascii="Verdana" w:hAnsi="Verdana"/>
        </w:rPr>
        <w:t xml:space="preserve">The importance of improved information sharing to assess and manage risk to children </w:t>
      </w:r>
      <w:r w:rsidR="001A270C" w:rsidRPr="00683526">
        <w:rPr>
          <w:rFonts w:ascii="Verdana" w:hAnsi="Verdana"/>
        </w:rPr>
        <w:t>in a</w:t>
      </w:r>
      <w:r w:rsidRPr="00683526">
        <w:rPr>
          <w:rFonts w:ascii="Verdana" w:hAnsi="Verdana"/>
        </w:rPr>
        <w:t xml:space="preserve"> </w:t>
      </w:r>
      <w:r w:rsidR="00B363FE" w:rsidRPr="00683526">
        <w:rPr>
          <w:rFonts w:ascii="Verdana" w:hAnsi="Verdana"/>
        </w:rPr>
        <w:t>family violence context was</w:t>
      </w:r>
      <w:r w:rsidRPr="00683526">
        <w:rPr>
          <w:rFonts w:ascii="Verdana" w:hAnsi="Verdana"/>
        </w:rPr>
        <w:t xml:space="preserve"> specifically highlighted in two key Victorian reviews, the </w:t>
      </w:r>
      <w:r w:rsidRPr="00B54DB6">
        <w:rPr>
          <w:rFonts w:ascii="Verdana" w:hAnsi="Verdana"/>
          <w:b/>
          <w:bCs/>
          <w:iCs/>
        </w:rPr>
        <w:t xml:space="preserve">Royal Commission into Family Violence </w:t>
      </w:r>
      <w:r w:rsidRPr="00683526">
        <w:rPr>
          <w:rFonts w:ascii="Verdana" w:hAnsi="Verdana"/>
        </w:rPr>
        <w:t xml:space="preserve">(Family Violence Royal Commission) and the </w:t>
      </w:r>
      <w:r w:rsidR="00B54DB6">
        <w:rPr>
          <w:rFonts w:ascii="Verdana" w:hAnsi="Verdana"/>
        </w:rPr>
        <w:t>CCYP</w:t>
      </w:r>
      <w:r w:rsidRPr="00683526">
        <w:rPr>
          <w:rFonts w:ascii="Verdana" w:hAnsi="Verdana"/>
        </w:rPr>
        <w:t xml:space="preserve"> (2016) report </w:t>
      </w:r>
      <w:r w:rsidRPr="00B54DB6">
        <w:rPr>
          <w:rFonts w:ascii="Verdana" w:hAnsi="Verdana"/>
          <w:b/>
          <w:bCs/>
          <w:iCs/>
        </w:rPr>
        <w:t>Neither seen nor heard: Inquiry into issues of family violence in child deaths</w:t>
      </w:r>
      <w:r w:rsidRPr="00683526">
        <w:rPr>
          <w:rFonts w:ascii="Verdana" w:hAnsi="Verdana"/>
          <w:b/>
          <w:bCs/>
          <w:i/>
          <w:iCs/>
        </w:rPr>
        <w:t>.</w:t>
      </w:r>
      <w:r w:rsidRPr="00683526">
        <w:rPr>
          <w:rFonts w:ascii="Verdana" w:hAnsi="Verdana"/>
          <w:bCs/>
          <w:iCs/>
        </w:rPr>
        <w:t xml:space="preserve"> </w:t>
      </w:r>
    </w:p>
    <w:p w:rsidR="00B363FE" w:rsidRPr="00683526" w:rsidRDefault="00FB7679" w:rsidP="00683526">
      <w:pPr>
        <w:pStyle w:val="WOVGbody"/>
        <w:rPr>
          <w:rFonts w:ascii="Verdana" w:hAnsi="Verdana"/>
        </w:rPr>
      </w:pPr>
      <w:r w:rsidRPr="00683526">
        <w:rPr>
          <w:rFonts w:ascii="Verdana" w:hAnsi="Verdana"/>
        </w:rPr>
        <w:t>The Family Violence Royal Commission in its final report, delivered in March 2016, found that:” … the Child Protection system has unfairly burdened vulnerable and unsupported women with the responsibility – as a ‘protective parent’ – to manage and mitigate risks to children, at the expense of focusing on the harmful actions of the abusive parent or caregiver”. Hence, there was a need to “shift from seeing the needs of children affected by family violence as merely an extension of those of their caregiver”. It also confirmed that information sharing plays an imperative role in enabling government and supporting agencies to effectively and appropriately respond to the needs of children and families. Information sharing was identified as a necessary precursor to interventions to promo</w:t>
      </w:r>
      <w:r w:rsidR="00B363FE" w:rsidRPr="00683526">
        <w:rPr>
          <w:rFonts w:ascii="Verdana" w:hAnsi="Verdana"/>
        </w:rPr>
        <w:t>te child safety and save lives.</w:t>
      </w:r>
    </w:p>
    <w:p w:rsidR="00FB7679" w:rsidRPr="00683526" w:rsidRDefault="00FB7679" w:rsidP="00683526">
      <w:pPr>
        <w:pStyle w:val="WOVGbody"/>
        <w:rPr>
          <w:rFonts w:ascii="Verdana" w:hAnsi="Verdana"/>
        </w:rPr>
      </w:pPr>
      <w:r w:rsidRPr="00683526">
        <w:rPr>
          <w:rFonts w:ascii="Verdana" w:hAnsi="Verdana"/>
        </w:rPr>
        <w:t xml:space="preserve">The CCYP (2016) released the report </w:t>
      </w:r>
      <w:r w:rsidRPr="00683526">
        <w:rPr>
          <w:rFonts w:ascii="Verdana" w:hAnsi="Verdana"/>
          <w:b/>
          <w:bCs/>
          <w:i/>
          <w:iCs/>
        </w:rPr>
        <w:t xml:space="preserve">Neither seen nor heard: Inquiry into issues of family violence in child deaths </w:t>
      </w:r>
      <w:r w:rsidRPr="00683526">
        <w:rPr>
          <w:rFonts w:ascii="Verdana" w:hAnsi="Verdana"/>
        </w:rPr>
        <w:t>that examined a representative sample of the CCYP’s child death inquiries, to offer a more complete picture of the intersection of family violence and the Child Protection system. A key finding of the inquiry was that there was a lack of coordination between services, and that services did not share information to adequately form an overall view about the problems the women and their children experienced.</w:t>
      </w:r>
    </w:p>
    <w:p w:rsidR="00FB7679" w:rsidRDefault="00FB7679" w:rsidP="00B309AB">
      <w:pPr>
        <w:pStyle w:val="Heading2"/>
        <w:rPr>
          <w:rFonts w:ascii="Verdana" w:hAnsi="Verdana"/>
        </w:rPr>
      </w:pPr>
      <w:bookmarkStart w:id="11" w:name="_Toc23510758"/>
      <w:r w:rsidRPr="00B309AB">
        <w:rPr>
          <w:rFonts w:ascii="Verdana" w:hAnsi="Verdana"/>
        </w:rPr>
        <w:t>Policy context</w:t>
      </w:r>
      <w:bookmarkEnd w:id="11"/>
    </w:p>
    <w:p w:rsidR="00A03611" w:rsidRPr="00A75C1F" w:rsidRDefault="00A03611" w:rsidP="00A03611">
      <w:pPr>
        <w:pStyle w:val="Heading3"/>
        <w:rPr>
          <w:rFonts w:ascii="Verdana" w:hAnsi="Verdana"/>
        </w:rPr>
      </w:pPr>
      <w:r w:rsidRPr="00A75C1F">
        <w:rPr>
          <w:rFonts w:ascii="Verdana" w:hAnsi="Verdana"/>
        </w:rPr>
        <w:t>Roadmap for Reform</w:t>
      </w:r>
    </w:p>
    <w:p w:rsidR="00FB7679" w:rsidRPr="00683526" w:rsidRDefault="00FB7679" w:rsidP="00683526">
      <w:pPr>
        <w:pStyle w:val="WOVGbody"/>
        <w:rPr>
          <w:rFonts w:ascii="Verdana" w:hAnsi="Verdana"/>
        </w:rPr>
      </w:pPr>
      <w:r w:rsidRPr="00683526">
        <w:rPr>
          <w:rFonts w:ascii="Verdana" w:hAnsi="Verdana"/>
        </w:rPr>
        <w:t xml:space="preserve">The Victorian Government’s </w:t>
      </w:r>
      <w:r w:rsidRPr="0063467C">
        <w:rPr>
          <w:rFonts w:ascii="Verdana" w:hAnsi="Verdana"/>
          <w:b/>
          <w:i/>
        </w:rPr>
        <w:t>Roadmap for Reform</w:t>
      </w:r>
      <w:r w:rsidRPr="00683526">
        <w:rPr>
          <w:rFonts w:ascii="Verdana" w:hAnsi="Verdana"/>
        </w:rPr>
        <w:t xml:space="preserve"> (the Roadmap), released in April 2016, sets out once-in-a-generation changes designed to improve the lives of vulnerable children, young people and families in Victoria. Consistent with the Family Violence Royal Commission, the Roadmap provides an initial outline of how </w:t>
      </w:r>
      <w:r w:rsidR="00B926C7">
        <w:rPr>
          <w:rFonts w:ascii="Verdana" w:hAnsi="Verdana"/>
        </w:rPr>
        <w:t>a transformed service system</w:t>
      </w:r>
      <w:r w:rsidR="0063467C">
        <w:rPr>
          <w:rFonts w:ascii="Verdana" w:hAnsi="Verdana"/>
        </w:rPr>
        <w:t xml:space="preserve"> </w:t>
      </w:r>
      <w:r w:rsidRPr="00683526">
        <w:rPr>
          <w:rFonts w:ascii="Verdana" w:hAnsi="Verdana"/>
        </w:rPr>
        <w:t>will operate to better support Victoria’s most vulnerable individ</w:t>
      </w:r>
      <w:r w:rsidR="00EA5A24">
        <w:rPr>
          <w:rFonts w:ascii="Verdana" w:hAnsi="Verdana"/>
        </w:rPr>
        <w:t>uals, families and communities.</w:t>
      </w:r>
    </w:p>
    <w:p w:rsidR="00B363FE" w:rsidRPr="00683526" w:rsidRDefault="00FB7679" w:rsidP="00683526">
      <w:pPr>
        <w:pStyle w:val="WOVGbody"/>
        <w:rPr>
          <w:rFonts w:ascii="Verdana" w:hAnsi="Verdana"/>
        </w:rPr>
      </w:pPr>
      <w:r w:rsidRPr="00683526">
        <w:rPr>
          <w:rFonts w:ascii="Verdana" w:hAnsi="Verdana"/>
        </w:rPr>
        <w:t>The Roadmap agenda is underpinned by the need to better respond to pressures on out</w:t>
      </w:r>
      <w:r w:rsidR="000903B3">
        <w:rPr>
          <w:rFonts w:ascii="Verdana" w:hAnsi="Verdana"/>
        </w:rPr>
        <w:t>-</w:t>
      </w:r>
      <w:r w:rsidRPr="00683526">
        <w:rPr>
          <w:rFonts w:ascii="Verdana" w:hAnsi="Verdana"/>
        </w:rPr>
        <w:t>of</w:t>
      </w:r>
      <w:r w:rsidR="000903B3">
        <w:rPr>
          <w:rFonts w:ascii="Verdana" w:hAnsi="Verdana"/>
        </w:rPr>
        <w:t>-</w:t>
      </w:r>
      <w:r w:rsidRPr="00683526">
        <w:rPr>
          <w:rFonts w:ascii="Verdana" w:hAnsi="Verdana"/>
        </w:rPr>
        <w:t xml:space="preserve">home care and Child Protection services, and to deliver better outcomes for vulnerable children and families. </w:t>
      </w:r>
      <w:r w:rsidR="00430BC6">
        <w:rPr>
          <w:rFonts w:ascii="Verdana" w:hAnsi="Verdana"/>
        </w:rPr>
        <w:t>Child P</w:t>
      </w:r>
      <w:r w:rsidR="003A5AF6">
        <w:rPr>
          <w:rFonts w:ascii="Verdana" w:hAnsi="Verdana"/>
        </w:rPr>
        <w:t xml:space="preserve">rotection reports </w:t>
      </w:r>
      <w:r w:rsidR="001D0CA4">
        <w:rPr>
          <w:rFonts w:ascii="Verdana" w:hAnsi="Verdana"/>
        </w:rPr>
        <w:t xml:space="preserve">grew at an annual average rate of </w:t>
      </w:r>
      <w:r w:rsidR="00450CAC">
        <w:rPr>
          <w:rFonts w:ascii="Verdana" w:hAnsi="Verdana"/>
        </w:rPr>
        <w:t>more than 10</w:t>
      </w:r>
      <w:r w:rsidR="001D0CA4">
        <w:rPr>
          <w:rFonts w:ascii="Verdana" w:hAnsi="Verdana"/>
        </w:rPr>
        <w:t xml:space="preserve"> per cent in the years leading up to 2015-16 when it reached </w:t>
      </w:r>
      <w:r w:rsidR="00952537">
        <w:rPr>
          <w:rFonts w:ascii="Verdana" w:hAnsi="Verdana"/>
        </w:rPr>
        <w:t>1</w:t>
      </w:r>
      <w:r w:rsidRPr="00683526">
        <w:rPr>
          <w:rFonts w:ascii="Verdana" w:hAnsi="Verdana"/>
        </w:rPr>
        <w:t>0</w:t>
      </w:r>
      <w:r w:rsidR="00952537">
        <w:rPr>
          <w:rFonts w:ascii="Verdana" w:hAnsi="Verdana"/>
        </w:rPr>
        <w:t>7,000 reports</w:t>
      </w:r>
      <w:r w:rsidRPr="00683526">
        <w:rPr>
          <w:rFonts w:ascii="Verdana" w:hAnsi="Verdana"/>
        </w:rPr>
        <w:t>, with a significant increase in the number of children subject to multiple (five or more) reports (from 75 in 2006-07, to 911 in 2014-15).</w:t>
      </w:r>
      <w:r w:rsidR="003A5AF6">
        <w:rPr>
          <w:rFonts w:ascii="Verdana" w:hAnsi="Verdana"/>
        </w:rPr>
        <w:t xml:space="preserve"> </w:t>
      </w:r>
      <w:r w:rsidR="00952537">
        <w:rPr>
          <w:rFonts w:ascii="Verdana" w:hAnsi="Verdana"/>
        </w:rPr>
        <w:t>Between 2015-16 and 2017-18</w:t>
      </w:r>
      <w:r w:rsidR="00430BC6">
        <w:rPr>
          <w:rFonts w:ascii="Verdana" w:hAnsi="Verdana"/>
        </w:rPr>
        <w:t>,</w:t>
      </w:r>
      <w:r w:rsidR="00952537">
        <w:rPr>
          <w:rFonts w:ascii="Verdana" w:hAnsi="Verdana"/>
        </w:rPr>
        <w:t xml:space="preserve"> the</w:t>
      </w:r>
      <w:r w:rsidR="00450CAC">
        <w:rPr>
          <w:rFonts w:ascii="Verdana" w:hAnsi="Verdana"/>
        </w:rPr>
        <w:t xml:space="preserve"> </w:t>
      </w:r>
      <w:r w:rsidR="003A5AF6">
        <w:rPr>
          <w:rFonts w:ascii="Verdana" w:hAnsi="Verdana"/>
        </w:rPr>
        <w:t xml:space="preserve">number of </w:t>
      </w:r>
      <w:r w:rsidR="00450CAC">
        <w:rPr>
          <w:rFonts w:ascii="Verdana" w:hAnsi="Verdana"/>
        </w:rPr>
        <w:t xml:space="preserve">Child Protection </w:t>
      </w:r>
      <w:r w:rsidR="003A5AF6">
        <w:rPr>
          <w:rFonts w:ascii="Verdana" w:hAnsi="Verdana"/>
        </w:rPr>
        <w:t xml:space="preserve">reports increased </w:t>
      </w:r>
      <w:r w:rsidR="00E831E2">
        <w:rPr>
          <w:rFonts w:ascii="Verdana" w:hAnsi="Verdana"/>
        </w:rPr>
        <w:t xml:space="preserve">at </w:t>
      </w:r>
      <w:r w:rsidR="00952537">
        <w:rPr>
          <w:rFonts w:ascii="Verdana" w:hAnsi="Verdana"/>
        </w:rPr>
        <w:t xml:space="preserve">an annual average rate of </w:t>
      </w:r>
      <w:r w:rsidR="001D0CA4">
        <w:rPr>
          <w:rFonts w:ascii="Verdana" w:hAnsi="Verdana"/>
        </w:rPr>
        <w:t>4 per cent</w:t>
      </w:r>
      <w:r w:rsidR="003A5AF6">
        <w:rPr>
          <w:rStyle w:val="FootnoteReference"/>
          <w:rFonts w:ascii="Verdana" w:hAnsi="Verdana"/>
        </w:rPr>
        <w:footnoteReference w:id="8"/>
      </w:r>
      <w:r w:rsidR="003A5AF6">
        <w:rPr>
          <w:rFonts w:ascii="Verdana" w:hAnsi="Verdana"/>
        </w:rPr>
        <w:t xml:space="preserve">, indicating a </w:t>
      </w:r>
      <w:r w:rsidR="00790ECC">
        <w:rPr>
          <w:rFonts w:ascii="Verdana" w:hAnsi="Verdana"/>
        </w:rPr>
        <w:t>c</w:t>
      </w:r>
      <w:r w:rsidR="00E831E2">
        <w:rPr>
          <w:rFonts w:ascii="Verdana" w:hAnsi="Verdana"/>
        </w:rPr>
        <w:t>ontinuation of the</w:t>
      </w:r>
      <w:r w:rsidR="00790ECC">
        <w:rPr>
          <w:rFonts w:ascii="Verdana" w:hAnsi="Verdana"/>
        </w:rPr>
        <w:t xml:space="preserve"> </w:t>
      </w:r>
      <w:r w:rsidR="00627282">
        <w:rPr>
          <w:rFonts w:ascii="Verdana" w:hAnsi="Verdana"/>
        </w:rPr>
        <w:t>trend</w:t>
      </w:r>
      <w:r w:rsidR="00E831E2">
        <w:rPr>
          <w:rFonts w:ascii="Verdana" w:hAnsi="Verdana"/>
        </w:rPr>
        <w:t xml:space="preserve"> increase in overall reports,</w:t>
      </w:r>
      <w:r w:rsidR="00627282">
        <w:rPr>
          <w:rFonts w:ascii="Verdana" w:hAnsi="Verdana"/>
        </w:rPr>
        <w:t xml:space="preserve"> </w:t>
      </w:r>
      <w:r w:rsidR="001D0CA4">
        <w:rPr>
          <w:rFonts w:ascii="Verdana" w:hAnsi="Verdana"/>
        </w:rPr>
        <w:t>albeit a weaker one</w:t>
      </w:r>
      <w:r w:rsidR="00627282">
        <w:rPr>
          <w:rFonts w:ascii="Verdana" w:hAnsi="Verdana"/>
        </w:rPr>
        <w:t xml:space="preserve">. </w:t>
      </w:r>
      <w:r w:rsidRPr="00683526">
        <w:rPr>
          <w:rFonts w:ascii="Verdana" w:hAnsi="Verdana"/>
        </w:rPr>
        <w:t>Many of the reports to Child Protection involve family violence, parental mental health and parental substance misuse.</w:t>
      </w:r>
    </w:p>
    <w:p w:rsidR="00FB7679" w:rsidRPr="00683526" w:rsidRDefault="00FB7679" w:rsidP="00683526">
      <w:pPr>
        <w:pStyle w:val="WOVGbody"/>
        <w:rPr>
          <w:rFonts w:ascii="Verdana" w:hAnsi="Verdana"/>
        </w:rPr>
      </w:pPr>
      <w:r w:rsidRPr="00683526">
        <w:rPr>
          <w:rFonts w:ascii="Verdana" w:hAnsi="Verdana"/>
        </w:rPr>
        <w:t xml:space="preserve">The Roadmap outlines a vision of a transformed service system, along with a suite of immediate actions that will build confidence, stability and capability within families by: </w:t>
      </w:r>
    </w:p>
    <w:p w:rsidR="00FB7679" w:rsidRPr="00683526" w:rsidRDefault="00FB7679" w:rsidP="00A76FAF">
      <w:pPr>
        <w:pStyle w:val="WOVGbody"/>
        <w:numPr>
          <w:ilvl w:val="0"/>
          <w:numId w:val="22"/>
        </w:numPr>
        <w:ind w:left="426"/>
        <w:rPr>
          <w:rFonts w:ascii="Verdana" w:hAnsi="Verdana"/>
        </w:rPr>
      </w:pPr>
      <w:r w:rsidRPr="00683526">
        <w:rPr>
          <w:rFonts w:ascii="Verdana" w:hAnsi="Verdana"/>
        </w:rPr>
        <w:lastRenderedPageBreak/>
        <w:t>building on the recommendations of the Family Violence Royal Commission to develop shared responsibility and bring together the full range of services and supports that victims and oth</w:t>
      </w:r>
      <w:r w:rsidR="00430BC6">
        <w:rPr>
          <w:rFonts w:ascii="Verdana" w:hAnsi="Verdana"/>
        </w:rPr>
        <w:t>er vulnerable families need.</w:t>
      </w:r>
      <w:r w:rsidRPr="00683526">
        <w:rPr>
          <w:rFonts w:ascii="Verdana" w:hAnsi="Verdana"/>
        </w:rPr>
        <w:t xml:space="preserve"> </w:t>
      </w:r>
    </w:p>
    <w:p w:rsidR="0051268F" w:rsidRPr="00683526" w:rsidRDefault="00FB7679" w:rsidP="00A76FAF">
      <w:pPr>
        <w:pStyle w:val="WOVGbody"/>
        <w:numPr>
          <w:ilvl w:val="0"/>
          <w:numId w:val="22"/>
        </w:numPr>
        <w:ind w:left="426"/>
        <w:rPr>
          <w:rFonts w:ascii="Verdana" w:hAnsi="Verdana"/>
        </w:rPr>
      </w:pPr>
      <w:r w:rsidRPr="00683526">
        <w:rPr>
          <w:rFonts w:ascii="Verdana" w:hAnsi="Verdana"/>
        </w:rPr>
        <w:t xml:space="preserve">prioritising earlier intervention and preventative support, rather than responding to issues </w:t>
      </w:r>
      <w:r w:rsidR="00A03611" w:rsidRPr="00683526">
        <w:rPr>
          <w:rFonts w:ascii="Verdana" w:hAnsi="Verdana"/>
        </w:rPr>
        <w:t>once they have become critical.</w:t>
      </w:r>
    </w:p>
    <w:p w:rsidR="0051268F" w:rsidRPr="00683526" w:rsidRDefault="0051268F" w:rsidP="00683526">
      <w:pPr>
        <w:pStyle w:val="WOVGbody"/>
        <w:rPr>
          <w:rFonts w:ascii="Verdana" w:hAnsi="Verdana"/>
        </w:rPr>
      </w:pPr>
      <w:r w:rsidRPr="00683526">
        <w:rPr>
          <w:rFonts w:ascii="Verdana" w:hAnsi="Verdana"/>
        </w:rPr>
        <w:t>The CIS Scheme is a key enabler in delivering the objectives of the Roadmap to refocus the service system towards prevention and early intervention, and support proactive and integrated service responses in partnership with the family.</w:t>
      </w:r>
    </w:p>
    <w:p w:rsidR="00A25B57" w:rsidRPr="00A25B57" w:rsidRDefault="00A25B57" w:rsidP="00A25B57">
      <w:pPr>
        <w:pStyle w:val="Heading3"/>
        <w:rPr>
          <w:rFonts w:ascii="Verdana" w:hAnsi="Verdana"/>
        </w:rPr>
      </w:pPr>
      <w:r w:rsidRPr="00A25B57">
        <w:rPr>
          <w:rFonts w:ascii="Verdana" w:hAnsi="Verdana"/>
        </w:rPr>
        <w:t>The Education State</w:t>
      </w:r>
    </w:p>
    <w:p w:rsidR="00A25B57" w:rsidRDefault="00A25B57" w:rsidP="00A25B57">
      <w:pPr>
        <w:pStyle w:val="WOVGbody"/>
        <w:rPr>
          <w:rFonts w:ascii="Verdana" w:hAnsi="Verdana"/>
        </w:rPr>
      </w:pPr>
      <w:r w:rsidRPr="00A25B57">
        <w:rPr>
          <w:rFonts w:ascii="Verdana" w:hAnsi="Verdana"/>
        </w:rPr>
        <w:t>The Education State reform</w:t>
      </w:r>
      <w:r w:rsidR="00ED45DD">
        <w:rPr>
          <w:rFonts w:ascii="Verdana" w:hAnsi="Verdana"/>
        </w:rPr>
        <w:t>s</w:t>
      </w:r>
      <w:r w:rsidRPr="00A25B57">
        <w:rPr>
          <w:rFonts w:ascii="Verdana" w:hAnsi="Verdana"/>
        </w:rPr>
        <w:t xml:space="preserve">, launched in </w:t>
      </w:r>
      <w:r w:rsidR="00ED45DD">
        <w:rPr>
          <w:rFonts w:ascii="Verdana" w:hAnsi="Verdana"/>
        </w:rPr>
        <w:t>2015</w:t>
      </w:r>
      <w:r w:rsidR="00F4740E">
        <w:rPr>
          <w:rFonts w:ascii="Verdana" w:hAnsi="Verdana"/>
        </w:rPr>
        <w:t>, aim</w:t>
      </w:r>
      <w:r>
        <w:rPr>
          <w:rFonts w:ascii="Verdana" w:hAnsi="Verdana"/>
        </w:rPr>
        <w:t xml:space="preserve"> at developing the Vic</w:t>
      </w:r>
      <w:r w:rsidR="00ED45DD">
        <w:rPr>
          <w:rFonts w:ascii="Verdana" w:hAnsi="Verdana"/>
        </w:rPr>
        <w:t>t</w:t>
      </w:r>
      <w:r>
        <w:rPr>
          <w:rFonts w:ascii="Verdana" w:hAnsi="Verdana"/>
        </w:rPr>
        <w:t xml:space="preserve">orian education system to produce excellence in outcomes and </w:t>
      </w:r>
      <w:r w:rsidR="00ED45DD">
        <w:rPr>
          <w:rFonts w:ascii="Verdana" w:hAnsi="Verdana"/>
        </w:rPr>
        <w:t xml:space="preserve">to </w:t>
      </w:r>
      <w:r>
        <w:rPr>
          <w:rFonts w:ascii="Verdana" w:hAnsi="Verdana"/>
        </w:rPr>
        <w:t>red</w:t>
      </w:r>
      <w:r w:rsidR="00ED45DD">
        <w:rPr>
          <w:rFonts w:ascii="Verdana" w:hAnsi="Verdana"/>
        </w:rPr>
        <w:t>uce the impact of disadvantage. The reforms establish targets for Victorian schools that include improvement in outcomes for all students, regardless of their start in life.</w:t>
      </w:r>
    </w:p>
    <w:p w:rsidR="00CC5F0E" w:rsidRDefault="00D3006F" w:rsidP="00A25B57">
      <w:pPr>
        <w:pStyle w:val="WOVGbody"/>
        <w:rPr>
          <w:rFonts w:ascii="Verdana" w:hAnsi="Verdana"/>
        </w:rPr>
      </w:pPr>
      <w:r>
        <w:rPr>
          <w:rFonts w:ascii="Verdana" w:hAnsi="Verdana"/>
        </w:rPr>
        <w:t xml:space="preserve">The </w:t>
      </w:r>
      <w:r w:rsidRPr="00430BC6">
        <w:rPr>
          <w:rFonts w:ascii="Verdana" w:hAnsi="Verdana"/>
          <w:b/>
        </w:rPr>
        <w:t xml:space="preserve">Education State Early </w:t>
      </w:r>
      <w:r w:rsidR="00DA7C90" w:rsidRPr="00430BC6">
        <w:rPr>
          <w:rFonts w:ascii="Verdana" w:hAnsi="Verdana"/>
          <w:b/>
        </w:rPr>
        <w:t xml:space="preserve">Childhood </w:t>
      </w:r>
      <w:r w:rsidRPr="00430BC6">
        <w:rPr>
          <w:rFonts w:ascii="Verdana" w:hAnsi="Verdana"/>
          <w:b/>
        </w:rPr>
        <w:t>Reform Plan</w:t>
      </w:r>
      <w:r>
        <w:rPr>
          <w:rFonts w:ascii="Verdana" w:hAnsi="Verdana"/>
        </w:rPr>
        <w:t xml:space="preserve"> outlines the Victorian Government’s vision for early childhood, and the reforms that will be undertaken to create a higher quality, more equitable and inclusive early childhood system. </w:t>
      </w:r>
      <w:r w:rsidR="00D34381">
        <w:rPr>
          <w:rFonts w:ascii="Verdana" w:hAnsi="Verdana"/>
        </w:rPr>
        <w:t xml:space="preserve">Acknowledging the importance of </w:t>
      </w:r>
      <w:r w:rsidR="00430BC6">
        <w:rPr>
          <w:rFonts w:ascii="Verdana" w:hAnsi="Verdana"/>
        </w:rPr>
        <w:t>the early years in</w:t>
      </w:r>
      <w:r>
        <w:rPr>
          <w:rFonts w:ascii="Verdana" w:hAnsi="Verdana"/>
        </w:rPr>
        <w:t xml:space="preserve"> a child’s development and the negative impacts of disadvantage</w:t>
      </w:r>
      <w:r w:rsidR="00430BC6">
        <w:rPr>
          <w:rFonts w:ascii="Verdana" w:hAnsi="Verdana"/>
        </w:rPr>
        <w:t>, t</w:t>
      </w:r>
      <w:r w:rsidR="00D34381">
        <w:rPr>
          <w:rFonts w:ascii="Verdana" w:hAnsi="Verdana"/>
        </w:rPr>
        <w:t xml:space="preserve">he </w:t>
      </w:r>
      <w:r w:rsidR="00D34381" w:rsidRPr="00430BC6">
        <w:rPr>
          <w:rFonts w:ascii="Verdana" w:hAnsi="Verdana"/>
          <w:b/>
        </w:rPr>
        <w:t>Early Childhood Reform Plan</w:t>
      </w:r>
      <w:r w:rsidR="00D34381" w:rsidRPr="00387864">
        <w:rPr>
          <w:rFonts w:ascii="Verdana" w:hAnsi="Verdana"/>
          <w:b/>
          <w:i/>
        </w:rPr>
        <w:t xml:space="preserve"> </w:t>
      </w:r>
      <w:r w:rsidR="00D34381">
        <w:rPr>
          <w:rFonts w:ascii="Verdana" w:hAnsi="Verdana"/>
        </w:rPr>
        <w:t>directs support to the children and families who need it most through</w:t>
      </w:r>
      <w:r w:rsidR="00CC5F0E">
        <w:rPr>
          <w:rFonts w:ascii="Verdana" w:hAnsi="Verdana"/>
        </w:rPr>
        <w:t xml:space="preserve"> initiatives including strengthening of </w:t>
      </w:r>
      <w:r w:rsidR="00430BC6">
        <w:rPr>
          <w:rFonts w:ascii="Verdana" w:hAnsi="Verdana"/>
        </w:rPr>
        <w:t>k</w:t>
      </w:r>
      <w:r>
        <w:rPr>
          <w:rFonts w:ascii="Verdana" w:hAnsi="Verdana"/>
        </w:rPr>
        <w:t>indergarten</w:t>
      </w:r>
      <w:r w:rsidR="00642088">
        <w:rPr>
          <w:rFonts w:ascii="Verdana" w:hAnsi="Verdana"/>
        </w:rPr>
        <w:t xml:space="preserve"> services,</w:t>
      </w:r>
      <w:r>
        <w:rPr>
          <w:rFonts w:ascii="Verdana" w:hAnsi="Verdana"/>
        </w:rPr>
        <w:t xml:space="preserve"> </w:t>
      </w:r>
      <w:r w:rsidR="00CC5F0E">
        <w:rPr>
          <w:rFonts w:ascii="Verdana" w:hAnsi="Verdana"/>
        </w:rPr>
        <w:t>expa</w:t>
      </w:r>
      <w:r w:rsidR="00DA7C90">
        <w:rPr>
          <w:rFonts w:ascii="Verdana" w:hAnsi="Verdana"/>
        </w:rPr>
        <w:t xml:space="preserve">nsion of the </w:t>
      </w:r>
      <w:r w:rsidR="00CC5F0E">
        <w:rPr>
          <w:rFonts w:ascii="Verdana" w:hAnsi="Verdana"/>
        </w:rPr>
        <w:t>Supported Playgroups Program and increas</w:t>
      </w:r>
      <w:r w:rsidR="00DA7C90">
        <w:rPr>
          <w:rFonts w:ascii="Verdana" w:hAnsi="Verdana"/>
        </w:rPr>
        <w:t>ed</w:t>
      </w:r>
      <w:r w:rsidR="00CC5F0E">
        <w:rPr>
          <w:rFonts w:ascii="Verdana" w:hAnsi="Verdana"/>
        </w:rPr>
        <w:t xml:space="preserve"> </w:t>
      </w:r>
      <w:r>
        <w:rPr>
          <w:rFonts w:ascii="Verdana" w:hAnsi="Verdana"/>
        </w:rPr>
        <w:t>support to</w:t>
      </w:r>
      <w:r w:rsidR="00430BC6">
        <w:rPr>
          <w:rFonts w:ascii="Verdana" w:hAnsi="Verdana"/>
        </w:rPr>
        <w:t xml:space="preserve"> children with a disability and</w:t>
      </w:r>
      <w:r w:rsidR="00CC5F0E">
        <w:rPr>
          <w:rFonts w:ascii="Verdana" w:hAnsi="Verdana"/>
        </w:rPr>
        <w:t xml:space="preserve"> </w:t>
      </w:r>
      <w:r>
        <w:rPr>
          <w:rFonts w:ascii="Verdana" w:hAnsi="Verdana"/>
        </w:rPr>
        <w:t>Koorie families and child</w:t>
      </w:r>
      <w:r w:rsidR="00CC5F0E">
        <w:rPr>
          <w:rFonts w:ascii="Verdana" w:hAnsi="Verdana"/>
        </w:rPr>
        <w:t>r</w:t>
      </w:r>
      <w:r>
        <w:rPr>
          <w:rFonts w:ascii="Verdana" w:hAnsi="Verdana"/>
        </w:rPr>
        <w:t>en.</w:t>
      </w:r>
    </w:p>
    <w:p w:rsidR="00ED45DD" w:rsidRPr="00A25B57" w:rsidRDefault="00FF6734" w:rsidP="00A25B57">
      <w:pPr>
        <w:pStyle w:val="WOVGbody"/>
        <w:rPr>
          <w:rFonts w:ascii="Verdana" w:hAnsi="Verdana"/>
        </w:rPr>
      </w:pPr>
      <w:r>
        <w:rPr>
          <w:rFonts w:ascii="Verdana" w:hAnsi="Verdana"/>
        </w:rPr>
        <w:t xml:space="preserve">In line with the objectives of the Education State reforms, </w:t>
      </w:r>
      <w:r w:rsidR="00430BC6">
        <w:rPr>
          <w:rFonts w:ascii="Verdana" w:hAnsi="Verdana"/>
        </w:rPr>
        <w:t>t</w:t>
      </w:r>
      <w:r w:rsidR="00ED45DD">
        <w:rPr>
          <w:rFonts w:ascii="Verdana" w:hAnsi="Verdana"/>
        </w:rPr>
        <w:t>he CIS Scheme facilitates</w:t>
      </w:r>
      <w:r w:rsidR="00ED45DD" w:rsidRPr="00ED45DD">
        <w:rPr>
          <w:rFonts w:ascii="Verdana" w:hAnsi="Verdana"/>
        </w:rPr>
        <w:t xml:space="preserve"> improved coordination o</w:t>
      </w:r>
      <w:r w:rsidR="00ED45DD">
        <w:rPr>
          <w:rFonts w:ascii="Verdana" w:hAnsi="Verdana"/>
        </w:rPr>
        <w:t>f service delivery</w:t>
      </w:r>
      <w:r>
        <w:rPr>
          <w:rFonts w:ascii="Verdana" w:hAnsi="Verdana"/>
        </w:rPr>
        <w:t>, including transition between services,</w:t>
      </w:r>
      <w:r w:rsidR="00ED45DD">
        <w:rPr>
          <w:rFonts w:ascii="Verdana" w:hAnsi="Verdana"/>
        </w:rPr>
        <w:t xml:space="preserve"> and supports</w:t>
      </w:r>
      <w:r w:rsidR="00ED45DD" w:rsidRPr="00ED45DD">
        <w:rPr>
          <w:rFonts w:ascii="Verdana" w:hAnsi="Verdana"/>
        </w:rPr>
        <w:t xml:space="preserve"> increased participation in services among </w:t>
      </w:r>
      <w:r w:rsidR="00ED45DD">
        <w:rPr>
          <w:rFonts w:ascii="Verdana" w:hAnsi="Verdana"/>
        </w:rPr>
        <w:t xml:space="preserve">vulnerable Victorian </w:t>
      </w:r>
      <w:r w:rsidR="00ED45DD" w:rsidRPr="00ED45DD">
        <w:rPr>
          <w:rFonts w:ascii="Verdana" w:hAnsi="Verdana"/>
        </w:rPr>
        <w:t>children and their families</w:t>
      </w:r>
      <w:r w:rsidR="00ED45DD">
        <w:rPr>
          <w:rFonts w:ascii="Verdana" w:hAnsi="Verdana"/>
        </w:rPr>
        <w:t>.</w:t>
      </w:r>
      <w:r w:rsidR="00ED45DD" w:rsidRPr="00ED45DD">
        <w:rPr>
          <w:rFonts w:ascii="Verdana" w:hAnsi="Verdana"/>
        </w:rPr>
        <w:t xml:space="preserve"> </w:t>
      </w:r>
      <w:r w:rsidR="00ED45DD">
        <w:rPr>
          <w:rFonts w:ascii="Verdana" w:hAnsi="Verdana"/>
        </w:rPr>
        <w:t>As such</w:t>
      </w:r>
      <w:r w:rsidR="00147D57">
        <w:rPr>
          <w:rFonts w:ascii="Verdana" w:hAnsi="Verdana"/>
        </w:rPr>
        <w:t>, and acknowledging the direct link between the health and wellbeing of a</w:t>
      </w:r>
      <w:r w:rsidR="00ED45DD">
        <w:rPr>
          <w:rFonts w:ascii="Verdana" w:hAnsi="Verdana"/>
        </w:rPr>
        <w:t xml:space="preserve"> </w:t>
      </w:r>
      <w:r w:rsidR="00477076">
        <w:rPr>
          <w:rFonts w:ascii="Verdana" w:hAnsi="Verdana"/>
        </w:rPr>
        <w:t>child and their ‘school readiness’ and ability to learn</w:t>
      </w:r>
      <w:r w:rsidR="00147D57">
        <w:rPr>
          <w:rFonts w:ascii="Verdana" w:hAnsi="Verdana"/>
        </w:rPr>
        <w:t xml:space="preserve">, </w:t>
      </w:r>
      <w:r w:rsidR="00ED45DD">
        <w:rPr>
          <w:rFonts w:ascii="Verdana" w:hAnsi="Verdana"/>
        </w:rPr>
        <w:t xml:space="preserve">the </w:t>
      </w:r>
      <w:r w:rsidR="00ED45DD" w:rsidRPr="00ED45DD">
        <w:rPr>
          <w:rFonts w:ascii="Verdana" w:hAnsi="Verdana"/>
        </w:rPr>
        <w:t xml:space="preserve">CIS Scheme </w:t>
      </w:r>
      <w:r w:rsidR="00ED45DD">
        <w:rPr>
          <w:rFonts w:ascii="Verdana" w:hAnsi="Verdana"/>
        </w:rPr>
        <w:t>is an enabler of the</w:t>
      </w:r>
      <w:r w:rsidR="00ED45DD" w:rsidRPr="00ED45DD">
        <w:rPr>
          <w:rFonts w:ascii="Verdana" w:hAnsi="Verdana"/>
        </w:rPr>
        <w:t xml:space="preserve"> Education State target of breaking the link between disadvantage and </w:t>
      </w:r>
      <w:r w:rsidR="00477076">
        <w:rPr>
          <w:rFonts w:ascii="Verdana" w:hAnsi="Verdana"/>
        </w:rPr>
        <w:t xml:space="preserve">the </w:t>
      </w:r>
      <w:r w:rsidR="00ED45DD" w:rsidRPr="00ED45DD">
        <w:rPr>
          <w:rFonts w:ascii="Verdana" w:hAnsi="Verdana"/>
        </w:rPr>
        <w:t>learning</w:t>
      </w:r>
      <w:r w:rsidR="00477076">
        <w:rPr>
          <w:rFonts w:ascii="Verdana" w:hAnsi="Verdana"/>
        </w:rPr>
        <w:t xml:space="preserve"> </w:t>
      </w:r>
      <w:r w:rsidR="00ED45DD" w:rsidRPr="00ED45DD">
        <w:rPr>
          <w:rFonts w:ascii="Verdana" w:hAnsi="Verdana"/>
        </w:rPr>
        <w:t>outcomes</w:t>
      </w:r>
      <w:r w:rsidR="00477076">
        <w:rPr>
          <w:rFonts w:ascii="Verdana" w:hAnsi="Verdana"/>
        </w:rPr>
        <w:t xml:space="preserve"> of Victorian children</w:t>
      </w:r>
      <w:r w:rsidR="00ED45DD">
        <w:rPr>
          <w:rFonts w:ascii="Verdana" w:hAnsi="Verdana"/>
        </w:rPr>
        <w:t>.</w:t>
      </w:r>
    </w:p>
    <w:p w:rsidR="00A03611" w:rsidRPr="00E9516F" w:rsidRDefault="00A03611" w:rsidP="00A03611">
      <w:pPr>
        <w:pStyle w:val="Heading3"/>
        <w:rPr>
          <w:rFonts w:ascii="Verdana" w:hAnsi="Verdana"/>
        </w:rPr>
      </w:pPr>
      <w:r w:rsidRPr="00E9516F">
        <w:rPr>
          <w:rFonts w:ascii="Verdana" w:hAnsi="Verdana"/>
        </w:rPr>
        <w:t>The Child Information Sharing Reform</w:t>
      </w:r>
    </w:p>
    <w:p w:rsidR="000717D4" w:rsidRPr="002A248A" w:rsidRDefault="00FF6870" w:rsidP="002A248A">
      <w:pPr>
        <w:pStyle w:val="WOVGbody"/>
        <w:rPr>
          <w:rFonts w:ascii="Verdana" w:hAnsi="Verdana"/>
        </w:rPr>
      </w:pPr>
      <w:r w:rsidRPr="002A248A">
        <w:rPr>
          <w:rFonts w:ascii="Verdana" w:hAnsi="Verdana"/>
        </w:rPr>
        <w:t xml:space="preserve">In response to the </w:t>
      </w:r>
      <w:r w:rsidR="00A03611" w:rsidRPr="002A248A">
        <w:rPr>
          <w:rFonts w:ascii="Verdana" w:hAnsi="Verdana"/>
        </w:rPr>
        <w:t>reviews</w:t>
      </w:r>
      <w:r w:rsidRPr="002A248A">
        <w:rPr>
          <w:rFonts w:ascii="Verdana" w:hAnsi="Verdana"/>
        </w:rPr>
        <w:t>,</w:t>
      </w:r>
      <w:r w:rsidR="00A03611" w:rsidRPr="002A248A">
        <w:rPr>
          <w:rFonts w:ascii="Verdana" w:hAnsi="Verdana"/>
        </w:rPr>
        <w:t xml:space="preserve"> inquiries</w:t>
      </w:r>
      <w:r w:rsidR="00697B2D" w:rsidRPr="002A248A">
        <w:rPr>
          <w:rFonts w:ascii="Verdana" w:hAnsi="Verdana"/>
        </w:rPr>
        <w:t xml:space="preserve"> and Royal Commission recommendations</w:t>
      </w:r>
      <w:r w:rsidRPr="002A248A">
        <w:rPr>
          <w:rFonts w:ascii="Verdana" w:hAnsi="Verdana"/>
        </w:rPr>
        <w:t xml:space="preserve"> discussed above</w:t>
      </w:r>
      <w:r w:rsidR="004D7F56" w:rsidRPr="002A248A">
        <w:rPr>
          <w:rFonts w:ascii="Verdana" w:hAnsi="Verdana"/>
        </w:rPr>
        <w:t xml:space="preserve">, </w:t>
      </w:r>
      <w:r w:rsidR="00A03611" w:rsidRPr="002A248A">
        <w:rPr>
          <w:rFonts w:ascii="Verdana" w:hAnsi="Verdana"/>
        </w:rPr>
        <w:t xml:space="preserve">and in </w:t>
      </w:r>
      <w:r w:rsidR="000717D4" w:rsidRPr="002A248A">
        <w:rPr>
          <w:rFonts w:ascii="Verdana" w:hAnsi="Verdana"/>
        </w:rPr>
        <w:t xml:space="preserve">alignment with the </w:t>
      </w:r>
      <w:r w:rsidR="00A03611" w:rsidRPr="002A248A">
        <w:rPr>
          <w:rFonts w:ascii="Verdana" w:hAnsi="Verdana"/>
        </w:rPr>
        <w:t xml:space="preserve">Roadmap for Reform, the </w:t>
      </w:r>
      <w:r w:rsidR="000717D4" w:rsidRPr="002A248A">
        <w:rPr>
          <w:rFonts w:ascii="Verdana" w:hAnsi="Verdana"/>
        </w:rPr>
        <w:t xml:space="preserve">Education State reforms and broader child safety initiatives, </w:t>
      </w:r>
      <w:r w:rsidR="00A766F8" w:rsidRPr="002A248A">
        <w:rPr>
          <w:rFonts w:ascii="Verdana" w:hAnsi="Verdana"/>
        </w:rPr>
        <w:t xml:space="preserve">the Victorian </w:t>
      </w:r>
      <w:r w:rsidR="00430BC6">
        <w:rPr>
          <w:rFonts w:ascii="Verdana" w:hAnsi="Verdana"/>
        </w:rPr>
        <w:t>Parliament</w:t>
      </w:r>
      <w:r w:rsidR="00A766F8" w:rsidRPr="002A248A">
        <w:rPr>
          <w:rFonts w:ascii="Verdana" w:hAnsi="Verdana"/>
        </w:rPr>
        <w:t xml:space="preserve"> proclaimed </w:t>
      </w:r>
      <w:r w:rsidR="004D1CE1" w:rsidRPr="002A248A">
        <w:rPr>
          <w:rFonts w:ascii="Verdana" w:hAnsi="Verdana"/>
        </w:rPr>
        <w:t>parts 6A and 7A</w:t>
      </w:r>
      <w:r w:rsidR="00474B26" w:rsidRPr="002A248A">
        <w:rPr>
          <w:rFonts w:ascii="Verdana" w:hAnsi="Verdana"/>
        </w:rPr>
        <w:t xml:space="preserve"> of the Act, establishing the CIS Scheme and </w:t>
      </w:r>
      <w:r w:rsidR="00D963CF" w:rsidRPr="002A248A">
        <w:rPr>
          <w:rFonts w:ascii="Verdana" w:hAnsi="Verdana"/>
        </w:rPr>
        <w:t xml:space="preserve">the </w:t>
      </w:r>
      <w:r w:rsidR="00474B26" w:rsidRPr="002A248A">
        <w:rPr>
          <w:rFonts w:ascii="Verdana" w:hAnsi="Verdana"/>
        </w:rPr>
        <w:t>Child Link</w:t>
      </w:r>
      <w:r w:rsidR="00D963CF" w:rsidRPr="002A248A">
        <w:rPr>
          <w:rFonts w:ascii="Verdana" w:hAnsi="Verdana"/>
        </w:rPr>
        <w:t xml:space="preserve"> Register</w:t>
      </w:r>
      <w:r w:rsidR="00474B26" w:rsidRPr="002A248A">
        <w:rPr>
          <w:rFonts w:ascii="Verdana" w:hAnsi="Verdana"/>
        </w:rPr>
        <w:t xml:space="preserve">, </w:t>
      </w:r>
      <w:r w:rsidR="000717D4" w:rsidRPr="002A248A">
        <w:rPr>
          <w:rFonts w:ascii="Verdana" w:hAnsi="Verdana"/>
        </w:rPr>
        <w:t xml:space="preserve">collectively referred to as the Child Information Sharing (CIS) Reform. </w:t>
      </w:r>
    </w:p>
    <w:p w:rsidR="000717D4" w:rsidRPr="002A248A" w:rsidRDefault="000717D4" w:rsidP="002A248A">
      <w:pPr>
        <w:pStyle w:val="WOVGbullet1"/>
        <w:rPr>
          <w:rFonts w:ascii="Verdana" w:eastAsiaTheme="minorHAnsi" w:hAnsi="Verdana"/>
        </w:rPr>
      </w:pPr>
      <w:r w:rsidRPr="002A248A">
        <w:rPr>
          <w:rFonts w:ascii="Verdana" w:eastAsiaTheme="minorHAnsi" w:hAnsi="Verdana"/>
          <w:b/>
        </w:rPr>
        <w:t>Part 6A–Information Sharing</w:t>
      </w:r>
      <w:r w:rsidRPr="002A248A">
        <w:rPr>
          <w:rFonts w:ascii="Verdana" w:eastAsiaTheme="minorHAnsi" w:hAnsi="Verdana"/>
        </w:rPr>
        <w:t>. Part 6A</w:t>
      </w:r>
      <w:r w:rsidR="00A766F8" w:rsidRPr="002A248A">
        <w:rPr>
          <w:rFonts w:ascii="Verdana" w:eastAsiaTheme="minorHAnsi" w:hAnsi="Verdana"/>
        </w:rPr>
        <w:t>, proclaimed</w:t>
      </w:r>
      <w:r w:rsidR="00474B26" w:rsidRPr="002A248A">
        <w:rPr>
          <w:rFonts w:ascii="Verdana" w:eastAsiaTheme="minorHAnsi" w:hAnsi="Verdana"/>
        </w:rPr>
        <w:t xml:space="preserve"> September 2018,</w:t>
      </w:r>
      <w:r w:rsidRPr="002A248A">
        <w:rPr>
          <w:rFonts w:ascii="Verdana" w:eastAsiaTheme="minorHAnsi" w:hAnsi="Verdana"/>
        </w:rPr>
        <w:t xml:space="preserve"> mandates the creation of the CIS Scheme to </w:t>
      </w:r>
      <w:r w:rsidRPr="002A248A">
        <w:rPr>
          <w:rFonts w:ascii="Verdana" w:hAnsi="Verdana"/>
        </w:rPr>
        <w:t>enable prescribed entities to share confidential information in a timely and effective manner in order to promote the wellbeing and safety of children</w:t>
      </w:r>
      <w:r w:rsidR="005B4D34">
        <w:rPr>
          <w:rFonts w:ascii="Verdana" w:hAnsi="Verdana"/>
        </w:rPr>
        <w:t>.</w:t>
      </w:r>
      <w:r w:rsidRPr="002A248A">
        <w:rPr>
          <w:rStyle w:val="FootnoteReference"/>
          <w:rFonts w:ascii="Verdana" w:hAnsi="Verdana" w:cstheme="minorHAnsi"/>
        </w:rPr>
        <w:footnoteReference w:id="9"/>
      </w:r>
    </w:p>
    <w:p w:rsidR="000717D4" w:rsidRPr="002A248A" w:rsidRDefault="00430BC6" w:rsidP="002A248A">
      <w:pPr>
        <w:pStyle w:val="WOVGbullet1"/>
        <w:rPr>
          <w:rFonts w:ascii="Verdana" w:hAnsi="Verdana"/>
        </w:rPr>
      </w:pPr>
      <w:r>
        <w:rPr>
          <w:rFonts w:ascii="Verdana" w:hAnsi="Verdana"/>
          <w:b/>
        </w:rPr>
        <w:t>Part 7A</w:t>
      </w:r>
      <w:r w:rsidRPr="002A248A">
        <w:rPr>
          <w:rFonts w:ascii="Verdana" w:eastAsiaTheme="minorHAnsi" w:hAnsi="Verdana"/>
          <w:b/>
        </w:rPr>
        <w:t>–</w:t>
      </w:r>
      <w:r w:rsidR="000717D4" w:rsidRPr="002A248A">
        <w:rPr>
          <w:rFonts w:ascii="Verdana" w:hAnsi="Verdana"/>
          <w:b/>
        </w:rPr>
        <w:t>Child Link Register</w:t>
      </w:r>
      <w:r w:rsidR="000717D4" w:rsidRPr="002A248A">
        <w:rPr>
          <w:rFonts w:ascii="Verdana" w:hAnsi="Verdana"/>
        </w:rPr>
        <w:t>. Part 7A</w:t>
      </w:r>
      <w:r w:rsidR="00A766F8" w:rsidRPr="002A248A">
        <w:rPr>
          <w:rFonts w:ascii="Verdana" w:hAnsi="Verdana"/>
        </w:rPr>
        <w:t>, proclaimed</w:t>
      </w:r>
      <w:r w:rsidR="00474B26" w:rsidRPr="002A248A">
        <w:rPr>
          <w:rFonts w:ascii="Verdana" w:hAnsi="Verdana"/>
        </w:rPr>
        <w:t xml:space="preserve"> February 2019</w:t>
      </w:r>
      <w:r w:rsidR="000717D4" w:rsidRPr="002A248A">
        <w:rPr>
          <w:rFonts w:ascii="Verdana" w:hAnsi="Verdana"/>
        </w:rPr>
        <w:t xml:space="preserve">: </w:t>
      </w:r>
    </w:p>
    <w:p w:rsidR="000717D4" w:rsidRPr="002A248A" w:rsidRDefault="000717D4" w:rsidP="002A248A">
      <w:pPr>
        <w:pStyle w:val="WOVGbullet2"/>
        <w:rPr>
          <w:rFonts w:ascii="Verdana" w:eastAsiaTheme="minorHAnsi" w:hAnsi="Verdana"/>
        </w:rPr>
      </w:pPr>
      <w:r w:rsidRPr="002A248A">
        <w:rPr>
          <w:rFonts w:ascii="Verdana" w:eastAsiaTheme="minorHAnsi" w:hAnsi="Verdana"/>
        </w:rPr>
        <w:t xml:space="preserve">mandates the establishment of the Child Link Register to improve </w:t>
      </w:r>
      <w:r w:rsidRPr="002A248A">
        <w:rPr>
          <w:rFonts w:ascii="Verdana" w:hAnsi="Verdana"/>
        </w:rPr>
        <w:t>child wellbeing and safety outcomes for, and to monitor and support the participation in government-funded programs and services by, children born in or resident of Victoria</w:t>
      </w:r>
      <w:r w:rsidR="00B434A7">
        <w:rPr>
          <w:rFonts w:ascii="Verdana" w:hAnsi="Verdana"/>
        </w:rPr>
        <w:t>, and;</w:t>
      </w:r>
    </w:p>
    <w:p w:rsidR="000717D4" w:rsidRPr="002A248A" w:rsidRDefault="000717D4" w:rsidP="002A248A">
      <w:pPr>
        <w:pStyle w:val="WOVGbullet2"/>
        <w:rPr>
          <w:rFonts w:ascii="Verdana" w:hAnsi="Verdana"/>
        </w:rPr>
      </w:pPr>
      <w:r w:rsidRPr="002A248A">
        <w:rPr>
          <w:rFonts w:ascii="Verdana" w:hAnsi="Verdana"/>
        </w:rPr>
        <w:lastRenderedPageBreak/>
        <w:t>authorises the implementation of an information technology (IT) system, referred to as Child Link, to enable the establishment and ongoing provision of the Child Link Register.</w:t>
      </w:r>
    </w:p>
    <w:p w:rsidR="00DF0D4F" w:rsidRDefault="00232A5C" w:rsidP="007B2821">
      <w:pPr>
        <w:pStyle w:val="WOVGbody"/>
        <w:rPr>
          <w:rFonts w:ascii="Verdana" w:hAnsi="Verdana"/>
        </w:rPr>
      </w:pPr>
      <w:r>
        <w:rPr>
          <w:rFonts w:ascii="Verdana" w:hAnsi="Verdana"/>
        </w:rPr>
        <w:t xml:space="preserve">The RIS for the Child Wellbeing and Safety (Information Sharing) Regulations 2018 considered options for prescription of services and for record keeping requirements for Phase One implementation of the CIS Scheme. These matters were settled in the 2018 Regulations, and </w:t>
      </w:r>
      <w:r w:rsidR="00430BC6">
        <w:rPr>
          <w:rFonts w:ascii="Verdana" w:hAnsi="Verdana"/>
        </w:rPr>
        <w:t>following</w:t>
      </w:r>
      <w:r w:rsidR="007B2821">
        <w:rPr>
          <w:rFonts w:ascii="Verdana" w:hAnsi="Verdana"/>
        </w:rPr>
        <w:t xml:space="preserve"> proclamation of </w:t>
      </w:r>
      <w:r w:rsidR="00506D96">
        <w:rPr>
          <w:rFonts w:ascii="Verdana" w:hAnsi="Verdana"/>
        </w:rPr>
        <w:t xml:space="preserve">Part 6A of </w:t>
      </w:r>
      <w:r w:rsidR="007B2821">
        <w:rPr>
          <w:rFonts w:ascii="Verdana" w:hAnsi="Verdana"/>
        </w:rPr>
        <w:t xml:space="preserve">the Act, Phase One of the CIS Scheme commenced </w:t>
      </w:r>
      <w:r w:rsidR="00430BC6">
        <w:rPr>
          <w:rFonts w:ascii="Verdana" w:hAnsi="Verdana"/>
        </w:rPr>
        <w:t xml:space="preserve">on </w:t>
      </w:r>
      <w:r w:rsidR="007B2821" w:rsidRPr="00590871">
        <w:rPr>
          <w:rFonts w:ascii="Verdana" w:hAnsi="Verdana"/>
        </w:rPr>
        <w:t>27 September</w:t>
      </w:r>
      <w:r w:rsidR="007B2821">
        <w:rPr>
          <w:rFonts w:ascii="Verdana" w:hAnsi="Verdana"/>
        </w:rPr>
        <w:t xml:space="preserve"> 2018 prescribing </w:t>
      </w:r>
      <w:r w:rsidR="007B2821" w:rsidRPr="00590871">
        <w:rPr>
          <w:rFonts w:ascii="Verdana" w:hAnsi="Verdana"/>
        </w:rPr>
        <w:t>over 28,000 workers representing more than 700 entities, primarily within the secondary and tertiary sectors.</w:t>
      </w:r>
    </w:p>
    <w:p w:rsidR="00DF0D4F" w:rsidRDefault="00904C9D" w:rsidP="00771A10">
      <w:pPr>
        <w:pStyle w:val="WOVGbody"/>
        <w:rPr>
          <w:rFonts w:ascii="Verdana" w:hAnsi="Verdana"/>
        </w:rPr>
      </w:pPr>
      <w:r w:rsidRPr="006E5157">
        <w:rPr>
          <w:rFonts w:ascii="Verdana" w:hAnsi="Verdana"/>
        </w:rPr>
        <w:t xml:space="preserve">The CIS Scheme </w:t>
      </w:r>
      <w:r>
        <w:rPr>
          <w:rFonts w:ascii="Verdana" w:hAnsi="Verdana"/>
        </w:rPr>
        <w:t xml:space="preserve">is being </w:t>
      </w:r>
      <w:r w:rsidRPr="006E5157">
        <w:rPr>
          <w:rFonts w:ascii="Verdana" w:hAnsi="Verdana"/>
        </w:rPr>
        <w:t>rolled out to workforces in a phased approach.</w:t>
      </w:r>
      <w:r>
        <w:rPr>
          <w:rFonts w:ascii="Verdana" w:hAnsi="Verdana"/>
        </w:rPr>
        <w:t xml:space="preserve"> It is expected that Phase Two of the CIS Scheme will be rolled out in the second half of 2020, and that this phase will bring in key universal services </w:t>
      </w:r>
      <w:r w:rsidR="000450E9">
        <w:rPr>
          <w:rFonts w:ascii="Verdana" w:hAnsi="Verdana"/>
        </w:rPr>
        <w:t>across the education, health and justice portfolios</w:t>
      </w:r>
      <w:r>
        <w:rPr>
          <w:rFonts w:ascii="Verdana" w:hAnsi="Verdana"/>
        </w:rPr>
        <w:t>. These services interact with the vast majority of children and families in Victoria, and as such they play a crucial role in early intervention and prevention.</w:t>
      </w:r>
      <w:r w:rsidR="00B96863">
        <w:rPr>
          <w:rFonts w:ascii="Verdana" w:hAnsi="Verdana"/>
        </w:rPr>
        <w:t xml:space="preserve"> This RIS will consider which services to include in Phase Two of the CIS Scheme.</w:t>
      </w:r>
    </w:p>
    <w:p w:rsidR="00506D96" w:rsidRDefault="00506D96" w:rsidP="00771A10">
      <w:pPr>
        <w:pStyle w:val="WOVGbody"/>
        <w:rPr>
          <w:rFonts w:ascii="Verdana" w:hAnsi="Verdana"/>
        </w:rPr>
      </w:pPr>
      <w:r w:rsidRPr="00506D96">
        <w:rPr>
          <w:rFonts w:ascii="Verdana" w:hAnsi="Verdana"/>
        </w:rPr>
        <w:t>The phased implementat</w:t>
      </w:r>
      <w:r w:rsidR="004B6BE6">
        <w:rPr>
          <w:rFonts w:ascii="Verdana" w:hAnsi="Verdana"/>
        </w:rPr>
        <w:t>ion of the s</w:t>
      </w:r>
      <w:r w:rsidR="0061317C">
        <w:rPr>
          <w:rFonts w:ascii="Verdana" w:hAnsi="Verdana"/>
        </w:rPr>
        <w:t>cheme is led by DET</w:t>
      </w:r>
      <w:r w:rsidRPr="00506D96">
        <w:rPr>
          <w:rFonts w:ascii="Verdana" w:hAnsi="Verdana"/>
        </w:rPr>
        <w:t xml:space="preserve"> as part of a Whole of Victorian Government </w:t>
      </w:r>
      <w:r w:rsidR="0061317C">
        <w:rPr>
          <w:rFonts w:ascii="Verdana" w:hAnsi="Verdana"/>
        </w:rPr>
        <w:t>(WoV</w:t>
      </w:r>
      <w:r>
        <w:rPr>
          <w:rFonts w:ascii="Verdana" w:hAnsi="Verdana"/>
        </w:rPr>
        <w:t xml:space="preserve">G) </w:t>
      </w:r>
      <w:r w:rsidRPr="00506D96">
        <w:rPr>
          <w:rFonts w:ascii="Verdana" w:hAnsi="Verdana"/>
        </w:rPr>
        <w:t xml:space="preserve">function, and </w:t>
      </w:r>
      <w:r>
        <w:rPr>
          <w:rFonts w:ascii="Verdana" w:hAnsi="Verdana"/>
        </w:rPr>
        <w:t xml:space="preserve">is </w:t>
      </w:r>
      <w:r w:rsidRPr="00506D96">
        <w:rPr>
          <w:rFonts w:ascii="Verdana" w:hAnsi="Verdana"/>
        </w:rPr>
        <w:t>undertaken in conj</w:t>
      </w:r>
      <w:r>
        <w:rPr>
          <w:rFonts w:ascii="Verdana" w:hAnsi="Verdana"/>
        </w:rPr>
        <w:t>unction with partner agencies</w:t>
      </w:r>
      <w:r w:rsidR="0061317C">
        <w:rPr>
          <w:rFonts w:ascii="Verdana" w:hAnsi="Verdana"/>
        </w:rPr>
        <w:t xml:space="preserve"> </w:t>
      </w:r>
      <w:r w:rsidR="00430BC6">
        <w:rPr>
          <w:rFonts w:ascii="Verdana" w:hAnsi="Verdana"/>
        </w:rPr>
        <w:t>and d</w:t>
      </w:r>
      <w:r w:rsidR="0061317C">
        <w:rPr>
          <w:rFonts w:ascii="Verdana" w:hAnsi="Verdana"/>
        </w:rPr>
        <w:t>epartments:</w:t>
      </w:r>
      <w:r>
        <w:rPr>
          <w:rFonts w:ascii="Verdana" w:hAnsi="Verdana"/>
        </w:rPr>
        <w:t xml:space="preserve"> F</w:t>
      </w:r>
      <w:r w:rsidRPr="00506D96">
        <w:rPr>
          <w:rFonts w:ascii="Verdana" w:hAnsi="Verdana"/>
        </w:rPr>
        <w:t xml:space="preserve">SV, DHHS, </w:t>
      </w:r>
      <w:r w:rsidR="008435CF">
        <w:rPr>
          <w:rFonts w:ascii="Verdana" w:hAnsi="Verdana"/>
        </w:rPr>
        <w:t>D</w:t>
      </w:r>
      <w:r w:rsidRPr="00506D96">
        <w:rPr>
          <w:rFonts w:ascii="Verdana" w:hAnsi="Verdana"/>
        </w:rPr>
        <w:t>JCS</w:t>
      </w:r>
      <w:r w:rsidR="00407492">
        <w:rPr>
          <w:rFonts w:ascii="Verdana" w:hAnsi="Verdana"/>
        </w:rPr>
        <w:t xml:space="preserve">, Court Services </w:t>
      </w:r>
      <w:r w:rsidR="00DE44AA">
        <w:rPr>
          <w:rFonts w:ascii="Verdana" w:hAnsi="Verdana"/>
        </w:rPr>
        <w:t xml:space="preserve">Victoria </w:t>
      </w:r>
      <w:r w:rsidR="00FD5B3C">
        <w:rPr>
          <w:rFonts w:ascii="Verdana" w:hAnsi="Verdana"/>
        </w:rPr>
        <w:t xml:space="preserve">and </w:t>
      </w:r>
      <w:r w:rsidR="00407492">
        <w:rPr>
          <w:rFonts w:ascii="Verdana" w:hAnsi="Verdana"/>
        </w:rPr>
        <w:t>Victoria</w:t>
      </w:r>
      <w:r w:rsidR="008301A9">
        <w:rPr>
          <w:rFonts w:ascii="Verdana" w:hAnsi="Verdana"/>
        </w:rPr>
        <w:t xml:space="preserve"> </w:t>
      </w:r>
      <w:r w:rsidRPr="00506D96">
        <w:rPr>
          <w:rFonts w:ascii="Verdana" w:hAnsi="Verdana"/>
        </w:rPr>
        <w:t>Police</w:t>
      </w:r>
      <w:r w:rsidR="0061317C">
        <w:rPr>
          <w:rFonts w:ascii="Verdana" w:hAnsi="Verdana"/>
        </w:rPr>
        <w:t>.</w:t>
      </w:r>
      <w:r w:rsidR="001027CC">
        <w:rPr>
          <w:rFonts w:ascii="Verdana" w:hAnsi="Verdana"/>
        </w:rPr>
        <w:t xml:space="preserve"> Fun</w:t>
      </w:r>
      <w:r w:rsidR="00EF4B43">
        <w:rPr>
          <w:rFonts w:ascii="Verdana" w:hAnsi="Verdana"/>
        </w:rPr>
        <w:t xml:space="preserve">ding to </w:t>
      </w:r>
      <w:r w:rsidR="004B6BE6">
        <w:rPr>
          <w:rFonts w:ascii="Verdana" w:hAnsi="Verdana"/>
        </w:rPr>
        <w:t>implement the s</w:t>
      </w:r>
      <w:r w:rsidR="003F7E4D">
        <w:rPr>
          <w:rFonts w:ascii="Verdana" w:hAnsi="Verdana"/>
        </w:rPr>
        <w:t xml:space="preserve">cheme for </w:t>
      </w:r>
      <w:r w:rsidR="00EF4B43">
        <w:rPr>
          <w:rFonts w:ascii="Verdana" w:hAnsi="Verdana"/>
        </w:rPr>
        <w:t xml:space="preserve">Phase One and Phase Two workforces was </w:t>
      </w:r>
      <w:r w:rsidR="001027CC">
        <w:rPr>
          <w:rFonts w:ascii="Verdana" w:hAnsi="Verdana"/>
        </w:rPr>
        <w:t xml:space="preserve">allocated </w:t>
      </w:r>
      <w:r w:rsidR="00EF4B43">
        <w:rPr>
          <w:rFonts w:ascii="Verdana" w:hAnsi="Verdana"/>
        </w:rPr>
        <w:t xml:space="preserve">to </w:t>
      </w:r>
      <w:r w:rsidR="00430BC6">
        <w:rPr>
          <w:rFonts w:ascii="Verdana" w:hAnsi="Verdana"/>
        </w:rPr>
        <w:t>the responsible agencies and d</w:t>
      </w:r>
      <w:r w:rsidR="001027CC">
        <w:rPr>
          <w:rFonts w:ascii="Verdana" w:hAnsi="Verdana"/>
        </w:rPr>
        <w:t>epartments over the 2018-22 State Budget.</w:t>
      </w:r>
      <w:r w:rsidR="00EF4B43">
        <w:rPr>
          <w:rFonts w:ascii="Verdana" w:hAnsi="Verdana"/>
        </w:rPr>
        <w:t xml:space="preserve"> Thes</w:t>
      </w:r>
      <w:r w:rsidR="001027CC">
        <w:rPr>
          <w:rFonts w:ascii="Verdana" w:hAnsi="Verdana"/>
        </w:rPr>
        <w:t>e</w:t>
      </w:r>
      <w:r w:rsidR="00EF4B43">
        <w:rPr>
          <w:rFonts w:ascii="Verdana" w:hAnsi="Verdana"/>
        </w:rPr>
        <w:t xml:space="preserve"> </w:t>
      </w:r>
      <w:r w:rsidR="001027CC">
        <w:rPr>
          <w:rFonts w:ascii="Verdana" w:hAnsi="Verdana"/>
        </w:rPr>
        <w:t>pre-dete</w:t>
      </w:r>
      <w:r w:rsidR="00EF4B43">
        <w:rPr>
          <w:rFonts w:ascii="Verdana" w:hAnsi="Verdana"/>
        </w:rPr>
        <w:t>r</w:t>
      </w:r>
      <w:r w:rsidR="004615F7">
        <w:rPr>
          <w:rFonts w:ascii="Verdana" w:hAnsi="Verdana"/>
        </w:rPr>
        <w:t>mined g</w:t>
      </w:r>
      <w:r w:rsidR="001027CC">
        <w:rPr>
          <w:rFonts w:ascii="Verdana" w:hAnsi="Verdana"/>
        </w:rPr>
        <w:t xml:space="preserve">overnment costs are presented in further detail in Chapter </w:t>
      </w:r>
      <w:r w:rsidR="00C650B2">
        <w:rPr>
          <w:rFonts w:ascii="Verdana" w:hAnsi="Verdana"/>
        </w:rPr>
        <w:t>6</w:t>
      </w:r>
      <w:r w:rsidR="001027CC">
        <w:rPr>
          <w:rFonts w:ascii="Verdana" w:hAnsi="Verdana"/>
        </w:rPr>
        <w:t>.</w:t>
      </w:r>
    </w:p>
    <w:p w:rsidR="00506D96" w:rsidRPr="00771A10" w:rsidRDefault="0061317C" w:rsidP="00771A10">
      <w:pPr>
        <w:pStyle w:val="WOVGbody"/>
        <w:rPr>
          <w:rFonts w:ascii="Verdana" w:hAnsi="Verdana"/>
        </w:rPr>
      </w:pPr>
      <w:r>
        <w:rPr>
          <w:rFonts w:ascii="Verdana" w:hAnsi="Verdana"/>
        </w:rPr>
        <w:t xml:space="preserve">The development and implementation of </w:t>
      </w:r>
      <w:r w:rsidR="00D963CF">
        <w:rPr>
          <w:rFonts w:ascii="Verdana" w:hAnsi="Verdana"/>
        </w:rPr>
        <w:t xml:space="preserve">the </w:t>
      </w:r>
      <w:r w:rsidR="00506D96" w:rsidRPr="000717D4">
        <w:rPr>
          <w:rFonts w:ascii="Verdana" w:hAnsi="Verdana"/>
        </w:rPr>
        <w:t xml:space="preserve">Child Link </w:t>
      </w:r>
      <w:r w:rsidR="00D963CF">
        <w:rPr>
          <w:rFonts w:ascii="Verdana" w:hAnsi="Verdana"/>
        </w:rPr>
        <w:t xml:space="preserve">Register </w:t>
      </w:r>
      <w:r w:rsidRPr="000717D4">
        <w:rPr>
          <w:rFonts w:ascii="Verdana" w:eastAsia="Calibri" w:hAnsi="Verdana" w:cstheme="minorHAnsi"/>
        </w:rPr>
        <w:t>is centrally managed and l</w:t>
      </w:r>
      <w:r>
        <w:rPr>
          <w:rFonts w:ascii="Verdana" w:eastAsia="Calibri" w:hAnsi="Verdana" w:cstheme="minorHAnsi"/>
        </w:rPr>
        <w:t xml:space="preserve">ed by DET. </w:t>
      </w:r>
      <w:r w:rsidR="00D963CF">
        <w:rPr>
          <w:rFonts w:ascii="Verdana" w:eastAsia="Calibri" w:hAnsi="Verdana" w:cstheme="minorHAnsi"/>
        </w:rPr>
        <w:t xml:space="preserve">The </w:t>
      </w:r>
      <w:r>
        <w:rPr>
          <w:rFonts w:ascii="Verdana" w:eastAsia="Calibri" w:hAnsi="Verdana" w:cstheme="minorHAnsi"/>
        </w:rPr>
        <w:t xml:space="preserve">Child Link </w:t>
      </w:r>
      <w:r w:rsidR="00D963CF">
        <w:rPr>
          <w:rFonts w:ascii="Verdana" w:eastAsia="Calibri" w:hAnsi="Verdana" w:cstheme="minorHAnsi"/>
        </w:rPr>
        <w:t xml:space="preserve">Register </w:t>
      </w:r>
      <w:r>
        <w:rPr>
          <w:rFonts w:ascii="Verdana" w:eastAsia="Calibri" w:hAnsi="Verdana" w:cstheme="minorHAnsi"/>
        </w:rPr>
        <w:t xml:space="preserve">is expected to </w:t>
      </w:r>
      <w:r w:rsidR="003E2A7C">
        <w:rPr>
          <w:rFonts w:ascii="Verdana" w:eastAsia="Calibri" w:hAnsi="Verdana" w:cstheme="minorHAnsi"/>
        </w:rPr>
        <w:t>commence by the end of 2021</w:t>
      </w:r>
      <w:r w:rsidR="00D626E0">
        <w:rPr>
          <w:rFonts w:ascii="Verdana" w:eastAsia="Calibri" w:hAnsi="Verdana" w:cstheme="minorHAnsi"/>
        </w:rPr>
        <w:t xml:space="preserve"> </w:t>
      </w:r>
      <w:r w:rsidR="003E2A7C">
        <w:rPr>
          <w:rFonts w:ascii="Verdana" w:eastAsia="Calibri" w:hAnsi="Verdana" w:cstheme="minorHAnsi"/>
        </w:rPr>
        <w:t>and</w:t>
      </w:r>
      <w:r>
        <w:rPr>
          <w:rFonts w:ascii="Verdana" w:eastAsia="Calibri" w:hAnsi="Verdana" w:cstheme="minorHAnsi"/>
        </w:rPr>
        <w:t xml:space="preserve"> </w:t>
      </w:r>
      <w:r w:rsidR="00506D96" w:rsidRPr="000717D4">
        <w:rPr>
          <w:rFonts w:ascii="Verdana" w:hAnsi="Verdana"/>
        </w:rPr>
        <w:t xml:space="preserve">is a key </w:t>
      </w:r>
      <w:r w:rsidR="00506D96">
        <w:rPr>
          <w:rFonts w:ascii="Verdana" w:hAnsi="Verdana"/>
        </w:rPr>
        <w:t>enabler</w:t>
      </w:r>
      <w:r w:rsidR="00506D96" w:rsidRPr="000717D4">
        <w:rPr>
          <w:rFonts w:ascii="Verdana" w:hAnsi="Verdana"/>
        </w:rPr>
        <w:t xml:space="preserve"> to ensu</w:t>
      </w:r>
      <w:r w:rsidR="00506D96">
        <w:rPr>
          <w:rFonts w:ascii="Verdana" w:hAnsi="Verdana"/>
        </w:rPr>
        <w:t>re the success of the CIS Scheme</w:t>
      </w:r>
      <w:r w:rsidR="00506D96">
        <w:rPr>
          <w:rFonts w:ascii="Verdana" w:eastAsia="Calibri" w:hAnsi="Verdana" w:cstheme="minorHAnsi"/>
        </w:rPr>
        <w:t xml:space="preserve">. </w:t>
      </w:r>
    </w:p>
    <w:p w:rsidR="00FB7679" w:rsidRPr="00B309AB" w:rsidRDefault="00FB7679" w:rsidP="00DE7C18">
      <w:pPr>
        <w:ind w:right="-58"/>
        <w:rPr>
          <w:rFonts w:ascii="Verdana" w:hAnsi="Verdana"/>
        </w:rPr>
      </w:pPr>
      <w:r w:rsidRPr="00B309AB">
        <w:rPr>
          <w:rFonts w:ascii="Verdana" w:hAnsi="Verdana"/>
          <w:noProof/>
          <w:lang w:eastAsia="en-AU"/>
        </w:rPr>
        <w:lastRenderedPageBreak/>
        <mc:AlternateContent>
          <mc:Choice Requires="wps">
            <w:drawing>
              <wp:inline distT="0" distB="0" distL="0" distR="0" wp14:anchorId="5136BB7F" wp14:editId="09649760">
                <wp:extent cx="6019800" cy="6220046"/>
                <wp:effectExtent l="0" t="0" r="19050" b="285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6220046"/>
                        </a:xfrm>
                        <a:prstGeom prst="rect">
                          <a:avLst/>
                        </a:prstGeom>
                        <a:solidFill>
                          <a:srgbClr val="FFFFFF"/>
                        </a:solidFill>
                        <a:ln w="19050">
                          <a:solidFill>
                            <a:schemeClr val="accent3"/>
                          </a:solidFill>
                          <a:miter lim="800000"/>
                          <a:headEnd/>
                          <a:tailEnd/>
                        </a:ln>
                      </wps:spPr>
                      <wps:txbx>
                        <w:txbxContent>
                          <w:p w:rsidR="00642088" w:rsidRPr="00B309AB" w:rsidRDefault="00642088" w:rsidP="00FB7679">
                            <w:pPr>
                              <w:rPr>
                                <w:rFonts w:ascii="Verdana" w:hAnsi="Verdana"/>
                                <w:b/>
                              </w:rPr>
                            </w:pPr>
                            <w:r w:rsidRPr="00B309AB">
                              <w:rPr>
                                <w:rFonts w:ascii="Verdana" w:hAnsi="Verdana"/>
                                <w:b/>
                              </w:rPr>
                              <w:t>Child Link</w:t>
                            </w:r>
                            <w:r>
                              <w:rPr>
                                <w:rFonts w:ascii="Verdana" w:hAnsi="Verdana"/>
                                <w:b/>
                              </w:rPr>
                              <w:t xml:space="preserve"> Register</w:t>
                            </w:r>
                          </w:p>
                          <w:p w:rsidR="00642088" w:rsidRPr="00551865" w:rsidRDefault="00642088" w:rsidP="00551865">
                            <w:pPr>
                              <w:pStyle w:val="WOVGbody"/>
                              <w:rPr>
                                <w:rFonts w:ascii="Verdana" w:hAnsi="Verdana"/>
                              </w:rPr>
                            </w:pPr>
                            <w:r w:rsidRPr="00551865">
                              <w:rPr>
                                <w:rFonts w:ascii="Verdana" w:hAnsi="Verdana"/>
                              </w:rPr>
                              <w:t xml:space="preserve">The Child Link Register will be a web-based platform that will display </w:t>
                            </w:r>
                            <w:r>
                              <w:rPr>
                                <w:rFonts w:ascii="Verdana" w:hAnsi="Verdana"/>
                              </w:rPr>
                              <w:t>factual</w:t>
                            </w:r>
                            <w:r w:rsidRPr="00551865">
                              <w:rPr>
                                <w:rFonts w:ascii="Verdana" w:hAnsi="Verdana"/>
                              </w:rPr>
                              <w:t xml:space="preserve"> information about a child to a prescribed group of authorised</w:t>
                            </w:r>
                            <w:r>
                              <w:rPr>
                                <w:rFonts w:ascii="Verdana" w:hAnsi="Verdana"/>
                              </w:rPr>
                              <w:t xml:space="preserve"> </w:t>
                            </w:r>
                            <w:r w:rsidRPr="00551865">
                              <w:rPr>
                                <w:rFonts w:ascii="Verdana" w:hAnsi="Verdana"/>
                              </w:rPr>
                              <w:t>professionals who have responsibility for supporting child wellbeing and safety.</w:t>
                            </w:r>
                          </w:p>
                          <w:p w:rsidR="00642088" w:rsidRPr="00551865" w:rsidRDefault="00642088" w:rsidP="00551865">
                            <w:pPr>
                              <w:pStyle w:val="WOVGbody"/>
                              <w:rPr>
                                <w:rFonts w:ascii="Verdana" w:hAnsi="Verdana"/>
                              </w:rPr>
                            </w:pPr>
                            <w:r w:rsidRPr="00551865">
                              <w:rPr>
                                <w:rFonts w:ascii="Verdana" w:hAnsi="Verdana"/>
                              </w:rPr>
                              <w:t>The Child Link Register is an enabler for better information sharing and service collaboration between key professionals who work with children</w:t>
                            </w:r>
                            <w:r>
                              <w:rPr>
                                <w:rFonts w:ascii="Verdana" w:hAnsi="Verdana"/>
                              </w:rPr>
                              <w:t>. Child Link</w:t>
                            </w:r>
                            <w:r w:rsidRPr="00551865">
                              <w:rPr>
                                <w:rFonts w:ascii="Verdana" w:hAnsi="Verdana"/>
                              </w:rPr>
                              <w:t xml:space="preserve"> will provide visibility of the service participation history and vulnerability of a child in their care which will assist them to make informed decisions about the wellbeing or safety related support needs of the child. Access to the Child Link Register is restricted by role and purpose to ensure that only appropriately skilled and trained key professionals within a s</w:t>
                            </w:r>
                            <w:r w:rsidR="002E6C78">
                              <w:rPr>
                                <w:rFonts w:ascii="Verdana" w:hAnsi="Verdana"/>
                              </w:rPr>
                              <w:t>ervice will have access to the r</w:t>
                            </w:r>
                            <w:r w:rsidRPr="00551865">
                              <w:rPr>
                                <w:rFonts w:ascii="Verdana" w:hAnsi="Verdana"/>
                              </w:rPr>
                              <w:t>egister.</w:t>
                            </w:r>
                          </w:p>
                          <w:p w:rsidR="00642088" w:rsidRPr="00551865" w:rsidRDefault="00642088" w:rsidP="00551865">
                            <w:pPr>
                              <w:pStyle w:val="WOVGbody"/>
                              <w:rPr>
                                <w:rFonts w:ascii="Verdana" w:hAnsi="Verdana"/>
                              </w:rPr>
                            </w:pPr>
                            <w:r w:rsidRPr="00551865">
                              <w:rPr>
                                <w:rFonts w:ascii="Verdana" w:hAnsi="Verdana"/>
                              </w:rPr>
                              <w:t>The thin layer of information displayed on the Child Link Register is limited by legislation and may include the following attributes</w:t>
                            </w:r>
                            <w:r>
                              <w:rPr>
                                <w:rFonts w:ascii="Verdana" w:hAnsi="Verdana"/>
                              </w:rPr>
                              <w:t>:</w:t>
                            </w:r>
                          </w:p>
                          <w:p w:rsidR="00642088" w:rsidRPr="00551865" w:rsidRDefault="00642088" w:rsidP="00551865">
                            <w:pPr>
                              <w:pStyle w:val="WOVGbullet1"/>
                              <w:rPr>
                                <w:rFonts w:ascii="Verdana" w:hAnsi="Verdana"/>
                              </w:rPr>
                            </w:pPr>
                            <w:r>
                              <w:rPr>
                                <w:rFonts w:ascii="Verdana" w:hAnsi="Verdana"/>
                              </w:rPr>
                              <w:t>b</w:t>
                            </w:r>
                            <w:r w:rsidRPr="00551865">
                              <w:rPr>
                                <w:rFonts w:ascii="Verdana" w:hAnsi="Verdana"/>
                              </w:rPr>
                              <w:t>asic information about a child</w:t>
                            </w:r>
                            <w:r w:rsidRPr="00551865">
                              <w:rPr>
                                <w:rFonts w:ascii="Verdana" w:hAnsi="Verdana"/>
                              </w:rPr>
                              <w:softHyphen/>
                            </w:r>
                            <w:r w:rsidRPr="00551865">
                              <w:rPr>
                                <w:rFonts w:ascii="Verdana" w:hAnsi="Verdana"/>
                              </w:rPr>
                              <w:softHyphen/>
                            </w:r>
                            <w:r w:rsidRPr="00551865">
                              <w:rPr>
                                <w:rFonts w:ascii="Verdana" w:hAnsi="Verdana"/>
                              </w:rPr>
                              <w:softHyphen/>
                            </w:r>
                            <w:r w:rsidRPr="00551865">
                              <w:rPr>
                                <w:rFonts w:ascii="Verdana" w:hAnsi="Verdana"/>
                              </w:rPr>
                              <w:softHyphen/>
                            </w:r>
                            <w:r w:rsidRPr="00551865">
                              <w:rPr>
                                <w:rFonts w:ascii="Verdana" w:hAnsi="Verdana"/>
                              </w:rPr>
                              <w:softHyphen/>
                              <w:t xml:space="preserve"> – including name, birth date and sex (no phone numbers or addresses)</w:t>
                            </w:r>
                          </w:p>
                          <w:p w:rsidR="00642088" w:rsidRPr="00551865" w:rsidRDefault="00642088" w:rsidP="00551865">
                            <w:pPr>
                              <w:pStyle w:val="WOVGbullet1"/>
                              <w:rPr>
                                <w:rFonts w:ascii="Verdana" w:hAnsi="Verdana"/>
                              </w:rPr>
                            </w:pPr>
                            <w:r w:rsidRPr="00551865">
                              <w:rPr>
                                <w:rFonts w:ascii="Verdana" w:hAnsi="Verdana"/>
                              </w:rPr>
                              <w:t>key family relationships – including carer and sibling information</w:t>
                            </w:r>
                          </w:p>
                          <w:p w:rsidR="00642088" w:rsidRPr="00551865" w:rsidRDefault="00642088" w:rsidP="00551865">
                            <w:pPr>
                              <w:pStyle w:val="WOVGbullet1"/>
                              <w:rPr>
                                <w:rFonts w:ascii="Verdana" w:hAnsi="Verdana"/>
                              </w:rPr>
                            </w:pPr>
                            <w:r w:rsidRPr="00551865">
                              <w:rPr>
                                <w:rFonts w:ascii="Verdana" w:hAnsi="Verdana"/>
                              </w:rPr>
                              <w:t>whether the child is Aborigina</w:t>
                            </w:r>
                            <w:r>
                              <w:rPr>
                                <w:rFonts w:ascii="Verdana" w:hAnsi="Verdana"/>
                              </w:rPr>
                              <w:t>l and/or Torres Strait Islander</w:t>
                            </w:r>
                          </w:p>
                          <w:p w:rsidR="00642088" w:rsidRPr="00551865" w:rsidRDefault="00642088" w:rsidP="00551865">
                            <w:pPr>
                              <w:pStyle w:val="WOVGbullet1"/>
                              <w:rPr>
                                <w:rFonts w:ascii="Verdana" w:hAnsi="Verdana"/>
                              </w:rPr>
                            </w:pPr>
                            <w:r w:rsidRPr="00551865">
                              <w:rPr>
                                <w:rFonts w:ascii="Verdana" w:hAnsi="Verdana"/>
                              </w:rPr>
                              <w:t>participation in the Natio</w:t>
                            </w:r>
                            <w:r>
                              <w:rPr>
                                <w:rFonts w:ascii="Verdana" w:hAnsi="Verdana"/>
                              </w:rPr>
                              <w:t>nal Disability Insurance Scheme</w:t>
                            </w:r>
                          </w:p>
                          <w:p w:rsidR="00642088" w:rsidRPr="00551865" w:rsidRDefault="00642088" w:rsidP="00551865">
                            <w:pPr>
                              <w:pStyle w:val="WOVGbullet1"/>
                              <w:rPr>
                                <w:rFonts w:ascii="Verdana" w:hAnsi="Verdana"/>
                              </w:rPr>
                            </w:pPr>
                            <w:r w:rsidRPr="00551865">
                              <w:rPr>
                                <w:rFonts w:ascii="Verdana" w:hAnsi="Verdana"/>
                              </w:rPr>
                              <w:t>enrolmen</w:t>
                            </w:r>
                            <w:r>
                              <w:rPr>
                                <w:rFonts w:ascii="Verdana" w:hAnsi="Verdana"/>
                              </w:rPr>
                              <w:t>t and participation in certain g</w:t>
                            </w:r>
                            <w:r w:rsidRPr="00551865">
                              <w:rPr>
                                <w:rFonts w:ascii="Verdana" w:hAnsi="Verdana"/>
                              </w:rPr>
                              <w:t>overnment childhood services and programs – including Maternal and Child Health services, supported playgroups, funded kindergarten programs and schools</w:t>
                            </w:r>
                          </w:p>
                          <w:p w:rsidR="00642088" w:rsidRPr="00551865" w:rsidRDefault="00642088" w:rsidP="00551865">
                            <w:pPr>
                              <w:pStyle w:val="WOVGbullet1"/>
                              <w:rPr>
                                <w:rFonts w:ascii="Verdana" w:hAnsi="Verdana"/>
                              </w:rPr>
                            </w:pPr>
                            <w:r w:rsidRPr="00551865">
                              <w:rPr>
                                <w:rFonts w:ascii="Verdana" w:hAnsi="Verdana"/>
                              </w:rPr>
                              <w:t>current or previous Child Protection orders made in relation to the child or a sibling, the date of the order and out of home status</w:t>
                            </w:r>
                          </w:p>
                          <w:p w:rsidR="00642088" w:rsidRPr="00551865" w:rsidRDefault="00642088" w:rsidP="00551865">
                            <w:pPr>
                              <w:pStyle w:val="WOVGbullet1"/>
                              <w:rPr>
                                <w:rFonts w:ascii="Verdana" w:hAnsi="Verdana"/>
                              </w:rPr>
                            </w:pPr>
                            <w:r w:rsidRPr="00551865">
                              <w:rPr>
                                <w:rFonts w:ascii="Verdana" w:hAnsi="Verdana"/>
                              </w:rPr>
                              <w:t>contact details for services with which the child has bee</w:t>
                            </w:r>
                            <w:r>
                              <w:rPr>
                                <w:rFonts w:ascii="Verdana" w:hAnsi="Verdana"/>
                              </w:rPr>
                              <w:t>n or is engaged</w:t>
                            </w:r>
                          </w:p>
                          <w:p w:rsidR="00642088" w:rsidRPr="00551865" w:rsidRDefault="00642088" w:rsidP="00551865">
                            <w:pPr>
                              <w:pStyle w:val="WOVGbullet1"/>
                              <w:rPr>
                                <w:rFonts w:ascii="Verdana" w:hAnsi="Verdana"/>
                              </w:rPr>
                            </w:pPr>
                            <w:r w:rsidRPr="00551865">
                              <w:rPr>
                                <w:rFonts w:ascii="Verdana" w:hAnsi="Verdana"/>
                              </w:rPr>
                              <w:t>if a child dies before the age of 18, the date and cause of death.</w:t>
                            </w:r>
                          </w:p>
                          <w:p w:rsidR="00642088" w:rsidRPr="00551865" w:rsidRDefault="00642088" w:rsidP="00551865">
                            <w:pPr>
                              <w:pStyle w:val="WOVGbody"/>
                              <w:rPr>
                                <w:rFonts w:ascii="Verdana" w:hAnsi="Verdana"/>
                              </w:rPr>
                            </w:pPr>
                            <w:r w:rsidRPr="00551865">
                              <w:rPr>
                                <w:rFonts w:ascii="Verdana" w:hAnsi="Verdana"/>
                              </w:rPr>
                              <w:t>Key professionals who are authorised as Child Link Register users will only be able to see Child Link Register profiles once a child is enrolled in their service. The Child Link Register is not a tool for key professionals to transfer information to each other. It will, however, contain contact details for the services that the child has been or is currently engaged with, for the purpose of guiding information sharing. The Child Link Register is not a case management system, and it will not record or contain any case notes, professional opinions or health records</w:t>
                            </w:r>
                            <w:r>
                              <w:rPr>
                                <w:rFonts w:ascii="Verdana" w:hAnsi="Verdana"/>
                              </w:rPr>
                              <w:t>.</w:t>
                            </w:r>
                          </w:p>
                          <w:p w:rsidR="00642088" w:rsidRPr="00F93A17" w:rsidRDefault="00642088" w:rsidP="00FB7679">
                            <w:pPr>
                              <w:pStyle w:val="Header"/>
                              <w:tabs>
                                <w:tab w:val="center" w:pos="4320"/>
                                <w:tab w:val="right" w:pos="8640"/>
                              </w:tabs>
                              <w:overflowPunct w:val="0"/>
                              <w:autoSpaceDE w:val="0"/>
                              <w:autoSpaceDN w:val="0"/>
                              <w:adjustRightInd w:val="0"/>
                              <w:spacing w:after="120" w:line="270" w:lineRule="atLeast"/>
                              <w:textAlignment w:val="baseline"/>
                            </w:pPr>
                          </w:p>
                        </w:txbxContent>
                      </wps:txbx>
                      <wps:bodyPr rot="0" vert="horz" wrap="square" lIns="91440" tIns="45720" rIns="91440" bIns="45720" anchor="t" anchorCtr="0">
                        <a:noAutofit/>
                      </wps:bodyPr>
                    </wps:wsp>
                  </a:graphicData>
                </a:graphic>
              </wp:inline>
            </w:drawing>
          </mc:Choice>
          <mc:Fallback>
            <w:pict>
              <v:shapetype w14:anchorId="5136BB7F" id="_x0000_t202" coordsize="21600,21600" o:spt="202" path="m,l,21600r21600,l21600,xe">
                <v:stroke joinstyle="miter"/>
                <v:path gradientshapeok="t" o:connecttype="rect"/>
              </v:shapetype>
              <v:shape id="Text Box 22" o:spid="_x0000_s1026" type="#_x0000_t202" style="width:474pt;height:4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" strokecolor="#c5511a [3206]" strokeweight="1.5pt">
                <v:textbox>
                  <w:txbxContent>
                    <w:p w:rsidR="00642088" w:rsidRPr="00B309AB" w:rsidRDefault="00642088" w:rsidP="00FB7679">
                      <w:pPr>
                        <w:rPr>
                          <w:rFonts w:ascii="Verdana" w:hAnsi="Verdana"/>
                          <w:b/>
                        </w:rPr>
                      </w:pPr>
                      <w:r w:rsidRPr="00B309AB">
                        <w:rPr>
                          <w:rFonts w:ascii="Verdana" w:hAnsi="Verdana"/>
                          <w:b/>
                        </w:rPr>
                        <w:t>Child Link</w:t>
                      </w:r>
                      <w:r>
                        <w:rPr>
                          <w:rFonts w:ascii="Verdana" w:hAnsi="Verdana"/>
                          <w:b/>
                        </w:rPr>
                        <w:t xml:space="preserve"> Register</w:t>
                      </w:r>
                    </w:p>
                    <w:p w:rsidR="00642088" w:rsidRPr="00551865" w:rsidRDefault="00642088" w:rsidP="00551865">
                      <w:pPr>
                        <w:pStyle w:val="WOVGbody"/>
                        <w:rPr>
                          <w:rFonts w:ascii="Verdana" w:hAnsi="Verdana"/>
                        </w:rPr>
                      </w:pPr>
                      <w:r w:rsidRPr="00551865">
                        <w:rPr>
                          <w:rFonts w:ascii="Verdana" w:hAnsi="Verdana"/>
                        </w:rPr>
                        <w:t xml:space="preserve">The Child Link Register will be a web-based platform that will display </w:t>
                      </w:r>
                      <w:r>
                        <w:rPr>
                          <w:rFonts w:ascii="Verdana" w:hAnsi="Verdana"/>
                        </w:rPr>
                        <w:t>factual</w:t>
                      </w:r>
                      <w:r w:rsidRPr="00551865">
                        <w:rPr>
                          <w:rFonts w:ascii="Verdana" w:hAnsi="Verdana"/>
                        </w:rPr>
                        <w:t xml:space="preserve"> information about a child to a prescribed group of authorised</w:t>
                      </w:r>
                      <w:r>
                        <w:rPr>
                          <w:rFonts w:ascii="Verdana" w:hAnsi="Verdana"/>
                        </w:rPr>
                        <w:t xml:space="preserve"> </w:t>
                      </w:r>
                      <w:r w:rsidRPr="00551865">
                        <w:rPr>
                          <w:rFonts w:ascii="Verdana" w:hAnsi="Verdana"/>
                        </w:rPr>
                        <w:t>professionals who have responsibility for supporting child wellbeing and safety.</w:t>
                      </w:r>
                    </w:p>
                    <w:p w:rsidR="00642088" w:rsidRPr="00551865" w:rsidRDefault="00642088" w:rsidP="00551865">
                      <w:pPr>
                        <w:pStyle w:val="WOVGbody"/>
                        <w:rPr>
                          <w:rFonts w:ascii="Verdana" w:hAnsi="Verdana"/>
                        </w:rPr>
                      </w:pPr>
                      <w:r w:rsidRPr="00551865">
                        <w:rPr>
                          <w:rFonts w:ascii="Verdana" w:hAnsi="Verdana"/>
                        </w:rPr>
                        <w:t>The Child Link Register is an enabler for better information sharing and service collaboration between key professionals who work with children</w:t>
                      </w:r>
                      <w:r>
                        <w:rPr>
                          <w:rFonts w:ascii="Verdana" w:hAnsi="Verdana"/>
                        </w:rPr>
                        <w:t>. Child Link</w:t>
                      </w:r>
                      <w:r w:rsidRPr="00551865">
                        <w:rPr>
                          <w:rFonts w:ascii="Verdana" w:hAnsi="Verdana"/>
                        </w:rPr>
                        <w:t xml:space="preserve"> will provide visibility of the service participation history and vulnerability of a child in their care which will assist them to make informed decisions about the wellbeing or safety related support needs of the child. Access to the Child Link Register is restricted by role and purpose to ensure that only appropriately skilled and trained key professionals within a s</w:t>
                      </w:r>
                      <w:r w:rsidR="002E6C78">
                        <w:rPr>
                          <w:rFonts w:ascii="Verdana" w:hAnsi="Verdana"/>
                        </w:rPr>
                        <w:t>ervice will have access to the r</w:t>
                      </w:r>
                      <w:r w:rsidRPr="00551865">
                        <w:rPr>
                          <w:rFonts w:ascii="Verdana" w:hAnsi="Verdana"/>
                        </w:rPr>
                        <w:t>egister.</w:t>
                      </w:r>
                    </w:p>
                    <w:p w:rsidR="00642088" w:rsidRPr="00551865" w:rsidRDefault="00642088" w:rsidP="00551865">
                      <w:pPr>
                        <w:pStyle w:val="WOVGbody"/>
                        <w:rPr>
                          <w:rFonts w:ascii="Verdana" w:hAnsi="Verdana"/>
                        </w:rPr>
                      </w:pPr>
                      <w:r w:rsidRPr="00551865">
                        <w:rPr>
                          <w:rFonts w:ascii="Verdana" w:hAnsi="Verdana"/>
                        </w:rPr>
                        <w:t>The thin layer of information displayed on the Child Link Register is limited by legislation and may include the following attributes</w:t>
                      </w:r>
                      <w:r>
                        <w:rPr>
                          <w:rFonts w:ascii="Verdana" w:hAnsi="Verdana"/>
                        </w:rPr>
                        <w:t>:</w:t>
                      </w:r>
                    </w:p>
                    <w:p w:rsidR="00642088" w:rsidRPr="00551865" w:rsidRDefault="00642088" w:rsidP="00551865">
                      <w:pPr>
                        <w:pStyle w:val="WOVGbullet1"/>
                        <w:rPr>
                          <w:rFonts w:ascii="Verdana" w:hAnsi="Verdana"/>
                        </w:rPr>
                      </w:pPr>
                      <w:r>
                        <w:rPr>
                          <w:rFonts w:ascii="Verdana" w:hAnsi="Verdana"/>
                        </w:rPr>
                        <w:t>b</w:t>
                      </w:r>
                      <w:r w:rsidRPr="00551865">
                        <w:rPr>
                          <w:rFonts w:ascii="Verdana" w:hAnsi="Verdana"/>
                        </w:rPr>
                        <w:t>asic information about a child</w:t>
                      </w:r>
                      <w:r w:rsidRPr="00551865">
                        <w:rPr>
                          <w:rFonts w:ascii="Verdana" w:hAnsi="Verdana"/>
                        </w:rPr>
                        <w:softHyphen/>
                      </w:r>
                      <w:r w:rsidRPr="00551865">
                        <w:rPr>
                          <w:rFonts w:ascii="Verdana" w:hAnsi="Verdana"/>
                        </w:rPr>
                        <w:softHyphen/>
                      </w:r>
                      <w:r w:rsidRPr="00551865">
                        <w:rPr>
                          <w:rFonts w:ascii="Verdana" w:hAnsi="Verdana"/>
                        </w:rPr>
                        <w:softHyphen/>
                      </w:r>
                      <w:r w:rsidRPr="00551865">
                        <w:rPr>
                          <w:rFonts w:ascii="Verdana" w:hAnsi="Verdana"/>
                        </w:rPr>
                        <w:softHyphen/>
                      </w:r>
                      <w:r w:rsidRPr="00551865">
                        <w:rPr>
                          <w:rFonts w:ascii="Verdana" w:hAnsi="Verdana"/>
                        </w:rPr>
                        <w:softHyphen/>
                        <w:t xml:space="preserve"> – including name, birth date and sex (no phone numbers or addresses)</w:t>
                      </w:r>
                    </w:p>
                    <w:p w:rsidR="00642088" w:rsidRPr="00551865" w:rsidRDefault="00642088" w:rsidP="00551865">
                      <w:pPr>
                        <w:pStyle w:val="WOVGbullet1"/>
                        <w:rPr>
                          <w:rFonts w:ascii="Verdana" w:hAnsi="Verdana"/>
                        </w:rPr>
                      </w:pPr>
                      <w:r w:rsidRPr="00551865">
                        <w:rPr>
                          <w:rFonts w:ascii="Verdana" w:hAnsi="Verdana"/>
                        </w:rPr>
                        <w:t>key family relationships – including carer and sibling information</w:t>
                      </w:r>
                    </w:p>
                    <w:p w:rsidR="00642088" w:rsidRPr="00551865" w:rsidRDefault="00642088" w:rsidP="00551865">
                      <w:pPr>
                        <w:pStyle w:val="WOVGbullet1"/>
                        <w:rPr>
                          <w:rFonts w:ascii="Verdana" w:hAnsi="Verdana"/>
                        </w:rPr>
                      </w:pPr>
                      <w:r w:rsidRPr="00551865">
                        <w:rPr>
                          <w:rFonts w:ascii="Verdana" w:hAnsi="Verdana"/>
                        </w:rPr>
                        <w:t>whether the child is Aborigina</w:t>
                      </w:r>
                      <w:r>
                        <w:rPr>
                          <w:rFonts w:ascii="Verdana" w:hAnsi="Verdana"/>
                        </w:rPr>
                        <w:t>l and/or Torres Strait Islander</w:t>
                      </w:r>
                    </w:p>
                    <w:p w:rsidR="00642088" w:rsidRPr="00551865" w:rsidRDefault="00642088" w:rsidP="00551865">
                      <w:pPr>
                        <w:pStyle w:val="WOVGbullet1"/>
                        <w:rPr>
                          <w:rFonts w:ascii="Verdana" w:hAnsi="Verdana"/>
                        </w:rPr>
                      </w:pPr>
                      <w:r w:rsidRPr="00551865">
                        <w:rPr>
                          <w:rFonts w:ascii="Verdana" w:hAnsi="Verdana"/>
                        </w:rPr>
                        <w:t>participation in the Natio</w:t>
                      </w:r>
                      <w:r>
                        <w:rPr>
                          <w:rFonts w:ascii="Verdana" w:hAnsi="Verdana"/>
                        </w:rPr>
                        <w:t>nal Disability Insurance Scheme</w:t>
                      </w:r>
                    </w:p>
                    <w:p w:rsidR="00642088" w:rsidRPr="00551865" w:rsidRDefault="00642088" w:rsidP="00551865">
                      <w:pPr>
                        <w:pStyle w:val="WOVGbullet1"/>
                        <w:rPr>
                          <w:rFonts w:ascii="Verdana" w:hAnsi="Verdana"/>
                        </w:rPr>
                      </w:pPr>
                      <w:r w:rsidRPr="00551865">
                        <w:rPr>
                          <w:rFonts w:ascii="Verdana" w:hAnsi="Verdana"/>
                        </w:rPr>
                        <w:t>enrolmen</w:t>
                      </w:r>
                      <w:r>
                        <w:rPr>
                          <w:rFonts w:ascii="Verdana" w:hAnsi="Verdana"/>
                        </w:rPr>
                        <w:t>t and participation in certain g</w:t>
                      </w:r>
                      <w:r w:rsidRPr="00551865">
                        <w:rPr>
                          <w:rFonts w:ascii="Verdana" w:hAnsi="Verdana"/>
                        </w:rPr>
                        <w:t>overnment childhood services and programs – including Maternal and Child Health services, supported playgroups, funded kindergarten programs and schools</w:t>
                      </w:r>
                    </w:p>
                    <w:p w:rsidR="00642088" w:rsidRPr="00551865" w:rsidRDefault="00642088" w:rsidP="00551865">
                      <w:pPr>
                        <w:pStyle w:val="WOVGbullet1"/>
                        <w:rPr>
                          <w:rFonts w:ascii="Verdana" w:hAnsi="Verdana"/>
                        </w:rPr>
                      </w:pPr>
                      <w:r w:rsidRPr="00551865">
                        <w:rPr>
                          <w:rFonts w:ascii="Verdana" w:hAnsi="Verdana"/>
                        </w:rPr>
                        <w:t>current or previous Child Protection orders made in relation to the child or a sibling, the date of the order and out of home status</w:t>
                      </w:r>
                    </w:p>
                    <w:p w:rsidR="00642088" w:rsidRPr="00551865" w:rsidRDefault="00642088" w:rsidP="00551865">
                      <w:pPr>
                        <w:pStyle w:val="WOVGbullet1"/>
                        <w:rPr>
                          <w:rFonts w:ascii="Verdana" w:hAnsi="Verdana"/>
                        </w:rPr>
                      </w:pPr>
                      <w:r w:rsidRPr="00551865">
                        <w:rPr>
                          <w:rFonts w:ascii="Verdana" w:hAnsi="Verdana"/>
                        </w:rPr>
                        <w:t>contact details for services with which the child has bee</w:t>
                      </w:r>
                      <w:r>
                        <w:rPr>
                          <w:rFonts w:ascii="Verdana" w:hAnsi="Verdana"/>
                        </w:rPr>
                        <w:t>n or is engaged</w:t>
                      </w:r>
                    </w:p>
                    <w:p w:rsidR="00642088" w:rsidRPr="00551865" w:rsidRDefault="00642088" w:rsidP="00551865">
                      <w:pPr>
                        <w:pStyle w:val="WOVGbullet1"/>
                        <w:rPr>
                          <w:rFonts w:ascii="Verdana" w:hAnsi="Verdana"/>
                        </w:rPr>
                      </w:pPr>
                      <w:r w:rsidRPr="00551865">
                        <w:rPr>
                          <w:rFonts w:ascii="Verdana" w:hAnsi="Verdana"/>
                        </w:rPr>
                        <w:t>if a child dies before the age of 18, the date and cause of death.</w:t>
                      </w:r>
                    </w:p>
                    <w:p w:rsidR="00642088" w:rsidRPr="00551865" w:rsidRDefault="00642088" w:rsidP="00551865">
                      <w:pPr>
                        <w:pStyle w:val="WOVGbody"/>
                        <w:rPr>
                          <w:rFonts w:ascii="Verdana" w:hAnsi="Verdana"/>
                        </w:rPr>
                      </w:pPr>
                      <w:r w:rsidRPr="00551865">
                        <w:rPr>
                          <w:rFonts w:ascii="Verdana" w:hAnsi="Verdana"/>
                        </w:rPr>
                        <w:t>Key professionals who are authorised as Child Link Register users will only be able to see Child Link Register profiles once a child is enrolled in their service. The Child Link Register is not a tool for key professionals to transfer information to each other. It will, however, contain contact details for the services that the child has been or is currently engaged with, for the purpose of guiding information sharing. The Child Link Register is not a case management system, and it will not record or contain any case notes, professional opinions or health records</w:t>
                      </w:r>
                      <w:r>
                        <w:rPr>
                          <w:rFonts w:ascii="Verdana" w:hAnsi="Verdana"/>
                        </w:rPr>
                        <w:t>.</w:t>
                      </w:r>
                    </w:p>
                    <w:p w:rsidR="00642088" w:rsidRPr="00F93A17" w:rsidRDefault="00642088" w:rsidP="00FB7679">
                      <w:pPr>
                        <w:pStyle w:val="Header"/>
                        <w:tabs>
                          <w:tab w:val="center" w:pos="4320"/>
                          <w:tab w:val="right" w:pos="8640"/>
                        </w:tabs>
                        <w:overflowPunct w:val="0"/>
                        <w:autoSpaceDE w:val="0"/>
                        <w:autoSpaceDN w:val="0"/>
                        <w:adjustRightInd w:val="0"/>
                        <w:spacing w:after="120" w:line="270" w:lineRule="atLeast"/>
                        <w:textAlignment w:val="baseline"/>
                      </w:pPr>
                    </w:p>
                  </w:txbxContent>
                </v:textbox>
                <w10:anchorlock/>
              </v:shape>
            </w:pict>
          </mc:Fallback>
        </mc:AlternateContent>
      </w:r>
    </w:p>
    <w:p w:rsidR="00FB7679" w:rsidRDefault="00FB7679" w:rsidP="00FB7679">
      <w:pPr>
        <w:rPr>
          <w:rFonts w:ascii="Verdana" w:hAnsi="Verdana"/>
        </w:rPr>
      </w:pPr>
    </w:p>
    <w:p w:rsidR="007B2821" w:rsidRPr="002A248A" w:rsidRDefault="007B2821" w:rsidP="002A248A">
      <w:pPr>
        <w:pStyle w:val="WOVGbody"/>
        <w:rPr>
          <w:rFonts w:ascii="Verdana" w:hAnsi="Verdana"/>
        </w:rPr>
      </w:pPr>
      <w:r w:rsidRPr="002A248A">
        <w:rPr>
          <w:rFonts w:ascii="Verdana" w:eastAsia="Calibri" w:hAnsi="Verdana" w:cstheme="minorHAnsi"/>
        </w:rPr>
        <w:t>The CIS Reform complements other child safety reforms, including the FVIS Scheme and MARAM. The</w:t>
      </w:r>
      <w:r w:rsidRPr="002A248A">
        <w:rPr>
          <w:rFonts w:ascii="Verdana" w:hAnsi="Verdana"/>
        </w:rPr>
        <w:t xml:space="preserve"> FVIS Scheme enables information to be shared between prescribed entities to assess and manage family violence risk to children and adults. It supports the sharing of information to asses</w:t>
      </w:r>
      <w:r w:rsidR="00430BC6">
        <w:rPr>
          <w:rFonts w:ascii="Verdana" w:hAnsi="Verdana"/>
        </w:rPr>
        <w:t>s each family member’s risk of</w:t>
      </w:r>
      <w:r w:rsidRPr="002A248A">
        <w:rPr>
          <w:rFonts w:ascii="Verdana" w:hAnsi="Verdana"/>
        </w:rPr>
        <w:t xml:space="preserve"> family violence (that is, for adult and child victim survivors, and to hold perpetrators to account) and provide for coordinated risk management and safety planning</w:t>
      </w:r>
      <w:r w:rsidR="005B4D34">
        <w:rPr>
          <w:rFonts w:ascii="Verdana" w:hAnsi="Verdana"/>
        </w:rPr>
        <w:t>.</w:t>
      </w:r>
      <w:r w:rsidR="00A22D05" w:rsidRPr="002A248A">
        <w:rPr>
          <w:rStyle w:val="FootnoteReference"/>
          <w:rFonts w:ascii="Verdana" w:hAnsi="Verdana"/>
        </w:rPr>
        <w:footnoteReference w:id="10"/>
      </w:r>
      <w:r w:rsidR="004B6BE6">
        <w:rPr>
          <w:rFonts w:ascii="Verdana" w:hAnsi="Verdana"/>
        </w:rPr>
        <w:t xml:space="preserve"> The FVIS S</w:t>
      </w:r>
      <w:r w:rsidRPr="002A248A">
        <w:rPr>
          <w:rFonts w:ascii="Verdana" w:hAnsi="Verdana"/>
        </w:rPr>
        <w:t>cheme also authorises the operation of a Central I</w:t>
      </w:r>
      <w:r w:rsidR="00430BC6">
        <w:rPr>
          <w:rFonts w:ascii="Verdana" w:hAnsi="Verdana"/>
        </w:rPr>
        <w:t>nformation Point to facilitate family v</w:t>
      </w:r>
      <w:r w:rsidRPr="002A248A">
        <w:rPr>
          <w:rFonts w:ascii="Verdana" w:hAnsi="Verdana"/>
        </w:rPr>
        <w:t xml:space="preserve">iolence information sharing. MARAM requires </w:t>
      </w:r>
      <w:r w:rsidR="002E6C78">
        <w:rPr>
          <w:rFonts w:ascii="Verdana" w:hAnsi="Verdana"/>
        </w:rPr>
        <w:t xml:space="preserve">prescribed </w:t>
      </w:r>
      <w:r w:rsidRPr="002A248A">
        <w:rPr>
          <w:rFonts w:ascii="Verdana" w:hAnsi="Verdana"/>
        </w:rPr>
        <w:t>organisations to align their policies, procedures, practice guidance and tools with the Framework.</w:t>
      </w:r>
    </w:p>
    <w:p w:rsidR="00B309AB" w:rsidRPr="00EE53FE" w:rsidRDefault="00B309AB" w:rsidP="00EE53FE">
      <w:pPr>
        <w:pStyle w:val="Heading2"/>
        <w:rPr>
          <w:rFonts w:ascii="Verdana" w:hAnsi="Verdana"/>
        </w:rPr>
      </w:pPr>
      <w:bookmarkStart w:id="12" w:name="_Toc23510759"/>
      <w:r w:rsidRPr="00B309AB">
        <w:rPr>
          <w:rFonts w:ascii="Verdana" w:hAnsi="Verdana"/>
        </w:rPr>
        <w:lastRenderedPageBreak/>
        <w:t>Interfac</w:t>
      </w:r>
      <w:r w:rsidR="00430BC6">
        <w:rPr>
          <w:rFonts w:ascii="Verdana" w:hAnsi="Verdana"/>
        </w:rPr>
        <w:t>e between the CIS and</w:t>
      </w:r>
      <w:r w:rsidR="00FE00CC">
        <w:rPr>
          <w:rFonts w:ascii="Verdana" w:hAnsi="Verdana"/>
        </w:rPr>
        <w:t xml:space="preserve"> FVIS s</w:t>
      </w:r>
      <w:r w:rsidRPr="00B309AB">
        <w:rPr>
          <w:rFonts w:ascii="Verdana" w:hAnsi="Verdana"/>
        </w:rPr>
        <w:t>chemes</w:t>
      </w:r>
      <w:bookmarkEnd w:id="12"/>
    </w:p>
    <w:p w:rsidR="00B309AB" w:rsidRPr="002A248A" w:rsidRDefault="004B6BE6" w:rsidP="002A248A">
      <w:pPr>
        <w:pStyle w:val="WOVGbody"/>
        <w:rPr>
          <w:rFonts w:ascii="Verdana" w:eastAsia="Times New Roman" w:hAnsi="Verdana"/>
        </w:rPr>
      </w:pPr>
      <w:r>
        <w:rPr>
          <w:rFonts w:ascii="Verdana" w:hAnsi="Verdana"/>
        </w:rPr>
        <w:t>Together, the CIS and FVIS S</w:t>
      </w:r>
      <w:r w:rsidR="00B309AB" w:rsidRPr="002A248A">
        <w:rPr>
          <w:rFonts w:ascii="Verdana" w:hAnsi="Verdana"/>
        </w:rPr>
        <w:t xml:space="preserve">chemes authorise information sharing between entities prescribed under each scheme to facilitate the early identification, assessment and </w:t>
      </w:r>
      <w:r w:rsidR="00B309AB" w:rsidRPr="002A248A">
        <w:rPr>
          <w:rFonts w:ascii="Verdana" w:eastAsia="Times New Roman" w:hAnsi="Verdana"/>
        </w:rPr>
        <w:t>management of children’s wellbeing or safety in a wide range of contexts, enabling services to respond to the multiple, complex</w:t>
      </w:r>
      <w:r w:rsidR="00747383" w:rsidRPr="002A248A">
        <w:rPr>
          <w:rFonts w:ascii="Verdana" w:eastAsia="Times New Roman" w:hAnsi="Verdana"/>
        </w:rPr>
        <w:t xml:space="preserve"> needs of families and children</w:t>
      </w:r>
      <w:r w:rsidR="00B309AB" w:rsidRPr="002A248A">
        <w:rPr>
          <w:rFonts w:ascii="Verdana" w:eastAsia="Times New Roman" w:hAnsi="Verdana"/>
        </w:rPr>
        <w:t>.</w:t>
      </w:r>
    </w:p>
    <w:p w:rsidR="00B309AB" w:rsidRPr="002A248A" w:rsidRDefault="00B309AB" w:rsidP="00430BC6">
      <w:pPr>
        <w:pStyle w:val="WOVGbody"/>
        <w:rPr>
          <w:rFonts w:ascii="Verdana" w:eastAsia="Times New Roman" w:hAnsi="Verdana"/>
        </w:rPr>
      </w:pPr>
      <w:r w:rsidRPr="002A248A">
        <w:rPr>
          <w:rFonts w:ascii="Verdana" w:eastAsia="Times New Roman" w:hAnsi="Verdana"/>
        </w:rPr>
        <w:t xml:space="preserve">Both schemes are being implemented in alignment for significantly overlapping </w:t>
      </w:r>
      <w:r w:rsidRPr="00485F3F">
        <w:rPr>
          <w:rFonts w:ascii="Verdana" w:hAnsi="Verdana"/>
        </w:rPr>
        <w:t>workforces</w:t>
      </w:r>
      <w:r w:rsidRPr="002A248A">
        <w:rPr>
          <w:rFonts w:ascii="Verdana" w:eastAsia="Times New Roman" w:hAnsi="Verdana"/>
        </w:rPr>
        <w:t xml:space="preserve"> and organisations. The situations in which both schemes are applied are also likely to overlap for many children and families.</w:t>
      </w:r>
    </w:p>
    <w:p w:rsidR="00B309AB" w:rsidRPr="002A248A" w:rsidRDefault="00B309AB" w:rsidP="002A248A">
      <w:pPr>
        <w:pStyle w:val="WOVGbody"/>
        <w:rPr>
          <w:rFonts w:ascii="Verdana" w:eastAsia="Times New Roman" w:hAnsi="Verdana"/>
        </w:rPr>
      </w:pPr>
      <w:r w:rsidRPr="002A248A">
        <w:rPr>
          <w:rFonts w:ascii="Verdana" w:eastAsia="Times New Roman" w:hAnsi="Verdana"/>
        </w:rPr>
        <w:t>The design and aligned implementation of the two schemes will support an integrated experience from a client perspective.  Key similarities between the schemes include:</w:t>
      </w:r>
    </w:p>
    <w:p w:rsidR="00B309AB" w:rsidRPr="002A248A" w:rsidRDefault="00430BC6" w:rsidP="00A76FAF">
      <w:pPr>
        <w:pStyle w:val="WOVGbody"/>
        <w:numPr>
          <w:ilvl w:val="0"/>
          <w:numId w:val="27"/>
        </w:numPr>
        <w:ind w:left="426"/>
        <w:rPr>
          <w:rFonts w:ascii="Verdana" w:hAnsi="Verdana"/>
        </w:rPr>
      </w:pPr>
      <w:r>
        <w:rPr>
          <w:rFonts w:ascii="Verdana" w:hAnsi="Verdana"/>
        </w:rPr>
        <w:t>b</w:t>
      </w:r>
      <w:r w:rsidR="00B309AB" w:rsidRPr="002A248A">
        <w:rPr>
          <w:rFonts w:ascii="Verdana" w:hAnsi="Verdana"/>
        </w:rPr>
        <w:t>oth schemes recognise that a child’s right to safety takes precedence over any individual’s privacy; and neither scheme requires consent to share relevant i</w:t>
      </w:r>
      <w:r>
        <w:rPr>
          <w:rFonts w:ascii="Verdana" w:hAnsi="Verdana"/>
        </w:rPr>
        <w:t>nformation to keep a child safe.</w:t>
      </w:r>
    </w:p>
    <w:p w:rsidR="00B309AB" w:rsidRPr="002A248A" w:rsidRDefault="00B309AB" w:rsidP="00A76FAF">
      <w:pPr>
        <w:pStyle w:val="WOVGbody"/>
        <w:numPr>
          <w:ilvl w:val="0"/>
          <w:numId w:val="27"/>
        </w:numPr>
        <w:ind w:left="426"/>
        <w:rPr>
          <w:rFonts w:ascii="Verdana" w:hAnsi="Verdana"/>
        </w:rPr>
      </w:pPr>
      <w:r w:rsidRPr="002A248A">
        <w:rPr>
          <w:rFonts w:ascii="Verdana" w:hAnsi="Verdana"/>
        </w:rPr>
        <w:t>guidelines for both schemes provide practical guidance on the assessment and management (including information sharing) of all family members believed to be at risk of family violence, supporting holistic a</w:t>
      </w:r>
      <w:r w:rsidR="00430BC6">
        <w:rPr>
          <w:rFonts w:ascii="Verdana" w:hAnsi="Verdana"/>
        </w:rPr>
        <w:t>nd coordinated risk management.</w:t>
      </w:r>
    </w:p>
    <w:p w:rsidR="00B309AB" w:rsidRPr="002A248A" w:rsidRDefault="00B309AB" w:rsidP="00A76FAF">
      <w:pPr>
        <w:pStyle w:val="WOVGbody"/>
        <w:numPr>
          <w:ilvl w:val="0"/>
          <w:numId w:val="27"/>
        </w:numPr>
        <w:ind w:left="426"/>
        <w:rPr>
          <w:rFonts w:ascii="Verdana" w:hAnsi="Verdana"/>
        </w:rPr>
      </w:pPr>
      <w:r w:rsidRPr="002A248A">
        <w:rPr>
          <w:rFonts w:ascii="Verdana" w:hAnsi="Verdana"/>
        </w:rPr>
        <w:t xml:space="preserve">the categories of excluded information are </w:t>
      </w:r>
      <w:r w:rsidR="0008323E">
        <w:rPr>
          <w:rFonts w:ascii="Verdana" w:hAnsi="Verdana"/>
        </w:rPr>
        <w:t>cons</w:t>
      </w:r>
      <w:r w:rsidR="00430BC6">
        <w:rPr>
          <w:rFonts w:ascii="Verdana" w:hAnsi="Verdana"/>
        </w:rPr>
        <w:t>istent across both schemes.</w:t>
      </w:r>
    </w:p>
    <w:p w:rsidR="00B309AB" w:rsidRPr="002A248A" w:rsidRDefault="00B309AB" w:rsidP="00A76FAF">
      <w:pPr>
        <w:pStyle w:val="WOVGbody"/>
        <w:numPr>
          <w:ilvl w:val="0"/>
          <w:numId w:val="27"/>
        </w:numPr>
        <w:ind w:left="426"/>
        <w:rPr>
          <w:rFonts w:ascii="Verdana" w:hAnsi="Verdana"/>
        </w:rPr>
      </w:pPr>
      <w:r w:rsidRPr="002A248A">
        <w:rPr>
          <w:rFonts w:ascii="Verdana" w:hAnsi="Verdana"/>
        </w:rPr>
        <w:t>the offence provisions are interoperable across both schemes, although the CIS Scheme has an additional offence for impe</w:t>
      </w:r>
      <w:r w:rsidR="000C67EE" w:rsidRPr="002A248A">
        <w:rPr>
          <w:rFonts w:ascii="Verdana" w:hAnsi="Verdana"/>
        </w:rPr>
        <w:t>rsonating an ISE.</w:t>
      </w:r>
    </w:p>
    <w:p w:rsidR="00B309AB" w:rsidRPr="002A248A" w:rsidRDefault="00B309AB" w:rsidP="002A248A">
      <w:pPr>
        <w:pStyle w:val="WOVGbody"/>
        <w:rPr>
          <w:rFonts w:ascii="Verdana" w:hAnsi="Verdana"/>
        </w:rPr>
      </w:pPr>
      <w:r w:rsidRPr="002A248A">
        <w:rPr>
          <w:rFonts w:ascii="Verdana" w:hAnsi="Verdana"/>
        </w:rPr>
        <w:t>The two schemes will therefore be used in an integrated way wherever children are or may be experiencing family violence, as outlined i</w:t>
      </w:r>
      <w:r w:rsidR="00430BC6">
        <w:rPr>
          <w:rFonts w:ascii="Verdana" w:hAnsi="Verdana"/>
        </w:rPr>
        <w:t>n the figure</w:t>
      </w:r>
      <w:r w:rsidRPr="002A248A">
        <w:rPr>
          <w:rFonts w:ascii="Verdana" w:hAnsi="Verdana"/>
        </w:rPr>
        <w:t xml:space="preserve"> below.</w:t>
      </w:r>
    </w:p>
    <w:p w:rsidR="00B309AB" w:rsidRPr="00387864" w:rsidRDefault="00B309AB" w:rsidP="00B309AB">
      <w:pPr>
        <w:pStyle w:val="Caption"/>
        <w:rPr>
          <w:b/>
          <w:sz w:val="20"/>
          <w:szCs w:val="20"/>
        </w:rPr>
      </w:pPr>
      <w:r w:rsidRPr="00387864">
        <w:rPr>
          <w:b/>
          <w:sz w:val="20"/>
          <w:szCs w:val="20"/>
        </w:rPr>
        <w:t xml:space="preserve">Figure </w:t>
      </w:r>
      <w:r w:rsidR="00463C36">
        <w:rPr>
          <w:b/>
          <w:sz w:val="20"/>
          <w:szCs w:val="20"/>
        </w:rPr>
        <w:t>1</w:t>
      </w:r>
      <w:r w:rsidRPr="00387864">
        <w:rPr>
          <w:b/>
          <w:sz w:val="20"/>
          <w:szCs w:val="20"/>
        </w:rPr>
        <w:t>.</w:t>
      </w:r>
      <w:r w:rsidR="001D1EC2" w:rsidRPr="00387864">
        <w:rPr>
          <w:b/>
          <w:sz w:val="20"/>
          <w:szCs w:val="20"/>
        </w:rPr>
        <w:fldChar w:fldCharType="begin"/>
      </w:r>
      <w:r w:rsidR="001D1EC2" w:rsidRPr="00387864">
        <w:rPr>
          <w:b/>
          <w:sz w:val="20"/>
          <w:szCs w:val="20"/>
        </w:rPr>
        <w:instrText xml:space="preserve"> SEQ Figure \* ARABIC \s 1 </w:instrText>
      </w:r>
      <w:r w:rsidR="001D1EC2" w:rsidRPr="00387864">
        <w:rPr>
          <w:b/>
          <w:sz w:val="20"/>
          <w:szCs w:val="20"/>
        </w:rPr>
        <w:fldChar w:fldCharType="separate"/>
      </w:r>
      <w:r w:rsidR="00E33755">
        <w:rPr>
          <w:b/>
          <w:noProof/>
          <w:sz w:val="20"/>
          <w:szCs w:val="20"/>
        </w:rPr>
        <w:t>1</w:t>
      </w:r>
      <w:r w:rsidR="001D1EC2" w:rsidRPr="00387864">
        <w:rPr>
          <w:b/>
          <w:noProof/>
          <w:sz w:val="20"/>
          <w:szCs w:val="20"/>
        </w:rPr>
        <w:fldChar w:fldCharType="end"/>
      </w:r>
      <w:r w:rsidRPr="00387864">
        <w:rPr>
          <w:b/>
          <w:sz w:val="20"/>
          <w:szCs w:val="20"/>
        </w:rPr>
        <w:t>: Interse</w:t>
      </w:r>
      <w:r w:rsidR="004B6BE6" w:rsidRPr="00387864">
        <w:rPr>
          <w:b/>
          <w:sz w:val="20"/>
          <w:szCs w:val="20"/>
        </w:rPr>
        <w:t>ction between the CIS and FVIS S</w:t>
      </w:r>
      <w:r w:rsidRPr="00387864">
        <w:rPr>
          <w:b/>
          <w:sz w:val="20"/>
          <w:szCs w:val="20"/>
        </w:rPr>
        <w:t>chemes</w:t>
      </w:r>
    </w:p>
    <w:p w:rsidR="00B309AB" w:rsidRDefault="00B309AB" w:rsidP="00B309AB">
      <w:r w:rsidRPr="006919DA">
        <w:rPr>
          <w:noProof/>
          <w:lang w:eastAsia="en-AU"/>
        </w:rPr>
        <w:drawing>
          <wp:inline distT="0" distB="0" distL="0" distR="0" wp14:anchorId="3F8545B4" wp14:editId="587125E8">
            <wp:extent cx="6200775" cy="29112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17231" cy="2918959"/>
                    </a:xfrm>
                    <a:prstGeom prst="rect">
                      <a:avLst/>
                    </a:prstGeom>
                  </pic:spPr>
                </pic:pic>
              </a:graphicData>
            </a:graphic>
          </wp:inline>
        </w:drawing>
      </w:r>
    </w:p>
    <w:p w:rsidR="00D272DA" w:rsidRDefault="00D272DA">
      <w:pPr>
        <w:rPr>
          <w:rFonts w:ascii="Arial" w:hAnsi="Arial"/>
          <w:b/>
          <w:color w:val="00848F" w:themeColor="accent2"/>
          <w:sz w:val="28"/>
          <w:szCs w:val="28"/>
        </w:rPr>
      </w:pPr>
      <w:r>
        <w:br w:type="page"/>
      </w:r>
    </w:p>
    <w:p w:rsidR="00B309AB" w:rsidRPr="00D94ADF" w:rsidRDefault="00B309AB" w:rsidP="00B309AB">
      <w:pPr>
        <w:pStyle w:val="Heading2"/>
        <w:rPr>
          <w:rFonts w:ascii="Verdana" w:hAnsi="Verdana"/>
        </w:rPr>
      </w:pPr>
      <w:bookmarkStart w:id="13" w:name="_Toc23510760"/>
      <w:r w:rsidRPr="00D94ADF">
        <w:rPr>
          <w:rFonts w:ascii="Verdana" w:hAnsi="Verdana"/>
        </w:rPr>
        <w:lastRenderedPageBreak/>
        <w:t>CIS confidentiality considerations</w:t>
      </w:r>
      <w:bookmarkEnd w:id="13"/>
    </w:p>
    <w:p w:rsidR="00B309AB" w:rsidRPr="00B309AB" w:rsidRDefault="00747383" w:rsidP="00B309AB">
      <w:pPr>
        <w:rPr>
          <w:rFonts w:ascii="Verdana" w:hAnsi="Verdana"/>
        </w:rPr>
      </w:pPr>
      <w:r>
        <w:rPr>
          <w:rFonts w:ascii="Verdana" w:hAnsi="Verdana"/>
        </w:rPr>
        <w:t xml:space="preserve">Under the </w:t>
      </w:r>
      <w:r w:rsidR="00B309AB" w:rsidRPr="00B309AB">
        <w:rPr>
          <w:rFonts w:ascii="Verdana" w:hAnsi="Verdana"/>
        </w:rPr>
        <w:t>CIS Scheme</w:t>
      </w:r>
      <w:r w:rsidR="00387864">
        <w:rPr>
          <w:rFonts w:ascii="Verdana" w:hAnsi="Verdana"/>
        </w:rPr>
        <w:t>,</w:t>
      </w:r>
      <w:r w:rsidR="00B309AB" w:rsidRPr="00B309AB">
        <w:rPr>
          <w:rFonts w:ascii="Verdana" w:hAnsi="Verdana"/>
        </w:rPr>
        <w:t xml:space="preserve"> </w:t>
      </w:r>
      <w:r w:rsidR="00387864">
        <w:rPr>
          <w:rFonts w:ascii="Verdana" w:hAnsi="Verdana"/>
        </w:rPr>
        <w:t>prescribed information sharing entities (</w:t>
      </w:r>
      <w:r>
        <w:rPr>
          <w:rFonts w:ascii="Verdana" w:hAnsi="Verdana"/>
        </w:rPr>
        <w:t>ISE</w:t>
      </w:r>
      <w:r w:rsidR="00387864">
        <w:rPr>
          <w:rFonts w:ascii="Verdana" w:hAnsi="Verdana"/>
        </w:rPr>
        <w:t>s)</w:t>
      </w:r>
      <w:r>
        <w:rPr>
          <w:rFonts w:ascii="Verdana" w:hAnsi="Verdana"/>
        </w:rPr>
        <w:t xml:space="preserve"> are </w:t>
      </w:r>
      <w:r w:rsidR="00B309AB" w:rsidRPr="00B309AB">
        <w:rPr>
          <w:rFonts w:ascii="Verdana" w:hAnsi="Verdana"/>
        </w:rPr>
        <w:t>authorise</w:t>
      </w:r>
      <w:r>
        <w:rPr>
          <w:rFonts w:ascii="Verdana" w:hAnsi="Verdana"/>
        </w:rPr>
        <w:t>d</w:t>
      </w:r>
      <w:r w:rsidR="00B309AB" w:rsidRPr="00B309AB">
        <w:rPr>
          <w:rFonts w:ascii="Verdana" w:hAnsi="Verdana"/>
        </w:rPr>
        <w:t xml:space="preserve"> to:</w:t>
      </w:r>
      <w:r w:rsidR="00B309AB" w:rsidRPr="00B309AB">
        <w:rPr>
          <w:rStyle w:val="FootnoteReference"/>
          <w:rFonts w:ascii="Verdana" w:hAnsi="Verdana"/>
        </w:rPr>
        <w:footnoteReference w:id="11"/>
      </w:r>
      <w:r w:rsidR="00B309AB" w:rsidRPr="00B309AB">
        <w:rPr>
          <w:rFonts w:ascii="Verdana" w:hAnsi="Verdana"/>
        </w:rPr>
        <w:t xml:space="preserve">  </w:t>
      </w:r>
    </w:p>
    <w:p w:rsidR="00B309AB" w:rsidRPr="002A248A" w:rsidRDefault="00B309AB" w:rsidP="00A76FAF">
      <w:pPr>
        <w:pStyle w:val="WOVGbody"/>
        <w:numPr>
          <w:ilvl w:val="0"/>
          <w:numId w:val="28"/>
        </w:numPr>
        <w:ind w:left="426"/>
        <w:rPr>
          <w:rFonts w:ascii="Verdana" w:hAnsi="Verdana"/>
        </w:rPr>
      </w:pPr>
      <w:r w:rsidRPr="002A248A">
        <w:rPr>
          <w:rFonts w:ascii="Verdana" w:hAnsi="Verdana"/>
        </w:rPr>
        <w:t>request confidential information from another ISE for the purpose of promoting the wellbeing or safety of a c</w:t>
      </w:r>
      <w:r w:rsidR="00481AA1">
        <w:rPr>
          <w:rFonts w:ascii="Verdana" w:hAnsi="Verdana"/>
        </w:rPr>
        <w:t>hild or a group of children.</w:t>
      </w:r>
      <w:r w:rsidRPr="002A248A">
        <w:rPr>
          <w:rFonts w:ascii="Verdana" w:hAnsi="Verdana"/>
        </w:rPr>
        <w:t xml:space="preserve"> </w:t>
      </w:r>
    </w:p>
    <w:p w:rsidR="00B309AB" w:rsidRPr="002A248A" w:rsidRDefault="00B309AB" w:rsidP="00A76FAF">
      <w:pPr>
        <w:pStyle w:val="WOVGbody"/>
        <w:numPr>
          <w:ilvl w:val="0"/>
          <w:numId w:val="28"/>
        </w:numPr>
        <w:ind w:left="426"/>
        <w:rPr>
          <w:rFonts w:ascii="Verdana" w:hAnsi="Verdana"/>
        </w:rPr>
      </w:pPr>
      <w:r w:rsidRPr="002A248A">
        <w:rPr>
          <w:rFonts w:ascii="Verdana" w:hAnsi="Verdana"/>
        </w:rPr>
        <w:t>disclose confidential information (either voluntarily or in response to a request) to another ISE for the purpose of promoting the wellbeing or safety of a child or group of children and to assist the recipient to deliver services or to undertake certain activities in relation t</w:t>
      </w:r>
      <w:r w:rsidR="00387864">
        <w:rPr>
          <w:rFonts w:ascii="Verdana" w:hAnsi="Verdana"/>
        </w:rPr>
        <w:t>o a child or group of children.</w:t>
      </w:r>
    </w:p>
    <w:p w:rsidR="00B309AB" w:rsidRPr="002A248A" w:rsidRDefault="00B309AB" w:rsidP="002A248A">
      <w:pPr>
        <w:pStyle w:val="WOVGbody"/>
        <w:rPr>
          <w:rFonts w:ascii="Verdana" w:hAnsi="Verdana"/>
        </w:rPr>
      </w:pPr>
      <w:r w:rsidRPr="002A248A">
        <w:rPr>
          <w:rFonts w:ascii="Verdana" w:hAnsi="Verdana"/>
        </w:rPr>
        <w:t xml:space="preserve">To ensure that the privacy of individuals is not arbitrarily displaced, the CIS Scheme provides for a range of protections for individuals. For example, the scheme recognises that the disclosure of confidential information will not be appropriate in all cases and, therefore, excludes certain information from the operation of the scheme. The legislative principles include a requirement that information should be shared only to the extent necessary to promote the wellbeing or safety of a child or a group of children, consistent with their best interests. In addition, ISEs should seek and take into account the views of the child and the relevant family members wherever appropriate, safe and reasonable to do so.  </w:t>
      </w:r>
    </w:p>
    <w:p w:rsidR="00B309AB" w:rsidRPr="002A248A" w:rsidRDefault="00B309AB" w:rsidP="002A248A">
      <w:pPr>
        <w:pStyle w:val="WOVGbody"/>
        <w:rPr>
          <w:rFonts w:ascii="Verdana" w:hAnsi="Verdana"/>
          <w:color w:val="000000"/>
        </w:rPr>
      </w:pPr>
      <w:r w:rsidRPr="002A248A">
        <w:rPr>
          <w:rFonts w:ascii="Verdana" w:hAnsi="Verdana"/>
          <w:color w:val="000000"/>
        </w:rPr>
        <w:t>ISEs are required to consider and meet a threshold test before sharing information with another ISE. The threshold test permits information to be shared where:</w:t>
      </w:r>
    </w:p>
    <w:p w:rsidR="00B309AB" w:rsidRPr="00551865" w:rsidRDefault="00B309AB" w:rsidP="00A76FAF">
      <w:pPr>
        <w:pStyle w:val="WOVGbody"/>
        <w:numPr>
          <w:ilvl w:val="0"/>
          <w:numId w:val="27"/>
        </w:numPr>
        <w:ind w:left="426"/>
        <w:rPr>
          <w:rFonts w:ascii="Verdana" w:hAnsi="Verdana"/>
        </w:rPr>
      </w:pPr>
      <w:r w:rsidRPr="00551865">
        <w:rPr>
          <w:rFonts w:ascii="Verdana" w:hAnsi="Verdana"/>
        </w:rPr>
        <w:t xml:space="preserve">the purpose of disclosing the information is to promote the wellbeing </w:t>
      </w:r>
      <w:r w:rsidR="00FD0277">
        <w:rPr>
          <w:rFonts w:ascii="Verdana" w:hAnsi="Verdana"/>
        </w:rPr>
        <w:t>or</w:t>
      </w:r>
      <w:r w:rsidRPr="00551865">
        <w:rPr>
          <w:rFonts w:ascii="Verdana" w:hAnsi="Verdana"/>
        </w:rPr>
        <w:t xml:space="preserve"> safety of a child or group of children</w:t>
      </w:r>
    </w:p>
    <w:p w:rsidR="00551865" w:rsidRDefault="00B309AB" w:rsidP="00A76FAF">
      <w:pPr>
        <w:pStyle w:val="WOVGbody"/>
        <w:numPr>
          <w:ilvl w:val="0"/>
          <w:numId w:val="27"/>
        </w:numPr>
        <w:ind w:left="426"/>
        <w:rPr>
          <w:rFonts w:ascii="Verdana" w:hAnsi="Verdana"/>
        </w:rPr>
      </w:pPr>
      <w:r w:rsidRPr="00551865">
        <w:rPr>
          <w:rFonts w:ascii="Verdana" w:hAnsi="Verdana"/>
        </w:rPr>
        <w:t>the disclosure may assist the recipient to carry out one or more s</w:t>
      </w:r>
      <w:r w:rsidR="00481AA1">
        <w:rPr>
          <w:rFonts w:ascii="Verdana" w:hAnsi="Verdana"/>
        </w:rPr>
        <w:t>pecified activities, as follows</w:t>
      </w:r>
      <w:r w:rsidR="00EE1038">
        <w:rPr>
          <w:rFonts w:ascii="Verdana" w:hAnsi="Verdana"/>
        </w:rPr>
        <w:t>:</w:t>
      </w:r>
    </w:p>
    <w:p w:rsidR="00551865" w:rsidRDefault="00B309AB" w:rsidP="00A76FAF">
      <w:pPr>
        <w:pStyle w:val="WOVGbody"/>
        <w:numPr>
          <w:ilvl w:val="1"/>
          <w:numId w:val="27"/>
        </w:numPr>
        <w:ind w:left="709"/>
        <w:rPr>
          <w:rFonts w:ascii="Verdana" w:hAnsi="Verdana"/>
        </w:rPr>
      </w:pPr>
      <w:r w:rsidRPr="00551865">
        <w:rPr>
          <w:rFonts w:ascii="Verdana" w:hAnsi="Verdana"/>
        </w:rPr>
        <w:t>to make a decision, assessment or plan relating t</w:t>
      </w:r>
      <w:r w:rsidR="00481AA1">
        <w:rPr>
          <w:rFonts w:ascii="Verdana" w:hAnsi="Verdana"/>
        </w:rPr>
        <w:t>o a child or group of children</w:t>
      </w:r>
    </w:p>
    <w:p w:rsidR="00551865" w:rsidRDefault="00B309AB" w:rsidP="00A76FAF">
      <w:pPr>
        <w:pStyle w:val="WOVGbody"/>
        <w:numPr>
          <w:ilvl w:val="1"/>
          <w:numId w:val="27"/>
        </w:numPr>
        <w:ind w:left="709"/>
        <w:rPr>
          <w:rFonts w:ascii="Verdana" w:hAnsi="Verdana"/>
        </w:rPr>
      </w:pPr>
      <w:r w:rsidRPr="00551865">
        <w:rPr>
          <w:rFonts w:ascii="Verdana" w:hAnsi="Verdana"/>
        </w:rPr>
        <w:t>initiate or conduct an investigation relating t</w:t>
      </w:r>
      <w:r w:rsidR="00481AA1">
        <w:rPr>
          <w:rFonts w:ascii="Verdana" w:hAnsi="Verdana"/>
        </w:rPr>
        <w:t>o a child or group of children</w:t>
      </w:r>
    </w:p>
    <w:p w:rsidR="00551865" w:rsidRDefault="00B309AB" w:rsidP="00A76FAF">
      <w:pPr>
        <w:pStyle w:val="WOVGbody"/>
        <w:numPr>
          <w:ilvl w:val="1"/>
          <w:numId w:val="27"/>
        </w:numPr>
        <w:ind w:left="709"/>
        <w:rPr>
          <w:rFonts w:ascii="Verdana" w:hAnsi="Verdana"/>
        </w:rPr>
      </w:pPr>
      <w:r w:rsidRPr="00551865">
        <w:rPr>
          <w:rFonts w:ascii="Verdana" w:hAnsi="Verdana"/>
        </w:rPr>
        <w:t>provide a service relating to a child or group of ch</w:t>
      </w:r>
      <w:r w:rsidR="00481AA1">
        <w:rPr>
          <w:rFonts w:ascii="Verdana" w:hAnsi="Verdana"/>
        </w:rPr>
        <w:t>ildren</w:t>
      </w:r>
    </w:p>
    <w:p w:rsidR="00B309AB" w:rsidRPr="00551865" w:rsidRDefault="00B309AB" w:rsidP="00A76FAF">
      <w:pPr>
        <w:pStyle w:val="WOVGbody"/>
        <w:numPr>
          <w:ilvl w:val="1"/>
          <w:numId w:val="27"/>
        </w:numPr>
        <w:ind w:left="709"/>
        <w:rPr>
          <w:rFonts w:ascii="Verdana" w:hAnsi="Verdana"/>
        </w:rPr>
      </w:pPr>
      <w:r w:rsidRPr="00551865">
        <w:rPr>
          <w:rFonts w:ascii="Verdana" w:hAnsi="Verdana"/>
        </w:rPr>
        <w:t>to manage any risk to a child or group o</w:t>
      </w:r>
      <w:r w:rsidR="00481AA1">
        <w:rPr>
          <w:rFonts w:ascii="Verdana" w:hAnsi="Verdana"/>
        </w:rPr>
        <w:t>f children</w:t>
      </w:r>
      <w:r w:rsidRPr="00551865">
        <w:rPr>
          <w:rFonts w:ascii="Verdana" w:hAnsi="Verdana"/>
        </w:rPr>
        <w:t xml:space="preserve"> </w:t>
      </w:r>
    </w:p>
    <w:p w:rsidR="00551865" w:rsidRDefault="00B309AB" w:rsidP="00A76FAF">
      <w:pPr>
        <w:pStyle w:val="WOVGbody"/>
        <w:numPr>
          <w:ilvl w:val="0"/>
          <w:numId w:val="27"/>
        </w:numPr>
        <w:ind w:left="426"/>
        <w:rPr>
          <w:rFonts w:ascii="Verdana" w:hAnsi="Verdana"/>
        </w:rPr>
      </w:pPr>
      <w:r w:rsidRPr="002A248A">
        <w:rPr>
          <w:rFonts w:ascii="Verdana" w:hAnsi="Verdana"/>
        </w:rPr>
        <w:t>the information is not ‘excluded information’, which is information that if shared could reasonably be expected to:</w:t>
      </w:r>
    </w:p>
    <w:p w:rsidR="00551865" w:rsidRDefault="00B309AB" w:rsidP="00A76FAF">
      <w:pPr>
        <w:pStyle w:val="WOVGbody"/>
        <w:numPr>
          <w:ilvl w:val="1"/>
          <w:numId w:val="27"/>
        </w:numPr>
        <w:ind w:left="709"/>
        <w:rPr>
          <w:rFonts w:ascii="Verdana" w:hAnsi="Verdana"/>
        </w:rPr>
      </w:pPr>
      <w:r w:rsidRPr="00551865">
        <w:rPr>
          <w:rFonts w:ascii="Verdana" w:hAnsi="Verdana"/>
        </w:rPr>
        <w:t>endanger a person’s li</w:t>
      </w:r>
      <w:r w:rsidR="00481AA1">
        <w:rPr>
          <w:rFonts w:ascii="Verdana" w:hAnsi="Verdana"/>
        </w:rPr>
        <w:t>fe or result in physical injury</w:t>
      </w:r>
    </w:p>
    <w:p w:rsidR="00551865" w:rsidRDefault="00B309AB" w:rsidP="00A76FAF">
      <w:pPr>
        <w:pStyle w:val="WOVGbody"/>
        <w:numPr>
          <w:ilvl w:val="1"/>
          <w:numId w:val="27"/>
        </w:numPr>
        <w:ind w:left="709"/>
        <w:rPr>
          <w:rFonts w:ascii="Verdana" w:hAnsi="Verdana"/>
        </w:rPr>
      </w:pPr>
      <w:r w:rsidRPr="00551865">
        <w:rPr>
          <w:rFonts w:ascii="Verdana" w:hAnsi="Verdana"/>
        </w:rPr>
        <w:t>prejudice an investigation of a breach of the law; the enforcement or proper administration of the law; a coronial inquest or inquiry; or a</w:t>
      </w:r>
      <w:r w:rsidR="00EE1038">
        <w:rPr>
          <w:rFonts w:ascii="Verdana" w:hAnsi="Verdana"/>
        </w:rPr>
        <w:t xml:space="preserve"> person’s right to a fair trial</w:t>
      </w:r>
    </w:p>
    <w:p w:rsidR="00551865" w:rsidRDefault="00B309AB" w:rsidP="00A76FAF">
      <w:pPr>
        <w:pStyle w:val="WOVGbody"/>
        <w:numPr>
          <w:ilvl w:val="1"/>
          <w:numId w:val="27"/>
        </w:numPr>
        <w:ind w:left="709"/>
        <w:rPr>
          <w:rFonts w:ascii="Verdana" w:hAnsi="Verdana"/>
        </w:rPr>
      </w:pPr>
      <w:r w:rsidRPr="00551865">
        <w:rPr>
          <w:rFonts w:ascii="Verdana" w:hAnsi="Verdana"/>
        </w:rPr>
        <w:t>contrave</w:t>
      </w:r>
      <w:r w:rsidR="00EE1038">
        <w:rPr>
          <w:rFonts w:ascii="Verdana" w:hAnsi="Verdana"/>
        </w:rPr>
        <w:t>ne legal professional privilege</w:t>
      </w:r>
    </w:p>
    <w:p w:rsidR="00551865" w:rsidRDefault="00B309AB" w:rsidP="00A76FAF">
      <w:pPr>
        <w:pStyle w:val="WOVGbody"/>
        <w:numPr>
          <w:ilvl w:val="1"/>
          <w:numId w:val="27"/>
        </w:numPr>
        <w:ind w:left="709"/>
        <w:rPr>
          <w:rFonts w:ascii="Verdana" w:hAnsi="Verdana"/>
        </w:rPr>
      </w:pPr>
      <w:r w:rsidRPr="00551865">
        <w:rPr>
          <w:rFonts w:ascii="Verdana" w:hAnsi="Verdana"/>
        </w:rPr>
        <w:t>disclose or enable a person to ascertain a confidential source of information in relation to the enforcement or</w:t>
      </w:r>
      <w:r w:rsidR="00EE1038">
        <w:rPr>
          <w:rFonts w:ascii="Verdana" w:hAnsi="Verdana"/>
        </w:rPr>
        <w:t xml:space="preserve"> administration of the law</w:t>
      </w:r>
    </w:p>
    <w:p w:rsidR="00551865" w:rsidRDefault="00B309AB" w:rsidP="00A76FAF">
      <w:pPr>
        <w:pStyle w:val="WOVGbody"/>
        <w:numPr>
          <w:ilvl w:val="1"/>
          <w:numId w:val="27"/>
        </w:numPr>
        <w:ind w:left="709"/>
        <w:rPr>
          <w:rFonts w:ascii="Verdana" w:hAnsi="Verdana"/>
        </w:rPr>
      </w:pPr>
      <w:r w:rsidRPr="00551865">
        <w:rPr>
          <w:rFonts w:ascii="Verdana" w:hAnsi="Verdana"/>
        </w:rPr>
        <w:t>contravene a court order or provision of an Act that prohibits or restricts the publication or other disclosure of information for or in connect</w:t>
      </w:r>
      <w:r w:rsidR="00EE1038">
        <w:rPr>
          <w:rFonts w:ascii="Verdana" w:hAnsi="Verdana"/>
        </w:rPr>
        <w:t>ion</w:t>
      </w:r>
      <w:r w:rsidRPr="00551865">
        <w:rPr>
          <w:rFonts w:ascii="Verdana" w:hAnsi="Verdana"/>
        </w:rPr>
        <w:t xml:space="preserve"> with a court proceeding; or requires or authorises a court or tribunal to close pro</w:t>
      </w:r>
      <w:r w:rsidR="00EE1038">
        <w:rPr>
          <w:rFonts w:ascii="Verdana" w:hAnsi="Verdana"/>
        </w:rPr>
        <w:t>ceedings to the public</w:t>
      </w:r>
    </w:p>
    <w:p w:rsidR="00B309AB" w:rsidRPr="00551865" w:rsidRDefault="00B309AB" w:rsidP="00A76FAF">
      <w:pPr>
        <w:pStyle w:val="WOVGbody"/>
        <w:numPr>
          <w:ilvl w:val="1"/>
          <w:numId w:val="27"/>
        </w:numPr>
        <w:ind w:left="709"/>
        <w:rPr>
          <w:rFonts w:ascii="Verdana" w:hAnsi="Verdana"/>
        </w:rPr>
      </w:pPr>
      <w:r w:rsidRPr="00551865">
        <w:rPr>
          <w:rFonts w:ascii="Verdana" w:hAnsi="Verdana"/>
        </w:rPr>
        <w:t>be contrary to the public interest.</w:t>
      </w:r>
    </w:p>
    <w:p w:rsidR="00DE7C18" w:rsidRDefault="00B309AB" w:rsidP="00B309AB">
      <w:pPr>
        <w:pStyle w:val="WOVGbody"/>
        <w:rPr>
          <w:rFonts w:ascii="Verdana" w:hAnsi="Verdana"/>
        </w:rPr>
      </w:pPr>
      <w:r w:rsidRPr="00B309AB">
        <w:rPr>
          <w:rFonts w:ascii="Verdana" w:hAnsi="Verdana"/>
        </w:rPr>
        <w:lastRenderedPageBreak/>
        <w:t>The Act also contains a list of legislative principles intended to guide ISEs on appropriate practice in relation to sharing of confiden</w:t>
      </w:r>
      <w:r w:rsidR="00B12BD4">
        <w:rPr>
          <w:rFonts w:ascii="Verdana" w:hAnsi="Verdana"/>
        </w:rPr>
        <w:t>tial information under the CIS S</w:t>
      </w:r>
      <w:r w:rsidRPr="00B309AB">
        <w:rPr>
          <w:rFonts w:ascii="Verdana" w:hAnsi="Verdana"/>
        </w:rPr>
        <w:t xml:space="preserve">cheme. Practice guidance resources and binding Ministerial Guidelines for information sharing </w:t>
      </w:r>
      <w:r w:rsidR="00747383">
        <w:rPr>
          <w:rFonts w:ascii="Verdana" w:hAnsi="Verdana"/>
        </w:rPr>
        <w:t>have been developed to inform ISEs of how these legislative principles are to be upheld in practice</w:t>
      </w:r>
      <w:r>
        <w:rPr>
          <w:rFonts w:ascii="Verdana" w:hAnsi="Verdana"/>
        </w:rPr>
        <w:t>.</w:t>
      </w:r>
      <w:r w:rsidR="005B4D34" w:rsidRPr="005B4D34">
        <w:rPr>
          <w:rStyle w:val="FootnoteReference"/>
          <w:rFonts w:ascii="Verdana" w:hAnsi="Verdana"/>
        </w:rPr>
        <w:t xml:space="preserve"> </w:t>
      </w:r>
      <w:r w:rsidR="005B4D34">
        <w:rPr>
          <w:rStyle w:val="FootnoteReference"/>
          <w:rFonts w:ascii="Verdana" w:hAnsi="Verdana"/>
        </w:rPr>
        <w:footnoteReference w:id="12"/>
      </w:r>
    </w:p>
    <w:p w:rsidR="00DE7C18" w:rsidRDefault="00DE7C18">
      <w:pPr>
        <w:rPr>
          <w:rFonts w:ascii="Verdana" w:eastAsia="Times" w:hAnsi="Verdana"/>
        </w:rPr>
      </w:pPr>
      <w:r>
        <w:rPr>
          <w:rFonts w:ascii="Verdana" w:hAnsi="Verdana"/>
        </w:rPr>
        <w:br w:type="page"/>
      </w:r>
    </w:p>
    <w:p w:rsidR="001B22B1" w:rsidRPr="00ED6F1C" w:rsidRDefault="001B22B1" w:rsidP="00FE48EB">
      <w:pPr>
        <w:pStyle w:val="Heading1"/>
        <w:ind w:left="426"/>
        <w:rPr>
          <w:rFonts w:ascii="Verdana" w:hAnsi="Verdana"/>
        </w:rPr>
      </w:pPr>
      <w:bookmarkStart w:id="14" w:name="_Toc23510761"/>
      <w:r w:rsidRPr="00ED6F1C">
        <w:rPr>
          <w:rFonts w:ascii="Verdana" w:hAnsi="Verdana"/>
        </w:rPr>
        <w:lastRenderedPageBreak/>
        <w:t>Problem analysis</w:t>
      </w:r>
      <w:bookmarkEnd w:id="14"/>
    </w:p>
    <w:p w:rsidR="001B22B1" w:rsidRPr="00ED6F1C" w:rsidRDefault="005F3B86" w:rsidP="001B22B1">
      <w:pPr>
        <w:pStyle w:val="Heading2"/>
        <w:rPr>
          <w:rFonts w:ascii="Verdana" w:hAnsi="Verdana"/>
        </w:rPr>
      </w:pPr>
      <w:bookmarkStart w:id="15" w:name="_Toc23510762"/>
      <w:r w:rsidRPr="00ED6F1C">
        <w:rPr>
          <w:rFonts w:ascii="Verdana" w:hAnsi="Verdana"/>
        </w:rPr>
        <w:t>L</w:t>
      </w:r>
      <w:r w:rsidR="001B22B1" w:rsidRPr="00ED6F1C">
        <w:rPr>
          <w:rFonts w:ascii="Verdana" w:hAnsi="Verdana"/>
        </w:rPr>
        <w:t xml:space="preserve">ack of access to relevant information </w:t>
      </w:r>
      <w:r w:rsidR="00F4341A">
        <w:rPr>
          <w:rFonts w:ascii="Verdana" w:hAnsi="Verdana"/>
        </w:rPr>
        <w:t>for</w:t>
      </w:r>
      <w:r w:rsidR="000A70B6" w:rsidRPr="00ED6F1C">
        <w:rPr>
          <w:rFonts w:ascii="Verdana" w:hAnsi="Verdana"/>
        </w:rPr>
        <w:t xml:space="preserve"> service providers</w:t>
      </w:r>
      <w:r w:rsidR="001B22B1" w:rsidRPr="00ED6F1C">
        <w:rPr>
          <w:rFonts w:ascii="Verdana" w:hAnsi="Verdana"/>
        </w:rPr>
        <w:t xml:space="preserve"> </w:t>
      </w:r>
      <w:r w:rsidR="00565AFE" w:rsidRPr="00ED6F1C">
        <w:rPr>
          <w:rFonts w:ascii="Verdana" w:hAnsi="Verdana"/>
        </w:rPr>
        <w:t xml:space="preserve">limits </w:t>
      </w:r>
      <w:r w:rsidR="000A70B6" w:rsidRPr="00ED6F1C">
        <w:rPr>
          <w:rFonts w:ascii="Verdana" w:hAnsi="Verdana"/>
        </w:rPr>
        <w:t xml:space="preserve">service delivery and </w:t>
      </w:r>
      <w:r w:rsidR="00565AFE" w:rsidRPr="00ED6F1C">
        <w:rPr>
          <w:rFonts w:ascii="Verdana" w:hAnsi="Verdana"/>
        </w:rPr>
        <w:t>hinders early intervention, compromising</w:t>
      </w:r>
      <w:r w:rsidR="000A70B6" w:rsidRPr="00ED6F1C">
        <w:rPr>
          <w:rFonts w:ascii="Verdana" w:hAnsi="Verdana"/>
        </w:rPr>
        <w:t xml:space="preserve"> </w:t>
      </w:r>
      <w:r w:rsidR="001B22B1" w:rsidRPr="00ED6F1C">
        <w:rPr>
          <w:rFonts w:ascii="Verdana" w:hAnsi="Verdana"/>
        </w:rPr>
        <w:t>child wellbeing and safety</w:t>
      </w:r>
      <w:bookmarkEnd w:id="15"/>
    </w:p>
    <w:p w:rsidR="00F558C0" w:rsidRPr="00F0187F" w:rsidRDefault="002022FA" w:rsidP="00F558C0">
      <w:pPr>
        <w:pStyle w:val="WOVGbody"/>
        <w:rPr>
          <w:rFonts w:ascii="Verdana" w:hAnsi="Verdana"/>
          <w:b/>
        </w:rPr>
      </w:pPr>
      <w:r w:rsidRPr="00F0187F">
        <w:rPr>
          <w:rFonts w:ascii="Verdana" w:hAnsi="Verdana"/>
          <w:b/>
        </w:rPr>
        <w:t xml:space="preserve">When service providers make decisions, or avoid making decisions, on the basis of insufficient information about a child and </w:t>
      </w:r>
      <w:r w:rsidR="00183EBF">
        <w:rPr>
          <w:rFonts w:ascii="Verdana" w:hAnsi="Verdana"/>
          <w:b/>
        </w:rPr>
        <w:t>the child’s</w:t>
      </w:r>
      <w:r w:rsidRPr="00F0187F">
        <w:rPr>
          <w:rFonts w:ascii="Verdana" w:hAnsi="Verdana"/>
          <w:b/>
        </w:rPr>
        <w:t xml:space="preserve"> circumstances, the child </w:t>
      </w:r>
      <w:r>
        <w:rPr>
          <w:rFonts w:ascii="Verdana" w:hAnsi="Verdana"/>
          <w:b/>
        </w:rPr>
        <w:t>may receive service support that fails to target their needs appropriately</w:t>
      </w:r>
      <w:r w:rsidRPr="00F0187F">
        <w:rPr>
          <w:rFonts w:ascii="Verdana" w:hAnsi="Verdana"/>
          <w:b/>
        </w:rPr>
        <w:t xml:space="preserve">, </w:t>
      </w:r>
      <w:r>
        <w:rPr>
          <w:rFonts w:ascii="Verdana" w:hAnsi="Verdana"/>
          <w:b/>
        </w:rPr>
        <w:t>so that the</w:t>
      </w:r>
      <w:r w:rsidRPr="00F0187F">
        <w:rPr>
          <w:rFonts w:ascii="Verdana" w:hAnsi="Verdana"/>
          <w:b/>
        </w:rPr>
        <w:t xml:space="preserve"> wellbeing or safety of that child </w:t>
      </w:r>
      <w:r>
        <w:rPr>
          <w:rFonts w:ascii="Verdana" w:hAnsi="Verdana"/>
          <w:b/>
        </w:rPr>
        <w:t xml:space="preserve">is </w:t>
      </w:r>
      <w:r w:rsidRPr="00F0187F">
        <w:rPr>
          <w:rFonts w:ascii="Verdana" w:hAnsi="Verdana"/>
          <w:b/>
        </w:rPr>
        <w:t xml:space="preserve">negatively impacted. If relevant information were available, </w:t>
      </w:r>
      <w:r>
        <w:rPr>
          <w:rFonts w:ascii="Verdana" w:hAnsi="Verdana"/>
          <w:b/>
        </w:rPr>
        <w:t xml:space="preserve">better </w:t>
      </w:r>
      <w:r w:rsidRPr="00F0187F">
        <w:rPr>
          <w:rFonts w:ascii="Verdana" w:hAnsi="Verdana"/>
          <w:b/>
        </w:rPr>
        <w:t>decisions could be made in relation to service delivery involving the child and their family in support of their wellbeing or safety</w:t>
      </w:r>
      <w:r w:rsidR="00F558C0" w:rsidRPr="00F0187F">
        <w:rPr>
          <w:rFonts w:ascii="Verdana" w:hAnsi="Verdana"/>
          <w:b/>
        </w:rPr>
        <w:t>.</w:t>
      </w:r>
    </w:p>
    <w:p w:rsidR="00A946C0" w:rsidRPr="00ED6F1C" w:rsidRDefault="00F558C0" w:rsidP="00F558C0">
      <w:pPr>
        <w:pStyle w:val="Heading3"/>
        <w:rPr>
          <w:rFonts w:ascii="Verdana" w:hAnsi="Verdana"/>
        </w:rPr>
      </w:pPr>
      <w:r w:rsidRPr="00ED6F1C">
        <w:rPr>
          <w:rFonts w:ascii="Verdana" w:hAnsi="Verdana"/>
        </w:rPr>
        <w:t xml:space="preserve">Consequences </w:t>
      </w:r>
      <w:r w:rsidR="005F3B86" w:rsidRPr="00ED6F1C">
        <w:rPr>
          <w:rFonts w:ascii="Verdana" w:hAnsi="Verdana"/>
        </w:rPr>
        <w:t>arising from a lack of access to information</w:t>
      </w:r>
    </w:p>
    <w:p w:rsidR="00D72DFF" w:rsidRPr="00ED6F1C" w:rsidRDefault="00D72DFF" w:rsidP="00D72DFF">
      <w:pPr>
        <w:pStyle w:val="WOVGbody"/>
        <w:rPr>
          <w:rFonts w:ascii="Verdana" w:hAnsi="Verdana"/>
        </w:rPr>
      </w:pPr>
      <w:r w:rsidRPr="00ED6F1C">
        <w:rPr>
          <w:rFonts w:ascii="Verdana" w:hAnsi="Verdana"/>
        </w:rPr>
        <w:t>Whenever a service provider makes a decision in relation to a child’s wellbeing or safety without access to relevant information</w:t>
      </w:r>
      <w:r>
        <w:rPr>
          <w:rFonts w:ascii="Verdana" w:hAnsi="Verdana"/>
        </w:rPr>
        <w:t xml:space="preserve"> about that child,</w:t>
      </w:r>
      <w:r w:rsidRPr="00ED6F1C">
        <w:rPr>
          <w:rFonts w:ascii="Verdana" w:hAnsi="Verdana"/>
        </w:rPr>
        <w:t xml:space="preserve"> there is a risk of sub</w:t>
      </w:r>
      <w:r>
        <w:rPr>
          <w:rFonts w:ascii="Verdana" w:hAnsi="Verdana"/>
        </w:rPr>
        <w:t>-</w:t>
      </w:r>
      <w:r w:rsidRPr="00ED6F1C">
        <w:rPr>
          <w:rFonts w:ascii="Verdana" w:hAnsi="Verdana"/>
        </w:rPr>
        <w:t xml:space="preserve">optimal service delivery. The consequences of this may range from missed opportunities to promote a child’s learning </w:t>
      </w:r>
      <w:r>
        <w:rPr>
          <w:rFonts w:ascii="Verdana" w:hAnsi="Verdana"/>
        </w:rPr>
        <w:t xml:space="preserve">outcomes </w:t>
      </w:r>
      <w:r w:rsidRPr="00ED6F1C">
        <w:rPr>
          <w:rFonts w:ascii="Verdana" w:hAnsi="Verdana"/>
        </w:rPr>
        <w:t>and social wellbeing by ensuring appropriate transitioning between education providers,</w:t>
      </w:r>
      <w:r>
        <w:rPr>
          <w:rFonts w:ascii="Verdana" w:hAnsi="Verdana"/>
        </w:rPr>
        <w:t xml:space="preserve"> for example, </w:t>
      </w:r>
      <w:r w:rsidRPr="00ED6F1C">
        <w:rPr>
          <w:rFonts w:ascii="Verdana" w:hAnsi="Verdana"/>
        </w:rPr>
        <w:t>to a failure to address serious risk to a child’s safety. Critically,</w:t>
      </w:r>
      <w:r>
        <w:rPr>
          <w:rFonts w:ascii="Verdana" w:hAnsi="Verdana"/>
        </w:rPr>
        <w:t xml:space="preserve"> harm accumulates incrementally, and serious harm </w:t>
      </w:r>
      <w:r w:rsidR="00183EBF">
        <w:rPr>
          <w:rFonts w:ascii="Verdana" w:hAnsi="Verdana"/>
        </w:rPr>
        <w:t xml:space="preserve">often </w:t>
      </w:r>
      <w:r>
        <w:rPr>
          <w:rFonts w:ascii="Verdana" w:hAnsi="Verdana"/>
        </w:rPr>
        <w:t>follows early indicators. An inability to form a more complete picture of a child’s circumstances</w:t>
      </w:r>
      <w:r w:rsidR="00183EBF">
        <w:rPr>
          <w:rFonts w:ascii="Verdana" w:hAnsi="Verdana"/>
        </w:rPr>
        <w:t xml:space="preserve"> early</w:t>
      </w:r>
      <w:r>
        <w:rPr>
          <w:rFonts w:ascii="Verdana" w:hAnsi="Verdana"/>
        </w:rPr>
        <w:t xml:space="preserve"> therefore </w:t>
      </w:r>
      <w:r w:rsidRPr="00ED6F1C">
        <w:rPr>
          <w:rFonts w:ascii="Verdana" w:hAnsi="Verdana"/>
        </w:rPr>
        <w:t>hinder</w:t>
      </w:r>
      <w:r>
        <w:rPr>
          <w:rFonts w:ascii="Verdana" w:hAnsi="Verdana"/>
        </w:rPr>
        <w:t>s</w:t>
      </w:r>
      <w:r w:rsidRPr="00ED6F1C">
        <w:rPr>
          <w:rFonts w:ascii="Verdana" w:hAnsi="Verdana"/>
        </w:rPr>
        <w:t xml:space="preserve"> </w:t>
      </w:r>
      <w:r>
        <w:rPr>
          <w:rFonts w:ascii="Verdana" w:hAnsi="Verdana"/>
        </w:rPr>
        <w:t xml:space="preserve">the possibility of </w:t>
      </w:r>
      <w:r w:rsidRPr="00ED6F1C">
        <w:rPr>
          <w:rFonts w:ascii="Verdana" w:hAnsi="Verdana"/>
        </w:rPr>
        <w:t>early intervention and support, represent</w:t>
      </w:r>
      <w:r>
        <w:rPr>
          <w:rFonts w:ascii="Verdana" w:hAnsi="Verdana"/>
        </w:rPr>
        <w:t>ing</w:t>
      </w:r>
      <w:r w:rsidRPr="00ED6F1C">
        <w:rPr>
          <w:rFonts w:ascii="Verdana" w:hAnsi="Verdana"/>
        </w:rPr>
        <w:t xml:space="preserve"> </w:t>
      </w:r>
      <w:r>
        <w:rPr>
          <w:rFonts w:ascii="Verdana" w:hAnsi="Verdana"/>
        </w:rPr>
        <w:t xml:space="preserve">a </w:t>
      </w:r>
      <w:r w:rsidRPr="00ED6F1C">
        <w:rPr>
          <w:rFonts w:ascii="Verdana" w:hAnsi="Verdana"/>
        </w:rPr>
        <w:t>missed opportunit</w:t>
      </w:r>
      <w:r>
        <w:rPr>
          <w:rFonts w:ascii="Verdana" w:hAnsi="Verdana"/>
        </w:rPr>
        <w:t xml:space="preserve">y to prevent or manage </w:t>
      </w:r>
      <w:r w:rsidR="00183EBF">
        <w:rPr>
          <w:rFonts w:ascii="Verdana" w:hAnsi="Verdana"/>
        </w:rPr>
        <w:t xml:space="preserve">issues or </w:t>
      </w:r>
      <w:r>
        <w:rPr>
          <w:rFonts w:ascii="Verdana" w:hAnsi="Verdana"/>
        </w:rPr>
        <w:t>risk</w:t>
      </w:r>
      <w:r w:rsidR="00183EBF">
        <w:rPr>
          <w:rFonts w:ascii="Verdana" w:hAnsi="Verdana"/>
        </w:rPr>
        <w:t>s</w:t>
      </w:r>
      <w:r w:rsidRPr="00ED6F1C">
        <w:rPr>
          <w:rFonts w:ascii="Verdana" w:hAnsi="Verdana"/>
        </w:rPr>
        <w:t xml:space="preserve"> before serious </w:t>
      </w:r>
      <w:r>
        <w:rPr>
          <w:rFonts w:ascii="Verdana" w:hAnsi="Verdana"/>
        </w:rPr>
        <w:t>harm occurs</w:t>
      </w:r>
      <w:r w:rsidRPr="00ED6F1C">
        <w:rPr>
          <w:rFonts w:ascii="Verdana" w:hAnsi="Verdana"/>
        </w:rPr>
        <w:t>.</w:t>
      </w:r>
    </w:p>
    <w:p w:rsidR="005F3B86" w:rsidRPr="00ED6F1C" w:rsidRDefault="000450E9" w:rsidP="00D72DFF">
      <w:pPr>
        <w:pStyle w:val="WOVGbody"/>
        <w:rPr>
          <w:rFonts w:ascii="Verdana" w:hAnsi="Verdana"/>
        </w:rPr>
      </w:pPr>
      <w:r>
        <w:rPr>
          <w:rFonts w:ascii="Verdana" w:hAnsi="Verdana"/>
        </w:rPr>
        <w:t>Beyond this, if services cannot</w:t>
      </w:r>
      <w:r w:rsidR="00D72DFF">
        <w:rPr>
          <w:rFonts w:ascii="Verdana" w:hAnsi="Verdana"/>
        </w:rPr>
        <w:t xml:space="preserve"> share information about a mutual client, they </w:t>
      </w:r>
      <w:r>
        <w:rPr>
          <w:rFonts w:ascii="Verdana" w:hAnsi="Verdana"/>
        </w:rPr>
        <w:t xml:space="preserve">will not be in a position to </w:t>
      </w:r>
      <w:r w:rsidR="00D72DFF">
        <w:rPr>
          <w:rFonts w:ascii="Verdana" w:hAnsi="Verdana"/>
        </w:rPr>
        <w:t xml:space="preserve">collaborate and </w:t>
      </w:r>
      <w:r w:rsidR="00D72DFF" w:rsidRPr="00ED6F1C">
        <w:rPr>
          <w:rFonts w:ascii="Verdana" w:hAnsi="Verdana"/>
        </w:rPr>
        <w:t xml:space="preserve">coordinate </w:t>
      </w:r>
      <w:r w:rsidR="00D72DFF">
        <w:rPr>
          <w:rFonts w:ascii="Verdana" w:hAnsi="Verdana"/>
        </w:rPr>
        <w:t xml:space="preserve">their services </w:t>
      </w:r>
      <w:r w:rsidR="00D72DFF" w:rsidRPr="00ED6F1C">
        <w:rPr>
          <w:rFonts w:ascii="Verdana" w:hAnsi="Verdana"/>
        </w:rPr>
        <w:t>effectively. Co</w:t>
      </w:r>
      <w:r w:rsidR="00D72DFF">
        <w:rPr>
          <w:rFonts w:ascii="Verdana" w:hAnsi="Verdana"/>
        </w:rPr>
        <w:t>nsequently, service providers</w:t>
      </w:r>
      <w:r>
        <w:rPr>
          <w:rFonts w:ascii="Verdana" w:hAnsi="Verdana"/>
        </w:rPr>
        <w:t xml:space="preserve"> may deliver</w:t>
      </w:r>
      <w:r w:rsidR="00D72DFF">
        <w:rPr>
          <w:rFonts w:ascii="Verdana" w:hAnsi="Verdana"/>
        </w:rPr>
        <w:t xml:space="preserve"> competing or</w:t>
      </w:r>
      <w:r w:rsidR="00D963CF">
        <w:rPr>
          <w:rFonts w:ascii="Verdana" w:hAnsi="Verdana"/>
        </w:rPr>
        <w:t xml:space="preserve"> duplicative services</w:t>
      </w:r>
      <w:r>
        <w:rPr>
          <w:rFonts w:ascii="Verdana" w:hAnsi="Verdana"/>
        </w:rPr>
        <w:t xml:space="preserve"> </w:t>
      </w:r>
      <w:r w:rsidR="00D963CF">
        <w:rPr>
          <w:rFonts w:ascii="Verdana" w:hAnsi="Verdana"/>
        </w:rPr>
        <w:t>or no service at all. T</w:t>
      </w:r>
      <w:r>
        <w:rPr>
          <w:rFonts w:ascii="Verdana" w:hAnsi="Verdana"/>
        </w:rPr>
        <w:t xml:space="preserve">his may represent a risk to the </w:t>
      </w:r>
      <w:r w:rsidR="00D72DFF">
        <w:rPr>
          <w:rFonts w:ascii="Verdana" w:hAnsi="Verdana"/>
        </w:rPr>
        <w:t>child and their family</w:t>
      </w:r>
      <w:r>
        <w:rPr>
          <w:rFonts w:ascii="Verdana" w:hAnsi="Verdana"/>
        </w:rPr>
        <w:t xml:space="preserve"> in terms of </w:t>
      </w:r>
      <w:r w:rsidR="00D72DFF">
        <w:rPr>
          <w:rFonts w:ascii="Verdana" w:hAnsi="Verdana"/>
        </w:rPr>
        <w:t>slipping between gaps in service delivery</w:t>
      </w:r>
      <w:r w:rsidR="005F3B86" w:rsidRPr="00ED6F1C">
        <w:rPr>
          <w:rFonts w:ascii="Verdana" w:hAnsi="Verdana"/>
        </w:rPr>
        <w:t>.</w:t>
      </w:r>
      <w:r>
        <w:rPr>
          <w:rFonts w:ascii="Verdana" w:hAnsi="Verdana"/>
        </w:rPr>
        <w:t xml:space="preserve"> </w:t>
      </w:r>
    </w:p>
    <w:p w:rsidR="005F3B86" w:rsidRPr="00ED6F1C" w:rsidRDefault="005F3B86" w:rsidP="00A946C0">
      <w:pPr>
        <w:pStyle w:val="WOVGbody"/>
        <w:rPr>
          <w:rFonts w:ascii="Verdana" w:hAnsi="Verdana"/>
        </w:rPr>
      </w:pPr>
      <w:r w:rsidRPr="00ED6F1C">
        <w:rPr>
          <w:rFonts w:ascii="Verdana" w:hAnsi="Verdana"/>
        </w:rPr>
        <w:t xml:space="preserve">Numerous reviews have identified these issues. Notably, the Commission for Children and Young People </w:t>
      </w:r>
      <w:r w:rsidR="00CD6C85">
        <w:rPr>
          <w:rFonts w:ascii="Verdana" w:hAnsi="Verdana"/>
        </w:rPr>
        <w:t xml:space="preserve">(CCYP) </w:t>
      </w:r>
      <w:r w:rsidR="000F3B7D">
        <w:rPr>
          <w:rFonts w:ascii="Verdana" w:hAnsi="Verdana"/>
        </w:rPr>
        <w:t>have, for years, revealed consistent problems with siloed information that contributed to the circumstances in which a child died or suffered. In their 2</w:t>
      </w:r>
      <w:r w:rsidR="00CD6C85">
        <w:rPr>
          <w:rFonts w:ascii="Verdana" w:hAnsi="Verdana"/>
        </w:rPr>
        <w:t>016-17 annual</w:t>
      </w:r>
      <w:r w:rsidR="000F3B7D">
        <w:rPr>
          <w:rFonts w:ascii="Verdana" w:hAnsi="Verdana"/>
        </w:rPr>
        <w:t xml:space="preserve"> </w:t>
      </w:r>
      <w:r w:rsidR="00CD6C85">
        <w:rPr>
          <w:rFonts w:ascii="Verdana" w:hAnsi="Verdana"/>
        </w:rPr>
        <w:t xml:space="preserve">report CCYP reported that </w:t>
      </w:r>
      <w:r w:rsidRPr="00ED6F1C">
        <w:rPr>
          <w:rFonts w:ascii="Verdana" w:hAnsi="Verdana"/>
        </w:rPr>
        <w:t xml:space="preserve">inadequate information sharing </w:t>
      </w:r>
      <w:r w:rsidR="00183EBF">
        <w:rPr>
          <w:rFonts w:ascii="Verdana" w:hAnsi="Verdana"/>
        </w:rPr>
        <w:t>was a contributing factor</w:t>
      </w:r>
      <w:r w:rsidRPr="00ED6F1C">
        <w:rPr>
          <w:rFonts w:ascii="Verdana" w:hAnsi="Verdana"/>
        </w:rPr>
        <w:t xml:space="preserve"> in </w:t>
      </w:r>
      <w:r w:rsidR="000F3B7D">
        <w:rPr>
          <w:rFonts w:ascii="Verdana" w:hAnsi="Verdana"/>
        </w:rPr>
        <w:t>21 out of 34 child death</w:t>
      </w:r>
      <w:r w:rsidRPr="00ED6F1C">
        <w:rPr>
          <w:rFonts w:ascii="Verdana" w:hAnsi="Verdana"/>
        </w:rPr>
        <w:t xml:space="preserve"> inquires</w:t>
      </w:r>
      <w:r w:rsidR="00CD6C85">
        <w:rPr>
          <w:rFonts w:ascii="Verdana" w:hAnsi="Verdana"/>
        </w:rPr>
        <w:t xml:space="preserve">, and in 2017-18 the CCYP child death inquiries highlighted </w:t>
      </w:r>
      <w:r w:rsidR="00183EBF">
        <w:rPr>
          <w:rFonts w:ascii="Verdana" w:hAnsi="Verdana"/>
        </w:rPr>
        <w:t xml:space="preserve">a critical need </w:t>
      </w:r>
      <w:r w:rsidR="00CD6C85">
        <w:rPr>
          <w:rFonts w:ascii="Verdana" w:hAnsi="Verdana"/>
        </w:rPr>
        <w:t>for improvement in information sharing and collaboration between Child Protection, med</w:t>
      </w:r>
      <w:r w:rsidR="00137681">
        <w:rPr>
          <w:rFonts w:ascii="Verdana" w:hAnsi="Verdana"/>
        </w:rPr>
        <w:t>ical services and schools focus</w:t>
      </w:r>
      <w:r w:rsidR="00CD6C85">
        <w:rPr>
          <w:rFonts w:ascii="Verdana" w:hAnsi="Verdana"/>
        </w:rPr>
        <w:t xml:space="preserve">ed on promoting the </w:t>
      </w:r>
      <w:r w:rsidR="00183EBF">
        <w:rPr>
          <w:rFonts w:ascii="Verdana" w:hAnsi="Verdana"/>
        </w:rPr>
        <w:t xml:space="preserve">wellbeing and </w:t>
      </w:r>
      <w:r w:rsidR="00CD6C85">
        <w:rPr>
          <w:rFonts w:ascii="Verdana" w:hAnsi="Verdana"/>
        </w:rPr>
        <w:t>safety of children and young people</w:t>
      </w:r>
      <w:r w:rsidR="005B4D34">
        <w:rPr>
          <w:rFonts w:ascii="Verdana" w:hAnsi="Verdana"/>
        </w:rPr>
        <w:t>.</w:t>
      </w:r>
      <w:r w:rsidR="000F3B7D">
        <w:rPr>
          <w:rStyle w:val="FootnoteReference"/>
          <w:rFonts w:ascii="Verdana" w:hAnsi="Verdana"/>
        </w:rPr>
        <w:footnoteReference w:id="13"/>
      </w:r>
      <w:r w:rsidRPr="00ED6F1C">
        <w:rPr>
          <w:rFonts w:ascii="Verdana" w:hAnsi="Verdana"/>
        </w:rPr>
        <w:t xml:space="preserve"> Specifi</w:t>
      </w:r>
      <w:r w:rsidR="00CD6C85">
        <w:rPr>
          <w:rFonts w:ascii="Verdana" w:hAnsi="Verdana"/>
        </w:rPr>
        <w:t>c inquiries have also highlighted these</w:t>
      </w:r>
      <w:r w:rsidRPr="00ED6F1C">
        <w:rPr>
          <w:rFonts w:ascii="Verdana" w:hAnsi="Verdana"/>
        </w:rPr>
        <w:t xml:space="preserve"> issue</w:t>
      </w:r>
      <w:r w:rsidR="00CD6C85">
        <w:rPr>
          <w:rFonts w:ascii="Verdana" w:hAnsi="Verdana"/>
        </w:rPr>
        <w:t>s</w:t>
      </w:r>
      <w:r w:rsidRPr="00ED6F1C">
        <w:rPr>
          <w:rFonts w:ascii="Verdana" w:hAnsi="Verdana"/>
        </w:rPr>
        <w:t>, including the Coroners Court Finding With Inquest into t</w:t>
      </w:r>
      <w:r w:rsidR="00D72DFF">
        <w:rPr>
          <w:rFonts w:ascii="Verdana" w:hAnsi="Verdana"/>
        </w:rPr>
        <w:t>he Death of AA (Baby D) (2016)</w:t>
      </w:r>
      <w:r w:rsidR="00B039C6">
        <w:rPr>
          <w:rStyle w:val="FootnoteReference"/>
          <w:rFonts w:ascii="Verdana" w:hAnsi="Verdana"/>
        </w:rPr>
        <w:footnoteReference w:id="14"/>
      </w:r>
      <w:r w:rsidR="00D72DFF">
        <w:rPr>
          <w:rFonts w:ascii="Verdana" w:hAnsi="Verdana"/>
        </w:rPr>
        <w:t xml:space="preserve"> </w:t>
      </w:r>
      <w:r w:rsidR="00D72DFF" w:rsidRPr="00ED6F1C">
        <w:rPr>
          <w:rFonts w:ascii="Verdana" w:hAnsi="Verdana"/>
        </w:rPr>
        <w:t xml:space="preserve">and </w:t>
      </w:r>
      <w:r w:rsidR="004F2DA6">
        <w:rPr>
          <w:rFonts w:ascii="Verdana" w:hAnsi="Verdana"/>
        </w:rPr>
        <w:t>CCYP</w:t>
      </w:r>
      <w:r w:rsidR="00D72DFF">
        <w:rPr>
          <w:rFonts w:ascii="Verdana" w:hAnsi="Verdana"/>
        </w:rPr>
        <w:t xml:space="preserve"> Inquiry into Child O</w:t>
      </w:r>
      <w:r w:rsidR="001C34BE">
        <w:rPr>
          <w:rStyle w:val="FootnoteReference"/>
          <w:rFonts w:ascii="Verdana" w:hAnsi="Verdana"/>
        </w:rPr>
        <w:footnoteReference w:id="15"/>
      </w:r>
      <w:r w:rsidR="005B4D34">
        <w:rPr>
          <w:rFonts w:ascii="Verdana" w:hAnsi="Verdana"/>
        </w:rPr>
        <w:t>.</w:t>
      </w:r>
    </w:p>
    <w:p w:rsidR="00ED6F1C" w:rsidRPr="00ED6F1C" w:rsidRDefault="00ED6F1C" w:rsidP="00A946C0">
      <w:pPr>
        <w:pStyle w:val="WOVGbody"/>
        <w:rPr>
          <w:rFonts w:ascii="Verdana" w:hAnsi="Verdana"/>
        </w:rPr>
      </w:pPr>
      <w:r w:rsidRPr="00ED6F1C">
        <w:rPr>
          <w:rFonts w:ascii="Verdana" w:hAnsi="Verdana"/>
          <w:noProof/>
          <w:lang w:eastAsia="en-AU"/>
        </w:rPr>
        <w:lastRenderedPageBreak/>
        <mc:AlternateContent>
          <mc:Choice Requires="wps">
            <w:drawing>
              <wp:inline distT="0" distB="0" distL="0" distR="0" wp14:anchorId="52DF8DA2" wp14:editId="15795E5A">
                <wp:extent cx="6029325" cy="2886539"/>
                <wp:effectExtent l="0" t="0" r="28575" b="2286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886539"/>
                        </a:xfrm>
                        <a:prstGeom prst="rect">
                          <a:avLst/>
                        </a:prstGeom>
                        <a:solidFill>
                          <a:srgbClr val="FFFFFF"/>
                        </a:solidFill>
                        <a:ln w="19050">
                          <a:solidFill>
                            <a:schemeClr val="accent3"/>
                          </a:solidFill>
                          <a:miter lim="800000"/>
                          <a:headEnd/>
                          <a:tailEnd/>
                        </a:ln>
                      </wps:spPr>
                      <wps:txbx>
                        <w:txbxContent>
                          <w:p w:rsidR="00642088" w:rsidRPr="00551865" w:rsidRDefault="00642088" w:rsidP="00551865">
                            <w:pPr>
                              <w:pStyle w:val="WOVGbody"/>
                              <w:rPr>
                                <w:rFonts w:ascii="Verdana" w:hAnsi="Verdana"/>
                                <w:b/>
                              </w:rPr>
                            </w:pPr>
                            <w:r w:rsidRPr="00551865">
                              <w:rPr>
                                <w:rFonts w:ascii="Verdana" w:hAnsi="Verdana"/>
                                <w:b/>
                              </w:rPr>
                              <w:t>Case study: Baby D</w:t>
                            </w:r>
                          </w:p>
                          <w:p w:rsidR="00642088" w:rsidRPr="00551865" w:rsidRDefault="00642088" w:rsidP="00551865">
                            <w:pPr>
                              <w:pStyle w:val="WOVGbody"/>
                              <w:rPr>
                                <w:rFonts w:ascii="Verdana" w:hAnsi="Verdana"/>
                              </w:rPr>
                            </w:pPr>
                            <w:r w:rsidRPr="00551865">
                              <w:rPr>
                                <w:rFonts w:ascii="Verdana" w:hAnsi="Verdana"/>
                              </w:rPr>
                              <w:t>An inquest by the Coroners Court of Victoria into the Death of Baby D in 2015 found that professionals involved in the case of Baby D lacked critical information upon which to make appropriate decisions regarding her health and safety. No single practitioner had a full picture of her circumstances due to the lack of adequate information sharing.</w:t>
                            </w:r>
                          </w:p>
                          <w:p w:rsidR="00642088" w:rsidRPr="00551865" w:rsidRDefault="00642088" w:rsidP="00551865">
                            <w:pPr>
                              <w:pStyle w:val="WOVGbody"/>
                              <w:rPr>
                                <w:rFonts w:ascii="Verdana" w:hAnsi="Verdana"/>
                              </w:rPr>
                            </w:pPr>
                            <w:r w:rsidRPr="00551865">
                              <w:rPr>
                                <w:rFonts w:ascii="Verdana" w:hAnsi="Verdana"/>
                              </w:rPr>
                              <w:t>The Inquest noted that in the eight-week period leading up to her death, a number of health professionals were engaged with Baby D’s family, however, as noted by Justice Gray at paragraphs 342-344:</w:t>
                            </w:r>
                          </w:p>
                          <w:p w:rsidR="00642088" w:rsidRPr="00551865" w:rsidRDefault="00642088" w:rsidP="00551865">
                            <w:pPr>
                              <w:pStyle w:val="WOVGbody"/>
                              <w:rPr>
                                <w:rFonts w:ascii="Verdana" w:hAnsi="Verdana"/>
                                <w:i/>
                              </w:rPr>
                            </w:pPr>
                            <w:r w:rsidRPr="00551865">
                              <w:rPr>
                                <w:rFonts w:ascii="Verdana" w:hAnsi="Verdana"/>
                                <w:i/>
                              </w:rPr>
                              <w:t xml:space="preserve">“…in approaching this task, they did not have the benefit of each other's observations and examinations, except to the extent that information was relayed via the parents. Each practitioner would almost certainly have benefited from information from the others about the bruising, mental health screens, diagnoses, treatment plans. As a result, at inquest there were many hypothetical questions about how assessments and responses may have been different with a more complete picture.”  </w:t>
                            </w:r>
                          </w:p>
                          <w:p w:rsidR="00642088" w:rsidRPr="00551865" w:rsidRDefault="00642088" w:rsidP="00551865">
                            <w:pPr>
                              <w:pStyle w:val="WOVGbody"/>
                              <w:rPr>
                                <w:rFonts w:ascii="Verdana" w:hAnsi="Verdana"/>
                              </w:rPr>
                            </w:pPr>
                            <w:r w:rsidRPr="00551865">
                              <w:rPr>
                                <w:rFonts w:ascii="Verdana" w:hAnsi="Verdana"/>
                              </w:rPr>
                              <w:t xml:space="preserve">While acknowledging that information sharing is a dynamic and complex policy area, the Coroner noted that the circumstances surrounding the death of Baby D crystallises </w:t>
                            </w:r>
                            <w:r w:rsidR="006815C1">
                              <w:rPr>
                                <w:rFonts w:ascii="Verdana" w:hAnsi="Verdana"/>
                              </w:rPr>
                              <w:t xml:space="preserve">lack of </w:t>
                            </w:r>
                            <w:r w:rsidRPr="00551865">
                              <w:rPr>
                                <w:rFonts w:ascii="Verdana" w:hAnsi="Verdana"/>
                              </w:rPr>
                              <w:t xml:space="preserve">information sharing as an issue that warrants a sector wide response. </w:t>
                            </w:r>
                          </w:p>
                        </w:txbxContent>
                      </wps:txbx>
                      <wps:bodyPr rot="0" vert="horz" wrap="square" lIns="91440" tIns="45720" rIns="91440" bIns="45720" anchor="t" anchorCtr="0">
                        <a:spAutoFit/>
                      </wps:bodyPr>
                    </wps:wsp>
                  </a:graphicData>
                </a:graphic>
              </wp:inline>
            </w:drawing>
          </mc:Choice>
          <mc:Fallback>
            <w:pict>
              <v:shape w14:anchorId="52DF8DA2" id="Text Box 2" o:spid="_x0000_s1027" type="#_x0000_t202" style="width:474.75pt;height:2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" strokecolor="#c5511a [3206]" strokeweight="1.5pt">
                <v:textbox style="mso-fit-shape-to-text:t">
                  <w:txbxContent>
                    <w:p w:rsidR="00642088" w:rsidRPr="00551865" w:rsidRDefault="00642088" w:rsidP="00551865">
                      <w:pPr>
                        <w:pStyle w:val="WOVGbody"/>
                        <w:rPr>
                          <w:rFonts w:ascii="Verdana" w:hAnsi="Verdana"/>
                          <w:b/>
                        </w:rPr>
                      </w:pPr>
                      <w:r w:rsidRPr="00551865">
                        <w:rPr>
                          <w:rFonts w:ascii="Verdana" w:hAnsi="Verdana"/>
                          <w:b/>
                        </w:rPr>
                        <w:t>Case study: Baby D</w:t>
                      </w:r>
                    </w:p>
                    <w:p w:rsidR="00642088" w:rsidRPr="00551865" w:rsidRDefault="00642088" w:rsidP="00551865">
                      <w:pPr>
                        <w:pStyle w:val="WOVGbody"/>
                        <w:rPr>
                          <w:rFonts w:ascii="Verdana" w:hAnsi="Verdana"/>
                        </w:rPr>
                      </w:pPr>
                      <w:r w:rsidRPr="00551865">
                        <w:rPr>
                          <w:rFonts w:ascii="Verdana" w:hAnsi="Verdana"/>
                        </w:rPr>
                        <w:t>An inquest by the Coroners Court of Victoria into the Death of Baby D in 2015 found that professionals involved in the case of Baby D lacked critical information upon which to make appropriate decisions regarding her health and safety. No single practitioner had a full picture of her circumstances due to the lack of adequate information sharing.</w:t>
                      </w:r>
                    </w:p>
                    <w:p w:rsidR="00642088" w:rsidRPr="00551865" w:rsidRDefault="00642088" w:rsidP="00551865">
                      <w:pPr>
                        <w:pStyle w:val="WOVGbody"/>
                        <w:rPr>
                          <w:rFonts w:ascii="Verdana" w:hAnsi="Verdana"/>
                        </w:rPr>
                      </w:pPr>
                      <w:r w:rsidRPr="00551865">
                        <w:rPr>
                          <w:rFonts w:ascii="Verdana" w:hAnsi="Verdana"/>
                        </w:rPr>
                        <w:t>The Inquest noted that in the eight-week period leading up to her death, a number of health professionals were engaged with Baby D’s family, however, as noted by Justice Gray at paragraphs 342-344:</w:t>
                      </w:r>
                    </w:p>
                    <w:p w:rsidR="00642088" w:rsidRPr="00551865" w:rsidRDefault="00642088" w:rsidP="00551865">
                      <w:pPr>
                        <w:pStyle w:val="WOVGbody"/>
                        <w:rPr>
                          <w:rFonts w:ascii="Verdana" w:hAnsi="Verdana"/>
                          <w:i/>
                        </w:rPr>
                      </w:pPr>
                      <w:r w:rsidRPr="00551865">
                        <w:rPr>
                          <w:rFonts w:ascii="Verdana" w:hAnsi="Verdana"/>
                          <w:i/>
                        </w:rPr>
                        <w:t xml:space="preserve">“…in approaching this task, they did not have the benefit of each other's observations and examinations, except to the extent that information was relayed via the parents. Each practitioner would almost certainly have benefited from information from the others about the bruising, mental health screens, diagnoses, treatment plans. As a result, at inquest there were many hypothetical questions about how assessments and responses may have been different with a more complete picture.”  </w:t>
                      </w:r>
                    </w:p>
                    <w:p w:rsidR="00642088" w:rsidRPr="00551865" w:rsidRDefault="00642088" w:rsidP="00551865">
                      <w:pPr>
                        <w:pStyle w:val="WOVGbody"/>
                        <w:rPr>
                          <w:rFonts w:ascii="Verdana" w:hAnsi="Verdana"/>
                        </w:rPr>
                      </w:pPr>
                      <w:r w:rsidRPr="00551865">
                        <w:rPr>
                          <w:rFonts w:ascii="Verdana" w:hAnsi="Verdana"/>
                        </w:rPr>
                        <w:t xml:space="preserve">While acknowledging that information sharing is a dynamic and complex policy area, the Coroner noted that the circumstances surrounding the death of Baby D crystallises </w:t>
                      </w:r>
                      <w:r w:rsidR="006815C1">
                        <w:rPr>
                          <w:rFonts w:ascii="Verdana" w:hAnsi="Verdana"/>
                        </w:rPr>
                        <w:t xml:space="preserve">lack of </w:t>
                      </w:r>
                      <w:r w:rsidRPr="00551865">
                        <w:rPr>
                          <w:rFonts w:ascii="Verdana" w:hAnsi="Verdana"/>
                        </w:rPr>
                        <w:t xml:space="preserve">information sharing as an issue that warrants a sector wide response. </w:t>
                      </w:r>
                    </w:p>
                  </w:txbxContent>
                </v:textbox>
                <w10:anchorlock/>
              </v:shape>
            </w:pict>
          </mc:Fallback>
        </mc:AlternateContent>
      </w:r>
    </w:p>
    <w:p w:rsidR="002D4617" w:rsidRDefault="00D72DFF" w:rsidP="00ED6F1C">
      <w:pPr>
        <w:pStyle w:val="WOVGbody"/>
        <w:rPr>
          <w:rFonts w:ascii="Verdana" w:hAnsi="Verdana"/>
        </w:rPr>
      </w:pPr>
      <w:r>
        <w:rPr>
          <w:rFonts w:ascii="Verdana" w:hAnsi="Verdana"/>
        </w:rPr>
        <w:t xml:space="preserve">Service providers </w:t>
      </w:r>
      <w:r w:rsidRPr="00ED6F1C">
        <w:rPr>
          <w:rFonts w:ascii="Verdana" w:hAnsi="Verdana"/>
        </w:rPr>
        <w:t xml:space="preserve">that work with children and families </w:t>
      </w:r>
      <w:r>
        <w:rPr>
          <w:rFonts w:ascii="Verdana" w:hAnsi="Verdana"/>
        </w:rPr>
        <w:t>report being</w:t>
      </w:r>
      <w:r w:rsidRPr="00ED6F1C">
        <w:rPr>
          <w:rFonts w:ascii="Verdana" w:hAnsi="Verdana"/>
        </w:rPr>
        <w:t xml:space="preserve"> deterred from sharing information for several reasons, including confusion about when and what information can lawfully be shared. Victoria’s legislative framework for informati</w:t>
      </w:r>
      <w:r w:rsidR="00137681">
        <w:rPr>
          <w:rFonts w:ascii="Verdana" w:hAnsi="Verdana"/>
        </w:rPr>
        <w:t>on sharing is complex. Relevant a</w:t>
      </w:r>
      <w:r w:rsidRPr="00ED6F1C">
        <w:rPr>
          <w:rFonts w:ascii="Verdana" w:hAnsi="Verdana"/>
        </w:rPr>
        <w:t xml:space="preserve">cts include the </w:t>
      </w:r>
      <w:r w:rsidRPr="00137681">
        <w:rPr>
          <w:rFonts w:ascii="Verdana" w:hAnsi="Verdana"/>
          <w:i/>
        </w:rPr>
        <w:t>Children Youth and Families Act 2005</w:t>
      </w:r>
      <w:r w:rsidRPr="00ED6F1C">
        <w:rPr>
          <w:rFonts w:ascii="Verdana" w:hAnsi="Verdana"/>
        </w:rPr>
        <w:t xml:space="preserve">, the </w:t>
      </w:r>
      <w:r w:rsidRPr="00137681">
        <w:rPr>
          <w:rFonts w:ascii="Verdana" w:hAnsi="Verdana"/>
          <w:i/>
        </w:rPr>
        <w:t>Privacy and Data Protection Act 2014</w:t>
      </w:r>
      <w:r w:rsidRPr="00ED6F1C">
        <w:rPr>
          <w:rFonts w:ascii="Verdana" w:hAnsi="Verdana"/>
        </w:rPr>
        <w:t xml:space="preserve"> and the </w:t>
      </w:r>
      <w:r w:rsidRPr="00137681">
        <w:rPr>
          <w:rFonts w:ascii="Verdana" w:hAnsi="Verdana"/>
          <w:i/>
        </w:rPr>
        <w:t>Health Records Act 2001</w:t>
      </w:r>
      <w:r w:rsidRPr="00ED6F1C">
        <w:rPr>
          <w:rFonts w:ascii="Verdana" w:hAnsi="Verdana"/>
        </w:rPr>
        <w:t>. There is also additional legislation that relates to child information sharing such as Commonwealth privacy law (for private and Commonwealth funded non-government organisations) and various secrecy and confidentiality provisions unde</w:t>
      </w:r>
      <w:r w:rsidR="002D4617">
        <w:rPr>
          <w:rFonts w:ascii="Verdana" w:hAnsi="Verdana"/>
        </w:rPr>
        <w:t>r subject-specific legislation.</w:t>
      </w:r>
    </w:p>
    <w:p w:rsidR="00ED6F1C" w:rsidRDefault="00D72DFF" w:rsidP="00ED6F1C">
      <w:pPr>
        <w:pStyle w:val="WOVGbody"/>
        <w:rPr>
          <w:rFonts w:ascii="Verdana" w:hAnsi="Verdana"/>
        </w:rPr>
      </w:pPr>
      <w:r w:rsidRPr="00ED6F1C">
        <w:rPr>
          <w:rFonts w:ascii="Verdana" w:hAnsi="Verdana"/>
        </w:rPr>
        <w:t xml:space="preserve">In response to this complex legislative environment, organisations have not </w:t>
      </w:r>
      <w:r>
        <w:rPr>
          <w:rFonts w:ascii="Verdana" w:hAnsi="Verdana"/>
        </w:rPr>
        <w:t xml:space="preserve">always </w:t>
      </w:r>
      <w:r w:rsidRPr="00ED6F1C">
        <w:rPr>
          <w:rFonts w:ascii="Verdana" w:hAnsi="Verdana"/>
        </w:rPr>
        <w:t>been confident in their understanding of the legal requirements for information sharing</w:t>
      </w:r>
      <w:r w:rsidR="003B00E5">
        <w:rPr>
          <w:rFonts w:ascii="Verdana" w:hAnsi="Verdana"/>
        </w:rPr>
        <w:t>, and risk averse attitudes towards information sharing have developed within the organisation</w:t>
      </w:r>
      <w:r w:rsidRPr="00ED6F1C">
        <w:rPr>
          <w:rFonts w:ascii="Verdana" w:hAnsi="Verdana"/>
        </w:rPr>
        <w:t xml:space="preserve">. This has </w:t>
      </w:r>
      <w:r>
        <w:rPr>
          <w:rFonts w:ascii="Verdana" w:hAnsi="Verdana"/>
        </w:rPr>
        <w:t xml:space="preserve">resulted in </w:t>
      </w:r>
      <w:r w:rsidRPr="00ED6F1C">
        <w:rPr>
          <w:rFonts w:ascii="Verdana" w:hAnsi="Verdana"/>
        </w:rPr>
        <w:t xml:space="preserve">information not being shared, even when sharing may </w:t>
      </w:r>
      <w:r>
        <w:rPr>
          <w:rFonts w:ascii="Verdana" w:hAnsi="Verdana"/>
        </w:rPr>
        <w:t xml:space="preserve">have </w:t>
      </w:r>
      <w:r w:rsidRPr="00ED6F1C">
        <w:rPr>
          <w:rFonts w:ascii="Verdana" w:hAnsi="Verdana"/>
        </w:rPr>
        <w:t>be</w:t>
      </w:r>
      <w:r>
        <w:rPr>
          <w:rFonts w:ascii="Verdana" w:hAnsi="Verdana"/>
        </w:rPr>
        <w:t>en</w:t>
      </w:r>
      <w:r w:rsidRPr="00ED6F1C">
        <w:rPr>
          <w:rFonts w:ascii="Verdana" w:hAnsi="Verdana"/>
        </w:rPr>
        <w:t xml:space="preserve"> legally permitted and appropriate. In a situation wher</w:t>
      </w:r>
      <w:r>
        <w:rPr>
          <w:rFonts w:ascii="Verdana" w:hAnsi="Verdana"/>
        </w:rPr>
        <w:t>e service providers do not have</w:t>
      </w:r>
      <w:r w:rsidRPr="00ED6F1C">
        <w:rPr>
          <w:rFonts w:ascii="Verdana" w:hAnsi="Verdana"/>
        </w:rPr>
        <w:t xml:space="preserve"> access to information relevant to </w:t>
      </w:r>
      <w:r>
        <w:rPr>
          <w:rFonts w:ascii="Verdana" w:hAnsi="Verdana"/>
        </w:rPr>
        <w:t xml:space="preserve">a </w:t>
      </w:r>
      <w:r w:rsidRPr="00ED6F1C">
        <w:rPr>
          <w:rFonts w:ascii="Verdana" w:hAnsi="Verdana"/>
        </w:rPr>
        <w:t>child</w:t>
      </w:r>
      <w:r>
        <w:rPr>
          <w:rFonts w:ascii="Verdana" w:hAnsi="Verdana"/>
        </w:rPr>
        <w:t>’s</w:t>
      </w:r>
      <w:r w:rsidRPr="00ED6F1C">
        <w:rPr>
          <w:rFonts w:ascii="Verdana" w:hAnsi="Verdana"/>
        </w:rPr>
        <w:t xml:space="preserve"> wellbeing </w:t>
      </w:r>
      <w:r>
        <w:rPr>
          <w:rFonts w:ascii="Verdana" w:hAnsi="Verdana"/>
        </w:rPr>
        <w:t>or</w:t>
      </w:r>
      <w:r w:rsidRPr="00ED6F1C">
        <w:rPr>
          <w:rFonts w:ascii="Verdana" w:hAnsi="Verdana"/>
        </w:rPr>
        <w:t xml:space="preserve"> safety, there will be missed opportunities for early intervention or prevention, such as in the tragic case of Child </w:t>
      </w:r>
      <w:r>
        <w:rPr>
          <w:rFonts w:ascii="Verdana" w:hAnsi="Verdana"/>
        </w:rPr>
        <w:t>O.</w:t>
      </w:r>
    </w:p>
    <w:p w:rsidR="00D72DFF" w:rsidRPr="00D13C5D" w:rsidRDefault="00D13C5D" w:rsidP="00D13C5D">
      <w:pPr>
        <w:pStyle w:val="WOVGbody"/>
        <w:rPr>
          <w:rFonts w:ascii="Verdana" w:hAnsi="Verdana"/>
        </w:rPr>
      </w:pPr>
      <w:r w:rsidRPr="00ED6F1C">
        <w:rPr>
          <w:rFonts w:ascii="Verdana" w:hAnsi="Verdana"/>
          <w:noProof/>
          <w:lang w:eastAsia="en-AU"/>
        </w:rPr>
        <w:lastRenderedPageBreak/>
        <mc:AlternateContent>
          <mc:Choice Requires="wps">
            <w:drawing>
              <wp:inline distT="0" distB="0" distL="0" distR="0" wp14:anchorId="01B8037A" wp14:editId="2A1483C0">
                <wp:extent cx="6000750" cy="3406140"/>
                <wp:effectExtent l="0" t="0" r="19050" b="228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406140"/>
                        </a:xfrm>
                        <a:prstGeom prst="rect">
                          <a:avLst/>
                        </a:prstGeom>
                        <a:solidFill>
                          <a:srgbClr val="FFFFFF"/>
                        </a:solidFill>
                        <a:ln w="19050">
                          <a:solidFill>
                            <a:schemeClr val="accent3"/>
                          </a:solidFill>
                          <a:miter lim="800000"/>
                          <a:headEnd/>
                          <a:tailEnd/>
                        </a:ln>
                      </wps:spPr>
                      <wps:txbx>
                        <w:txbxContent>
                          <w:p w:rsidR="00642088" w:rsidRPr="00551865" w:rsidRDefault="00642088" w:rsidP="00D13C5D">
                            <w:pPr>
                              <w:pStyle w:val="WOVGbody"/>
                              <w:rPr>
                                <w:rFonts w:ascii="Verdana" w:hAnsi="Verdana"/>
                                <w:b/>
                              </w:rPr>
                            </w:pPr>
                            <w:r>
                              <w:rPr>
                                <w:rFonts w:ascii="Verdana" w:hAnsi="Verdana"/>
                                <w:b/>
                              </w:rPr>
                              <w:t>Case study: Child O</w:t>
                            </w:r>
                          </w:p>
                          <w:p w:rsidR="00642088" w:rsidRPr="00551865" w:rsidRDefault="00642088" w:rsidP="00D13C5D">
                            <w:pPr>
                              <w:pStyle w:val="WOVGbody"/>
                              <w:rPr>
                                <w:rFonts w:ascii="Verdana" w:hAnsi="Verdana"/>
                              </w:rPr>
                            </w:pPr>
                            <w:r>
                              <w:rPr>
                                <w:rFonts w:ascii="Verdana" w:hAnsi="Verdana"/>
                              </w:rPr>
                              <w:t xml:space="preserve">Child </w:t>
                            </w:r>
                            <w:r w:rsidRPr="00551865">
                              <w:rPr>
                                <w:rFonts w:ascii="Verdana" w:hAnsi="Verdana"/>
                              </w:rPr>
                              <w:t xml:space="preserve">O was born in 1998. Having separated when he was young, his parents’ relationship remained acrimonious. O lived primarily with his mother and younger sibling, but maintained contact with his father, stepmother and paternal sibling, as arranged through the Family Court. In adolescence, following times of conflict with his mother, O lived with his maternal grandparents for short periods. </w:t>
                            </w:r>
                          </w:p>
                          <w:p w:rsidR="00642088" w:rsidRPr="00551865" w:rsidRDefault="00642088" w:rsidP="00D13C5D">
                            <w:pPr>
                              <w:pStyle w:val="WOVGbody"/>
                              <w:rPr>
                                <w:rFonts w:ascii="Verdana" w:hAnsi="Verdana"/>
                              </w:rPr>
                            </w:pPr>
                            <w:r>
                              <w:rPr>
                                <w:rFonts w:ascii="Verdana" w:hAnsi="Verdana"/>
                              </w:rPr>
                              <w:t>Child P</w:t>
                            </w:r>
                            <w:r w:rsidRPr="00551865">
                              <w:rPr>
                                <w:rFonts w:ascii="Verdana" w:hAnsi="Verdana"/>
                              </w:rPr>
                              <w:t xml:space="preserve">rotection (CP) received three reports about O, all closed at intake. The first, at five years of age, related to allegations of physical and emotional harm by his father’s new partner. It was noted that O was an ‘anxious child and fearful of doing anything wrong’. A further two CP reports related to conflict between O and his mother when he was 16. Both were assessed as wellbeing reports. He was described as suffering from an anxiety disorder, alcohol abuse, self-harm and suicidal ideation. </w:t>
                            </w:r>
                          </w:p>
                          <w:p w:rsidR="00642088" w:rsidRPr="00551865" w:rsidRDefault="00642088" w:rsidP="00D13C5D">
                            <w:pPr>
                              <w:pStyle w:val="WOVGbody"/>
                              <w:rPr>
                                <w:rFonts w:ascii="Verdana" w:hAnsi="Verdana"/>
                              </w:rPr>
                            </w:pPr>
                            <w:r w:rsidRPr="00551865">
                              <w:rPr>
                                <w:rFonts w:ascii="Verdana" w:hAnsi="Verdana"/>
                              </w:rPr>
                              <w:t xml:space="preserve">O had intensive and extensive involvement with public and private services for mental health and addiction issues. From the age of 15, he made three suicide attempts, was admitted to intensive care and subjected to a compulsory assessment and treatment order, although he valued his education, which was seen as a protective factor. </w:t>
                            </w:r>
                          </w:p>
                          <w:p w:rsidR="00642088" w:rsidRPr="00551865" w:rsidRDefault="00642088" w:rsidP="00D13C5D">
                            <w:pPr>
                              <w:pStyle w:val="WOVGbody"/>
                              <w:rPr>
                                <w:rFonts w:ascii="Verdana" w:hAnsi="Verdana"/>
                              </w:rPr>
                            </w:pPr>
                            <w:r w:rsidRPr="00551865">
                              <w:rPr>
                                <w:rFonts w:ascii="Verdana" w:hAnsi="Verdana"/>
                              </w:rPr>
                              <w:t xml:space="preserve">When he died due to suicide at age 17, O had decided to defer year 12 to concentrate on his health and addiction issues. </w:t>
                            </w:r>
                          </w:p>
                          <w:p w:rsidR="00642088" w:rsidRPr="00551865" w:rsidRDefault="00642088" w:rsidP="00D13C5D">
                            <w:pPr>
                              <w:pStyle w:val="WOVGbody"/>
                              <w:rPr>
                                <w:rFonts w:ascii="Verdana" w:hAnsi="Verdana"/>
                              </w:rPr>
                            </w:pPr>
                            <w:r w:rsidRPr="00551865">
                              <w:rPr>
                                <w:rFonts w:ascii="Verdana" w:hAnsi="Verdana"/>
                              </w:rPr>
                              <w:t xml:space="preserve">The Commissioner for Children and Young People’s inquiry findings included that: </w:t>
                            </w:r>
                          </w:p>
                          <w:p w:rsidR="00642088" w:rsidRPr="00551865" w:rsidRDefault="00642088" w:rsidP="00D13C5D">
                            <w:pPr>
                              <w:pStyle w:val="WOVGbody"/>
                              <w:rPr>
                                <w:rFonts w:ascii="Verdana" w:hAnsi="Verdana"/>
                              </w:rPr>
                            </w:pPr>
                            <w:r w:rsidRPr="00551865">
                              <w:rPr>
                                <w:rFonts w:ascii="Verdana" w:hAnsi="Verdana"/>
                              </w:rPr>
                              <w:t xml:space="preserve">O’s early mental health issues demonstrated the need for early intervention and support. </w:t>
                            </w:r>
                          </w:p>
                          <w:p w:rsidR="00642088" w:rsidRPr="00551865" w:rsidRDefault="00642088" w:rsidP="00D13C5D">
                            <w:pPr>
                              <w:pStyle w:val="WOVGbody"/>
                              <w:rPr>
                                <w:rFonts w:ascii="Verdana" w:hAnsi="Verdana"/>
                              </w:rPr>
                            </w:pPr>
                            <w:r w:rsidRPr="00551865">
                              <w:rPr>
                                <w:rFonts w:ascii="Verdana" w:hAnsi="Verdana"/>
                              </w:rPr>
                              <w:t xml:space="preserve">While information was shared between mental health services, there was a lack of information sharing across the service system, in particular with the school, and no one took a lead role to ensure service coordination and integration. </w:t>
                            </w:r>
                          </w:p>
                          <w:p w:rsidR="00642088" w:rsidRPr="00551865" w:rsidRDefault="00642088" w:rsidP="00D13C5D">
                            <w:pPr>
                              <w:pStyle w:val="WOVGbody"/>
                              <w:rPr>
                                <w:rFonts w:ascii="Verdana" w:hAnsi="Verdana"/>
                              </w:rPr>
                            </w:pPr>
                            <w:r w:rsidRPr="00551865">
                              <w:rPr>
                                <w:rFonts w:ascii="Verdana" w:hAnsi="Verdana"/>
                              </w:rPr>
                              <w:t>Real-time information to provide a contemporaneous picture of O’s mental and physical health was not</w:t>
                            </w:r>
                            <w:r>
                              <w:rPr>
                                <w:rFonts w:ascii="Verdana" w:hAnsi="Verdana"/>
                              </w:rPr>
                              <w:t xml:space="preserve"> available</w:t>
                            </w:r>
                            <w:r w:rsidRPr="00551865">
                              <w:rPr>
                                <w:rFonts w:ascii="Verdana" w:hAnsi="Verdana"/>
                              </w:rPr>
                              <w:t xml:space="preserve">. </w:t>
                            </w:r>
                          </w:p>
                        </w:txbxContent>
                      </wps:txbx>
                      <wps:bodyPr rot="0" vert="horz" wrap="square" lIns="91440" tIns="45720" rIns="91440" bIns="45720" anchor="t" anchorCtr="0">
                        <a:spAutoFit/>
                      </wps:bodyPr>
                    </wps:wsp>
                  </a:graphicData>
                </a:graphic>
              </wp:inline>
            </w:drawing>
          </mc:Choice>
          <mc:Fallback>
            <w:pict>
              <v:shape w14:anchorId="01B8037A" id="_x0000_s1028" type="#_x0000_t202" style="width:472.5pt;height:2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" strokecolor="#c5511a [3206]" strokeweight="1.5pt">
                <v:textbox style="mso-fit-shape-to-text:t">
                  <w:txbxContent>
                    <w:p w:rsidR="00642088" w:rsidRPr="00551865" w:rsidRDefault="00642088" w:rsidP="00D13C5D">
                      <w:pPr>
                        <w:pStyle w:val="WOVGbody"/>
                        <w:rPr>
                          <w:rFonts w:ascii="Verdana" w:hAnsi="Verdana"/>
                          <w:b/>
                        </w:rPr>
                      </w:pPr>
                      <w:r>
                        <w:rPr>
                          <w:rFonts w:ascii="Verdana" w:hAnsi="Verdana"/>
                          <w:b/>
                        </w:rPr>
                        <w:t>Case study: Child O</w:t>
                      </w:r>
                    </w:p>
                    <w:p w:rsidR="00642088" w:rsidRPr="00551865" w:rsidRDefault="00642088" w:rsidP="00D13C5D">
                      <w:pPr>
                        <w:pStyle w:val="WOVGbody"/>
                        <w:rPr>
                          <w:rFonts w:ascii="Verdana" w:hAnsi="Verdana"/>
                        </w:rPr>
                      </w:pPr>
                      <w:r>
                        <w:rPr>
                          <w:rFonts w:ascii="Verdana" w:hAnsi="Verdana"/>
                        </w:rPr>
                        <w:t xml:space="preserve">Child </w:t>
                      </w:r>
                      <w:r w:rsidRPr="00551865">
                        <w:rPr>
                          <w:rFonts w:ascii="Verdana" w:hAnsi="Verdana"/>
                        </w:rPr>
                        <w:t xml:space="preserve">O was born in 1998. Having separated when he was young, his parents’ relationship remained acrimonious. O lived primarily with his mother and younger sibling, but maintained contact with his father, stepmother and paternal sibling, as arranged through the Family Court. In adolescence, following times of conflict with his mother, O lived with his maternal grandparents for short periods. </w:t>
                      </w:r>
                    </w:p>
                    <w:p w:rsidR="00642088" w:rsidRPr="00551865" w:rsidRDefault="00642088" w:rsidP="00D13C5D">
                      <w:pPr>
                        <w:pStyle w:val="WOVGbody"/>
                        <w:rPr>
                          <w:rFonts w:ascii="Verdana" w:hAnsi="Verdana"/>
                        </w:rPr>
                      </w:pPr>
                      <w:r>
                        <w:rPr>
                          <w:rFonts w:ascii="Verdana" w:hAnsi="Verdana"/>
                        </w:rPr>
                        <w:t>Child P</w:t>
                      </w:r>
                      <w:r w:rsidRPr="00551865">
                        <w:rPr>
                          <w:rFonts w:ascii="Verdana" w:hAnsi="Verdana"/>
                        </w:rPr>
                        <w:t xml:space="preserve">rotection (CP) received three reports about O, all closed at intake. The first, at five years of age, related to allegations of physical and emotional harm by his father’s new partner. It was noted that O was an ‘anxious child and fearful of doing anything wrong’. A further two CP reports related to conflict between O and his mother when he was 16. Both were assessed as wellbeing reports. He was described as suffering from an anxiety disorder, alcohol abuse, self-harm and suicidal ideation. </w:t>
                      </w:r>
                    </w:p>
                    <w:p w:rsidR="00642088" w:rsidRPr="00551865" w:rsidRDefault="00642088" w:rsidP="00D13C5D">
                      <w:pPr>
                        <w:pStyle w:val="WOVGbody"/>
                        <w:rPr>
                          <w:rFonts w:ascii="Verdana" w:hAnsi="Verdana"/>
                        </w:rPr>
                      </w:pPr>
                      <w:r w:rsidRPr="00551865">
                        <w:rPr>
                          <w:rFonts w:ascii="Verdana" w:hAnsi="Verdana"/>
                        </w:rPr>
                        <w:t xml:space="preserve">O had intensive and extensive involvement with public and private services for mental health and addiction issues. From the age of 15, he made three suicide attempts, was admitted to intensive care and subjected to a compulsory assessment and treatment order, although he valued his education, which was seen as a protective factor. </w:t>
                      </w:r>
                    </w:p>
                    <w:p w:rsidR="00642088" w:rsidRPr="00551865" w:rsidRDefault="00642088" w:rsidP="00D13C5D">
                      <w:pPr>
                        <w:pStyle w:val="WOVGbody"/>
                        <w:rPr>
                          <w:rFonts w:ascii="Verdana" w:hAnsi="Verdana"/>
                        </w:rPr>
                      </w:pPr>
                      <w:r w:rsidRPr="00551865">
                        <w:rPr>
                          <w:rFonts w:ascii="Verdana" w:hAnsi="Verdana"/>
                        </w:rPr>
                        <w:t xml:space="preserve">When he died due to suicide at age 17, O had decided to defer year 12 to concentrate on his health and addiction issues. </w:t>
                      </w:r>
                    </w:p>
                    <w:p w:rsidR="00642088" w:rsidRPr="00551865" w:rsidRDefault="00642088" w:rsidP="00D13C5D">
                      <w:pPr>
                        <w:pStyle w:val="WOVGbody"/>
                        <w:rPr>
                          <w:rFonts w:ascii="Verdana" w:hAnsi="Verdana"/>
                        </w:rPr>
                      </w:pPr>
                      <w:r w:rsidRPr="00551865">
                        <w:rPr>
                          <w:rFonts w:ascii="Verdana" w:hAnsi="Verdana"/>
                        </w:rPr>
                        <w:t xml:space="preserve">The Commissioner for Children and Young People’s inquiry findings included that: </w:t>
                      </w:r>
                    </w:p>
                    <w:p w:rsidR="00642088" w:rsidRPr="00551865" w:rsidRDefault="00642088" w:rsidP="00D13C5D">
                      <w:pPr>
                        <w:pStyle w:val="WOVGbody"/>
                        <w:rPr>
                          <w:rFonts w:ascii="Verdana" w:hAnsi="Verdana"/>
                        </w:rPr>
                      </w:pPr>
                      <w:r w:rsidRPr="00551865">
                        <w:rPr>
                          <w:rFonts w:ascii="Verdana" w:hAnsi="Verdana"/>
                        </w:rPr>
                        <w:t xml:space="preserve">O’s early mental health issues demonstrated the need for early intervention and support. </w:t>
                      </w:r>
                    </w:p>
                    <w:p w:rsidR="00642088" w:rsidRPr="00551865" w:rsidRDefault="00642088" w:rsidP="00D13C5D">
                      <w:pPr>
                        <w:pStyle w:val="WOVGbody"/>
                        <w:rPr>
                          <w:rFonts w:ascii="Verdana" w:hAnsi="Verdana"/>
                        </w:rPr>
                      </w:pPr>
                      <w:r w:rsidRPr="00551865">
                        <w:rPr>
                          <w:rFonts w:ascii="Verdana" w:hAnsi="Verdana"/>
                        </w:rPr>
                        <w:t xml:space="preserve">While information was shared between mental health services, there was a lack of information sharing across the service system, in particular with the school, and no one took a lead role to ensure service coordination and integration. </w:t>
                      </w:r>
                    </w:p>
                    <w:p w:rsidR="00642088" w:rsidRPr="00551865" w:rsidRDefault="00642088" w:rsidP="00D13C5D">
                      <w:pPr>
                        <w:pStyle w:val="WOVGbody"/>
                        <w:rPr>
                          <w:rFonts w:ascii="Verdana" w:hAnsi="Verdana"/>
                        </w:rPr>
                      </w:pPr>
                      <w:r w:rsidRPr="00551865">
                        <w:rPr>
                          <w:rFonts w:ascii="Verdana" w:hAnsi="Verdana"/>
                        </w:rPr>
                        <w:t>Real-time information to provide a contemporaneous picture of O’s mental and physical health was not</w:t>
                      </w:r>
                      <w:r>
                        <w:rPr>
                          <w:rFonts w:ascii="Verdana" w:hAnsi="Verdana"/>
                        </w:rPr>
                        <w:t xml:space="preserve"> available</w:t>
                      </w:r>
                      <w:r w:rsidRPr="00551865">
                        <w:rPr>
                          <w:rFonts w:ascii="Verdana" w:hAnsi="Verdana"/>
                        </w:rPr>
                        <w:t xml:space="preserve">. </w:t>
                      </w:r>
                    </w:p>
                  </w:txbxContent>
                </v:textbox>
                <w10:anchorlock/>
              </v:shape>
            </w:pict>
          </mc:Fallback>
        </mc:AlternateContent>
      </w:r>
    </w:p>
    <w:p w:rsidR="00ED6F1C" w:rsidRPr="00C3536B" w:rsidRDefault="00F4341A" w:rsidP="00C3536B">
      <w:pPr>
        <w:pStyle w:val="Heading3"/>
        <w:rPr>
          <w:rFonts w:ascii="Verdana" w:hAnsi="Verdana"/>
        </w:rPr>
      </w:pPr>
      <w:r>
        <w:rPr>
          <w:rFonts w:ascii="Verdana" w:hAnsi="Verdana"/>
        </w:rPr>
        <w:t>Continued absence of information sharing</w:t>
      </w:r>
      <w:r w:rsidR="00C3536B" w:rsidRPr="00C3536B">
        <w:rPr>
          <w:rFonts w:ascii="Verdana" w:hAnsi="Verdana"/>
        </w:rPr>
        <w:t xml:space="preserve"> will reinforce an over-reliance on acute and statutory services</w:t>
      </w:r>
    </w:p>
    <w:p w:rsidR="0052775A" w:rsidRDefault="00C3536B" w:rsidP="00771A10">
      <w:pPr>
        <w:pStyle w:val="WOVGbody"/>
        <w:rPr>
          <w:rFonts w:ascii="Verdana" w:hAnsi="Verdana"/>
        </w:rPr>
      </w:pPr>
      <w:r w:rsidRPr="00C3536B">
        <w:rPr>
          <w:rFonts w:ascii="Verdana" w:hAnsi="Verdana"/>
        </w:rPr>
        <w:t xml:space="preserve">Under current privacy and other laws, it can at times be difficult for organisations to share information lawfully unless it is necessary to prevent a serious threat to a person’s life or safety. Consequently, information is often shared when harm has already occurred or when the risk of harm is </w:t>
      </w:r>
      <w:r w:rsidR="00335FAE">
        <w:rPr>
          <w:rFonts w:ascii="Verdana" w:hAnsi="Verdana"/>
        </w:rPr>
        <w:t xml:space="preserve">considered </w:t>
      </w:r>
      <w:r w:rsidRPr="00C3536B">
        <w:rPr>
          <w:rFonts w:ascii="Verdana" w:hAnsi="Verdana"/>
        </w:rPr>
        <w:t xml:space="preserve">high. Information is less likely to be shared before </w:t>
      </w:r>
      <w:r w:rsidR="00F0581A">
        <w:rPr>
          <w:rFonts w:ascii="Verdana" w:hAnsi="Verdana"/>
        </w:rPr>
        <w:t>the risk of harm becomes acute</w:t>
      </w:r>
      <w:r w:rsidR="00981E0F">
        <w:rPr>
          <w:rFonts w:ascii="Verdana" w:hAnsi="Verdana"/>
        </w:rPr>
        <w:t xml:space="preserve">. Even in cases where information </w:t>
      </w:r>
      <w:r w:rsidR="001D096D">
        <w:rPr>
          <w:rFonts w:ascii="Verdana" w:hAnsi="Verdana"/>
        </w:rPr>
        <w:t>has been</w:t>
      </w:r>
      <w:r w:rsidR="00981E0F">
        <w:rPr>
          <w:rFonts w:ascii="Verdana" w:hAnsi="Verdana"/>
        </w:rPr>
        <w:t xml:space="preserve"> shared before the risk of harm becomes acute, it is likely to be shared through the provisions of existing legislation and with services that are not equipped to provide early intervention and support</w:t>
      </w:r>
      <w:r w:rsidR="00F0581A">
        <w:rPr>
          <w:rFonts w:ascii="Verdana" w:hAnsi="Verdana"/>
        </w:rPr>
        <w:t>.</w:t>
      </w:r>
      <w:r w:rsidR="00335FAE">
        <w:rPr>
          <w:rFonts w:ascii="Verdana" w:hAnsi="Verdana"/>
        </w:rPr>
        <w:t xml:space="preserve"> </w:t>
      </w:r>
      <w:r w:rsidRPr="00C3536B">
        <w:rPr>
          <w:rFonts w:ascii="Verdana" w:hAnsi="Verdana"/>
        </w:rPr>
        <w:t>This adds pressure to Child Pro</w:t>
      </w:r>
      <w:r w:rsidR="00553B8D">
        <w:rPr>
          <w:rFonts w:ascii="Verdana" w:hAnsi="Verdana"/>
        </w:rPr>
        <w:t>tection and Child FIRST systems, and a</w:t>
      </w:r>
      <w:r w:rsidRPr="00C3536B">
        <w:rPr>
          <w:rFonts w:ascii="Verdana" w:hAnsi="Verdana"/>
        </w:rPr>
        <w:t xml:space="preserve">n opportunity to share information earlier </w:t>
      </w:r>
      <w:r w:rsidR="00981E0F">
        <w:rPr>
          <w:rFonts w:ascii="Verdana" w:hAnsi="Verdana"/>
        </w:rPr>
        <w:t xml:space="preserve">with other service providers </w:t>
      </w:r>
      <w:r w:rsidRPr="00C3536B">
        <w:rPr>
          <w:rFonts w:ascii="Verdana" w:hAnsi="Verdana"/>
        </w:rPr>
        <w:t>to prevent issues from escalating is missed</w:t>
      </w:r>
      <w:r w:rsidR="00FB3CA0">
        <w:rPr>
          <w:rFonts w:ascii="Verdana" w:hAnsi="Verdana"/>
        </w:rPr>
        <w:t>. This situation is</w:t>
      </w:r>
      <w:r w:rsidR="00DE4957">
        <w:rPr>
          <w:rFonts w:ascii="Verdana" w:hAnsi="Verdana"/>
        </w:rPr>
        <w:t xml:space="preserve"> </w:t>
      </w:r>
      <w:r w:rsidRPr="00C3536B">
        <w:rPr>
          <w:rFonts w:ascii="Verdana" w:hAnsi="Verdana"/>
        </w:rPr>
        <w:t>at odds with the Victorian Government’s priority to assist families before they reach a crisis point</w:t>
      </w:r>
      <w:r w:rsidR="00F246DA">
        <w:rPr>
          <w:rStyle w:val="FootnoteReference"/>
          <w:rFonts w:ascii="Verdana" w:hAnsi="Verdana"/>
        </w:rPr>
        <w:footnoteReference w:id="16"/>
      </w:r>
      <w:r w:rsidRPr="00C3536B">
        <w:rPr>
          <w:rFonts w:ascii="Verdana" w:hAnsi="Verdana"/>
        </w:rPr>
        <w:t>, which recognises the cost of Child Protection and the failings that arise if there is an over-reliance on the Child Protection system</w:t>
      </w:r>
      <w:r w:rsidR="005B4D34">
        <w:rPr>
          <w:rFonts w:ascii="Verdana" w:hAnsi="Verdana"/>
        </w:rPr>
        <w:t>.</w:t>
      </w:r>
      <w:r w:rsidR="00F246DA">
        <w:rPr>
          <w:rStyle w:val="FootnoteReference"/>
          <w:rFonts w:ascii="Verdana" w:hAnsi="Verdana"/>
        </w:rPr>
        <w:footnoteReference w:id="17"/>
      </w:r>
      <w:r w:rsidRPr="00C3536B">
        <w:rPr>
          <w:rFonts w:ascii="Verdana" w:hAnsi="Verdana"/>
        </w:rPr>
        <w:t xml:space="preserve"> It is also costlier, as prevention requires less resources than acute and/or statutory intervention</w:t>
      </w:r>
      <w:r w:rsidR="005B4D34">
        <w:rPr>
          <w:rFonts w:ascii="Verdana" w:hAnsi="Verdana"/>
        </w:rPr>
        <w:t>.</w:t>
      </w:r>
      <w:r w:rsidR="004C5594">
        <w:rPr>
          <w:rStyle w:val="FootnoteReference"/>
          <w:rFonts w:ascii="Verdana" w:hAnsi="Verdana"/>
        </w:rPr>
        <w:footnoteReference w:id="18"/>
      </w:r>
      <w:r w:rsidRPr="00C3536B">
        <w:rPr>
          <w:rFonts w:ascii="Verdana" w:hAnsi="Verdana"/>
        </w:rPr>
        <w:t xml:space="preserve"> Further, the </w:t>
      </w:r>
      <w:r w:rsidRPr="00C3536B">
        <w:rPr>
          <w:rFonts w:ascii="Verdana" w:hAnsi="Verdana"/>
        </w:rPr>
        <w:lastRenderedPageBreak/>
        <w:t>highest return possible is from investment in children in the early years, and this is highest for children experiencing the greatest socio-economic disadvantage</w:t>
      </w:r>
      <w:r w:rsidR="005B4D34">
        <w:rPr>
          <w:rFonts w:ascii="Verdana" w:hAnsi="Verdana"/>
        </w:rPr>
        <w:t>.</w:t>
      </w:r>
      <w:r w:rsidR="00F246DA">
        <w:rPr>
          <w:rStyle w:val="FootnoteReference"/>
          <w:rFonts w:ascii="Verdana" w:hAnsi="Verdana"/>
        </w:rPr>
        <w:footnoteReference w:id="19"/>
      </w:r>
      <w:r w:rsidR="00771A10">
        <w:rPr>
          <w:rFonts w:ascii="Verdana" w:hAnsi="Verdana"/>
        </w:rPr>
        <w:t xml:space="preserve"> Importantly, the impacts of not sharing information can be significant well before there is a threat to life, as in the case of David</w:t>
      </w:r>
      <w:r w:rsidR="005B4D34">
        <w:rPr>
          <w:rFonts w:ascii="Verdana" w:hAnsi="Verdana"/>
        </w:rPr>
        <w:t>.</w:t>
      </w:r>
      <w:r w:rsidR="00387864">
        <w:rPr>
          <w:rStyle w:val="FootnoteReference"/>
          <w:rFonts w:ascii="Verdana" w:hAnsi="Verdana"/>
        </w:rPr>
        <w:footnoteReference w:id="20"/>
      </w:r>
      <w:r w:rsidR="0052775A">
        <w:rPr>
          <w:rFonts w:ascii="Verdana" w:hAnsi="Verdana"/>
        </w:rPr>
        <w:br/>
      </w:r>
    </w:p>
    <w:p w:rsidR="00C3536B" w:rsidRPr="00C3536B" w:rsidRDefault="00771A10" w:rsidP="00C3536B">
      <w:pPr>
        <w:rPr>
          <w:rFonts w:ascii="Verdana" w:eastAsia="Times" w:hAnsi="Verdana"/>
        </w:rPr>
      </w:pPr>
      <w:r>
        <w:rPr>
          <w:noProof/>
          <w:lang w:eastAsia="en-AU"/>
        </w:rPr>
        <mc:AlternateContent>
          <mc:Choice Requires="wps">
            <w:drawing>
              <wp:inline distT="0" distB="0" distL="0" distR="0" wp14:anchorId="37B13657" wp14:editId="2118B737">
                <wp:extent cx="5904230" cy="5048250"/>
                <wp:effectExtent l="0" t="0" r="2032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5048250"/>
                        </a:xfrm>
                        <a:prstGeom prst="rect">
                          <a:avLst/>
                        </a:prstGeom>
                        <a:solidFill>
                          <a:srgbClr val="FFFFFF"/>
                        </a:solidFill>
                        <a:ln w="19050">
                          <a:solidFill>
                            <a:schemeClr val="accent3"/>
                          </a:solidFill>
                          <a:miter lim="800000"/>
                          <a:headEnd/>
                          <a:tailEnd/>
                        </a:ln>
                      </wps:spPr>
                      <wps:txbx>
                        <w:txbxContent>
                          <w:p w:rsidR="00642088" w:rsidRPr="00551865" w:rsidRDefault="00642088" w:rsidP="00551865">
                            <w:pPr>
                              <w:pStyle w:val="WOVGbody"/>
                              <w:rPr>
                                <w:rFonts w:ascii="Verdana" w:hAnsi="Verdana"/>
                                <w:b/>
                              </w:rPr>
                            </w:pPr>
                            <w:r w:rsidRPr="00551865">
                              <w:rPr>
                                <w:rFonts w:ascii="Verdana" w:hAnsi="Verdana"/>
                                <w:b/>
                              </w:rPr>
                              <w:t>Case study: David</w:t>
                            </w:r>
                          </w:p>
                          <w:p w:rsidR="00642088" w:rsidRPr="00551865" w:rsidRDefault="00642088" w:rsidP="00551865">
                            <w:pPr>
                              <w:pStyle w:val="WOVGbody"/>
                              <w:rPr>
                                <w:rFonts w:ascii="Verdana" w:hAnsi="Verdana"/>
                              </w:rPr>
                            </w:pPr>
                            <w:r w:rsidRPr="00551865">
                              <w:rPr>
                                <w:rFonts w:ascii="Verdana" w:hAnsi="Verdana"/>
                              </w:rPr>
                              <w:t xml:space="preserve">Sally was the Assistant Principal at a suburban primary school. David enrolled at the school after recently moving into the area. His mother and father met with Sally and outlined David’s serious, chronic health issue. They told Sally this results in frequent absences from school, but that he was very excited to be attending his new school.  </w:t>
                            </w:r>
                          </w:p>
                          <w:p w:rsidR="00642088" w:rsidRPr="00551865" w:rsidRDefault="00642088" w:rsidP="00551865">
                            <w:pPr>
                              <w:pStyle w:val="WOVGbody"/>
                              <w:rPr>
                                <w:rFonts w:ascii="Verdana" w:hAnsi="Verdana"/>
                              </w:rPr>
                            </w:pPr>
                            <w:r w:rsidRPr="00551865">
                              <w:rPr>
                                <w:rFonts w:ascii="Verdana" w:hAnsi="Verdana"/>
                              </w:rPr>
                              <w:t>David began in Year 6 and made connections with his teachers and other students quickly. His attendance was good but his academic level was extremely low. Sally tried to contact David’s parents to set up a Student Support Group meeting to develop an Individual Education Plan, but was unable to reach them.</w:t>
                            </w:r>
                          </w:p>
                          <w:p w:rsidR="00642088" w:rsidRPr="00551865" w:rsidRDefault="00642088" w:rsidP="00551865">
                            <w:pPr>
                              <w:pStyle w:val="WOVGbody"/>
                              <w:rPr>
                                <w:rFonts w:ascii="Verdana" w:hAnsi="Verdana"/>
                              </w:rPr>
                            </w:pPr>
                            <w:r w:rsidRPr="00551865">
                              <w:rPr>
                                <w:rFonts w:ascii="Verdana" w:hAnsi="Verdana"/>
                              </w:rPr>
                              <w:t>David’s mother began to take David home early from school, picking him up during class time. David seemed upset by this and was not happy to leave. David’s mother exhibited erratic behaviour and seemed under the influence of alcohol when she picked him up. David’s attendance began to decline significantly and he started to be absent from school 2-3 days a week. He was seen wandering around the local shopping centre during school times, sometimes with older children and sometimes with his mother.</w:t>
                            </w:r>
                          </w:p>
                          <w:p w:rsidR="00642088" w:rsidRPr="00551865" w:rsidRDefault="00642088" w:rsidP="00551865">
                            <w:pPr>
                              <w:pStyle w:val="WOVGbody"/>
                              <w:rPr>
                                <w:rFonts w:ascii="Verdana" w:hAnsi="Verdana"/>
                              </w:rPr>
                            </w:pPr>
                            <w:r w:rsidRPr="00551865">
                              <w:rPr>
                                <w:rFonts w:ascii="Verdana" w:hAnsi="Verdana"/>
                              </w:rPr>
                              <w:t xml:space="preserve">Having made a series of attempts to connect with the family, Sally contacted Child Protection (CP) to report her concerns about David. CP advised his case did not meet their criteria for intake. However, after a number of calls to CP, </w:t>
                            </w:r>
                            <w:r>
                              <w:rPr>
                                <w:rFonts w:ascii="Verdana" w:hAnsi="Verdana"/>
                              </w:rPr>
                              <w:t>CP</w:t>
                            </w:r>
                            <w:r w:rsidRPr="00551865">
                              <w:rPr>
                                <w:rFonts w:ascii="Verdana" w:hAnsi="Verdana"/>
                              </w:rPr>
                              <w:t xml:space="preserve"> acknowledged a history of reports about David, and that they had referred him to a Child FIRST service and he had been allocated a case manager by this service. Unfortunately, without a contact person in the very large service they mentioned, the school was unable to find David’s case manager.</w:t>
                            </w:r>
                          </w:p>
                          <w:p w:rsidR="00642088" w:rsidRPr="00551865" w:rsidRDefault="00642088" w:rsidP="00551865">
                            <w:pPr>
                              <w:pStyle w:val="WOVGbody"/>
                              <w:rPr>
                                <w:rFonts w:ascii="Verdana" w:hAnsi="Verdana"/>
                              </w:rPr>
                            </w:pPr>
                            <w:r w:rsidRPr="00551865">
                              <w:rPr>
                                <w:rFonts w:ascii="Verdana" w:eastAsia="Times New Roman" w:hAnsi="Verdana"/>
                              </w:rPr>
                              <w:t>The school made a report to the Police to initiate a child safety check, and continued their attempt to connect with his parents, but at last report, David’s absences increased to the point where he had been absent for a whole term.</w:t>
                            </w:r>
                          </w:p>
                          <w:p w:rsidR="00642088" w:rsidRPr="00F4341A" w:rsidRDefault="00642088" w:rsidP="00771A10">
                            <w:pPr>
                              <w:rPr>
                                <w:rFonts w:ascii="Verdana" w:hAnsi="Verdana"/>
                              </w:rPr>
                            </w:pPr>
                          </w:p>
                        </w:txbxContent>
                      </wps:txbx>
                      <wps:bodyPr rot="0" vert="horz" wrap="square" lIns="91440" tIns="45720" rIns="91440" bIns="45720" anchor="t" anchorCtr="0">
                        <a:noAutofit/>
                      </wps:bodyPr>
                    </wps:wsp>
                  </a:graphicData>
                </a:graphic>
              </wp:inline>
            </w:drawing>
          </mc:Choice>
          <mc:Fallback>
            <w:pict>
              <v:shape w14:anchorId="37B13657" id="Text Box 1" o:spid="_x0000_s1029" type="#_x0000_t202" style="width:464.9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" strokecolor="#c5511a [3206]" strokeweight="1.5pt">
                <v:textbox>
                  <w:txbxContent>
                    <w:p w:rsidR="00642088" w:rsidRPr="00551865" w:rsidRDefault="00642088" w:rsidP="00551865">
                      <w:pPr>
                        <w:pStyle w:val="WOVGbody"/>
                        <w:rPr>
                          <w:rFonts w:ascii="Verdana" w:hAnsi="Verdana"/>
                          <w:b/>
                        </w:rPr>
                      </w:pPr>
                      <w:r w:rsidRPr="00551865">
                        <w:rPr>
                          <w:rFonts w:ascii="Verdana" w:hAnsi="Verdana"/>
                          <w:b/>
                        </w:rPr>
                        <w:t>Case study: David</w:t>
                      </w:r>
                    </w:p>
                    <w:p w:rsidR="00642088" w:rsidRPr="00551865" w:rsidRDefault="00642088" w:rsidP="00551865">
                      <w:pPr>
                        <w:pStyle w:val="WOVGbody"/>
                        <w:rPr>
                          <w:rFonts w:ascii="Verdana" w:hAnsi="Verdana"/>
                        </w:rPr>
                      </w:pPr>
                      <w:r w:rsidRPr="00551865">
                        <w:rPr>
                          <w:rFonts w:ascii="Verdana" w:hAnsi="Verdana"/>
                        </w:rPr>
                        <w:t xml:space="preserve">Sally was the Assistant Principal at a suburban primary school. David enrolled at the school after recently moving into the area. His mother and father met with Sally and outlined David’s serious, chronic health issue. They told Sally this results in frequent absences from school, but that he was very excited to be attending his new school.  </w:t>
                      </w:r>
                    </w:p>
                    <w:p w:rsidR="00642088" w:rsidRPr="00551865" w:rsidRDefault="00642088" w:rsidP="00551865">
                      <w:pPr>
                        <w:pStyle w:val="WOVGbody"/>
                        <w:rPr>
                          <w:rFonts w:ascii="Verdana" w:hAnsi="Verdana"/>
                        </w:rPr>
                      </w:pPr>
                      <w:r w:rsidRPr="00551865">
                        <w:rPr>
                          <w:rFonts w:ascii="Verdana" w:hAnsi="Verdana"/>
                        </w:rPr>
                        <w:t>David began in Year 6 and made connections with his teachers and other students quickly. His attendance was good but his academic level was extremely low. Sally tried to contact David’s parents to set up a Student Support Group meeting to develop an Individual Education Plan, but was unable to reach them.</w:t>
                      </w:r>
                    </w:p>
                    <w:p w:rsidR="00642088" w:rsidRPr="00551865" w:rsidRDefault="00642088" w:rsidP="00551865">
                      <w:pPr>
                        <w:pStyle w:val="WOVGbody"/>
                        <w:rPr>
                          <w:rFonts w:ascii="Verdana" w:hAnsi="Verdana"/>
                        </w:rPr>
                      </w:pPr>
                      <w:r w:rsidRPr="00551865">
                        <w:rPr>
                          <w:rFonts w:ascii="Verdana" w:hAnsi="Verdana"/>
                        </w:rPr>
                        <w:t>David’s mother began to take David home early from school, picking him up during class time. David seemed upset by this and was not happy to leave. David’s mother exhibited erratic behaviour and seemed under the influence of alcohol when she picked him up. David’s attendance began to decline significantly and he started to be absent from school 2-3 days a week. He was seen wandering around the local shopping centre during school times, sometimes with older children and sometimes with his mother.</w:t>
                      </w:r>
                    </w:p>
                    <w:p w:rsidR="00642088" w:rsidRPr="00551865" w:rsidRDefault="00642088" w:rsidP="00551865">
                      <w:pPr>
                        <w:pStyle w:val="WOVGbody"/>
                        <w:rPr>
                          <w:rFonts w:ascii="Verdana" w:hAnsi="Verdana"/>
                        </w:rPr>
                      </w:pPr>
                      <w:r w:rsidRPr="00551865">
                        <w:rPr>
                          <w:rFonts w:ascii="Verdana" w:hAnsi="Verdana"/>
                        </w:rPr>
                        <w:t xml:space="preserve">Having made a series of attempts to connect with the family, Sally contacted Child Protection (CP) to report her concerns about David. CP advised his case did not meet their criteria for intake. However, after a number of calls to CP, </w:t>
                      </w:r>
                      <w:r>
                        <w:rPr>
                          <w:rFonts w:ascii="Verdana" w:hAnsi="Verdana"/>
                        </w:rPr>
                        <w:t>CP</w:t>
                      </w:r>
                      <w:r w:rsidRPr="00551865">
                        <w:rPr>
                          <w:rFonts w:ascii="Verdana" w:hAnsi="Verdana"/>
                        </w:rPr>
                        <w:t xml:space="preserve"> acknowledged a history of reports about David, and that they had referred him to a Child FIRST service and he had been allocated a case manager by this service. Unfortunately, without a contact person in the very large service they mentioned, the school was unable to find David’s case manager.</w:t>
                      </w:r>
                    </w:p>
                    <w:p w:rsidR="00642088" w:rsidRPr="00551865" w:rsidRDefault="00642088" w:rsidP="00551865">
                      <w:pPr>
                        <w:pStyle w:val="WOVGbody"/>
                        <w:rPr>
                          <w:rFonts w:ascii="Verdana" w:hAnsi="Verdana"/>
                        </w:rPr>
                      </w:pPr>
                      <w:r w:rsidRPr="00551865">
                        <w:rPr>
                          <w:rFonts w:ascii="Verdana" w:eastAsia="Times New Roman" w:hAnsi="Verdana"/>
                        </w:rPr>
                        <w:t>The school made a report to the Police to initiate a child safety check, and continued their attempt to connect with his parents, but at last report, David’s absences increased to the point where he had been absent for a whole term.</w:t>
                      </w:r>
                    </w:p>
                    <w:p w:rsidR="00642088" w:rsidRPr="00F4341A" w:rsidRDefault="00642088" w:rsidP="00771A10">
                      <w:pPr>
                        <w:rPr>
                          <w:rFonts w:ascii="Verdana" w:hAnsi="Verdana"/>
                        </w:rPr>
                      </w:pPr>
                    </w:p>
                  </w:txbxContent>
                </v:textbox>
                <w10:anchorlock/>
              </v:shape>
            </w:pict>
          </mc:Fallback>
        </mc:AlternateContent>
      </w:r>
    </w:p>
    <w:p w:rsidR="00C3536B" w:rsidRPr="007067BB" w:rsidRDefault="00F246DA" w:rsidP="00F246DA">
      <w:pPr>
        <w:pStyle w:val="Heading2"/>
        <w:rPr>
          <w:rFonts w:ascii="Verdana" w:hAnsi="Verdana"/>
        </w:rPr>
      </w:pPr>
      <w:bookmarkStart w:id="16" w:name="_Toc23510763"/>
      <w:r w:rsidRPr="007067BB">
        <w:rPr>
          <w:rFonts w:ascii="Verdana" w:hAnsi="Verdana"/>
        </w:rPr>
        <w:t>The absence of regulation will lead to inconsistent information sharing practices between service providers</w:t>
      </w:r>
      <w:bookmarkEnd w:id="16"/>
    </w:p>
    <w:p w:rsidR="00F0187F" w:rsidRPr="007067BB" w:rsidRDefault="00F0187F" w:rsidP="00F0187F">
      <w:pPr>
        <w:pStyle w:val="WOVGbody"/>
        <w:rPr>
          <w:rFonts w:ascii="Verdana" w:hAnsi="Verdana"/>
          <w:b/>
        </w:rPr>
      </w:pPr>
      <w:r w:rsidRPr="007067BB">
        <w:rPr>
          <w:rFonts w:ascii="Verdana" w:hAnsi="Verdana"/>
          <w:b/>
        </w:rPr>
        <w:t>In the absence of the</w:t>
      </w:r>
      <w:r w:rsidR="00E9516F">
        <w:rPr>
          <w:rFonts w:ascii="Verdana" w:hAnsi="Verdana"/>
          <w:b/>
        </w:rPr>
        <w:t xml:space="preserve"> </w:t>
      </w:r>
      <w:r w:rsidR="0009505E">
        <w:rPr>
          <w:rFonts w:ascii="Verdana" w:hAnsi="Verdana"/>
          <w:b/>
        </w:rPr>
        <w:t xml:space="preserve">proposed </w:t>
      </w:r>
      <w:r w:rsidR="00E9516F">
        <w:rPr>
          <w:rFonts w:ascii="Verdana" w:hAnsi="Verdana"/>
          <w:b/>
        </w:rPr>
        <w:t>Amendment</w:t>
      </w:r>
      <w:r w:rsidRPr="007067BB">
        <w:rPr>
          <w:rFonts w:ascii="Verdana" w:hAnsi="Verdana"/>
          <w:b/>
        </w:rPr>
        <w:t xml:space="preserve"> Regulations, no additional services will be authorised to share information under the CIS Scheme and the operation of the scheme will be limited to its current prescription of services.</w:t>
      </w:r>
    </w:p>
    <w:p w:rsidR="00F0187F" w:rsidRPr="007067BB" w:rsidRDefault="00F0187F" w:rsidP="00F0187F">
      <w:pPr>
        <w:pStyle w:val="WOVGbody"/>
        <w:rPr>
          <w:rFonts w:ascii="Verdana" w:hAnsi="Verdana"/>
        </w:rPr>
      </w:pPr>
      <w:r w:rsidRPr="007067BB">
        <w:rPr>
          <w:rFonts w:ascii="Verdana" w:hAnsi="Verdana"/>
        </w:rPr>
        <w:t xml:space="preserve">The Act itself does not specify which services can share confidential information to promote child wellbeing or safety. Rather, the Act provides that the </w:t>
      </w:r>
      <w:r w:rsidR="007067BB">
        <w:rPr>
          <w:rFonts w:ascii="Verdana" w:hAnsi="Verdana"/>
        </w:rPr>
        <w:t>services</w:t>
      </w:r>
      <w:r w:rsidRPr="007067BB">
        <w:rPr>
          <w:rFonts w:ascii="Verdana" w:hAnsi="Verdana"/>
        </w:rPr>
        <w:t xml:space="preserve"> that are permitted to share information under the CIS Scheme must be prescribed by regulation.</w:t>
      </w:r>
    </w:p>
    <w:p w:rsidR="00D272DA" w:rsidRDefault="00F0187F" w:rsidP="0069025C">
      <w:pPr>
        <w:pStyle w:val="WOVGbody"/>
        <w:rPr>
          <w:rFonts w:ascii="Verdana" w:hAnsi="Verdana"/>
        </w:rPr>
      </w:pPr>
      <w:r w:rsidRPr="007067BB">
        <w:rPr>
          <w:rFonts w:ascii="Verdana" w:hAnsi="Verdana"/>
        </w:rPr>
        <w:t xml:space="preserve">Without the proposed </w:t>
      </w:r>
      <w:r w:rsidR="00E9516F">
        <w:rPr>
          <w:rFonts w:ascii="Verdana" w:hAnsi="Verdana"/>
        </w:rPr>
        <w:t>Amendment</w:t>
      </w:r>
      <w:r w:rsidRPr="007067BB">
        <w:rPr>
          <w:rFonts w:ascii="Verdana" w:hAnsi="Verdana"/>
        </w:rPr>
        <w:t xml:space="preserve"> Regulations </w:t>
      </w:r>
      <w:r w:rsidR="007067BB" w:rsidRPr="007067BB">
        <w:rPr>
          <w:rFonts w:ascii="Verdana" w:hAnsi="Verdana"/>
        </w:rPr>
        <w:t xml:space="preserve">no additional services will be permitted to share information in </w:t>
      </w:r>
      <w:r w:rsidR="00362BA8">
        <w:rPr>
          <w:rFonts w:ascii="Verdana" w:hAnsi="Verdana"/>
        </w:rPr>
        <w:t>accordance with the CI</w:t>
      </w:r>
      <w:r w:rsidR="00D41FBF">
        <w:rPr>
          <w:rFonts w:ascii="Verdana" w:hAnsi="Verdana"/>
        </w:rPr>
        <w:t>S Scheme, and prescription will</w:t>
      </w:r>
      <w:r w:rsidR="00362BA8">
        <w:rPr>
          <w:rFonts w:ascii="Verdana" w:hAnsi="Verdana"/>
        </w:rPr>
        <w:t xml:space="preserve"> be limited to </w:t>
      </w:r>
      <w:r w:rsidR="00362BA8">
        <w:rPr>
          <w:rFonts w:ascii="Verdana" w:hAnsi="Verdana"/>
        </w:rPr>
        <w:lastRenderedPageBreak/>
        <w:t xml:space="preserve">secondary and tertiary services prescribed in Phase One of the scheme. </w:t>
      </w:r>
      <w:r w:rsidR="007067BB" w:rsidRPr="007067BB">
        <w:rPr>
          <w:rFonts w:ascii="Verdana" w:hAnsi="Verdana"/>
        </w:rPr>
        <w:t xml:space="preserve">Consequently the Act will not </w:t>
      </w:r>
      <w:r w:rsidR="00362BA8">
        <w:rPr>
          <w:rFonts w:ascii="Verdana" w:hAnsi="Verdana"/>
        </w:rPr>
        <w:t xml:space="preserve">fully </w:t>
      </w:r>
      <w:r w:rsidR="007067BB" w:rsidRPr="007067BB">
        <w:rPr>
          <w:rFonts w:ascii="Verdana" w:hAnsi="Verdana"/>
        </w:rPr>
        <w:t xml:space="preserve">overcome the problems described above and </w:t>
      </w:r>
      <w:r w:rsidR="00362BA8">
        <w:rPr>
          <w:rFonts w:ascii="Verdana" w:hAnsi="Verdana"/>
        </w:rPr>
        <w:t xml:space="preserve">cannot </w:t>
      </w:r>
      <w:r w:rsidR="007067BB" w:rsidRPr="007067BB">
        <w:rPr>
          <w:rFonts w:ascii="Verdana" w:hAnsi="Verdana"/>
        </w:rPr>
        <w:t>realise the objectives of the CIS</w:t>
      </w:r>
      <w:r w:rsidR="00C650B2">
        <w:rPr>
          <w:rFonts w:ascii="Verdana" w:hAnsi="Verdana"/>
        </w:rPr>
        <w:t xml:space="preserve"> Scheme described in the following chapter</w:t>
      </w:r>
      <w:r w:rsidR="007067BB" w:rsidRPr="007067BB">
        <w:rPr>
          <w:rFonts w:ascii="Verdana" w:hAnsi="Verdana"/>
        </w:rPr>
        <w:t>. There are</w:t>
      </w:r>
      <w:r w:rsidR="007067BB">
        <w:rPr>
          <w:rFonts w:ascii="Verdana" w:hAnsi="Verdana"/>
        </w:rPr>
        <w:t xml:space="preserve">, however, a </w:t>
      </w:r>
      <w:r w:rsidR="007067BB" w:rsidRPr="007067BB">
        <w:rPr>
          <w:rFonts w:ascii="Verdana" w:hAnsi="Verdana"/>
        </w:rPr>
        <w:t>n</w:t>
      </w:r>
      <w:r w:rsidR="007067BB">
        <w:rPr>
          <w:rFonts w:ascii="Verdana" w:hAnsi="Verdana"/>
        </w:rPr>
        <w:t>u</w:t>
      </w:r>
      <w:r w:rsidR="00D41FBF">
        <w:rPr>
          <w:rFonts w:ascii="Verdana" w:hAnsi="Verdana"/>
        </w:rPr>
        <w:t>mber of possible approaches to</w:t>
      </w:r>
      <w:r w:rsidR="007067BB" w:rsidRPr="007067BB">
        <w:rPr>
          <w:rFonts w:ascii="Verdana" w:hAnsi="Verdana"/>
        </w:rPr>
        <w:t xml:space="preserve"> defining the scope of prescribed </w:t>
      </w:r>
      <w:r w:rsidR="005E3D4C">
        <w:rPr>
          <w:rFonts w:ascii="Verdana" w:hAnsi="Verdana"/>
        </w:rPr>
        <w:t>ISEs</w:t>
      </w:r>
      <w:r w:rsidR="00C650B2">
        <w:rPr>
          <w:rFonts w:ascii="Verdana" w:hAnsi="Verdana"/>
        </w:rPr>
        <w:t>, as discuss in Chapter 4</w:t>
      </w:r>
      <w:r w:rsidR="007067BB" w:rsidRPr="007067BB">
        <w:rPr>
          <w:rFonts w:ascii="Verdana" w:hAnsi="Verdana"/>
        </w:rPr>
        <w:t>, Options.</w:t>
      </w:r>
    </w:p>
    <w:p w:rsidR="00D272DA" w:rsidRDefault="00D272DA">
      <w:pPr>
        <w:rPr>
          <w:rFonts w:ascii="Verdana" w:eastAsia="Times" w:hAnsi="Verdana"/>
        </w:rPr>
      </w:pPr>
      <w:r>
        <w:rPr>
          <w:rFonts w:ascii="Verdana" w:hAnsi="Verdana"/>
        </w:rPr>
        <w:br w:type="page"/>
      </w:r>
    </w:p>
    <w:p w:rsidR="001A270C" w:rsidRPr="00D94ADF" w:rsidRDefault="001A270C" w:rsidP="00FE48EB">
      <w:pPr>
        <w:pStyle w:val="Heading1"/>
        <w:ind w:left="284"/>
        <w:rPr>
          <w:rFonts w:ascii="Verdana" w:hAnsi="Verdana"/>
        </w:rPr>
      </w:pPr>
      <w:bookmarkStart w:id="17" w:name="_Toc23510764"/>
      <w:r w:rsidRPr="00D94ADF">
        <w:rPr>
          <w:rFonts w:ascii="Verdana" w:hAnsi="Verdana"/>
        </w:rPr>
        <w:lastRenderedPageBreak/>
        <w:t>Objectives</w:t>
      </w:r>
      <w:bookmarkEnd w:id="17"/>
    </w:p>
    <w:p w:rsidR="001A270C" w:rsidRPr="00D94ADF" w:rsidRDefault="001A270C" w:rsidP="001A270C">
      <w:pPr>
        <w:pStyle w:val="Heading2"/>
        <w:rPr>
          <w:rFonts w:ascii="Verdana" w:hAnsi="Verdana"/>
        </w:rPr>
      </w:pPr>
      <w:bookmarkStart w:id="18" w:name="_Toc23510765"/>
      <w:r w:rsidRPr="00D94ADF">
        <w:rPr>
          <w:rFonts w:ascii="Verdana" w:hAnsi="Verdana"/>
        </w:rPr>
        <w:t>Objectives of the CIS Scheme</w:t>
      </w:r>
      <w:bookmarkEnd w:id="18"/>
    </w:p>
    <w:p w:rsidR="0057527D" w:rsidRDefault="0057527D" w:rsidP="0057527D">
      <w:pPr>
        <w:pStyle w:val="WOVGbody"/>
        <w:rPr>
          <w:rFonts w:ascii="Verdana" w:hAnsi="Verdana"/>
        </w:rPr>
      </w:pPr>
      <w:r w:rsidRPr="004D7F56">
        <w:rPr>
          <w:rFonts w:ascii="Verdana" w:hAnsi="Verdana"/>
        </w:rPr>
        <w:t xml:space="preserve">The CIS Scheme </w:t>
      </w:r>
      <w:r>
        <w:rPr>
          <w:rFonts w:ascii="Verdana" w:hAnsi="Verdana"/>
        </w:rPr>
        <w:t xml:space="preserve">forms </w:t>
      </w:r>
      <w:r w:rsidRPr="004D7F56">
        <w:rPr>
          <w:rFonts w:ascii="Verdana" w:hAnsi="Verdana"/>
        </w:rPr>
        <w:t xml:space="preserve">part of government’s response to </w:t>
      </w:r>
      <w:r w:rsidR="0052775A">
        <w:rPr>
          <w:rFonts w:ascii="Verdana" w:hAnsi="Verdana"/>
        </w:rPr>
        <w:t xml:space="preserve">the </w:t>
      </w:r>
      <w:r w:rsidRPr="004D7F56">
        <w:rPr>
          <w:rFonts w:ascii="Verdana" w:hAnsi="Verdana"/>
        </w:rPr>
        <w:t xml:space="preserve">Family Violence Royal Commission and the McClellan Royal Commission. The </w:t>
      </w:r>
      <w:r>
        <w:rPr>
          <w:rFonts w:ascii="Verdana" w:hAnsi="Verdana"/>
        </w:rPr>
        <w:t xml:space="preserve">scheme </w:t>
      </w:r>
      <w:r w:rsidRPr="004D7F56">
        <w:rPr>
          <w:rFonts w:ascii="Verdana" w:hAnsi="Verdana"/>
        </w:rPr>
        <w:t>support</w:t>
      </w:r>
      <w:r>
        <w:rPr>
          <w:rFonts w:ascii="Verdana" w:hAnsi="Verdana"/>
        </w:rPr>
        <w:t>s</w:t>
      </w:r>
      <w:r w:rsidRPr="004D7F56">
        <w:rPr>
          <w:rFonts w:ascii="Verdana" w:hAnsi="Verdana"/>
        </w:rPr>
        <w:t xml:space="preserve"> the Victorian Government’s Roadmap for Reform and Education State agenda</w:t>
      </w:r>
      <w:r>
        <w:rPr>
          <w:rFonts w:ascii="Verdana" w:hAnsi="Verdana"/>
        </w:rPr>
        <w:t>s</w:t>
      </w:r>
      <w:r w:rsidRPr="004D7F56">
        <w:rPr>
          <w:rFonts w:ascii="Verdana" w:hAnsi="Verdana"/>
        </w:rPr>
        <w:t xml:space="preserve"> to reorientate the focus of service provision away from a focus on crisis response to place a greater emphasis on early intervention and prevention</w:t>
      </w:r>
      <w:r>
        <w:rPr>
          <w:rFonts w:ascii="Verdana" w:hAnsi="Verdana"/>
        </w:rPr>
        <w:t>, and to breaking the link between disadvantage and student outcomes</w:t>
      </w:r>
      <w:r w:rsidRPr="004D7F56">
        <w:rPr>
          <w:rFonts w:ascii="Verdana" w:hAnsi="Verdana"/>
        </w:rPr>
        <w:t>.</w:t>
      </w:r>
    </w:p>
    <w:p w:rsidR="001A270C" w:rsidRPr="0057527D" w:rsidRDefault="001A270C" w:rsidP="0057527D">
      <w:pPr>
        <w:pStyle w:val="WOVGbody"/>
        <w:rPr>
          <w:rFonts w:ascii="Verdana" w:hAnsi="Verdana"/>
        </w:rPr>
      </w:pPr>
      <w:r w:rsidRPr="0057527D">
        <w:rPr>
          <w:rFonts w:ascii="Verdana" w:hAnsi="Verdana"/>
        </w:rPr>
        <w:t>The CIS Scheme creates a broader and more permissive legislative regime for sharing information to promote child wellbeing and safety across health, education, child, family and community services. The scheme will improve the quality and quantity of information s</w:t>
      </w:r>
      <w:r w:rsidR="0052775A">
        <w:rPr>
          <w:rFonts w:ascii="Verdana" w:hAnsi="Verdana"/>
        </w:rPr>
        <w:t>haring, to ensure that prescribed ISEs</w:t>
      </w:r>
      <w:r w:rsidRPr="0057527D">
        <w:rPr>
          <w:rFonts w:ascii="Verdana" w:hAnsi="Verdana"/>
        </w:rPr>
        <w:t xml:space="preserve"> working with children and families have access to relevant information to promote the wellbeing </w:t>
      </w:r>
      <w:r w:rsidR="0052775A">
        <w:rPr>
          <w:rFonts w:ascii="Verdana" w:hAnsi="Verdana"/>
        </w:rPr>
        <w:t>or</w:t>
      </w:r>
      <w:r w:rsidRPr="0057527D">
        <w:rPr>
          <w:rFonts w:ascii="Verdana" w:hAnsi="Verdana"/>
        </w:rPr>
        <w:t xml:space="preserve"> safety of children. Having access to </w:t>
      </w:r>
      <w:r w:rsidR="002367C7">
        <w:rPr>
          <w:rFonts w:ascii="Verdana" w:hAnsi="Verdana"/>
        </w:rPr>
        <w:t>relevant</w:t>
      </w:r>
      <w:r w:rsidRPr="0057527D">
        <w:rPr>
          <w:rFonts w:ascii="Verdana" w:hAnsi="Verdana"/>
        </w:rPr>
        <w:t xml:space="preserve"> information </w:t>
      </w:r>
      <w:r w:rsidR="002367C7">
        <w:rPr>
          <w:rFonts w:ascii="Verdana" w:hAnsi="Verdana"/>
        </w:rPr>
        <w:t>will</w:t>
      </w:r>
      <w:r w:rsidRPr="0057527D">
        <w:rPr>
          <w:rFonts w:ascii="Verdana" w:hAnsi="Verdana"/>
        </w:rPr>
        <w:t xml:space="preserve"> help services form a more complete picture of the child and </w:t>
      </w:r>
      <w:r w:rsidR="00183EBF">
        <w:rPr>
          <w:rFonts w:ascii="Verdana" w:hAnsi="Verdana"/>
        </w:rPr>
        <w:t>the child’s</w:t>
      </w:r>
      <w:r w:rsidRPr="0057527D">
        <w:rPr>
          <w:rFonts w:ascii="Verdana" w:hAnsi="Verdana"/>
        </w:rPr>
        <w:t xml:space="preserve"> circumstances, enabling the provision of early support, intervention and prevention to vulnerable children and families. Positive outcomes for children will, to the extent necessary, be prioritised over an</w:t>
      </w:r>
      <w:r w:rsidR="002367C7">
        <w:rPr>
          <w:rFonts w:ascii="Verdana" w:hAnsi="Verdana"/>
        </w:rPr>
        <w:t xml:space="preserve"> individual’s right to privacy.</w:t>
      </w:r>
    </w:p>
    <w:p w:rsidR="001A270C" w:rsidRPr="0057527D" w:rsidRDefault="001A270C" w:rsidP="0057527D">
      <w:pPr>
        <w:pStyle w:val="WOVGbody"/>
        <w:rPr>
          <w:rFonts w:ascii="Verdana" w:hAnsi="Verdana"/>
        </w:rPr>
      </w:pPr>
      <w:r w:rsidRPr="0057527D">
        <w:rPr>
          <w:rFonts w:ascii="Verdana" w:hAnsi="Verdana"/>
        </w:rPr>
        <w:t xml:space="preserve">The Act is intended to support the operation of the CIS Scheme by enabling specified government agencies and service providers to share information that </w:t>
      </w:r>
      <w:r w:rsidR="008F637C">
        <w:rPr>
          <w:rFonts w:ascii="Verdana" w:hAnsi="Verdana"/>
        </w:rPr>
        <w:t xml:space="preserve">aims to </w:t>
      </w:r>
      <w:r w:rsidR="001552A8">
        <w:rPr>
          <w:rFonts w:ascii="Verdana" w:hAnsi="Verdana"/>
        </w:rPr>
        <w:t>improve child wellbeing or safety by</w:t>
      </w:r>
      <w:r w:rsidR="005B4D34">
        <w:rPr>
          <w:rFonts w:ascii="Verdana" w:hAnsi="Verdana"/>
        </w:rPr>
        <w:t>:</w:t>
      </w:r>
      <w:r w:rsidRPr="0057527D">
        <w:rPr>
          <w:rFonts w:ascii="Verdana" w:hAnsi="Verdana"/>
        </w:rPr>
        <w:t xml:space="preserve"> </w:t>
      </w:r>
    </w:p>
    <w:p w:rsidR="001A270C" w:rsidRPr="0057527D" w:rsidRDefault="001552A8" w:rsidP="00A76FAF">
      <w:pPr>
        <w:pStyle w:val="WOVGbody"/>
        <w:numPr>
          <w:ilvl w:val="0"/>
          <w:numId w:val="21"/>
        </w:numPr>
        <w:ind w:left="426"/>
        <w:rPr>
          <w:rFonts w:ascii="Verdana" w:hAnsi="Verdana"/>
        </w:rPr>
      </w:pPr>
      <w:r>
        <w:rPr>
          <w:rFonts w:ascii="Verdana" w:hAnsi="Verdana"/>
          <w:b/>
        </w:rPr>
        <w:t>Improving</w:t>
      </w:r>
      <w:r w:rsidR="001A270C" w:rsidRPr="0057527D">
        <w:rPr>
          <w:rFonts w:ascii="Verdana" w:hAnsi="Verdana"/>
          <w:b/>
        </w:rPr>
        <w:t xml:space="preserve"> early risk identification and intervention.</w:t>
      </w:r>
      <w:r w:rsidR="001A270C" w:rsidRPr="0057527D">
        <w:rPr>
          <w:rFonts w:ascii="Verdana" w:hAnsi="Verdana"/>
        </w:rPr>
        <w:t xml:space="preserve"> Enabling early intervention to promote wellbeing, prevent or mitigate harm and provide support for families (by permitting professional and respectful sharing of information early)</w:t>
      </w:r>
      <w:r w:rsidR="00137681">
        <w:rPr>
          <w:rFonts w:ascii="Verdana" w:hAnsi="Verdana"/>
        </w:rPr>
        <w:t>.</w:t>
      </w:r>
    </w:p>
    <w:p w:rsidR="001A270C" w:rsidRPr="0057527D" w:rsidRDefault="001552A8" w:rsidP="00A76FAF">
      <w:pPr>
        <w:pStyle w:val="WOVGbody"/>
        <w:numPr>
          <w:ilvl w:val="0"/>
          <w:numId w:val="21"/>
        </w:numPr>
        <w:ind w:left="426"/>
        <w:rPr>
          <w:rFonts w:ascii="Verdana" w:hAnsi="Verdana"/>
        </w:rPr>
      </w:pPr>
      <w:r>
        <w:rPr>
          <w:rFonts w:ascii="Verdana" w:hAnsi="Verdana"/>
          <w:b/>
        </w:rPr>
        <w:t>Changing</w:t>
      </w:r>
      <w:r w:rsidR="001A270C" w:rsidRPr="0057527D">
        <w:rPr>
          <w:rFonts w:ascii="Verdana" w:hAnsi="Verdana"/>
          <w:b/>
        </w:rPr>
        <w:t xml:space="preserve"> a risk averse culture in relation to information sharing.</w:t>
      </w:r>
      <w:r w:rsidR="001A270C" w:rsidRPr="0057527D">
        <w:rPr>
          <w:rFonts w:ascii="Verdana" w:hAnsi="Verdana"/>
        </w:rPr>
        <w:t xml:space="preserve"> Overcoming any risk averse culture of child service entities to encourage and facilitate the timely and easy sharing of information (in pa</w:t>
      </w:r>
      <w:r w:rsidR="00137681">
        <w:rPr>
          <w:rFonts w:ascii="Verdana" w:hAnsi="Verdana"/>
        </w:rPr>
        <w:t>rt by simplifying legislation).</w:t>
      </w:r>
    </w:p>
    <w:p w:rsidR="001A270C" w:rsidRPr="0057527D" w:rsidRDefault="001552A8" w:rsidP="00A76FAF">
      <w:pPr>
        <w:pStyle w:val="WOVGbody"/>
        <w:numPr>
          <w:ilvl w:val="0"/>
          <w:numId w:val="21"/>
        </w:numPr>
        <w:ind w:left="426"/>
        <w:rPr>
          <w:rFonts w:ascii="Verdana" w:hAnsi="Verdana"/>
        </w:rPr>
      </w:pPr>
      <w:r>
        <w:rPr>
          <w:rFonts w:ascii="Verdana" w:hAnsi="Verdana"/>
          <w:b/>
        </w:rPr>
        <w:t>Increasing</w:t>
      </w:r>
      <w:r w:rsidR="001A270C" w:rsidRPr="0057527D">
        <w:rPr>
          <w:rFonts w:ascii="Verdana" w:hAnsi="Verdana"/>
          <w:b/>
        </w:rPr>
        <w:t xml:space="preserve"> collaboration and integration between child and family services.</w:t>
      </w:r>
      <w:r w:rsidR="001A270C" w:rsidRPr="0057527D">
        <w:rPr>
          <w:rFonts w:ascii="Verdana" w:hAnsi="Verdana"/>
        </w:rPr>
        <w:t xml:space="preserve"> Promoting shared responsibility and collaboration across professionals and organisations that provide services to children and families to reduce the current reliance on reporting to Child Protection authorities to protect children from harm, neglect and abuse</w:t>
      </w:r>
      <w:r w:rsidR="00137681">
        <w:rPr>
          <w:rFonts w:ascii="Verdana" w:hAnsi="Verdana"/>
        </w:rPr>
        <w:t>.</w:t>
      </w:r>
    </w:p>
    <w:p w:rsidR="001A270C" w:rsidRPr="0057527D" w:rsidRDefault="001A270C" w:rsidP="00A76FAF">
      <w:pPr>
        <w:pStyle w:val="WOVGbody"/>
        <w:numPr>
          <w:ilvl w:val="0"/>
          <w:numId w:val="21"/>
        </w:numPr>
        <w:ind w:left="426"/>
        <w:rPr>
          <w:rFonts w:ascii="Verdana" w:hAnsi="Verdana"/>
        </w:rPr>
      </w:pPr>
      <w:r w:rsidRPr="0057527D">
        <w:rPr>
          <w:rFonts w:ascii="Verdana" w:hAnsi="Verdana"/>
          <w:b/>
        </w:rPr>
        <w:t>Support</w:t>
      </w:r>
      <w:r w:rsidR="001552A8">
        <w:rPr>
          <w:rFonts w:ascii="Verdana" w:hAnsi="Verdana"/>
          <w:b/>
        </w:rPr>
        <w:t>ing</w:t>
      </w:r>
      <w:r w:rsidRPr="0057527D">
        <w:rPr>
          <w:rFonts w:ascii="Verdana" w:hAnsi="Verdana"/>
          <w:b/>
        </w:rPr>
        <w:t xml:space="preserve"> children’s and their families’ participation in services</w:t>
      </w:r>
      <w:r w:rsidRPr="0057527D">
        <w:rPr>
          <w:rFonts w:ascii="Verdana" w:hAnsi="Verdana"/>
        </w:rPr>
        <w:t>. Facilitating the participation of children and their families in services to which they are entitled (including health services, education and family support).</w:t>
      </w:r>
    </w:p>
    <w:p w:rsidR="001A270C" w:rsidRPr="00D94ADF" w:rsidRDefault="0057527D" w:rsidP="001A270C">
      <w:pPr>
        <w:pStyle w:val="Heading2"/>
        <w:rPr>
          <w:rFonts w:ascii="Verdana" w:hAnsi="Verdana"/>
        </w:rPr>
      </w:pPr>
      <w:bookmarkStart w:id="19" w:name="_Toc23510766"/>
      <w:r w:rsidRPr="00D94ADF">
        <w:rPr>
          <w:rFonts w:ascii="Verdana" w:hAnsi="Verdana"/>
        </w:rPr>
        <w:t>Objective</w:t>
      </w:r>
      <w:r w:rsidR="00D13DF4" w:rsidRPr="00D94ADF">
        <w:rPr>
          <w:rFonts w:ascii="Verdana" w:hAnsi="Verdana"/>
        </w:rPr>
        <w:t>s</w:t>
      </w:r>
      <w:r w:rsidR="001A270C" w:rsidRPr="00D94ADF">
        <w:rPr>
          <w:rFonts w:ascii="Verdana" w:hAnsi="Verdana"/>
        </w:rPr>
        <w:t xml:space="preserve"> of the proposed Child Wellbeing and Safety (Information Sharing) Amendment Regulations 2020</w:t>
      </w:r>
      <w:bookmarkEnd w:id="19"/>
    </w:p>
    <w:p w:rsidR="001A270C" w:rsidRPr="00551865" w:rsidRDefault="001A270C" w:rsidP="00551865">
      <w:pPr>
        <w:pStyle w:val="WOVGbody"/>
        <w:rPr>
          <w:rFonts w:ascii="Verdana" w:hAnsi="Verdana"/>
        </w:rPr>
      </w:pPr>
      <w:r w:rsidRPr="00551865">
        <w:rPr>
          <w:rFonts w:ascii="Verdana" w:hAnsi="Verdana"/>
        </w:rPr>
        <w:t xml:space="preserve">The </w:t>
      </w:r>
      <w:r w:rsidR="00D13DF4" w:rsidRPr="00551865">
        <w:rPr>
          <w:rFonts w:ascii="Verdana" w:hAnsi="Verdana"/>
        </w:rPr>
        <w:t>overarching purpose</w:t>
      </w:r>
      <w:r w:rsidRPr="00551865">
        <w:rPr>
          <w:rFonts w:ascii="Verdana" w:hAnsi="Verdana"/>
        </w:rPr>
        <w:t xml:space="preserve"> of the proposed Amendment Regulations is to enable Phase Two o</w:t>
      </w:r>
      <w:r w:rsidR="00551865" w:rsidRPr="00551865">
        <w:rPr>
          <w:rFonts w:ascii="Verdana" w:hAnsi="Verdana"/>
        </w:rPr>
        <w:t xml:space="preserve">f the CIS Scheme by prescribing </w:t>
      </w:r>
      <w:r w:rsidRPr="00551865">
        <w:rPr>
          <w:rFonts w:ascii="Verdana" w:hAnsi="Verdana"/>
        </w:rPr>
        <w:t>ISEs that will be authorised to voluntarily share relevant information with one another for the purposes of promoting child wellbeing and safety (and will be obliged to share that information in response to requests from other ISEs).</w:t>
      </w:r>
      <w:r w:rsidRPr="00551865" w:rsidDel="00746677">
        <w:rPr>
          <w:rFonts w:ascii="Verdana" w:hAnsi="Verdana"/>
        </w:rPr>
        <w:t xml:space="preserve"> </w:t>
      </w:r>
    </w:p>
    <w:p w:rsidR="001A270C" w:rsidRPr="00551865" w:rsidRDefault="001A270C" w:rsidP="00551865">
      <w:pPr>
        <w:pStyle w:val="WOVGbody"/>
        <w:rPr>
          <w:rFonts w:ascii="Verdana" w:hAnsi="Verdana"/>
        </w:rPr>
      </w:pPr>
      <w:r w:rsidRPr="00551865">
        <w:rPr>
          <w:rFonts w:ascii="Verdana" w:hAnsi="Verdana"/>
        </w:rPr>
        <w:t xml:space="preserve">The CIS Scheme authorises ISEs to request, collect, use and disclose information to promote child wellbeing and safety. ISEs are obliged to share that information when lawfully requested to do so by another ISE unless the information falls under the exclusion </w:t>
      </w:r>
      <w:r w:rsidRPr="00551865">
        <w:rPr>
          <w:rFonts w:ascii="Verdana" w:hAnsi="Verdana"/>
        </w:rPr>
        <w:lastRenderedPageBreak/>
        <w:t>cat</w:t>
      </w:r>
      <w:r w:rsidR="00137681">
        <w:rPr>
          <w:rFonts w:ascii="Verdana" w:hAnsi="Verdana"/>
        </w:rPr>
        <w:t>egory – I</w:t>
      </w:r>
      <w:r w:rsidRPr="00551865">
        <w:rPr>
          <w:rFonts w:ascii="Verdana" w:hAnsi="Verdana"/>
        </w:rPr>
        <w:t>ncluding information that, if shared, would prejudice an ongoing investigation of a breach of the law or a coronial inquest, or would endanger a person’s life or physical safety.</w:t>
      </w:r>
    </w:p>
    <w:p w:rsidR="001A270C" w:rsidRPr="00551865" w:rsidRDefault="00B54DB6" w:rsidP="00551865">
      <w:pPr>
        <w:pStyle w:val="WOVGbody"/>
        <w:rPr>
          <w:rFonts w:ascii="Verdana" w:hAnsi="Verdana"/>
        </w:rPr>
      </w:pPr>
      <w:r>
        <w:rPr>
          <w:rFonts w:ascii="Verdana" w:hAnsi="Verdana"/>
        </w:rPr>
        <w:t>The p</w:t>
      </w:r>
      <w:r w:rsidR="003D2F34" w:rsidRPr="00551865">
        <w:rPr>
          <w:rFonts w:ascii="Verdana" w:hAnsi="Verdana"/>
        </w:rPr>
        <w:t>roposed Regulations will support the broader objectives of the Act by</w:t>
      </w:r>
      <w:r w:rsidR="00D13DF4" w:rsidRPr="00551865">
        <w:rPr>
          <w:rFonts w:ascii="Verdana" w:hAnsi="Verdana"/>
        </w:rPr>
        <w:t xml:space="preserve"> prescribing </w:t>
      </w:r>
      <w:r w:rsidR="003D2F34" w:rsidRPr="00551865">
        <w:rPr>
          <w:rFonts w:ascii="Verdana" w:hAnsi="Verdana"/>
        </w:rPr>
        <w:t xml:space="preserve">additional </w:t>
      </w:r>
      <w:r w:rsidR="00E92AB7" w:rsidRPr="00551865">
        <w:rPr>
          <w:rFonts w:ascii="Verdana" w:hAnsi="Verdana"/>
        </w:rPr>
        <w:t xml:space="preserve">ISEs </w:t>
      </w:r>
      <w:r w:rsidR="003D2F34" w:rsidRPr="00551865">
        <w:rPr>
          <w:rFonts w:ascii="Verdana" w:hAnsi="Verdana"/>
        </w:rPr>
        <w:t xml:space="preserve">for Phase Two implementation of the CIS Scheme. </w:t>
      </w:r>
      <w:r w:rsidR="001F71F0" w:rsidRPr="00551865">
        <w:rPr>
          <w:rFonts w:ascii="Verdana" w:hAnsi="Verdana"/>
        </w:rPr>
        <w:t xml:space="preserve">In this RIS, </w:t>
      </w:r>
      <w:r w:rsidR="00D13DF4" w:rsidRPr="00551865">
        <w:rPr>
          <w:rFonts w:ascii="Verdana" w:hAnsi="Verdana"/>
        </w:rPr>
        <w:t xml:space="preserve">DET has worked with DHHS and DJCS to consider the appropriate services for Phase Two </w:t>
      </w:r>
      <w:r w:rsidR="001F71F0" w:rsidRPr="00551865">
        <w:rPr>
          <w:rFonts w:ascii="Verdana" w:hAnsi="Verdana"/>
        </w:rPr>
        <w:t>implementation</w:t>
      </w:r>
      <w:r w:rsidR="00D13DF4" w:rsidRPr="00551865">
        <w:rPr>
          <w:rFonts w:ascii="Verdana" w:hAnsi="Verdana"/>
        </w:rPr>
        <w:t xml:space="preserve"> based</w:t>
      </w:r>
      <w:r w:rsidR="003D2F34" w:rsidRPr="00551865">
        <w:rPr>
          <w:rFonts w:ascii="Verdana" w:hAnsi="Verdana"/>
        </w:rPr>
        <w:t xml:space="preserve"> </w:t>
      </w:r>
      <w:r w:rsidR="00D13DF4" w:rsidRPr="00551865">
        <w:rPr>
          <w:rFonts w:ascii="Verdana" w:hAnsi="Verdana"/>
        </w:rPr>
        <w:t xml:space="preserve">on </w:t>
      </w:r>
      <w:r w:rsidR="003D2F34" w:rsidRPr="00551865">
        <w:rPr>
          <w:rFonts w:ascii="Verdana" w:hAnsi="Verdana"/>
        </w:rPr>
        <w:t xml:space="preserve">the following </w:t>
      </w:r>
      <w:r w:rsidR="00D13DF4" w:rsidRPr="00551865">
        <w:rPr>
          <w:rFonts w:ascii="Verdana" w:hAnsi="Verdana"/>
        </w:rPr>
        <w:t>objectives</w:t>
      </w:r>
      <w:r w:rsidR="001A270C" w:rsidRPr="00551865">
        <w:rPr>
          <w:rFonts w:ascii="Verdana" w:hAnsi="Verdana"/>
        </w:rPr>
        <w:t>:</w:t>
      </w:r>
    </w:p>
    <w:p w:rsidR="001A270C" w:rsidRPr="00551865" w:rsidRDefault="001A270C" w:rsidP="00A76FAF">
      <w:pPr>
        <w:pStyle w:val="WOVGbody"/>
        <w:numPr>
          <w:ilvl w:val="0"/>
          <w:numId w:val="30"/>
        </w:numPr>
        <w:ind w:left="284"/>
        <w:rPr>
          <w:rFonts w:ascii="Verdana" w:hAnsi="Verdana"/>
        </w:rPr>
      </w:pPr>
      <w:r w:rsidRPr="00551865">
        <w:rPr>
          <w:rFonts w:ascii="Verdana" w:hAnsi="Verdana"/>
          <w:b/>
        </w:rPr>
        <w:t>Relevance</w:t>
      </w:r>
      <w:r w:rsidR="00137681">
        <w:rPr>
          <w:rFonts w:ascii="Verdana" w:hAnsi="Verdana"/>
        </w:rPr>
        <w:t xml:space="preserve"> - t</w:t>
      </w:r>
      <w:r w:rsidRPr="00551865">
        <w:rPr>
          <w:rFonts w:ascii="Verdana" w:hAnsi="Verdana"/>
        </w:rPr>
        <w:t xml:space="preserve">o prescribe ISEs with timely access to information deemed relevant to the wellbeing or safety of a child. These services often have an established relationship with child and family and </w:t>
      </w:r>
      <w:r w:rsidR="00A70D3B">
        <w:rPr>
          <w:rFonts w:ascii="Verdana" w:hAnsi="Verdana"/>
        </w:rPr>
        <w:t xml:space="preserve">hold, </w:t>
      </w:r>
      <w:r w:rsidRPr="00551865">
        <w:rPr>
          <w:rFonts w:ascii="Verdana" w:hAnsi="Verdana"/>
        </w:rPr>
        <w:t>produce or collect relevant information within existing professional roles and responsibilities.</w:t>
      </w:r>
    </w:p>
    <w:p w:rsidR="001A270C" w:rsidRPr="00551865" w:rsidRDefault="001A270C" w:rsidP="00A76FAF">
      <w:pPr>
        <w:pStyle w:val="WOVGbody"/>
        <w:numPr>
          <w:ilvl w:val="0"/>
          <w:numId w:val="30"/>
        </w:numPr>
        <w:ind w:left="284"/>
        <w:rPr>
          <w:rFonts w:ascii="Verdana" w:hAnsi="Verdana"/>
        </w:rPr>
      </w:pPr>
      <w:r w:rsidRPr="00551865">
        <w:rPr>
          <w:rFonts w:ascii="Verdana" w:hAnsi="Verdana"/>
          <w:b/>
        </w:rPr>
        <w:t>Feasibility</w:t>
      </w:r>
      <w:r w:rsidR="00137681">
        <w:rPr>
          <w:rFonts w:ascii="Verdana" w:hAnsi="Verdana"/>
        </w:rPr>
        <w:t xml:space="preserve"> - t</w:t>
      </w:r>
      <w:r w:rsidRPr="00551865">
        <w:rPr>
          <w:rFonts w:ascii="Verdana" w:hAnsi="Verdana"/>
        </w:rPr>
        <w:t>o prescribe ISEs that have</w:t>
      </w:r>
      <w:r w:rsidR="00A70D3B">
        <w:rPr>
          <w:rFonts w:ascii="Verdana" w:hAnsi="Verdana"/>
        </w:rPr>
        <w:t xml:space="preserve"> established structures for formal risk assessment and management</w:t>
      </w:r>
      <w:r w:rsidR="00A46302" w:rsidRPr="00551865">
        <w:rPr>
          <w:rFonts w:ascii="Verdana" w:hAnsi="Verdana"/>
        </w:rPr>
        <w:t xml:space="preserve"> and have the capacity to deliver the </w:t>
      </w:r>
      <w:r w:rsidR="006A7285">
        <w:rPr>
          <w:rFonts w:ascii="Verdana" w:hAnsi="Verdana"/>
        </w:rPr>
        <w:t>reforms within current timelines for Phase Two implementation of the CIS Scheme</w:t>
      </w:r>
      <w:r w:rsidR="00A46302" w:rsidRPr="00551865">
        <w:rPr>
          <w:rFonts w:ascii="Verdana" w:hAnsi="Verdana"/>
        </w:rPr>
        <w:t>.</w:t>
      </w:r>
      <w:r w:rsidR="00AC55A5" w:rsidRPr="00551865">
        <w:rPr>
          <w:rFonts w:ascii="Verdana" w:hAnsi="Verdana"/>
        </w:rPr>
        <w:t xml:space="preserve"> </w:t>
      </w:r>
      <w:r w:rsidR="00A3045D" w:rsidRPr="00551865">
        <w:rPr>
          <w:rFonts w:ascii="Verdana" w:hAnsi="Verdana"/>
        </w:rPr>
        <w:t xml:space="preserve">Priority is given to services that are delivered, managed, regulated or funded by </w:t>
      </w:r>
      <w:r w:rsidR="004615F7">
        <w:rPr>
          <w:rFonts w:ascii="Verdana" w:hAnsi="Verdana"/>
        </w:rPr>
        <w:t>the Victorian Government</w:t>
      </w:r>
      <w:r w:rsidR="00A3045D" w:rsidRPr="00551865">
        <w:rPr>
          <w:rFonts w:ascii="Verdana" w:hAnsi="Verdana"/>
        </w:rPr>
        <w:t>. Priority is also given to workforces that can effectively implement reforms and be trained in preparation for Phase Two implementation of the CIS Scheme, and are also scheduled to receive training in the FVIS Scheme and the MARAM.</w:t>
      </w:r>
    </w:p>
    <w:p w:rsidR="00D272DA" w:rsidRDefault="001A270C" w:rsidP="00A76FAF">
      <w:pPr>
        <w:pStyle w:val="WOVGbody"/>
        <w:numPr>
          <w:ilvl w:val="0"/>
          <w:numId w:val="30"/>
        </w:numPr>
        <w:ind w:left="284"/>
        <w:rPr>
          <w:rFonts w:ascii="Verdana" w:hAnsi="Verdana"/>
        </w:rPr>
      </w:pPr>
      <w:r w:rsidRPr="00551865">
        <w:rPr>
          <w:rFonts w:ascii="Verdana" w:hAnsi="Verdana"/>
          <w:b/>
        </w:rPr>
        <w:t>Resourcing</w:t>
      </w:r>
      <w:r w:rsidR="00137681">
        <w:rPr>
          <w:rFonts w:ascii="Verdana" w:hAnsi="Verdana"/>
        </w:rPr>
        <w:t xml:space="preserve"> - t</w:t>
      </w:r>
      <w:r w:rsidRPr="00551865">
        <w:rPr>
          <w:rFonts w:ascii="Verdana" w:hAnsi="Verdana"/>
        </w:rPr>
        <w:t xml:space="preserve">o prescribe ISEs </w:t>
      </w:r>
      <w:r w:rsidR="00A3045D" w:rsidRPr="00551865">
        <w:rPr>
          <w:rFonts w:ascii="Verdana" w:hAnsi="Verdana"/>
        </w:rPr>
        <w:t>accounted for in the 2018-22 State Budget allocation for the implementation of the CIS Scheme</w:t>
      </w:r>
      <w:r w:rsidR="000238B7" w:rsidRPr="00551865">
        <w:rPr>
          <w:rFonts w:ascii="Verdana" w:hAnsi="Verdana"/>
        </w:rPr>
        <w:t>. These services w</w:t>
      </w:r>
      <w:r w:rsidR="004615F7">
        <w:rPr>
          <w:rFonts w:ascii="Verdana" w:hAnsi="Verdana"/>
        </w:rPr>
        <w:t>ill receive necessary g</w:t>
      </w:r>
      <w:r w:rsidR="00A3045D" w:rsidRPr="00551865">
        <w:rPr>
          <w:rFonts w:ascii="Verdana" w:hAnsi="Verdana"/>
        </w:rPr>
        <w:t xml:space="preserve">overnment </w:t>
      </w:r>
      <w:r w:rsidR="000238B7" w:rsidRPr="00551865">
        <w:rPr>
          <w:rFonts w:ascii="Verdana" w:hAnsi="Verdana"/>
        </w:rPr>
        <w:t xml:space="preserve">training and </w:t>
      </w:r>
      <w:r w:rsidR="00A3045D" w:rsidRPr="00551865">
        <w:rPr>
          <w:rFonts w:ascii="Verdana" w:hAnsi="Verdana"/>
        </w:rPr>
        <w:t>support in reform implementation</w:t>
      </w:r>
      <w:r w:rsidR="000238B7" w:rsidRPr="00551865">
        <w:rPr>
          <w:rFonts w:ascii="Verdana" w:hAnsi="Verdana"/>
        </w:rPr>
        <w:t>.</w:t>
      </w:r>
      <w:r w:rsidR="00D272DA">
        <w:rPr>
          <w:rFonts w:ascii="Verdana" w:hAnsi="Verdana"/>
        </w:rPr>
        <w:t xml:space="preserve"> </w:t>
      </w:r>
    </w:p>
    <w:p w:rsidR="00D272DA" w:rsidRDefault="00D272DA">
      <w:pPr>
        <w:rPr>
          <w:rFonts w:ascii="Verdana" w:hAnsi="Verdana"/>
          <w:bCs/>
          <w:color w:val="53565A" w:themeColor="accent1"/>
          <w:sz w:val="44"/>
          <w:szCs w:val="44"/>
        </w:rPr>
      </w:pPr>
      <w:r>
        <w:rPr>
          <w:rFonts w:ascii="Verdana" w:hAnsi="Verdana"/>
        </w:rPr>
        <w:br w:type="page"/>
      </w:r>
    </w:p>
    <w:p w:rsidR="00E92767" w:rsidRPr="0009505E" w:rsidRDefault="0009505E" w:rsidP="00FE48EB">
      <w:pPr>
        <w:pStyle w:val="Heading1"/>
        <w:ind w:left="284"/>
        <w:rPr>
          <w:rFonts w:ascii="Verdana" w:hAnsi="Verdana"/>
        </w:rPr>
      </w:pPr>
      <w:bookmarkStart w:id="20" w:name="_Toc23510767"/>
      <w:r w:rsidRPr="0009505E">
        <w:rPr>
          <w:rFonts w:ascii="Verdana" w:hAnsi="Verdana"/>
        </w:rPr>
        <w:lastRenderedPageBreak/>
        <w:t>Options</w:t>
      </w:r>
      <w:bookmarkEnd w:id="20"/>
    </w:p>
    <w:p w:rsidR="0057527D" w:rsidRDefault="0057527D" w:rsidP="0091583E">
      <w:pPr>
        <w:pStyle w:val="WOVGbody"/>
        <w:rPr>
          <w:rFonts w:ascii="Verdana" w:hAnsi="Verdana"/>
        </w:rPr>
      </w:pPr>
      <w:r w:rsidRPr="0009505E">
        <w:rPr>
          <w:rFonts w:ascii="Verdana" w:hAnsi="Verdana"/>
        </w:rPr>
        <w:t>Options for</w:t>
      </w:r>
      <w:r>
        <w:rPr>
          <w:rFonts w:ascii="Verdana" w:hAnsi="Verdana"/>
        </w:rPr>
        <w:t xml:space="preserve"> the scope of services to be prescribed in Phase Two of the CIS Scheme were considered for the </w:t>
      </w:r>
      <w:r w:rsidRPr="0009505E">
        <w:rPr>
          <w:rFonts w:ascii="Verdana" w:hAnsi="Verdana"/>
        </w:rPr>
        <w:t>proposed Amendment Regulations</w:t>
      </w:r>
      <w:r w:rsidR="0057166B">
        <w:rPr>
          <w:rFonts w:ascii="Verdana" w:hAnsi="Verdana"/>
        </w:rPr>
        <w:t>, and are</w:t>
      </w:r>
      <w:r>
        <w:rPr>
          <w:rFonts w:ascii="Verdana" w:hAnsi="Verdana"/>
        </w:rPr>
        <w:t xml:space="preserve"> </w:t>
      </w:r>
      <w:r w:rsidR="008525C6">
        <w:rPr>
          <w:rFonts w:ascii="Verdana" w:hAnsi="Verdana"/>
        </w:rPr>
        <w:t>presented in this chapter.</w:t>
      </w:r>
    </w:p>
    <w:p w:rsidR="00DA2C7E" w:rsidRPr="00D94ADF" w:rsidRDefault="000B134E" w:rsidP="00983E4B">
      <w:pPr>
        <w:pStyle w:val="Heading2"/>
        <w:rPr>
          <w:rFonts w:ascii="Verdana" w:hAnsi="Verdana"/>
        </w:rPr>
      </w:pPr>
      <w:bookmarkStart w:id="21" w:name="_Toc23510768"/>
      <w:r w:rsidRPr="00D94ADF">
        <w:rPr>
          <w:rFonts w:ascii="Verdana" w:hAnsi="Verdana"/>
        </w:rPr>
        <w:t>Considera</w:t>
      </w:r>
      <w:r w:rsidR="00EC24E5" w:rsidRPr="00D94ADF">
        <w:rPr>
          <w:rFonts w:ascii="Verdana" w:hAnsi="Verdana"/>
        </w:rPr>
        <w:t>tion of a non-regulatory option</w:t>
      </w:r>
      <w:r w:rsidR="00983E4B" w:rsidRPr="00D94ADF">
        <w:rPr>
          <w:rFonts w:ascii="Verdana" w:hAnsi="Verdana"/>
        </w:rPr>
        <w:t xml:space="preserve"> (base case scenario)</w:t>
      </w:r>
      <w:bookmarkEnd w:id="21"/>
    </w:p>
    <w:p w:rsidR="00983E4B" w:rsidRDefault="00983E4B" w:rsidP="00983E4B">
      <w:pPr>
        <w:pStyle w:val="WOVGbody"/>
        <w:rPr>
          <w:rFonts w:ascii="Verdana" w:hAnsi="Verdana"/>
        </w:rPr>
      </w:pPr>
      <w:r w:rsidRPr="0072048F">
        <w:rPr>
          <w:rFonts w:ascii="Verdana" w:hAnsi="Verdana"/>
        </w:rPr>
        <w:t>In th</w:t>
      </w:r>
      <w:r w:rsidR="000445EB">
        <w:rPr>
          <w:rFonts w:ascii="Verdana" w:hAnsi="Verdana"/>
        </w:rPr>
        <w:t>e absence of regulations</w:t>
      </w:r>
      <w:r w:rsidRPr="0072048F">
        <w:rPr>
          <w:rFonts w:ascii="Verdana" w:hAnsi="Verdana"/>
        </w:rPr>
        <w:t xml:space="preserve"> </w:t>
      </w:r>
      <w:r>
        <w:rPr>
          <w:rFonts w:ascii="Verdana" w:hAnsi="Verdana"/>
        </w:rPr>
        <w:t xml:space="preserve">no additional services will be prescribed within the CIS Scheme and prescription will be limited to the secondary and tertiary services already prescribed in Phase One of the scheme. Other services, including key universal services within health and education, will </w:t>
      </w:r>
      <w:r w:rsidRPr="0072048F">
        <w:rPr>
          <w:rFonts w:ascii="Verdana" w:hAnsi="Verdana"/>
        </w:rPr>
        <w:t xml:space="preserve">not be </w:t>
      </w:r>
      <w:r>
        <w:rPr>
          <w:rFonts w:ascii="Verdana" w:hAnsi="Verdana"/>
        </w:rPr>
        <w:t xml:space="preserve">allowed or required </w:t>
      </w:r>
      <w:r w:rsidRPr="0072048F">
        <w:rPr>
          <w:rFonts w:ascii="Verdana" w:hAnsi="Verdana"/>
        </w:rPr>
        <w:t xml:space="preserve">to </w:t>
      </w:r>
      <w:r>
        <w:rPr>
          <w:rFonts w:ascii="Verdana" w:hAnsi="Verdana"/>
        </w:rPr>
        <w:t xml:space="preserve">share information with </w:t>
      </w:r>
      <w:r w:rsidR="00137681">
        <w:rPr>
          <w:rFonts w:ascii="Verdana" w:hAnsi="Verdana"/>
        </w:rPr>
        <w:t xml:space="preserve">ISEs </w:t>
      </w:r>
      <w:r>
        <w:rPr>
          <w:rFonts w:ascii="Verdana" w:hAnsi="Verdana"/>
        </w:rPr>
        <w:t xml:space="preserve">already </w:t>
      </w:r>
      <w:r w:rsidR="00137681">
        <w:rPr>
          <w:rFonts w:ascii="Verdana" w:hAnsi="Verdana"/>
        </w:rPr>
        <w:t xml:space="preserve">prescribed </w:t>
      </w:r>
      <w:r>
        <w:rPr>
          <w:rFonts w:ascii="Verdana" w:hAnsi="Verdana"/>
        </w:rPr>
        <w:t xml:space="preserve">under the scheme, and be permitted to </w:t>
      </w:r>
      <w:r w:rsidRPr="000B134E">
        <w:rPr>
          <w:rFonts w:ascii="Verdana" w:hAnsi="Verdana"/>
        </w:rPr>
        <w:t xml:space="preserve">share information in accordance with existing privacy laws </w:t>
      </w:r>
      <w:r>
        <w:rPr>
          <w:rFonts w:ascii="Verdana" w:hAnsi="Verdana"/>
        </w:rPr>
        <w:t>only</w:t>
      </w:r>
      <w:r w:rsidR="00137681">
        <w:rPr>
          <w:rFonts w:ascii="Verdana" w:hAnsi="Verdana"/>
        </w:rPr>
        <w:t>.</w:t>
      </w:r>
      <w:r w:rsidR="00A010F3">
        <w:rPr>
          <w:rStyle w:val="FootnoteReference"/>
          <w:rFonts w:ascii="Verdana" w:hAnsi="Verdana"/>
        </w:rPr>
        <w:footnoteReference w:id="21"/>
      </w:r>
    </w:p>
    <w:p w:rsidR="00983E4B" w:rsidRDefault="00983E4B" w:rsidP="00983E4B">
      <w:pPr>
        <w:pStyle w:val="WOVGbody"/>
        <w:rPr>
          <w:rFonts w:ascii="Verdana" w:hAnsi="Verdana"/>
        </w:rPr>
      </w:pPr>
      <w:r w:rsidRPr="0072048F">
        <w:rPr>
          <w:rFonts w:ascii="Verdana" w:hAnsi="Verdana"/>
        </w:rPr>
        <w:t>Consequently, the current st</w:t>
      </w:r>
      <w:r>
        <w:rPr>
          <w:rFonts w:ascii="Verdana" w:hAnsi="Verdana"/>
        </w:rPr>
        <w:t>ate of information sharing will</w:t>
      </w:r>
      <w:r w:rsidRPr="0072048F">
        <w:rPr>
          <w:rFonts w:ascii="Verdana" w:hAnsi="Verdana"/>
        </w:rPr>
        <w:t xml:space="preserve"> continue. </w:t>
      </w:r>
      <w:r>
        <w:rPr>
          <w:rFonts w:ascii="Verdana" w:hAnsi="Verdana"/>
        </w:rPr>
        <w:t xml:space="preserve">It is reasonable to assume that, to the extent information is currently shared between non-prescribed services, it is performed under </w:t>
      </w:r>
      <w:r w:rsidRPr="0072048F">
        <w:rPr>
          <w:rFonts w:ascii="Verdana" w:hAnsi="Verdana"/>
        </w:rPr>
        <w:t>variable and ad hoc arrangements throughout Victoria. Any information sharing arrangements that have been formalised through MoUs or similar w</w:t>
      </w:r>
      <w:r>
        <w:rPr>
          <w:rFonts w:ascii="Verdana" w:hAnsi="Verdana"/>
        </w:rPr>
        <w:t>ill</w:t>
      </w:r>
      <w:r w:rsidRPr="0072048F">
        <w:rPr>
          <w:rFonts w:ascii="Verdana" w:hAnsi="Verdana"/>
        </w:rPr>
        <w:t xml:space="preserve"> continue. Examples of current arrangements include: the Early Childhood Out of</w:t>
      </w:r>
      <w:r w:rsidR="00137681">
        <w:rPr>
          <w:rFonts w:ascii="Verdana" w:hAnsi="Verdana"/>
        </w:rPr>
        <w:t xml:space="preserve"> Home Care Agreement between</w:t>
      </w:r>
      <w:r w:rsidRPr="0072048F">
        <w:rPr>
          <w:rFonts w:ascii="Verdana" w:hAnsi="Verdana"/>
        </w:rPr>
        <w:t xml:space="preserve"> DHHS, the Municipal Association of Victoria on behalf of local</w:t>
      </w:r>
      <w:r w:rsidR="00137681">
        <w:rPr>
          <w:rFonts w:ascii="Verdana" w:hAnsi="Verdana"/>
        </w:rPr>
        <w:t xml:space="preserve"> government authorities and </w:t>
      </w:r>
      <w:r w:rsidRPr="0072048F">
        <w:rPr>
          <w:rFonts w:ascii="Verdana" w:hAnsi="Verdana"/>
        </w:rPr>
        <w:t>DET</w:t>
      </w:r>
      <w:r>
        <w:rPr>
          <w:rFonts w:ascii="Verdana" w:hAnsi="Verdana"/>
        </w:rPr>
        <w:t xml:space="preserve">, and </w:t>
      </w:r>
      <w:r w:rsidRPr="0072048F">
        <w:rPr>
          <w:rFonts w:ascii="Verdana" w:hAnsi="Verdana"/>
        </w:rPr>
        <w:t>protocols such as those relating to the sharing of information between kindergartens and schools or Maternal and Child Health (MCH)</w:t>
      </w:r>
      <w:r>
        <w:rPr>
          <w:rFonts w:ascii="Verdana" w:hAnsi="Verdana"/>
        </w:rPr>
        <w:t xml:space="preserve"> and schools.</w:t>
      </w:r>
    </w:p>
    <w:p w:rsidR="00983E4B" w:rsidRPr="00983E4B" w:rsidRDefault="00983E4B" w:rsidP="00983E4B">
      <w:pPr>
        <w:pStyle w:val="WOVGbody"/>
      </w:pPr>
      <w:r>
        <w:rPr>
          <w:rFonts w:ascii="Verdana" w:hAnsi="Verdana"/>
        </w:rPr>
        <w:t xml:space="preserve">Services will </w:t>
      </w:r>
      <w:r w:rsidRPr="0072048F">
        <w:rPr>
          <w:rFonts w:ascii="Verdana" w:hAnsi="Verdana"/>
        </w:rPr>
        <w:t xml:space="preserve">continue to </w:t>
      </w:r>
      <w:r>
        <w:rPr>
          <w:rFonts w:ascii="Verdana" w:hAnsi="Verdana"/>
        </w:rPr>
        <w:t>share</w:t>
      </w:r>
      <w:r w:rsidRPr="0072048F">
        <w:rPr>
          <w:rFonts w:ascii="Verdana" w:hAnsi="Verdana"/>
        </w:rPr>
        <w:t xml:space="preserve"> </w:t>
      </w:r>
      <w:r>
        <w:rPr>
          <w:rFonts w:ascii="Verdana" w:hAnsi="Verdana"/>
        </w:rPr>
        <w:t xml:space="preserve">information </w:t>
      </w:r>
      <w:r w:rsidRPr="0072048F">
        <w:rPr>
          <w:rFonts w:ascii="Verdana" w:hAnsi="Verdana"/>
        </w:rPr>
        <w:t xml:space="preserve">under the provisions of existing legislation including the </w:t>
      </w:r>
      <w:r w:rsidRPr="00137681">
        <w:rPr>
          <w:rFonts w:ascii="Verdana" w:hAnsi="Verdana"/>
          <w:i/>
        </w:rPr>
        <w:t>Privacy and Data Protection Act 2014</w:t>
      </w:r>
      <w:r w:rsidRPr="0072048F">
        <w:rPr>
          <w:rFonts w:ascii="Verdana" w:hAnsi="Verdana"/>
        </w:rPr>
        <w:t xml:space="preserve">, the </w:t>
      </w:r>
      <w:r w:rsidRPr="00137681">
        <w:rPr>
          <w:rFonts w:ascii="Verdana" w:hAnsi="Verdana"/>
          <w:i/>
        </w:rPr>
        <w:t>Health Records Act 2001</w:t>
      </w:r>
      <w:r w:rsidRPr="0072048F">
        <w:rPr>
          <w:rFonts w:ascii="Verdana" w:hAnsi="Verdana"/>
        </w:rPr>
        <w:t xml:space="preserve"> or the </w:t>
      </w:r>
      <w:r w:rsidRPr="00137681">
        <w:rPr>
          <w:rFonts w:ascii="Verdana" w:hAnsi="Verdana"/>
          <w:i/>
        </w:rPr>
        <w:t>Privacy Act 1988</w:t>
      </w:r>
      <w:r>
        <w:rPr>
          <w:rFonts w:ascii="Verdana" w:hAnsi="Verdana"/>
        </w:rPr>
        <w:t>. This information ‘network’ will</w:t>
      </w:r>
      <w:r w:rsidR="00137681">
        <w:rPr>
          <w:rFonts w:ascii="Verdana" w:hAnsi="Verdana"/>
        </w:rPr>
        <w:t xml:space="preserve"> continue to operate with</w:t>
      </w:r>
      <w:r w:rsidRPr="0072048F">
        <w:rPr>
          <w:rFonts w:ascii="Verdana" w:hAnsi="Verdana"/>
        </w:rPr>
        <w:t xml:space="preserve"> Child Protection at the centre, with other services </w:t>
      </w:r>
      <w:r>
        <w:rPr>
          <w:rFonts w:ascii="Verdana" w:hAnsi="Verdana"/>
        </w:rPr>
        <w:t xml:space="preserve">making reports </w:t>
      </w:r>
      <w:r w:rsidR="00137681">
        <w:rPr>
          <w:rFonts w:ascii="Verdana" w:hAnsi="Verdana"/>
        </w:rPr>
        <w:t xml:space="preserve">for </w:t>
      </w:r>
      <w:r w:rsidRPr="0072048F">
        <w:rPr>
          <w:rFonts w:ascii="Verdana" w:hAnsi="Verdana"/>
        </w:rPr>
        <w:t>Child Protection t</w:t>
      </w:r>
      <w:r>
        <w:rPr>
          <w:rFonts w:ascii="Verdana" w:hAnsi="Verdana"/>
        </w:rPr>
        <w:t>o consider and investigate as appropriate. Information will</w:t>
      </w:r>
      <w:r w:rsidR="00137681">
        <w:rPr>
          <w:rFonts w:ascii="Verdana" w:hAnsi="Verdana"/>
        </w:rPr>
        <w:t xml:space="preserve"> not flow from </w:t>
      </w:r>
      <w:r w:rsidRPr="0072048F">
        <w:rPr>
          <w:rFonts w:ascii="Verdana" w:hAnsi="Verdana"/>
        </w:rPr>
        <w:t xml:space="preserve">Child Protection to </w:t>
      </w:r>
      <w:r>
        <w:rPr>
          <w:rFonts w:ascii="Verdana" w:hAnsi="Verdana"/>
        </w:rPr>
        <w:t xml:space="preserve">service providers </w:t>
      </w:r>
      <w:r w:rsidRPr="0072048F">
        <w:rPr>
          <w:rFonts w:ascii="Verdana" w:hAnsi="Verdana"/>
        </w:rPr>
        <w:t xml:space="preserve">that have raised concerns, or between </w:t>
      </w:r>
      <w:r>
        <w:rPr>
          <w:rFonts w:ascii="Verdana" w:hAnsi="Verdana"/>
        </w:rPr>
        <w:t>those services prescribed for the CIS Scheme and any non-prescribed services</w:t>
      </w:r>
      <w:r w:rsidR="00137681">
        <w:rPr>
          <w:rFonts w:ascii="Verdana" w:hAnsi="Verdana"/>
        </w:rPr>
        <w:t>.</w:t>
      </w:r>
    </w:p>
    <w:p w:rsidR="000238B7" w:rsidRDefault="00697FF0" w:rsidP="0009505E">
      <w:pPr>
        <w:pStyle w:val="WOVGbody"/>
        <w:rPr>
          <w:rFonts w:ascii="Verdana" w:hAnsi="Verdana"/>
        </w:rPr>
      </w:pPr>
      <w:r>
        <w:rPr>
          <w:rFonts w:ascii="Verdana" w:hAnsi="Verdana"/>
        </w:rPr>
        <w:t xml:space="preserve">A non-regulatory option </w:t>
      </w:r>
      <w:r w:rsidR="000B134E">
        <w:rPr>
          <w:rFonts w:ascii="Verdana" w:hAnsi="Verdana"/>
        </w:rPr>
        <w:t xml:space="preserve">for Phase Two of the </w:t>
      </w:r>
      <w:r w:rsidR="000B134E" w:rsidRPr="000B134E">
        <w:rPr>
          <w:rFonts w:ascii="Verdana" w:hAnsi="Verdana"/>
        </w:rPr>
        <w:t>CIS Scheme is not considered viable</w:t>
      </w:r>
      <w:r w:rsidR="000B134E">
        <w:rPr>
          <w:rFonts w:ascii="Verdana" w:hAnsi="Verdana"/>
        </w:rPr>
        <w:t xml:space="preserve">. </w:t>
      </w:r>
      <w:r w:rsidR="000B134E" w:rsidRPr="000B134E">
        <w:rPr>
          <w:rFonts w:ascii="Verdana" w:hAnsi="Verdana"/>
        </w:rPr>
        <w:t>The prescri</w:t>
      </w:r>
      <w:r w:rsidR="006A4096">
        <w:rPr>
          <w:rFonts w:ascii="Verdana" w:hAnsi="Verdana"/>
        </w:rPr>
        <w:t>ption of entities</w:t>
      </w:r>
      <w:r w:rsidR="004C02FE">
        <w:rPr>
          <w:rFonts w:ascii="Verdana" w:hAnsi="Verdana"/>
        </w:rPr>
        <w:t xml:space="preserve"> </w:t>
      </w:r>
      <w:r w:rsidR="000B134E" w:rsidRPr="000B134E">
        <w:rPr>
          <w:rFonts w:ascii="Verdana" w:hAnsi="Verdana"/>
        </w:rPr>
        <w:t xml:space="preserve">underpins the establishment of the CIS Scheme, and without regulations no </w:t>
      </w:r>
      <w:r w:rsidR="000B134E">
        <w:rPr>
          <w:rFonts w:ascii="Verdana" w:hAnsi="Verdana"/>
        </w:rPr>
        <w:t xml:space="preserve">additional </w:t>
      </w:r>
      <w:r w:rsidR="000B134E" w:rsidRPr="000B134E">
        <w:rPr>
          <w:rFonts w:ascii="Verdana" w:hAnsi="Verdana"/>
        </w:rPr>
        <w:t xml:space="preserve">entities would be authorised to share information to promote children’s wellbeing or safety under the scheme. </w:t>
      </w:r>
      <w:r w:rsidR="000B134E">
        <w:rPr>
          <w:rFonts w:ascii="Verdana" w:hAnsi="Verdana"/>
        </w:rPr>
        <w:t>If prescription for the CIS Scheme were limited to the services prescribed in Phase One of the scheme</w:t>
      </w:r>
      <w:r w:rsidR="004C02FE">
        <w:rPr>
          <w:rFonts w:ascii="Verdana" w:hAnsi="Verdana"/>
        </w:rPr>
        <w:t xml:space="preserve"> only</w:t>
      </w:r>
      <w:r w:rsidR="000B134E">
        <w:rPr>
          <w:rFonts w:ascii="Verdana" w:hAnsi="Verdana"/>
        </w:rPr>
        <w:t xml:space="preserve">, it would </w:t>
      </w:r>
      <w:r w:rsidR="000238B7">
        <w:rPr>
          <w:rFonts w:ascii="Verdana" w:hAnsi="Verdana"/>
        </w:rPr>
        <w:t>exclude key universal services across the education, health and justice portfolios that interact with the vast majority of children and families in Victoria, and as such play a critical role in early intervention and prevention</w:t>
      </w:r>
      <w:r w:rsidR="00F64F2B">
        <w:rPr>
          <w:rFonts w:ascii="Verdana" w:hAnsi="Verdana"/>
        </w:rPr>
        <w:t>. This would jeopardise the objectives of the CIS Scheme and the scheme would largely fail to address the key problems related to child wellbeing and safety, as identified and discussed in this RIS.</w:t>
      </w:r>
    </w:p>
    <w:p w:rsidR="000B134E" w:rsidRDefault="00F64F2B" w:rsidP="0009505E">
      <w:pPr>
        <w:pStyle w:val="WOVGbody"/>
        <w:rPr>
          <w:rFonts w:ascii="Verdana" w:hAnsi="Verdana"/>
        </w:rPr>
      </w:pPr>
      <w:r>
        <w:rPr>
          <w:rFonts w:ascii="Verdana" w:hAnsi="Verdana"/>
        </w:rPr>
        <w:t xml:space="preserve">In addition, a non-regulatory option would </w:t>
      </w:r>
      <w:r w:rsidR="00373CCB">
        <w:rPr>
          <w:rFonts w:ascii="Verdana" w:hAnsi="Verdana"/>
        </w:rPr>
        <w:t xml:space="preserve">fail to meet </w:t>
      </w:r>
      <w:r w:rsidR="00361F4F">
        <w:rPr>
          <w:rFonts w:ascii="Verdana" w:hAnsi="Verdana"/>
        </w:rPr>
        <w:t xml:space="preserve">expectations for prescription </w:t>
      </w:r>
      <w:r>
        <w:rPr>
          <w:rFonts w:ascii="Verdana" w:hAnsi="Verdana"/>
        </w:rPr>
        <w:t>of services within the CIS Scheme</w:t>
      </w:r>
      <w:r w:rsidR="003D2F34">
        <w:rPr>
          <w:rFonts w:ascii="Verdana" w:hAnsi="Verdana"/>
        </w:rPr>
        <w:t>. T</w:t>
      </w:r>
      <w:r w:rsidR="00361F4F">
        <w:rPr>
          <w:rFonts w:ascii="Verdana" w:hAnsi="Verdana"/>
        </w:rPr>
        <w:t xml:space="preserve">his could </w:t>
      </w:r>
      <w:r w:rsidR="000B134E">
        <w:rPr>
          <w:rFonts w:ascii="Verdana" w:hAnsi="Verdana"/>
        </w:rPr>
        <w:t>arguably lead to confusion in relation to the obligation</w:t>
      </w:r>
      <w:r w:rsidR="00361F4F">
        <w:rPr>
          <w:rFonts w:ascii="Verdana" w:hAnsi="Verdana"/>
        </w:rPr>
        <w:t>s</w:t>
      </w:r>
      <w:r w:rsidR="000B134E">
        <w:rPr>
          <w:rFonts w:ascii="Verdana" w:hAnsi="Verdana"/>
        </w:rPr>
        <w:t xml:space="preserve"> of services to share information under the CIS Scheme </w:t>
      </w:r>
      <w:r w:rsidR="00655F80">
        <w:rPr>
          <w:rFonts w:ascii="Verdana" w:hAnsi="Verdana"/>
        </w:rPr>
        <w:t xml:space="preserve">versus </w:t>
      </w:r>
      <w:r w:rsidR="000B134E">
        <w:rPr>
          <w:rFonts w:ascii="Verdana" w:hAnsi="Verdana"/>
        </w:rPr>
        <w:t>existing privacy laws</w:t>
      </w:r>
      <w:r w:rsidR="000B134E" w:rsidRPr="000B134E">
        <w:rPr>
          <w:rFonts w:ascii="Verdana" w:hAnsi="Verdana"/>
        </w:rPr>
        <w:t xml:space="preserve">. This may </w:t>
      </w:r>
      <w:r w:rsidR="004C02FE">
        <w:rPr>
          <w:rFonts w:ascii="Verdana" w:hAnsi="Verdana"/>
        </w:rPr>
        <w:t xml:space="preserve">in turn </w:t>
      </w:r>
      <w:r w:rsidR="000B134E" w:rsidRPr="000B134E">
        <w:rPr>
          <w:rFonts w:ascii="Verdana" w:hAnsi="Verdana"/>
        </w:rPr>
        <w:t xml:space="preserve">result in inconsistent application of existing legislation, </w:t>
      </w:r>
      <w:r w:rsidR="006A4096">
        <w:rPr>
          <w:rFonts w:ascii="Verdana" w:hAnsi="Verdana"/>
        </w:rPr>
        <w:t xml:space="preserve">posing </w:t>
      </w:r>
      <w:r w:rsidR="004C02FE">
        <w:rPr>
          <w:rFonts w:ascii="Verdana" w:hAnsi="Verdana"/>
        </w:rPr>
        <w:lastRenderedPageBreak/>
        <w:t>additional</w:t>
      </w:r>
      <w:r w:rsidR="000B134E" w:rsidRPr="000B134E">
        <w:rPr>
          <w:rFonts w:ascii="Verdana" w:hAnsi="Verdana"/>
        </w:rPr>
        <w:t xml:space="preserve"> risk to children</w:t>
      </w:r>
      <w:r w:rsidR="00A010F3">
        <w:rPr>
          <w:rFonts w:ascii="Verdana" w:hAnsi="Verdana"/>
        </w:rPr>
        <w:t>, and the loss of opportunity to share information for child wellbeing purposes.</w:t>
      </w:r>
    </w:p>
    <w:p w:rsidR="000B134E" w:rsidRPr="000B134E" w:rsidRDefault="000B134E" w:rsidP="000B134E">
      <w:pPr>
        <w:pStyle w:val="Heading2"/>
        <w:rPr>
          <w:rFonts w:ascii="Verdana" w:hAnsi="Verdana"/>
        </w:rPr>
      </w:pPr>
      <w:bookmarkStart w:id="22" w:name="_Toc23510769"/>
      <w:r w:rsidRPr="000B134E">
        <w:rPr>
          <w:rFonts w:ascii="Verdana" w:hAnsi="Verdana"/>
        </w:rPr>
        <w:t xml:space="preserve">Options for </w:t>
      </w:r>
      <w:r w:rsidR="00D626E0">
        <w:rPr>
          <w:rFonts w:ascii="Verdana" w:hAnsi="Verdana"/>
        </w:rPr>
        <w:t>determining</w:t>
      </w:r>
      <w:r w:rsidRPr="000B134E">
        <w:rPr>
          <w:rFonts w:ascii="Verdana" w:hAnsi="Verdana"/>
        </w:rPr>
        <w:t xml:space="preserve"> prescribed </w:t>
      </w:r>
      <w:r w:rsidR="00D626E0">
        <w:rPr>
          <w:rFonts w:ascii="Verdana" w:hAnsi="Verdana"/>
        </w:rPr>
        <w:t>ISEs</w:t>
      </w:r>
      <w:bookmarkEnd w:id="22"/>
    </w:p>
    <w:p w:rsidR="00622B40" w:rsidRPr="00B309AB" w:rsidRDefault="00622B40" w:rsidP="00622B40">
      <w:pPr>
        <w:rPr>
          <w:rFonts w:ascii="Verdana" w:hAnsi="Verdana"/>
        </w:rPr>
      </w:pPr>
      <w:r>
        <w:rPr>
          <w:rFonts w:ascii="Verdana" w:hAnsi="Verdana"/>
        </w:rPr>
        <w:t xml:space="preserve">ISEs prescribed under the </w:t>
      </w:r>
      <w:r w:rsidRPr="00B309AB">
        <w:rPr>
          <w:rFonts w:ascii="Verdana" w:hAnsi="Verdana"/>
        </w:rPr>
        <w:t xml:space="preserve">CIS Scheme </w:t>
      </w:r>
      <w:r>
        <w:rPr>
          <w:rFonts w:ascii="Verdana" w:hAnsi="Verdana"/>
        </w:rPr>
        <w:t xml:space="preserve">are </w:t>
      </w:r>
      <w:r w:rsidRPr="00B309AB">
        <w:rPr>
          <w:rFonts w:ascii="Verdana" w:hAnsi="Verdana"/>
        </w:rPr>
        <w:t>authorise</w:t>
      </w:r>
      <w:r>
        <w:rPr>
          <w:rFonts w:ascii="Verdana" w:hAnsi="Verdana"/>
        </w:rPr>
        <w:t>d</w:t>
      </w:r>
      <w:r w:rsidRPr="00B309AB">
        <w:rPr>
          <w:rFonts w:ascii="Verdana" w:hAnsi="Verdana"/>
        </w:rPr>
        <w:t xml:space="preserve"> to:</w:t>
      </w:r>
    </w:p>
    <w:p w:rsidR="00622B40" w:rsidRPr="002A248A" w:rsidRDefault="00622B40" w:rsidP="00A76FAF">
      <w:pPr>
        <w:pStyle w:val="WOVGbody"/>
        <w:numPr>
          <w:ilvl w:val="0"/>
          <w:numId w:val="28"/>
        </w:numPr>
        <w:ind w:left="426"/>
        <w:rPr>
          <w:rFonts w:ascii="Verdana" w:hAnsi="Verdana"/>
        </w:rPr>
      </w:pPr>
      <w:r w:rsidRPr="002A248A">
        <w:rPr>
          <w:rFonts w:ascii="Verdana" w:hAnsi="Verdana"/>
        </w:rPr>
        <w:t>request confidential information from another ISE for the purpose of promoting the wellbeing or safety of a c</w:t>
      </w:r>
      <w:r w:rsidR="00137681">
        <w:rPr>
          <w:rFonts w:ascii="Verdana" w:hAnsi="Verdana"/>
        </w:rPr>
        <w:t>hild or a group of children.</w:t>
      </w:r>
      <w:r w:rsidRPr="002A248A">
        <w:rPr>
          <w:rFonts w:ascii="Verdana" w:hAnsi="Verdana"/>
        </w:rPr>
        <w:t xml:space="preserve"> </w:t>
      </w:r>
    </w:p>
    <w:p w:rsidR="00622B40" w:rsidRPr="002A248A" w:rsidRDefault="00622B40" w:rsidP="00A76FAF">
      <w:pPr>
        <w:pStyle w:val="WOVGbody"/>
        <w:numPr>
          <w:ilvl w:val="0"/>
          <w:numId w:val="28"/>
        </w:numPr>
        <w:ind w:left="426"/>
        <w:rPr>
          <w:rFonts w:ascii="Verdana" w:hAnsi="Verdana"/>
        </w:rPr>
      </w:pPr>
      <w:r w:rsidRPr="002A248A">
        <w:rPr>
          <w:rFonts w:ascii="Verdana" w:hAnsi="Verdana"/>
        </w:rPr>
        <w:t>disclose confidential information (either voluntarily or in response to a request) to another ISE for the purpose of promoting the wellbeing or safety of a child or group of children and to assist the recipient to deliver services or to undertake certain activities in relation t</w:t>
      </w:r>
      <w:r w:rsidR="00137681">
        <w:rPr>
          <w:rFonts w:ascii="Verdana" w:hAnsi="Verdana"/>
        </w:rPr>
        <w:t>o a child or group of children.</w:t>
      </w:r>
    </w:p>
    <w:p w:rsidR="00521BD0" w:rsidRDefault="00983E4B" w:rsidP="000B134E">
      <w:pPr>
        <w:pStyle w:val="WOVGbody"/>
        <w:rPr>
          <w:rFonts w:ascii="Verdana" w:hAnsi="Verdana"/>
        </w:rPr>
      </w:pPr>
      <w:r>
        <w:rPr>
          <w:rFonts w:ascii="Verdana" w:hAnsi="Verdana"/>
        </w:rPr>
        <w:t>Three viable</w:t>
      </w:r>
      <w:r w:rsidR="000B134E" w:rsidRPr="000B134E">
        <w:rPr>
          <w:rFonts w:ascii="Verdana" w:hAnsi="Verdana"/>
        </w:rPr>
        <w:t xml:space="preserve"> options were</w:t>
      </w:r>
      <w:r w:rsidR="00521BD0">
        <w:rPr>
          <w:rFonts w:ascii="Verdana" w:hAnsi="Verdana"/>
        </w:rPr>
        <w:t xml:space="preserve"> considered for Phase Two prescription </w:t>
      </w:r>
      <w:r w:rsidR="00622B40">
        <w:rPr>
          <w:rFonts w:ascii="Verdana" w:hAnsi="Verdana"/>
        </w:rPr>
        <w:t xml:space="preserve">of ISEs </w:t>
      </w:r>
      <w:r w:rsidR="00521BD0">
        <w:rPr>
          <w:rFonts w:ascii="Verdana" w:hAnsi="Verdana"/>
        </w:rPr>
        <w:t>under the CIS Scheme:</w:t>
      </w:r>
    </w:p>
    <w:p w:rsidR="000B134E" w:rsidRDefault="00521BD0" w:rsidP="00A76FAF">
      <w:pPr>
        <w:pStyle w:val="WOVGbody"/>
        <w:numPr>
          <w:ilvl w:val="0"/>
          <w:numId w:val="17"/>
        </w:numPr>
        <w:ind w:left="426"/>
        <w:rPr>
          <w:rFonts w:ascii="Verdana" w:hAnsi="Verdana"/>
        </w:rPr>
      </w:pPr>
      <w:r w:rsidRPr="00D106A4">
        <w:rPr>
          <w:rFonts w:ascii="Verdana" w:hAnsi="Verdana"/>
          <w:b/>
        </w:rPr>
        <w:t>Option 1</w:t>
      </w:r>
      <w:r>
        <w:rPr>
          <w:rFonts w:ascii="Verdana" w:hAnsi="Verdana"/>
        </w:rPr>
        <w:t xml:space="preserve">. </w:t>
      </w:r>
      <w:r w:rsidR="00D106A4">
        <w:rPr>
          <w:rFonts w:ascii="Verdana" w:hAnsi="Verdana"/>
        </w:rPr>
        <w:t xml:space="preserve">Targeted prescription of </w:t>
      </w:r>
      <w:r w:rsidR="00584B5B">
        <w:rPr>
          <w:rFonts w:ascii="Verdana" w:hAnsi="Verdana"/>
        </w:rPr>
        <w:t xml:space="preserve">universal </w:t>
      </w:r>
      <w:r w:rsidR="00AE42CF">
        <w:rPr>
          <w:rFonts w:ascii="Verdana" w:hAnsi="Verdana"/>
        </w:rPr>
        <w:t xml:space="preserve">health </w:t>
      </w:r>
      <w:r w:rsidR="0008323E">
        <w:rPr>
          <w:rFonts w:ascii="Verdana" w:hAnsi="Verdana"/>
        </w:rPr>
        <w:t>services.</w:t>
      </w:r>
    </w:p>
    <w:p w:rsidR="00521BD0" w:rsidRDefault="00521BD0" w:rsidP="00A76FAF">
      <w:pPr>
        <w:pStyle w:val="WOVGbody"/>
        <w:numPr>
          <w:ilvl w:val="0"/>
          <w:numId w:val="17"/>
        </w:numPr>
        <w:ind w:left="426"/>
        <w:rPr>
          <w:rFonts w:ascii="Verdana" w:hAnsi="Verdana"/>
        </w:rPr>
      </w:pPr>
      <w:r w:rsidRPr="00D106A4">
        <w:rPr>
          <w:rFonts w:ascii="Verdana" w:hAnsi="Verdana"/>
          <w:b/>
        </w:rPr>
        <w:t>Option 2</w:t>
      </w:r>
      <w:r>
        <w:rPr>
          <w:rFonts w:ascii="Verdana" w:hAnsi="Verdana"/>
        </w:rPr>
        <w:t xml:space="preserve">. </w:t>
      </w:r>
      <w:r w:rsidR="00D106A4">
        <w:rPr>
          <w:rFonts w:ascii="Verdana" w:hAnsi="Verdana"/>
        </w:rPr>
        <w:t xml:space="preserve">Targeted prescription of universal </w:t>
      </w:r>
      <w:r w:rsidR="00AE42CF">
        <w:rPr>
          <w:rFonts w:ascii="Verdana" w:hAnsi="Verdana"/>
        </w:rPr>
        <w:t xml:space="preserve">health and education services </w:t>
      </w:r>
      <w:r w:rsidR="00D106A4">
        <w:rPr>
          <w:rFonts w:ascii="Verdana" w:hAnsi="Verdana"/>
        </w:rPr>
        <w:t>and other key child service providers</w:t>
      </w:r>
      <w:r w:rsidR="0008323E">
        <w:rPr>
          <w:rFonts w:ascii="Verdana" w:hAnsi="Verdana"/>
        </w:rPr>
        <w:t>.</w:t>
      </w:r>
    </w:p>
    <w:p w:rsidR="00295562" w:rsidRDefault="00521BD0" w:rsidP="00A76FAF">
      <w:pPr>
        <w:pStyle w:val="WOVGbody"/>
        <w:numPr>
          <w:ilvl w:val="0"/>
          <w:numId w:val="17"/>
        </w:numPr>
        <w:ind w:left="426"/>
        <w:rPr>
          <w:rFonts w:ascii="Verdana" w:hAnsi="Verdana"/>
        </w:rPr>
      </w:pPr>
      <w:r w:rsidRPr="00D106A4">
        <w:rPr>
          <w:rFonts w:ascii="Verdana" w:hAnsi="Verdana"/>
          <w:b/>
        </w:rPr>
        <w:t>Option 3</w:t>
      </w:r>
      <w:r>
        <w:rPr>
          <w:rFonts w:ascii="Verdana" w:hAnsi="Verdana"/>
        </w:rPr>
        <w:t xml:space="preserve">. </w:t>
      </w:r>
      <w:r w:rsidR="00D106A4">
        <w:rPr>
          <w:rFonts w:ascii="Verdana" w:hAnsi="Verdana"/>
        </w:rPr>
        <w:t>Services pre</w:t>
      </w:r>
      <w:r w:rsidR="00F402E0">
        <w:rPr>
          <w:rFonts w:ascii="Verdana" w:hAnsi="Verdana"/>
        </w:rPr>
        <w:t>scribed in Option 2</w:t>
      </w:r>
      <w:r w:rsidR="00C04154">
        <w:rPr>
          <w:rFonts w:ascii="Verdana" w:hAnsi="Verdana"/>
        </w:rPr>
        <w:t xml:space="preserve"> with the addition of </w:t>
      </w:r>
      <w:r w:rsidR="00D106A4">
        <w:rPr>
          <w:rFonts w:ascii="Verdana" w:hAnsi="Verdana"/>
        </w:rPr>
        <w:t>other universal</w:t>
      </w:r>
      <w:r w:rsidR="004A34D0">
        <w:rPr>
          <w:rFonts w:ascii="Verdana" w:hAnsi="Verdana"/>
        </w:rPr>
        <w:t xml:space="preserve"> health and education services</w:t>
      </w:r>
      <w:r w:rsidR="00D106A4">
        <w:rPr>
          <w:rFonts w:ascii="Verdana" w:hAnsi="Verdana"/>
        </w:rPr>
        <w:t xml:space="preserve"> and child service providers</w:t>
      </w:r>
      <w:r w:rsidR="0008323E">
        <w:rPr>
          <w:rFonts w:ascii="Verdana" w:hAnsi="Verdana"/>
        </w:rPr>
        <w:t>.</w:t>
      </w:r>
    </w:p>
    <w:p w:rsidR="00295562" w:rsidRPr="00485F3F" w:rsidRDefault="00A212F3" w:rsidP="00485F3F">
      <w:pPr>
        <w:pStyle w:val="WOVGbody"/>
        <w:rPr>
          <w:rFonts w:ascii="Verdana" w:hAnsi="Verdana"/>
        </w:rPr>
      </w:pPr>
      <w:r>
        <w:rPr>
          <w:rFonts w:ascii="Verdana" w:hAnsi="Verdana"/>
        </w:rPr>
        <w:t xml:space="preserve">In its final report, the </w:t>
      </w:r>
      <w:r w:rsidR="00295562" w:rsidRPr="00485F3F">
        <w:rPr>
          <w:rFonts w:ascii="Verdana" w:hAnsi="Verdana"/>
        </w:rPr>
        <w:t>McClellan Royal Commission</w:t>
      </w:r>
      <w:r w:rsidR="00295562" w:rsidRPr="00485F3F" w:rsidDel="00D431F1">
        <w:rPr>
          <w:rFonts w:ascii="Verdana" w:hAnsi="Verdana"/>
        </w:rPr>
        <w:t xml:space="preserve"> </w:t>
      </w:r>
      <w:r>
        <w:rPr>
          <w:rFonts w:ascii="Verdana" w:hAnsi="Verdana"/>
        </w:rPr>
        <w:t xml:space="preserve">stated </w:t>
      </w:r>
      <w:r w:rsidR="00295562" w:rsidRPr="00485F3F">
        <w:rPr>
          <w:rFonts w:ascii="Verdana" w:hAnsi="Verdana"/>
        </w:rPr>
        <w:t xml:space="preserve">that </w:t>
      </w:r>
      <w:r>
        <w:rPr>
          <w:rFonts w:ascii="Verdana" w:hAnsi="Verdana"/>
        </w:rPr>
        <w:t xml:space="preserve">entities </w:t>
      </w:r>
      <w:r w:rsidR="00622B40">
        <w:rPr>
          <w:rFonts w:ascii="Verdana" w:hAnsi="Verdana"/>
        </w:rPr>
        <w:t xml:space="preserve">prescribed for </w:t>
      </w:r>
      <w:r w:rsidR="003F46D1">
        <w:rPr>
          <w:rFonts w:ascii="Verdana" w:hAnsi="Verdana"/>
        </w:rPr>
        <w:t xml:space="preserve">the recommended information </w:t>
      </w:r>
      <w:r w:rsidR="00622B40">
        <w:rPr>
          <w:rFonts w:ascii="Verdana" w:hAnsi="Verdana"/>
        </w:rPr>
        <w:t xml:space="preserve">sharing scheme </w:t>
      </w:r>
      <w:r>
        <w:rPr>
          <w:rFonts w:ascii="Verdana" w:hAnsi="Verdana"/>
        </w:rPr>
        <w:t xml:space="preserve">should </w:t>
      </w:r>
      <w:r w:rsidR="00295562" w:rsidRPr="00485F3F">
        <w:rPr>
          <w:rFonts w:ascii="Verdana" w:hAnsi="Verdana"/>
        </w:rPr>
        <w:t>include government and non-government agencies responsible for the provision or supervision of services in support of the wellbeing or safety of children. The Royal Commission</w:t>
      </w:r>
      <w:r w:rsidR="00295562" w:rsidRPr="00485F3F" w:rsidDel="00D431F1">
        <w:rPr>
          <w:rFonts w:ascii="Verdana" w:hAnsi="Verdana"/>
        </w:rPr>
        <w:t xml:space="preserve"> </w:t>
      </w:r>
      <w:r w:rsidR="00295562" w:rsidRPr="00485F3F">
        <w:rPr>
          <w:rFonts w:ascii="Verdana" w:hAnsi="Verdana"/>
        </w:rPr>
        <w:t xml:space="preserve">acknowledged that the scope of prescribed </w:t>
      </w:r>
      <w:r>
        <w:rPr>
          <w:rFonts w:ascii="Verdana" w:hAnsi="Verdana"/>
        </w:rPr>
        <w:t>entities</w:t>
      </w:r>
      <w:r w:rsidR="00295562" w:rsidRPr="00485F3F">
        <w:rPr>
          <w:rFonts w:ascii="Verdana" w:hAnsi="Verdana"/>
        </w:rPr>
        <w:t xml:space="preserve"> should capture a very wide range of institutions of different sizes and with varying governance arrangements and capacity to meet the recommended safeguards.</w:t>
      </w:r>
    </w:p>
    <w:p w:rsidR="00295562" w:rsidRPr="00485F3F" w:rsidRDefault="00295562" w:rsidP="00485F3F">
      <w:pPr>
        <w:pStyle w:val="WOVGbody"/>
        <w:rPr>
          <w:rFonts w:ascii="Verdana" w:hAnsi="Verdana"/>
        </w:rPr>
      </w:pPr>
      <w:r w:rsidRPr="00485F3F">
        <w:rPr>
          <w:rFonts w:ascii="Verdana" w:hAnsi="Verdana"/>
        </w:rPr>
        <w:t>Further, the Royal Commission</w:t>
      </w:r>
      <w:r w:rsidRPr="00485F3F" w:rsidDel="00D431F1">
        <w:rPr>
          <w:rFonts w:ascii="Verdana" w:hAnsi="Verdana"/>
        </w:rPr>
        <w:t xml:space="preserve"> </w:t>
      </w:r>
      <w:r w:rsidRPr="00485F3F">
        <w:rPr>
          <w:rFonts w:ascii="Verdana" w:hAnsi="Verdana"/>
        </w:rPr>
        <w:t>recommended a careful and phased appr</w:t>
      </w:r>
      <w:r w:rsidR="00485F3F">
        <w:rPr>
          <w:rFonts w:ascii="Verdana" w:hAnsi="Verdana"/>
        </w:rPr>
        <w:t>oach in rolling out the scheme.</w:t>
      </w:r>
    </w:p>
    <w:p w:rsidR="002A2996" w:rsidRPr="00485F3F" w:rsidRDefault="00295562" w:rsidP="00485F3F">
      <w:pPr>
        <w:pStyle w:val="WOVGbody"/>
        <w:rPr>
          <w:rFonts w:ascii="Verdana" w:hAnsi="Verdana"/>
        </w:rPr>
      </w:pPr>
      <w:r w:rsidRPr="00485F3F">
        <w:rPr>
          <w:rFonts w:ascii="Verdana" w:hAnsi="Verdana"/>
        </w:rPr>
        <w:t>In line with these recommendations, the CIS Scheme assumes a phased a</w:t>
      </w:r>
      <w:r w:rsidR="002A2996" w:rsidRPr="00485F3F">
        <w:rPr>
          <w:rFonts w:ascii="Verdana" w:hAnsi="Verdana"/>
        </w:rPr>
        <w:t xml:space="preserve">pproach to implementation. Phase One of the CIS Scheme includes services that assess and respond to children most at risk. This includes community and family services, family violence services, Child Protection, Victoria Police and a number of other health and justice services. A full list of the services prescribed for Phase One of the CIS Scheme is presented in Appendix A. </w:t>
      </w:r>
    </w:p>
    <w:p w:rsidR="0065551F" w:rsidRPr="00485F3F" w:rsidRDefault="002A2996" w:rsidP="00485F3F">
      <w:pPr>
        <w:pStyle w:val="WOVGbody"/>
        <w:rPr>
          <w:rFonts w:ascii="Verdana" w:hAnsi="Verdana"/>
        </w:rPr>
      </w:pPr>
      <w:r w:rsidRPr="00485F3F">
        <w:rPr>
          <w:rFonts w:ascii="Verdana" w:hAnsi="Verdana"/>
        </w:rPr>
        <w:t>O</w:t>
      </w:r>
      <w:r w:rsidR="00295562" w:rsidRPr="00485F3F">
        <w:rPr>
          <w:rFonts w:ascii="Verdana" w:hAnsi="Verdana"/>
        </w:rPr>
        <w:t xml:space="preserve">nce fully implemented, </w:t>
      </w:r>
      <w:r w:rsidRPr="00485F3F">
        <w:rPr>
          <w:rFonts w:ascii="Verdana" w:hAnsi="Verdana"/>
        </w:rPr>
        <w:t xml:space="preserve">the CIS Scheme </w:t>
      </w:r>
      <w:r w:rsidR="00295562" w:rsidRPr="00485F3F">
        <w:rPr>
          <w:rFonts w:ascii="Verdana" w:hAnsi="Verdana"/>
        </w:rPr>
        <w:t>will involve a wide range of both government and non-government agencies. Further, the phased implementation of the CIS Scheme is as far as possible aligned with the implementation of the FVIS Scheme.</w:t>
      </w:r>
    </w:p>
    <w:p w:rsidR="00521BD0" w:rsidRDefault="00521BD0" w:rsidP="00521BD0">
      <w:pPr>
        <w:pStyle w:val="WOVGbody"/>
        <w:rPr>
          <w:rFonts w:ascii="Verdana" w:hAnsi="Verdana"/>
        </w:rPr>
      </w:pPr>
      <w:r w:rsidRPr="00521BD0">
        <w:rPr>
          <w:rFonts w:ascii="Verdana" w:hAnsi="Verdana"/>
        </w:rPr>
        <w:t xml:space="preserve">The options </w:t>
      </w:r>
      <w:r w:rsidR="0065551F">
        <w:rPr>
          <w:rFonts w:ascii="Verdana" w:hAnsi="Verdana"/>
        </w:rPr>
        <w:t>for Phase Two prescription</w:t>
      </w:r>
      <w:r w:rsidR="0017732D">
        <w:rPr>
          <w:rFonts w:ascii="Verdana" w:hAnsi="Verdana"/>
        </w:rPr>
        <w:t xml:space="preserve"> </w:t>
      </w:r>
      <w:r w:rsidRPr="00521BD0">
        <w:rPr>
          <w:rFonts w:ascii="Verdana" w:hAnsi="Verdana"/>
        </w:rPr>
        <w:t>are presented in further detail below.</w:t>
      </w:r>
    </w:p>
    <w:p w:rsidR="00521BD0" w:rsidRPr="00F402E0" w:rsidRDefault="00F402E0" w:rsidP="00F402E0">
      <w:pPr>
        <w:pStyle w:val="Heading3"/>
        <w:rPr>
          <w:rFonts w:ascii="Verdana" w:hAnsi="Verdana"/>
        </w:rPr>
      </w:pPr>
      <w:r w:rsidRPr="00F402E0">
        <w:rPr>
          <w:rFonts w:ascii="Verdana" w:hAnsi="Verdana"/>
        </w:rPr>
        <w:t xml:space="preserve">Option 1: Targeted prescription of universal </w:t>
      </w:r>
      <w:r w:rsidR="00AE42CF">
        <w:rPr>
          <w:rFonts w:ascii="Verdana" w:hAnsi="Verdana"/>
        </w:rPr>
        <w:t>health services</w:t>
      </w:r>
    </w:p>
    <w:p w:rsidR="007D3D73" w:rsidRDefault="00AE42CF" w:rsidP="007D3D73">
      <w:pPr>
        <w:pStyle w:val="WOVGbody"/>
        <w:rPr>
          <w:rFonts w:ascii="Verdana" w:hAnsi="Verdana"/>
        </w:rPr>
      </w:pPr>
      <w:r>
        <w:rPr>
          <w:rFonts w:ascii="Verdana" w:hAnsi="Verdana"/>
        </w:rPr>
        <w:t xml:space="preserve">This option </w:t>
      </w:r>
      <w:r w:rsidR="00121846">
        <w:rPr>
          <w:rFonts w:ascii="Verdana" w:hAnsi="Verdana"/>
        </w:rPr>
        <w:t>would</w:t>
      </w:r>
      <w:r>
        <w:rPr>
          <w:rFonts w:ascii="Verdana" w:hAnsi="Verdana"/>
        </w:rPr>
        <w:t xml:space="preserve"> include health services that are </w:t>
      </w:r>
      <w:r w:rsidR="00121846">
        <w:rPr>
          <w:rFonts w:ascii="Verdana" w:hAnsi="Verdana"/>
        </w:rPr>
        <w:t>likely to already be sharing or will be in a position to share effectively with</w:t>
      </w:r>
      <w:r w:rsidR="00F83286">
        <w:rPr>
          <w:rFonts w:ascii="Verdana" w:hAnsi="Verdana"/>
        </w:rPr>
        <w:t xml:space="preserve"> secondary and tertiary services</w:t>
      </w:r>
      <w:r w:rsidR="00121846">
        <w:rPr>
          <w:rFonts w:ascii="Verdana" w:hAnsi="Verdana"/>
        </w:rPr>
        <w:t xml:space="preserve"> prescribed under Phase One of the </w:t>
      </w:r>
      <w:r w:rsidR="00EC24E5">
        <w:rPr>
          <w:rFonts w:ascii="Verdana" w:hAnsi="Verdana"/>
        </w:rPr>
        <w:t>s</w:t>
      </w:r>
      <w:r w:rsidR="00121846">
        <w:rPr>
          <w:rFonts w:ascii="Verdana" w:hAnsi="Verdana"/>
        </w:rPr>
        <w:t>cheme</w:t>
      </w:r>
      <w:r w:rsidR="00A445D6">
        <w:rPr>
          <w:rFonts w:ascii="Verdana" w:hAnsi="Verdana"/>
        </w:rPr>
        <w:t xml:space="preserve">, in particular in cases that relate to the safety of a child. </w:t>
      </w:r>
      <w:r w:rsidR="00141D4A">
        <w:rPr>
          <w:rFonts w:ascii="Verdana" w:hAnsi="Verdana"/>
        </w:rPr>
        <w:t xml:space="preserve">This option involves </w:t>
      </w:r>
      <w:r w:rsidR="00884B04">
        <w:rPr>
          <w:rFonts w:ascii="Verdana" w:hAnsi="Verdana"/>
        </w:rPr>
        <w:t xml:space="preserve">prescribing hospitals and </w:t>
      </w:r>
      <w:r w:rsidR="00BC74F3">
        <w:rPr>
          <w:rFonts w:ascii="Verdana" w:hAnsi="Verdana"/>
        </w:rPr>
        <w:t>general practitioners (</w:t>
      </w:r>
      <w:r w:rsidR="00884B04">
        <w:rPr>
          <w:rFonts w:ascii="Verdana" w:hAnsi="Verdana"/>
        </w:rPr>
        <w:t>GPs</w:t>
      </w:r>
      <w:r w:rsidR="00BC74F3">
        <w:rPr>
          <w:rFonts w:ascii="Verdana" w:hAnsi="Verdana"/>
        </w:rPr>
        <w:t>)</w:t>
      </w:r>
      <w:r w:rsidR="00C27EA4">
        <w:rPr>
          <w:rFonts w:ascii="Verdana" w:hAnsi="Verdana"/>
        </w:rPr>
        <w:t xml:space="preserve"> </w:t>
      </w:r>
      <w:r w:rsidR="00C04154">
        <w:rPr>
          <w:rFonts w:ascii="Verdana" w:hAnsi="Verdana"/>
        </w:rPr>
        <w:t xml:space="preserve">as </w:t>
      </w:r>
      <w:r w:rsidR="008D020B">
        <w:rPr>
          <w:rFonts w:ascii="Verdana" w:hAnsi="Verdana"/>
        </w:rPr>
        <w:t>workforces</w:t>
      </w:r>
      <w:r w:rsidR="00C27EA4">
        <w:rPr>
          <w:rFonts w:ascii="Verdana" w:hAnsi="Verdana"/>
        </w:rPr>
        <w:t xml:space="preserve"> </w:t>
      </w:r>
      <w:r w:rsidR="008D020B">
        <w:rPr>
          <w:rFonts w:ascii="Verdana" w:hAnsi="Verdana"/>
        </w:rPr>
        <w:t>that</w:t>
      </w:r>
      <w:r w:rsidR="00C27EA4">
        <w:rPr>
          <w:rFonts w:ascii="Verdana" w:hAnsi="Verdana"/>
        </w:rPr>
        <w:t xml:space="preserve"> collect and ha</w:t>
      </w:r>
      <w:r w:rsidR="00C4189F">
        <w:rPr>
          <w:rFonts w:ascii="Verdana" w:hAnsi="Verdana"/>
        </w:rPr>
        <w:t>ve</w:t>
      </w:r>
      <w:r w:rsidR="00C27EA4">
        <w:rPr>
          <w:rFonts w:ascii="Verdana" w:hAnsi="Verdana"/>
        </w:rPr>
        <w:t xml:space="preserve"> access to information deemed relevant to</w:t>
      </w:r>
      <w:r w:rsidR="00884B04">
        <w:rPr>
          <w:rFonts w:ascii="Verdana" w:hAnsi="Verdana"/>
        </w:rPr>
        <w:t xml:space="preserve"> child wellbeing or safety. </w:t>
      </w:r>
      <w:r w:rsidR="007D3D73">
        <w:rPr>
          <w:rFonts w:ascii="Verdana" w:hAnsi="Verdana"/>
        </w:rPr>
        <w:t>The option</w:t>
      </w:r>
      <w:r w:rsidR="005651E5">
        <w:rPr>
          <w:rFonts w:ascii="Verdana" w:hAnsi="Verdana"/>
        </w:rPr>
        <w:t xml:space="preserve"> would involve an estimated 1,750 organisations employing some </w:t>
      </w:r>
      <w:r w:rsidR="00EC0964">
        <w:rPr>
          <w:rFonts w:ascii="Verdana" w:hAnsi="Verdana"/>
        </w:rPr>
        <w:t>150</w:t>
      </w:r>
      <w:r w:rsidR="00950474">
        <w:rPr>
          <w:rFonts w:ascii="Verdana" w:hAnsi="Verdana"/>
        </w:rPr>
        <w:t>,000 workers, and</w:t>
      </w:r>
      <w:r w:rsidR="007D3D73">
        <w:rPr>
          <w:rFonts w:ascii="Verdana" w:hAnsi="Verdana"/>
        </w:rPr>
        <w:t xml:space="preserve"> would need to consider possible gaps in information sharing created by a more restrictive prescription of services and the resulting </w:t>
      </w:r>
      <w:r w:rsidR="007D3D73" w:rsidRPr="004A7FB1">
        <w:rPr>
          <w:rFonts w:ascii="Verdana" w:hAnsi="Verdana"/>
        </w:rPr>
        <w:t>decoupling of the implementation of the CIS and FVIS schemes</w:t>
      </w:r>
      <w:r w:rsidR="007D3D73">
        <w:rPr>
          <w:rFonts w:ascii="Verdana" w:hAnsi="Verdana"/>
        </w:rPr>
        <w:t>.</w:t>
      </w:r>
    </w:p>
    <w:p w:rsidR="00F402E0" w:rsidRPr="007D3D73" w:rsidRDefault="00F402E0" w:rsidP="007D3D73">
      <w:pPr>
        <w:pStyle w:val="Heading3"/>
        <w:rPr>
          <w:rFonts w:ascii="Verdana" w:hAnsi="Verdana"/>
        </w:rPr>
      </w:pPr>
      <w:r w:rsidRPr="007D3D73">
        <w:rPr>
          <w:rFonts w:ascii="Verdana" w:hAnsi="Verdana"/>
        </w:rPr>
        <w:lastRenderedPageBreak/>
        <w:t xml:space="preserve">Option 2: Targeted prescription of universal </w:t>
      </w:r>
      <w:r w:rsidR="00AE42CF" w:rsidRPr="007D3D73">
        <w:rPr>
          <w:rFonts w:ascii="Verdana" w:hAnsi="Verdana"/>
        </w:rPr>
        <w:t xml:space="preserve">health and education services </w:t>
      </w:r>
      <w:r w:rsidRPr="007D3D73">
        <w:rPr>
          <w:rFonts w:ascii="Verdana" w:hAnsi="Verdana"/>
        </w:rPr>
        <w:t>and other key child service providers</w:t>
      </w:r>
    </w:p>
    <w:p w:rsidR="00F402E0" w:rsidRPr="00F402E0" w:rsidRDefault="00121846" w:rsidP="00485F3F">
      <w:pPr>
        <w:pStyle w:val="WOVGbody"/>
        <w:rPr>
          <w:rFonts w:ascii="Verdana" w:hAnsi="Verdana"/>
        </w:rPr>
      </w:pPr>
      <w:r>
        <w:rPr>
          <w:rFonts w:ascii="Verdana" w:hAnsi="Verdana"/>
        </w:rPr>
        <w:t>T</w:t>
      </w:r>
      <w:r w:rsidR="00F402E0" w:rsidRPr="00F402E0">
        <w:rPr>
          <w:rFonts w:ascii="Verdana" w:hAnsi="Verdana"/>
        </w:rPr>
        <w:t xml:space="preserve">his option </w:t>
      </w:r>
      <w:r>
        <w:rPr>
          <w:rFonts w:ascii="Verdana" w:hAnsi="Verdana"/>
        </w:rPr>
        <w:t>would</w:t>
      </w:r>
      <w:r w:rsidR="00F402E0" w:rsidRPr="00F402E0">
        <w:rPr>
          <w:rFonts w:ascii="Verdana" w:hAnsi="Verdana"/>
        </w:rPr>
        <w:t xml:space="preserve"> </w:t>
      </w:r>
      <w:r>
        <w:rPr>
          <w:rFonts w:ascii="Verdana" w:hAnsi="Verdana"/>
        </w:rPr>
        <w:t xml:space="preserve">include </w:t>
      </w:r>
      <w:r w:rsidR="00F402E0" w:rsidRPr="00F402E0">
        <w:rPr>
          <w:rFonts w:ascii="Verdana" w:hAnsi="Verdana"/>
        </w:rPr>
        <w:t xml:space="preserve">a number of government and non-government agencies responsible for the provision or supervision of services related to the wellbeing or safety of children. Under this option, the scope of </w:t>
      </w:r>
      <w:r w:rsidR="005E3D4C">
        <w:rPr>
          <w:rFonts w:ascii="Verdana" w:hAnsi="Verdana"/>
        </w:rPr>
        <w:t>ISEs</w:t>
      </w:r>
      <w:r>
        <w:rPr>
          <w:rFonts w:ascii="Verdana" w:hAnsi="Verdana"/>
        </w:rPr>
        <w:t xml:space="preserve"> </w:t>
      </w:r>
      <w:r w:rsidR="00F402E0" w:rsidRPr="00F402E0">
        <w:rPr>
          <w:rFonts w:ascii="Verdana" w:hAnsi="Verdana"/>
        </w:rPr>
        <w:t xml:space="preserve">includes a variety of primary and universal </w:t>
      </w:r>
      <w:r w:rsidR="005E3D4C">
        <w:rPr>
          <w:rFonts w:ascii="Verdana" w:hAnsi="Verdana"/>
        </w:rPr>
        <w:t>services representing organisations</w:t>
      </w:r>
      <w:r w:rsidR="00F402E0" w:rsidRPr="00F402E0">
        <w:rPr>
          <w:rFonts w:ascii="Verdana" w:hAnsi="Verdana"/>
        </w:rPr>
        <w:t xml:space="preserve"> of different sizes and governance arrangements, and would include the very large education and health service sectors. The list of prescribed </w:t>
      </w:r>
      <w:r w:rsidR="00D626E0">
        <w:rPr>
          <w:rFonts w:ascii="Verdana" w:hAnsi="Verdana"/>
        </w:rPr>
        <w:t>ISE</w:t>
      </w:r>
      <w:r w:rsidR="00F402E0" w:rsidRPr="00F402E0">
        <w:rPr>
          <w:rFonts w:ascii="Verdana" w:hAnsi="Verdana"/>
        </w:rPr>
        <w:t xml:space="preserve">s </w:t>
      </w:r>
      <w:r w:rsidR="00E93800">
        <w:rPr>
          <w:rFonts w:ascii="Verdana" w:hAnsi="Verdana"/>
        </w:rPr>
        <w:t>for this option would include</w:t>
      </w:r>
      <w:r w:rsidR="00F402E0" w:rsidRPr="00F402E0">
        <w:rPr>
          <w:rFonts w:ascii="Verdana" w:hAnsi="Verdana"/>
        </w:rPr>
        <w:t>:</w:t>
      </w:r>
    </w:p>
    <w:p w:rsidR="00F402E0" w:rsidRDefault="003F46D1" w:rsidP="00A76FAF">
      <w:pPr>
        <w:pStyle w:val="WOVGbody"/>
        <w:numPr>
          <w:ilvl w:val="0"/>
          <w:numId w:val="23"/>
        </w:numPr>
        <w:ind w:left="426"/>
        <w:rPr>
          <w:rFonts w:ascii="Verdana" w:hAnsi="Verdana"/>
        </w:rPr>
      </w:pPr>
      <w:r>
        <w:rPr>
          <w:rFonts w:ascii="Verdana" w:hAnsi="Verdana"/>
        </w:rPr>
        <w:t>g</w:t>
      </w:r>
      <w:r w:rsidR="00F402E0" w:rsidRPr="00485F3F">
        <w:rPr>
          <w:rFonts w:ascii="Verdana" w:hAnsi="Verdana"/>
        </w:rPr>
        <w:t>overnment and non-government schools</w:t>
      </w:r>
    </w:p>
    <w:p w:rsidR="003870D3" w:rsidRPr="00485F3F" w:rsidRDefault="003870D3" w:rsidP="003870D3">
      <w:pPr>
        <w:pStyle w:val="WOVGbody"/>
        <w:numPr>
          <w:ilvl w:val="0"/>
          <w:numId w:val="23"/>
        </w:numPr>
        <w:ind w:left="426"/>
        <w:rPr>
          <w:rFonts w:ascii="Verdana" w:hAnsi="Verdana"/>
        </w:rPr>
      </w:pPr>
      <w:r>
        <w:rPr>
          <w:rFonts w:ascii="Verdana" w:hAnsi="Verdana"/>
        </w:rPr>
        <w:t>s</w:t>
      </w:r>
      <w:r w:rsidRPr="00485F3F">
        <w:rPr>
          <w:rFonts w:ascii="Verdana" w:hAnsi="Verdana"/>
        </w:rPr>
        <w:t xml:space="preserve">tudent support </w:t>
      </w:r>
      <w:r>
        <w:rPr>
          <w:rFonts w:ascii="Verdana" w:hAnsi="Verdana"/>
        </w:rPr>
        <w:t xml:space="preserve">and child wellbeing </w:t>
      </w:r>
      <w:r w:rsidRPr="00485F3F">
        <w:rPr>
          <w:rFonts w:ascii="Verdana" w:hAnsi="Verdana"/>
        </w:rPr>
        <w:t>services</w:t>
      </w:r>
    </w:p>
    <w:p w:rsidR="003870D3" w:rsidRDefault="003870D3" w:rsidP="003870D3">
      <w:pPr>
        <w:pStyle w:val="WOVGbody"/>
        <w:numPr>
          <w:ilvl w:val="0"/>
          <w:numId w:val="23"/>
        </w:numPr>
        <w:ind w:left="426"/>
        <w:rPr>
          <w:rFonts w:ascii="Verdana" w:hAnsi="Verdana"/>
        </w:rPr>
      </w:pPr>
      <w:r>
        <w:rPr>
          <w:rFonts w:ascii="Verdana" w:hAnsi="Verdana"/>
        </w:rPr>
        <w:t>e</w:t>
      </w:r>
      <w:r w:rsidRPr="00485F3F">
        <w:rPr>
          <w:rFonts w:ascii="Verdana" w:hAnsi="Verdana"/>
        </w:rPr>
        <w:t>arly childhood education services</w:t>
      </w:r>
    </w:p>
    <w:p w:rsidR="007772F2" w:rsidRPr="003870D3" w:rsidRDefault="00FA2221" w:rsidP="003870D3">
      <w:pPr>
        <w:pStyle w:val="WOVGbody"/>
        <w:numPr>
          <w:ilvl w:val="0"/>
          <w:numId w:val="23"/>
        </w:numPr>
        <w:ind w:left="426"/>
        <w:rPr>
          <w:rFonts w:ascii="Verdana" w:hAnsi="Verdana"/>
        </w:rPr>
      </w:pPr>
      <w:r>
        <w:rPr>
          <w:rFonts w:ascii="Verdana" w:hAnsi="Verdana"/>
        </w:rPr>
        <w:t>o</w:t>
      </w:r>
      <w:r w:rsidR="007772F2">
        <w:rPr>
          <w:rFonts w:ascii="Verdana" w:hAnsi="Verdana"/>
        </w:rPr>
        <w:t>utside school hours care</w:t>
      </w:r>
    </w:p>
    <w:p w:rsidR="00F402E0" w:rsidRDefault="003F46D1" w:rsidP="00A76FAF">
      <w:pPr>
        <w:pStyle w:val="WOVGbody"/>
        <w:numPr>
          <w:ilvl w:val="0"/>
          <w:numId w:val="23"/>
        </w:numPr>
        <w:ind w:left="426"/>
        <w:rPr>
          <w:rFonts w:ascii="Verdana" w:hAnsi="Verdana"/>
        </w:rPr>
      </w:pPr>
      <w:r>
        <w:rPr>
          <w:rFonts w:ascii="Verdana" w:hAnsi="Verdana"/>
        </w:rPr>
        <w:t>h</w:t>
      </w:r>
      <w:r w:rsidR="00F402E0" w:rsidRPr="00485F3F">
        <w:rPr>
          <w:rFonts w:ascii="Verdana" w:hAnsi="Verdana"/>
        </w:rPr>
        <w:t>ospitals</w:t>
      </w:r>
    </w:p>
    <w:p w:rsidR="003870D3" w:rsidRPr="00485F3F" w:rsidRDefault="003870D3" w:rsidP="00A76FAF">
      <w:pPr>
        <w:pStyle w:val="WOVGbody"/>
        <w:numPr>
          <w:ilvl w:val="0"/>
          <w:numId w:val="23"/>
        </w:numPr>
        <w:ind w:left="426"/>
        <w:rPr>
          <w:rFonts w:ascii="Verdana" w:hAnsi="Verdana"/>
        </w:rPr>
      </w:pPr>
      <w:r>
        <w:rPr>
          <w:rFonts w:ascii="Verdana" w:hAnsi="Verdana"/>
        </w:rPr>
        <w:t>state funded aged care services</w:t>
      </w:r>
    </w:p>
    <w:p w:rsidR="003870D3" w:rsidRDefault="003870D3" w:rsidP="00A76FAF">
      <w:pPr>
        <w:pStyle w:val="WOVGbody"/>
        <w:numPr>
          <w:ilvl w:val="0"/>
          <w:numId w:val="23"/>
        </w:numPr>
        <w:ind w:left="426"/>
        <w:rPr>
          <w:rFonts w:ascii="Verdana" w:hAnsi="Verdana"/>
        </w:rPr>
      </w:pPr>
      <w:r>
        <w:rPr>
          <w:rFonts w:ascii="Verdana" w:hAnsi="Verdana"/>
        </w:rPr>
        <w:t>general practice</w:t>
      </w:r>
    </w:p>
    <w:p w:rsidR="003870D3" w:rsidRDefault="003870D3" w:rsidP="00A76FAF">
      <w:pPr>
        <w:pStyle w:val="WOVGbody"/>
        <w:numPr>
          <w:ilvl w:val="0"/>
          <w:numId w:val="23"/>
        </w:numPr>
        <w:ind w:left="426"/>
        <w:rPr>
          <w:rFonts w:ascii="Verdana" w:hAnsi="Verdana"/>
        </w:rPr>
      </w:pPr>
      <w:r>
        <w:rPr>
          <w:rFonts w:ascii="Verdana" w:hAnsi="Verdana"/>
        </w:rPr>
        <w:t>community health services</w:t>
      </w:r>
    </w:p>
    <w:p w:rsidR="007772F2" w:rsidRDefault="00FA2221" w:rsidP="00A76FAF">
      <w:pPr>
        <w:pStyle w:val="WOVGbody"/>
        <w:numPr>
          <w:ilvl w:val="0"/>
          <w:numId w:val="23"/>
        </w:numPr>
        <w:ind w:left="426"/>
        <w:rPr>
          <w:rFonts w:ascii="Verdana" w:hAnsi="Verdana"/>
        </w:rPr>
      </w:pPr>
      <w:r>
        <w:rPr>
          <w:rFonts w:ascii="Verdana" w:hAnsi="Verdana"/>
        </w:rPr>
        <w:t>h</w:t>
      </w:r>
      <w:r w:rsidR="007772F2">
        <w:rPr>
          <w:rFonts w:ascii="Verdana" w:hAnsi="Verdana"/>
        </w:rPr>
        <w:t>ousing services</w:t>
      </w:r>
    </w:p>
    <w:p w:rsidR="00371156" w:rsidRDefault="00371156" w:rsidP="00A76FAF">
      <w:pPr>
        <w:pStyle w:val="WOVGbody"/>
        <w:numPr>
          <w:ilvl w:val="0"/>
          <w:numId w:val="23"/>
        </w:numPr>
        <w:ind w:left="426"/>
        <w:rPr>
          <w:rFonts w:ascii="Verdana" w:hAnsi="Verdana"/>
        </w:rPr>
      </w:pPr>
      <w:r>
        <w:rPr>
          <w:rFonts w:ascii="Verdana" w:hAnsi="Verdana"/>
        </w:rPr>
        <w:t>forensic disability</w:t>
      </w:r>
    </w:p>
    <w:p w:rsidR="007772F2" w:rsidRDefault="00371156" w:rsidP="00A76FAF">
      <w:pPr>
        <w:pStyle w:val="WOVGbody"/>
        <w:numPr>
          <w:ilvl w:val="0"/>
          <w:numId w:val="23"/>
        </w:numPr>
        <w:ind w:left="426"/>
        <w:rPr>
          <w:rFonts w:ascii="Verdana" w:hAnsi="Verdana"/>
        </w:rPr>
      </w:pPr>
      <w:r>
        <w:rPr>
          <w:rFonts w:ascii="Verdana" w:hAnsi="Verdana"/>
        </w:rPr>
        <w:t xml:space="preserve">community </w:t>
      </w:r>
      <w:r w:rsidR="00FA2221">
        <w:rPr>
          <w:rFonts w:ascii="Verdana" w:hAnsi="Verdana"/>
        </w:rPr>
        <w:t>m</w:t>
      </w:r>
      <w:r w:rsidR="007772F2">
        <w:rPr>
          <w:rFonts w:ascii="Verdana" w:hAnsi="Verdana"/>
        </w:rPr>
        <w:t>ental health services</w:t>
      </w:r>
    </w:p>
    <w:p w:rsidR="007772F2" w:rsidRDefault="00FA2221" w:rsidP="00A76FAF">
      <w:pPr>
        <w:pStyle w:val="WOVGbody"/>
        <w:numPr>
          <w:ilvl w:val="0"/>
          <w:numId w:val="23"/>
        </w:numPr>
        <w:ind w:left="426"/>
        <w:rPr>
          <w:rFonts w:ascii="Verdana" w:hAnsi="Verdana"/>
        </w:rPr>
      </w:pPr>
      <w:r>
        <w:rPr>
          <w:rFonts w:ascii="Verdana" w:hAnsi="Verdana"/>
        </w:rPr>
        <w:t>h</w:t>
      </w:r>
      <w:r w:rsidR="007772F2">
        <w:rPr>
          <w:rFonts w:ascii="Verdana" w:hAnsi="Verdana"/>
        </w:rPr>
        <w:t>omelessness services</w:t>
      </w:r>
    </w:p>
    <w:p w:rsidR="003870D3" w:rsidRDefault="003870D3" w:rsidP="00A76FAF">
      <w:pPr>
        <w:pStyle w:val="WOVGbody"/>
        <w:numPr>
          <w:ilvl w:val="0"/>
          <w:numId w:val="23"/>
        </w:numPr>
        <w:ind w:left="426"/>
        <w:rPr>
          <w:rFonts w:ascii="Verdana" w:hAnsi="Verdana"/>
        </w:rPr>
      </w:pPr>
      <w:r>
        <w:rPr>
          <w:rFonts w:ascii="Verdana" w:hAnsi="Verdana"/>
        </w:rPr>
        <w:t>Ambulance Victoria</w:t>
      </w:r>
    </w:p>
    <w:p w:rsidR="00F402E0" w:rsidRPr="00485F3F" w:rsidRDefault="003870D3" w:rsidP="00A76FAF">
      <w:pPr>
        <w:pStyle w:val="WOVGbody"/>
        <w:numPr>
          <w:ilvl w:val="0"/>
          <w:numId w:val="23"/>
        </w:numPr>
        <w:ind w:left="426"/>
        <w:rPr>
          <w:rFonts w:ascii="Verdana" w:hAnsi="Verdana"/>
        </w:rPr>
      </w:pPr>
      <w:r>
        <w:rPr>
          <w:rFonts w:ascii="Verdana" w:hAnsi="Verdana"/>
        </w:rPr>
        <w:t>government statutory bodies and organisations/services.</w:t>
      </w:r>
    </w:p>
    <w:p w:rsidR="00F83286" w:rsidRPr="00485F3F" w:rsidRDefault="003870D3" w:rsidP="00485F3F">
      <w:pPr>
        <w:pStyle w:val="WOVGbody"/>
        <w:rPr>
          <w:rFonts w:ascii="Verdana" w:hAnsi="Verdana"/>
        </w:rPr>
      </w:pPr>
      <w:r>
        <w:rPr>
          <w:rFonts w:ascii="Verdana" w:hAnsi="Verdana"/>
        </w:rPr>
        <w:t xml:space="preserve">For a complete presentation of the ISEs proposed for prescription under this option, please refer to Appendix B. </w:t>
      </w:r>
      <w:r w:rsidR="00F402E0" w:rsidRPr="00485F3F">
        <w:rPr>
          <w:rFonts w:ascii="Verdana" w:hAnsi="Verdana"/>
        </w:rPr>
        <w:t>This option inv</w:t>
      </w:r>
      <w:r w:rsidR="00121846" w:rsidRPr="00485F3F">
        <w:rPr>
          <w:rFonts w:ascii="Verdana" w:hAnsi="Verdana"/>
        </w:rPr>
        <w:t>olves prescribing a significant</w:t>
      </w:r>
      <w:r w:rsidR="00F402E0" w:rsidRPr="00485F3F">
        <w:rPr>
          <w:rFonts w:ascii="Verdana" w:hAnsi="Verdana"/>
        </w:rPr>
        <w:t xml:space="preserve"> number of </w:t>
      </w:r>
      <w:r w:rsidR="005651E5">
        <w:rPr>
          <w:rFonts w:ascii="Verdana" w:hAnsi="Verdana"/>
        </w:rPr>
        <w:t xml:space="preserve">ISEs, estimated at 7,500 organisations employing some 370,000 workers, </w:t>
      </w:r>
      <w:r w:rsidR="00F402E0" w:rsidRPr="00485F3F">
        <w:rPr>
          <w:rFonts w:ascii="Verdana" w:hAnsi="Verdana"/>
        </w:rPr>
        <w:t xml:space="preserve">in Phase </w:t>
      </w:r>
      <w:r w:rsidR="00121846" w:rsidRPr="00485F3F">
        <w:rPr>
          <w:rFonts w:ascii="Verdana" w:hAnsi="Verdana"/>
        </w:rPr>
        <w:t xml:space="preserve">Two </w:t>
      </w:r>
      <w:r w:rsidR="00F402E0" w:rsidRPr="00485F3F">
        <w:rPr>
          <w:rFonts w:ascii="Verdana" w:hAnsi="Verdana"/>
        </w:rPr>
        <w:t xml:space="preserve">of the CIS Scheme rollout, most likely resulting in a </w:t>
      </w:r>
      <w:r w:rsidR="00121846" w:rsidRPr="00485F3F">
        <w:rPr>
          <w:rFonts w:ascii="Verdana" w:hAnsi="Verdana"/>
        </w:rPr>
        <w:t xml:space="preserve">significant </w:t>
      </w:r>
      <w:r w:rsidR="00F402E0" w:rsidRPr="00485F3F">
        <w:rPr>
          <w:rFonts w:ascii="Verdana" w:hAnsi="Verdana"/>
        </w:rPr>
        <w:t>increase in information sharing to support the objectives of the scheme</w:t>
      </w:r>
      <w:r w:rsidR="00121846" w:rsidRPr="00485F3F">
        <w:rPr>
          <w:rFonts w:ascii="Verdana" w:hAnsi="Verdana"/>
        </w:rPr>
        <w:t>.</w:t>
      </w:r>
      <w:r w:rsidR="00F83286" w:rsidRPr="00485F3F">
        <w:rPr>
          <w:rFonts w:ascii="Verdana" w:hAnsi="Verdana"/>
        </w:rPr>
        <w:t xml:space="preserve"> </w:t>
      </w:r>
    </w:p>
    <w:p w:rsidR="003A0EE2" w:rsidRDefault="00F83286" w:rsidP="00485F3F">
      <w:pPr>
        <w:pStyle w:val="WOVGbody"/>
        <w:rPr>
          <w:rFonts w:ascii="Verdana" w:hAnsi="Verdana"/>
        </w:rPr>
      </w:pPr>
      <w:r w:rsidRPr="00485F3F">
        <w:rPr>
          <w:rFonts w:ascii="Verdana" w:hAnsi="Verdana"/>
        </w:rPr>
        <w:t xml:space="preserve">This option specifically relates to </w:t>
      </w:r>
      <w:r w:rsidR="00C27EA4" w:rsidRPr="00485F3F">
        <w:rPr>
          <w:rFonts w:ascii="Verdana" w:hAnsi="Verdana"/>
        </w:rPr>
        <w:t>objective</w:t>
      </w:r>
      <w:r w:rsidRPr="00485F3F">
        <w:rPr>
          <w:rFonts w:ascii="Verdana" w:hAnsi="Verdana"/>
        </w:rPr>
        <w:t xml:space="preserve"> 1 of the </w:t>
      </w:r>
      <w:r w:rsidR="00BF143A">
        <w:rPr>
          <w:rFonts w:ascii="Verdana" w:hAnsi="Verdana"/>
        </w:rPr>
        <w:t xml:space="preserve">proposed </w:t>
      </w:r>
      <w:r w:rsidRPr="00485F3F">
        <w:rPr>
          <w:rFonts w:ascii="Verdana" w:hAnsi="Verdana"/>
        </w:rPr>
        <w:t>Amendment Regulation</w:t>
      </w:r>
      <w:r w:rsidR="00C46314" w:rsidRPr="00485F3F">
        <w:rPr>
          <w:rFonts w:ascii="Verdana" w:hAnsi="Verdana"/>
        </w:rPr>
        <w:t>s</w:t>
      </w:r>
      <w:r w:rsidRPr="00485F3F">
        <w:rPr>
          <w:rFonts w:ascii="Verdana" w:hAnsi="Verdana"/>
        </w:rPr>
        <w:t xml:space="preserve">, by ensuring that </w:t>
      </w:r>
      <w:r w:rsidR="00C27EA4" w:rsidRPr="00485F3F">
        <w:rPr>
          <w:rFonts w:ascii="Verdana" w:hAnsi="Verdana"/>
        </w:rPr>
        <w:t xml:space="preserve">information is shared between </w:t>
      </w:r>
      <w:r w:rsidRPr="00485F3F">
        <w:rPr>
          <w:rFonts w:ascii="Verdana" w:hAnsi="Verdana"/>
        </w:rPr>
        <w:t xml:space="preserve">services </w:t>
      </w:r>
      <w:r w:rsidR="00C27EA4" w:rsidRPr="00485F3F">
        <w:rPr>
          <w:rFonts w:ascii="Verdana" w:hAnsi="Verdana"/>
        </w:rPr>
        <w:t xml:space="preserve">with timely access to information relevant to </w:t>
      </w:r>
      <w:r w:rsidRPr="00485F3F">
        <w:rPr>
          <w:rFonts w:ascii="Verdana" w:hAnsi="Verdana"/>
        </w:rPr>
        <w:t xml:space="preserve">the wellbeing or safety of </w:t>
      </w:r>
      <w:r w:rsidR="00C27EA4" w:rsidRPr="00485F3F">
        <w:rPr>
          <w:rFonts w:ascii="Verdana" w:hAnsi="Verdana"/>
        </w:rPr>
        <w:t xml:space="preserve">children. </w:t>
      </w:r>
      <w:r w:rsidRPr="00485F3F">
        <w:rPr>
          <w:rFonts w:ascii="Verdana" w:hAnsi="Verdana"/>
        </w:rPr>
        <w:t xml:space="preserve">The option relates to </w:t>
      </w:r>
      <w:r w:rsidR="00C46314" w:rsidRPr="00485F3F">
        <w:rPr>
          <w:rFonts w:ascii="Verdana" w:hAnsi="Verdana"/>
        </w:rPr>
        <w:t>objectives</w:t>
      </w:r>
      <w:r w:rsidRPr="00485F3F">
        <w:rPr>
          <w:rFonts w:ascii="Verdana" w:hAnsi="Verdana"/>
        </w:rPr>
        <w:t xml:space="preserve"> </w:t>
      </w:r>
      <w:r w:rsidR="00C27EA4" w:rsidRPr="00485F3F">
        <w:rPr>
          <w:rFonts w:ascii="Verdana" w:hAnsi="Verdana"/>
        </w:rPr>
        <w:t xml:space="preserve">2 and </w:t>
      </w:r>
      <w:r w:rsidRPr="00485F3F">
        <w:rPr>
          <w:rFonts w:ascii="Verdana" w:hAnsi="Verdana"/>
        </w:rPr>
        <w:t xml:space="preserve">3 by including entities that are </w:t>
      </w:r>
      <w:r w:rsidR="00C27EA4" w:rsidRPr="00485F3F">
        <w:rPr>
          <w:rFonts w:ascii="Verdana" w:hAnsi="Verdana"/>
        </w:rPr>
        <w:t xml:space="preserve">often </w:t>
      </w:r>
      <w:r w:rsidRPr="00485F3F">
        <w:rPr>
          <w:rFonts w:ascii="Verdana" w:hAnsi="Verdana"/>
        </w:rPr>
        <w:t>currently involved in some level of information sharing and hold existing capacity in formal risk assessment and management</w:t>
      </w:r>
      <w:r w:rsidR="00C27EA4" w:rsidRPr="00485F3F">
        <w:rPr>
          <w:rFonts w:ascii="Verdana" w:hAnsi="Verdana"/>
        </w:rPr>
        <w:t>, and have the capacity to support implementation of the scheme</w:t>
      </w:r>
      <w:r w:rsidRPr="00485F3F">
        <w:rPr>
          <w:rFonts w:ascii="Verdana" w:hAnsi="Verdana"/>
        </w:rPr>
        <w:t>.</w:t>
      </w:r>
    </w:p>
    <w:p w:rsidR="00AE42CF" w:rsidRPr="00121846" w:rsidRDefault="00AE42CF" w:rsidP="00AE42CF">
      <w:pPr>
        <w:pStyle w:val="Heading3"/>
        <w:rPr>
          <w:rFonts w:ascii="Verdana" w:hAnsi="Verdana"/>
        </w:rPr>
      </w:pPr>
      <w:r w:rsidRPr="00121846">
        <w:rPr>
          <w:rFonts w:ascii="Verdana" w:hAnsi="Verdana"/>
        </w:rPr>
        <w:t xml:space="preserve">Option 3: Services prescribed in Option 2 with the addition of other universal </w:t>
      </w:r>
      <w:r w:rsidR="004A34D0">
        <w:rPr>
          <w:rFonts w:ascii="Verdana" w:hAnsi="Verdana"/>
        </w:rPr>
        <w:t xml:space="preserve">health and education services </w:t>
      </w:r>
      <w:r w:rsidRPr="00121846">
        <w:rPr>
          <w:rFonts w:ascii="Verdana" w:hAnsi="Verdana"/>
        </w:rPr>
        <w:t>and child service providers</w:t>
      </w:r>
    </w:p>
    <w:p w:rsidR="00C04154" w:rsidRDefault="00AE42CF" w:rsidP="00521BD0">
      <w:pPr>
        <w:pStyle w:val="WOVGbody"/>
        <w:rPr>
          <w:rFonts w:ascii="Verdana" w:hAnsi="Verdana"/>
        </w:rPr>
      </w:pPr>
      <w:r w:rsidRPr="00121846">
        <w:rPr>
          <w:rFonts w:ascii="Verdana" w:hAnsi="Verdana"/>
        </w:rPr>
        <w:t xml:space="preserve">This option </w:t>
      </w:r>
      <w:r w:rsidR="00121846" w:rsidRPr="00121846">
        <w:rPr>
          <w:rFonts w:ascii="Verdana" w:hAnsi="Verdana"/>
        </w:rPr>
        <w:t>would</w:t>
      </w:r>
      <w:r w:rsidRPr="00121846">
        <w:rPr>
          <w:rFonts w:ascii="Verdana" w:hAnsi="Verdana"/>
        </w:rPr>
        <w:t xml:space="preserve"> include </w:t>
      </w:r>
      <w:r w:rsidR="00141D4A">
        <w:rPr>
          <w:rFonts w:ascii="Verdana" w:hAnsi="Verdana"/>
        </w:rPr>
        <w:t xml:space="preserve">all services under Option 2 as well as other health and education </w:t>
      </w:r>
      <w:r w:rsidR="007F7CC5">
        <w:rPr>
          <w:rFonts w:ascii="Verdana" w:hAnsi="Verdana"/>
        </w:rPr>
        <w:t>services</w:t>
      </w:r>
      <w:r w:rsidR="00C04154">
        <w:rPr>
          <w:rFonts w:ascii="Verdana" w:hAnsi="Verdana"/>
        </w:rPr>
        <w:t xml:space="preserve">. </w:t>
      </w:r>
      <w:r w:rsidR="00C04154" w:rsidRPr="00F402E0">
        <w:rPr>
          <w:rFonts w:ascii="Verdana" w:hAnsi="Verdana"/>
        </w:rPr>
        <w:t xml:space="preserve">The list of </w:t>
      </w:r>
      <w:r w:rsidR="00C04154">
        <w:rPr>
          <w:rFonts w:ascii="Verdana" w:hAnsi="Verdana"/>
        </w:rPr>
        <w:t>additional ISE</w:t>
      </w:r>
      <w:r w:rsidR="00C04154" w:rsidRPr="00F402E0">
        <w:rPr>
          <w:rFonts w:ascii="Verdana" w:hAnsi="Verdana"/>
        </w:rPr>
        <w:t xml:space="preserve">s </w:t>
      </w:r>
      <w:r w:rsidR="00C04154">
        <w:rPr>
          <w:rFonts w:ascii="Verdana" w:hAnsi="Verdana"/>
        </w:rPr>
        <w:t xml:space="preserve">prescribed under this option </w:t>
      </w:r>
      <w:r w:rsidR="003870D3">
        <w:rPr>
          <w:rFonts w:ascii="Verdana" w:hAnsi="Verdana"/>
        </w:rPr>
        <w:t>would include</w:t>
      </w:r>
      <w:r w:rsidR="00C04154">
        <w:rPr>
          <w:rFonts w:ascii="Verdana" w:hAnsi="Verdana"/>
        </w:rPr>
        <w:t>:</w:t>
      </w:r>
    </w:p>
    <w:p w:rsidR="00C04154" w:rsidRDefault="00C04154" w:rsidP="00C04154">
      <w:pPr>
        <w:pStyle w:val="WOVGbody"/>
        <w:numPr>
          <w:ilvl w:val="0"/>
          <w:numId w:val="54"/>
        </w:numPr>
        <w:rPr>
          <w:rFonts w:ascii="Verdana" w:hAnsi="Verdana"/>
        </w:rPr>
      </w:pPr>
      <w:r>
        <w:rPr>
          <w:rFonts w:ascii="Verdana" w:hAnsi="Verdana"/>
        </w:rPr>
        <w:t>disability services</w:t>
      </w:r>
    </w:p>
    <w:p w:rsidR="00C04154" w:rsidRDefault="00C04154" w:rsidP="00C04154">
      <w:pPr>
        <w:pStyle w:val="WOVGbody"/>
        <w:numPr>
          <w:ilvl w:val="0"/>
          <w:numId w:val="54"/>
        </w:numPr>
        <w:rPr>
          <w:rFonts w:ascii="Verdana" w:hAnsi="Verdana"/>
        </w:rPr>
      </w:pPr>
      <w:r>
        <w:rPr>
          <w:rFonts w:ascii="Verdana" w:hAnsi="Verdana"/>
        </w:rPr>
        <w:t>family day care services</w:t>
      </w:r>
    </w:p>
    <w:p w:rsidR="00C04154" w:rsidRDefault="007667BE" w:rsidP="00C04154">
      <w:pPr>
        <w:pStyle w:val="WOVGbody"/>
        <w:numPr>
          <w:ilvl w:val="0"/>
          <w:numId w:val="54"/>
        </w:numPr>
        <w:rPr>
          <w:rFonts w:ascii="Verdana" w:hAnsi="Verdana"/>
        </w:rPr>
      </w:pPr>
      <w:r>
        <w:rPr>
          <w:rFonts w:ascii="Verdana" w:hAnsi="Verdana"/>
        </w:rPr>
        <w:t>private aged care</w:t>
      </w:r>
      <w:r w:rsidR="00C04154">
        <w:rPr>
          <w:rFonts w:ascii="Verdana" w:hAnsi="Verdana"/>
        </w:rPr>
        <w:t xml:space="preserve"> services</w:t>
      </w:r>
    </w:p>
    <w:p w:rsidR="00C04154" w:rsidRDefault="00C04154" w:rsidP="00C04154">
      <w:pPr>
        <w:pStyle w:val="WOVGbody"/>
        <w:numPr>
          <w:ilvl w:val="0"/>
          <w:numId w:val="54"/>
        </w:numPr>
        <w:rPr>
          <w:rFonts w:ascii="Verdana" w:hAnsi="Verdana"/>
        </w:rPr>
      </w:pPr>
      <w:r>
        <w:rPr>
          <w:rFonts w:ascii="Verdana" w:hAnsi="Verdana"/>
        </w:rPr>
        <w:lastRenderedPageBreak/>
        <w:t>private hospitals</w:t>
      </w:r>
    </w:p>
    <w:p w:rsidR="00C04154" w:rsidRDefault="00C04154" w:rsidP="00C04154">
      <w:pPr>
        <w:pStyle w:val="WOVGbody"/>
        <w:numPr>
          <w:ilvl w:val="0"/>
          <w:numId w:val="54"/>
        </w:numPr>
        <w:rPr>
          <w:rFonts w:ascii="Verdana" w:hAnsi="Verdana"/>
        </w:rPr>
      </w:pPr>
      <w:r>
        <w:rPr>
          <w:rFonts w:ascii="Verdana" w:hAnsi="Verdana"/>
        </w:rPr>
        <w:t>bush nursing hospitals and bush nursing centres</w:t>
      </w:r>
    </w:p>
    <w:p w:rsidR="00C04154" w:rsidRDefault="00C04154" w:rsidP="00C04154">
      <w:pPr>
        <w:pStyle w:val="WOVGbody"/>
        <w:numPr>
          <w:ilvl w:val="0"/>
          <w:numId w:val="54"/>
        </w:numPr>
        <w:rPr>
          <w:rFonts w:ascii="Verdana" w:hAnsi="Verdana"/>
        </w:rPr>
      </w:pPr>
      <w:r>
        <w:rPr>
          <w:rFonts w:ascii="Verdana" w:hAnsi="Verdana"/>
        </w:rPr>
        <w:t>community pharmacies</w:t>
      </w:r>
    </w:p>
    <w:p w:rsidR="00C04154" w:rsidRPr="00C04154" w:rsidRDefault="00C04154" w:rsidP="00C04154">
      <w:pPr>
        <w:pStyle w:val="WOVGbody"/>
        <w:numPr>
          <w:ilvl w:val="0"/>
          <w:numId w:val="54"/>
        </w:numPr>
        <w:rPr>
          <w:rFonts w:ascii="Verdana" w:hAnsi="Verdana"/>
        </w:rPr>
      </w:pPr>
      <w:r>
        <w:rPr>
          <w:rFonts w:ascii="Verdana" w:hAnsi="Verdana"/>
        </w:rPr>
        <w:t>non-emergency patient transport services</w:t>
      </w:r>
    </w:p>
    <w:p w:rsidR="00C04154" w:rsidRDefault="00C04154" w:rsidP="00C04154">
      <w:pPr>
        <w:pStyle w:val="WOVGbody"/>
        <w:numPr>
          <w:ilvl w:val="0"/>
          <w:numId w:val="54"/>
        </w:numPr>
        <w:rPr>
          <w:rFonts w:ascii="Verdana" w:hAnsi="Verdana"/>
        </w:rPr>
      </w:pPr>
      <w:r>
        <w:rPr>
          <w:rFonts w:ascii="Verdana" w:hAnsi="Verdana"/>
        </w:rPr>
        <w:t>private allied health services</w:t>
      </w:r>
    </w:p>
    <w:p w:rsidR="00F402E0" w:rsidRDefault="00C04154" w:rsidP="00C04154">
      <w:pPr>
        <w:pStyle w:val="WOVGbody"/>
        <w:numPr>
          <w:ilvl w:val="0"/>
          <w:numId w:val="54"/>
        </w:numPr>
        <w:rPr>
          <w:rFonts w:ascii="Verdana" w:hAnsi="Verdana"/>
        </w:rPr>
      </w:pPr>
      <w:r>
        <w:rPr>
          <w:rFonts w:ascii="Verdana" w:hAnsi="Verdana"/>
        </w:rPr>
        <w:t>TAFE and universities</w:t>
      </w:r>
    </w:p>
    <w:p w:rsidR="00C04154" w:rsidRDefault="00111426" w:rsidP="00C04154">
      <w:pPr>
        <w:pStyle w:val="WOVGbody"/>
        <w:numPr>
          <w:ilvl w:val="0"/>
          <w:numId w:val="54"/>
        </w:numPr>
        <w:rPr>
          <w:rFonts w:ascii="Verdana" w:hAnsi="Verdana"/>
        </w:rPr>
      </w:pPr>
      <w:r>
        <w:rPr>
          <w:rFonts w:ascii="Verdana" w:hAnsi="Verdana"/>
        </w:rPr>
        <w:t>p</w:t>
      </w:r>
      <w:r w:rsidR="00C04154">
        <w:rPr>
          <w:rFonts w:ascii="Verdana" w:hAnsi="Verdana"/>
        </w:rPr>
        <w:t>rivate psychologists</w:t>
      </w:r>
    </w:p>
    <w:p w:rsidR="0068280B" w:rsidRPr="00C04154" w:rsidRDefault="0068280B" w:rsidP="00C04154">
      <w:pPr>
        <w:pStyle w:val="WOVGbody"/>
        <w:numPr>
          <w:ilvl w:val="0"/>
          <w:numId w:val="54"/>
        </w:numPr>
        <w:rPr>
          <w:rFonts w:ascii="Verdana" w:hAnsi="Verdana"/>
        </w:rPr>
      </w:pPr>
      <w:r>
        <w:rPr>
          <w:rFonts w:ascii="Verdana" w:hAnsi="Verdana"/>
        </w:rPr>
        <w:t>residential facilities in boarding schools</w:t>
      </w:r>
    </w:p>
    <w:p w:rsidR="00081C9D" w:rsidRDefault="00A445D6" w:rsidP="00081C9D">
      <w:pPr>
        <w:pStyle w:val="WOVGbody"/>
        <w:rPr>
          <w:rFonts w:ascii="Verdana" w:hAnsi="Verdana"/>
        </w:rPr>
      </w:pPr>
      <w:r w:rsidRPr="004A7FB1">
        <w:rPr>
          <w:rFonts w:ascii="Verdana" w:hAnsi="Verdana"/>
        </w:rPr>
        <w:t xml:space="preserve">This option involves prescribing a significantly higher number of entities in Phase </w:t>
      </w:r>
      <w:r w:rsidR="004A7FB1">
        <w:rPr>
          <w:rFonts w:ascii="Verdana" w:hAnsi="Verdana"/>
        </w:rPr>
        <w:t xml:space="preserve">Two </w:t>
      </w:r>
      <w:r w:rsidRPr="004A7FB1">
        <w:rPr>
          <w:rFonts w:ascii="Verdana" w:hAnsi="Verdana"/>
        </w:rPr>
        <w:t xml:space="preserve">of the CIS Scheme rollout, </w:t>
      </w:r>
      <w:r w:rsidR="00950474">
        <w:rPr>
          <w:rFonts w:ascii="Verdana" w:hAnsi="Verdana"/>
        </w:rPr>
        <w:t xml:space="preserve">estimated at 10,000 organisations employing some 500,000 workers, </w:t>
      </w:r>
      <w:r w:rsidRPr="004A7FB1">
        <w:rPr>
          <w:rFonts w:ascii="Verdana" w:hAnsi="Verdana"/>
        </w:rPr>
        <w:t>most likely resulting in a further increase in information sharing to support the objectives of the scheme. This option would need to consider the</w:t>
      </w:r>
      <w:r w:rsidR="00884B04">
        <w:rPr>
          <w:rFonts w:ascii="Verdana" w:hAnsi="Verdana"/>
        </w:rPr>
        <w:t xml:space="preserve"> proposed services’</w:t>
      </w:r>
      <w:r w:rsidRPr="004A7FB1">
        <w:rPr>
          <w:rFonts w:ascii="Verdana" w:hAnsi="Verdana"/>
        </w:rPr>
        <w:t xml:space="preserve"> </w:t>
      </w:r>
      <w:r w:rsidR="00884B04">
        <w:rPr>
          <w:rFonts w:ascii="Verdana" w:hAnsi="Verdana"/>
        </w:rPr>
        <w:t xml:space="preserve">level of access to relevant information and their existing level of capacity for reform implementation, taking into account the </w:t>
      </w:r>
      <w:r w:rsidRPr="004A7FB1">
        <w:rPr>
          <w:rFonts w:ascii="Verdana" w:hAnsi="Verdana"/>
        </w:rPr>
        <w:t xml:space="preserve">complexity of training significantly larger and more diverse workforces within a short timeframe. Further, </w:t>
      </w:r>
      <w:r w:rsidR="00C4189F">
        <w:rPr>
          <w:rFonts w:ascii="Verdana" w:hAnsi="Verdana"/>
        </w:rPr>
        <w:t xml:space="preserve">the broader prescription of workforces under this option </w:t>
      </w:r>
      <w:r w:rsidRPr="004A7FB1">
        <w:rPr>
          <w:rFonts w:ascii="Verdana" w:hAnsi="Verdana"/>
        </w:rPr>
        <w:t>would mean a decoupling of the impl</w:t>
      </w:r>
      <w:r w:rsidR="004B6BE6">
        <w:rPr>
          <w:rFonts w:ascii="Verdana" w:hAnsi="Verdana"/>
        </w:rPr>
        <w:t>ementation of the CIS and FVIS S</w:t>
      </w:r>
      <w:r w:rsidRPr="004A7FB1">
        <w:rPr>
          <w:rFonts w:ascii="Verdana" w:hAnsi="Verdana"/>
        </w:rPr>
        <w:t>chemes</w:t>
      </w:r>
      <w:r w:rsidR="004A7FB1">
        <w:rPr>
          <w:rFonts w:ascii="Verdana" w:hAnsi="Verdana"/>
        </w:rPr>
        <w:t>.</w:t>
      </w:r>
    </w:p>
    <w:p w:rsidR="00081C9D" w:rsidRDefault="00081C9D">
      <w:pPr>
        <w:rPr>
          <w:rFonts w:ascii="Verdana" w:eastAsia="Times" w:hAnsi="Verdana"/>
        </w:rPr>
      </w:pPr>
      <w:r>
        <w:rPr>
          <w:rFonts w:ascii="Verdana" w:hAnsi="Verdana"/>
        </w:rPr>
        <w:br w:type="page"/>
      </w:r>
    </w:p>
    <w:p w:rsidR="00381A85" w:rsidRPr="00D94ADF" w:rsidRDefault="00381A85" w:rsidP="00FE48EB">
      <w:pPr>
        <w:pStyle w:val="Heading1"/>
        <w:ind w:left="284"/>
        <w:rPr>
          <w:rFonts w:ascii="Verdana" w:hAnsi="Verdana"/>
        </w:rPr>
      </w:pPr>
      <w:bookmarkStart w:id="23" w:name="_Toc23510770"/>
      <w:r w:rsidRPr="00D94ADF">
        <w:rPr>
          <w:rFonts w:ascii="Verdana" w:hAnsi="Verdana"/>
        </w:rPr>
        <w:lastRenderedPageBreak/>
        <w:t>Determining the preferred option</w:t>
      </w:r>
      <w:bookmarkEnd w:id="23"/>
    </w:p>
    <w:p w:rsidR="00C5539E" w:rsidRPr="00D94ADF" w:rsidRDefault="00C5539E" w:rsidP="00C5539E">
      <w:pPr>
        <w:pStyle w:val="Heading2"/>
        <w:rPr>
          <w:rFonts w:ascii="Verdana" w:hAnsi="Verdana"/>
        </w:rPr>
      </w:pPr>
      <w:bookmarkStart w:id="24" w:name="_Toc23510771"/>
      <w:r w:rsidRPr="00D94ADF">
        <w:rPr>
          <w:rFonts w:ascii="Verdana" w:hAnsi="Verdana"/>
        </w:rPr>
        <w:t>Approach to analysis</w:t>
      </w:r>
      <w:bookmarkEnd w:id="24"/>
    </w:p>
    <w:p w:rsidR="00381A85" w:rsidRPr="00381A85" w:rsidRDefault="00381A85" w:rsidP="00381A85">
      <w:pPr>
        <w:pStyle w:val="WOVGbody"/>
        <w:rPr>
          <w:rFonts w:ascii="Verdana" w:hAnsi="Verdana"/>
        </w:rPr>
      </w:pPr>
      <w:r>
        <w:rPr>
          <w:rFonts w:ascii="Verdana" w:hAnsi="Verdana"/>
        </w:rPr>
        <w:t>T</w:t>
      </w:r>
      <w:r w:rsidRPr="00381A85">
        <w:rPr>
          <w:rFonts w:ascii="Verdana" w:hAnsi="Verdana"/>
        </w:rPr>
        <w:t xml:space="preserve">his RIS considers options for the proposed scope of </w:t>
      </w:r>
      <w:r>
        <w:rPr>
          <w:rFonts w:ascii="Verdana" w:hAnsi="Verdana"/>
        </w:rPr>
        <w:t xml:space="preserve">prescription of ISEs for Phase Two of </w:t>
      </w:r>
      <w:r w:rsidRPr="00381A85">
        <w:rPr>
          <w:rFonts w:ascii="Verdana" w:hAnsi="Verdana"/>
        </w:rPr>
        <w:t xml:space="preserve">the CIS Scheme, as outlined in the previous chapter. In considering the full range of analytical techniques available for determining the preferred option in this RIS, </w:t>
      </w:r>
      <w:r>
        <w:rPr>
          <w:rFonts w:ascii="Verdana" w:hAnsi="Verdana"/>
        </w:rPr>
        <w:t>Multi-Criteria Analysis (</w:t>
      </w:r>
      <w:r w:rsidRPr="00381A85">
        <w:rPr>
          <w:rFonts w:ascii="Verdana" w:hAnsi="Verdana"/>
        </w:rPr>
        <w:t>MCA</w:t>
      </w:r>
      <w:r>
        <w:rPr>
          <w:rFonts w:ascii="Verdana" w:hAnsi="Verdana"/>
        </w:rPr>
        <w:t>) is</w:t>
      </w:r>
      <w:r w:rsidRPr="00381A85">
        <w:rPr>
          <w:rFonts w:ascii="Verdana" w:hAnsi="Verdana"/>
        </w:rPr>
        <w:t xml:space="preserve"> </w:t>
      </w:r>
      <w:r>
        <w:rPr>
          <w:rFonts w:ascii="Verdana" w:hAnsi="Verdana"/>
        </w:rPr>
        <w:t xml:space="preserve">determined to be </w:t>
      </w:r>
      <w:r w:rsidRPr="00381A85">
        <w:rPr>
          <w:rFonts w:ascii="Verdana" w:hAnsi="Verdana"/>
        </w:rPr>
        <w:t>the most appropriate. This is due to the difficulty involved in quantifying the expected effects of information shared under the CIS Scheme and associated improvements in child wellbeing or safety</w:t>
      </w:r>
      <w:r>
        <w:rPr>
          <w:rFonts w:ascii="Verdana" w:hAnsi="Verdana"/>
        </w:rPr>
        <w:t xml:space="preserve">. This </w:t>
      </w:r>
      <w:r w:rsidRPr="00381A85">
        <w:rPr>
          <w:rFonts w:ascii="Verdana" w:hAnsi="Verdana"/>
        </w:rPr>
        <w:t xml:space="preserve">is </w:t>
      </w:r>
      <w:r>
        <w:rPr>
          <w:rFonts w:ascii="Verdana" w:hAnsi="Verdana"/>
        </w:rPr>
        <w:t>compounded</w:t>
      </w:r>
      <w:r w:rsidRPr="00381A85">
        <w:rPr>
          <w:rFonts w:ascii="Verdana" w:hAnsi="Verdana"/>
        </w:rPr>
        <w:t xml:space="preserve"> by the fact that the CIS Scheme is part of a larger reform program</w:t>
      </w:r>
      <w:r>
        <w:rPr>
          <w:rFonts w:ascii="Verdana" w:hAnsi="Verdana"/>
        </w:rPr>
        <w:t>,</w:t>
      </w:r>
      <w:r w:rsidRPr="00381A85">
        <w:rPr>
          <w:rFonts w:ascii="Verdana" w:hAnsi="Verdana"/>
        </w:rPr>
        <w:t xml:space="preserve"> </w:t>
      </w:r>
      <w:r>
        <w:rPr>
          <w:rFonts w:ascii="Verdana" w:hAnsi="Verdana"/>
        </w:rPr>
        <w:t xml:space="preserve">which aims </w:t>
      </w:r>
      <w:r w:rsidRPr="00381A85">
        <w:rPr>
          <w:rFonts w:ascii="Verdana" w:hAnsi="Verdana"/>
        </w:rPr>
        <w:t xml:space="preserve">to grow and improve </w:t>
      </w:r>
      <w:r>
        <w:rPr>
          <w:rFonts w:ascii="Verdana" w:hAnsi="Verdana"/>
        </w:rPr>
        <w:t xml:space="preserve">service delivery, and </w:t>
      </w:r>
      <w:r w:rsidRPr="00381A85">
        <w:rPr>
          <w:rFonts w:ascii="Verdana" w:hAnsi="Verdana"/>
        </w:rPr>
        <w:t>early interventi</w:t>
      </w:r>
      <w:r>
        <w:rPr>
          <w:rFonts w:ascii="Verdana" w:hAnsi="Verdana"/>
        </w:rPr>
        <w:t>on and preventative action for children.</w:t>
      </w:r>
    </w:p>
    <w:p w:rsidR="00381A85" w:rsidRPr="00381A85" w:rsidRDefault="00E010C9" w:rsidP="00381A85">
      <w:pPr>
        <w:pStyle w:val="WOVGbody"/>
        <w:rPr>
          <w:rFonts w:ascii="Verdana" w:hAnsi="Verdana"/>
        </w:rPr>
      </w:pPr>
      <w:r>
        <w:rPr>
          <w:rFonts w:ascii="Verdana" w:hAnsi="Verdana"/>
        </w:rPr>
        <w:t>MCA is typically applied as an analytical technique</w:t>
      </w:r>
      <w:r w:rsidR="00381A85" w:rsidRPr="00381A85">
        <w:rPr>
          <w:rFonts w:ascii="Verdana" w:hAnsi="Verdana"/>
        </w:rPr>
        <w:t xml:space="preserve"> in cases where full cost-benefit analysis is infeasible due to </w:t>
      </w:r>
      <w:r w:rsidR="00381A85">
        <w:rPr>
          <w:rFonts w:ascii="Verdana" w:hAnsi="Verdana"/>
        </w:rPr>
        <w:t xml:space="preserve">difficulties in </w:t>
      </w:r>
      <w:r w:rsidR="00381A85" w:rsidRPr="00381A85">
        <w:rPr>
          <w:rFonts w:ascii="Verdana" w:hAnsi="Verdana"/>
        </w:rPr>
        <w:t>quantify</w:t>
      </w:r>
      <w:r w:rsidR="00381A85">
        <w:rPr>
          <w:rFonts w:ascii="Verdana" w:hAnsi="Verdana"/>
        </w:rPr>
        <w:t>ing</w:t>
      </w:r>
      <w:r w:rsidR="00381A85" w:rsidRPr="00381A85">
        <w:rPr>
          <w:rFonts w:ascii="Verdana" w:hAnsi="Verdana"/>
        </w:rPr>
        <w:t xml:space="preserve"> benefits. MCA allows options to be compared through both quantitative and qualitative analysis and enables a wider range of criteria, such as social considerations, to be included in the analysis. It involves determining a set of criteria considered to be most </w:t>
      </w:r>
      <w:r>
        <w:rPr>
          <w:rFonts w:ascii="Verdana" w:hAnsi="Verdana"/>
        </w:rPr>
        <w:t>relevant</w:t>
      </w:r>
      <w:r w:rsidR="00381A85" w:rsidRPr="00381A85">
        <w:rPr>
          <w:rFonts w:ascii="Verdana" w:hAnsi="Verdana"/>
        </w:rPr>
        <w:t xml:space="preserve"> to weighing up options and then scoring each option with reference to the selected criteria, where a positive score indicates an option is better than the base case and a negative score indicates an option is worse that the base case. The criteria are also weighted according to their relative importance in the overall decision.  </w:t>
      </w:r>
    </w:p>
    <w:p w:rsidR="00381A85" w:rsidRDefault="00381A85" w:rsidP="00381A85">
      <w:pPr>
        <w:pStyle w:val="WOVGbody"/>
        <w:rPr>
          <w:rFonts w:ascii="Verdana" w:hAnsi="Verdana"/>
        </w:rPr>
      </w:pPr>
      <w:r w:rsidRPr="00381A85">
        <w:rPr>
          <w:rFonts w:ascii="Verdana" w:hAnsi="Verdana"/>
        </w:rPr>
        <w:t>The MCA criteria, weightings and scale for assessing options in this RIS are outlined below</w:t>
      </w:r>
      <w:r w:rsidR="00C5539E">
        <w:rPr>
          <w:rFonts w:ascii="Verdana" w:hAnsi="Verdana"/>
        </w:rPr>
        <w:t>.</w:t>
      </w:r>
    </w:p>
    <w:p w:rsidR="00C5539E" w:rsidRPr="00D94ADF" w:rsidRDefault="00C5539E" w:rsidP="00C5539E">
      <w:pPr>
        <w:pStyle w:val="Heading2"/>
        <w:rPr>
          <w:rFonts w:ascii="Verdana" w:hAnsi="Verdana"/>
        </w:rPr>
      </w:pPr>
      <w:bookmarkStart w:id="25" w:name="_Toc23510772"/>
      <w:r w:rsidRPr="00D94ADF">
        <w:rPr>
          <w:rFonts w:ascii="Verdana" w:hAnsi="Verdana"/>
        </w:rPr>
        <w:t>Criteria for analysis</w:t>
      </w:r>
      <w:bookmarkEnd w:id="25"/>
    </w:p>
    <w:p w:rsidR="00F402E0" w:rsidRDefault="00C5539E" w:rsidP="00521BD0">
      <w:pPr>
        <w:pStyle w:val="WOVGbody"/>
        <w:rPr>
          <w:rFonts w:ascii="Verdana" w:hAnsi="Verdana"/>
        </w:rPr>
      </w:pPr>
      <w:r>
        <w:rPr>
          <w:rFonts w:ascii="Verdana" w:hAnsi="Verdana"/>
        </w:rPr>
        <w:t>The following criteria are used to assess options for the scope of services prescribed</w:t>
      </w:r>
      <w:r w:rsidR="00DB6916">
        <w:rPr>
          <w:rFonts w:ascii="Verdana" w:hAnsi="Verdana"/>
        </w:rPr>
        <w:t xml:space="preserve"> as ISEs for Phase Two of the CI</w:t>
      </w:r>
      <w:r>
        <w:rPr>
          <w:rFonts w:ascii="Verdana" w:hAnsi="Verdana"/>
        </w:rPr>
        <w:t>S Scheme:</w:t>
      </w:r>
    </w:p>
    <w:p w:rsidR="00A850C0" w:rsidRDefault="00A850C0" w:rsidP="00A76FAF">
      <w:pPr>
        <w:pStyle w:val="WOVGbody"/>
        <w:numPr>
          <w:ilvl w:val="0"/>
          <w:numId w:val="18"/>
        </w:numPr>
        <w:ind w:left="426"/>
        <w:rPr>
          <w:rFonts w:ascii="Verdana" w:hAnsi="Verdana"/>
        </w:rPr>
      </w:pPr>
      <w:r w:rsidRPr="00F67A71">
        <w:rPr>
          <w:rFonts w:ascii="Verdana" w:hAnsi="Verdana"/>
          <w:b/>
        </w:rPr>
        <w:t>Effectiveness</w:t>
      </w:r>
      <w:r w:rsidR="0057755B">
        <w:rPr>
          <w:rFonts w:ascii="Verdana" w:hAnsi="Verdana"/>
        </w:rPr>
        <w:t xml:space="preserve"> </w:t>
      </w:r>
      <w:r>
        <w:rPr>
          <w:rFonts w:ascii="Verdana" w:hAnsi="Verdana"/>
        </w:rPr>
        <w:t xml:space="preserve">– </w:t>
      </w:r>
      <w:r w:rsidR="00E83419">
        <w:rPr>
          <w:rFonts w:ascii="Verdana" w:hAnsi="Verdana"/>
        </w:rPr>
        <w:t xml:space="preserve">How successful is the option in prescribing ISEs that can provide </w:t>
      </w:r>
      <w:r w:rsidR="00F67A71">
        <w:rPr>
          <w:rFonts w:ascii="Verdana" w:hAnsi="Verdana"/>
        </w:rPr>
        <w:t xml:space="preserve">timely </w:t>
      </w:r>
      <w:r>
        <w:rPr>
          <w:rFonts w:ascii="Verdana" w:hAnsi="Verdana"/>
        </w:rPr>
        <w:t>access to information deemed relevant to the wellbeing or safety of a child</w:t>
      </w:r>
      <w:r w:rsidR="00F67A71">
        <w:rPr>
          <w:rFonts w:ascii="Verdana" w:hAnsi="Verdana"/>
        </w:rPr>
        <w:t>? When appl</w:t>
      </w:r>
      <w:r w:rsidR="00282DE9">
        <w:rPr>
          <w:rFonts w:ascii="Verdana" w:hAnsi="Verdana"/>
        </w:rPr>
        <w:t>ying the effectiveness criterion</w:t>
      </w:r>
      <w:r w:rsidR="003A1909">
        <w:rPr>
          <w:rFonts w:ascii="Verdana" w:hAnsi="Verdana"/>
        </w:rPr>
        <w:t xml:space="preserve">, consideration </w:t>
      </w:r>
      <w:r w:rsidR="003C45FB">
        <w:rPr>
          <w:rFonts w:ascii="Verdana" w:hAnsi="Verdana"/>
        </w:rPr>
        <w:t xml:space="preserve">is </w:t>
      </w:r>
      <w:r w:rsidR="00F67A71">
        <w:rPr>
          <w:rFonts w:ascii="Verdana" w:hAnsi="Verdana"/>
        </w:rPr>
        <w:t xml:space="preserve">given to how well the option </w:t>
      </w:r>
      <w:r w:rsidR="00E83419">
        <w:rPr>
          <w:rFonts w:ascii="Verdana" w:hAnsi="Verdana"/>
        </w:rPr>
        <w:t>could</w:t>
      </w:r>
      <w:r w:rsidR="003C45FB">
        <w:rPr>
          <w:rFonts w:ascii="Verdana" w:hAnsi="Verdana"/>
        </w:rPr>
        <w:t xml:space="preserve"> </w:t>
      </w:r>
      <w:r w:rsidR="00F67A71">
        <w:rPr>
          <w:rFonts w:ascii="Verdana" w:hAnsi="Verdana"/>
        </w:rPr>
        <w:t xml:space="preserve">realise </w:t>
      </w:r>
      <w:r w:rsidR="00F67A71" w:rsidRPr="00F67A71">
        <w:rPr>
          <w:rFonts w:ascii="Verdana" w:hAnsi="Verdana"/>
        </w:rPr>
        <w:t xml:space="preserve">the anticipated benefits associated with the CIS Scheme, including </w:t>
      </w:r>
      <w:r w:rsidR="00467699">
        <w:rPr>
          <w:rFonts w:ascii="Verdana" w:hAnsi="Verdana"/>
        </w:rPr>
        <w:t>early intervention and reduced risk of harm or</w:t>
      </w:r>
      <w:r w:rsidR="00F67A71" w:rsidRPr="00F67A71">
        <w:rPr>
          <w:rFonts w:ascii="Verdana" w:hAnsi="Verdana"/>
        </w:rPr>
        <w:t xml:space="preserve"> interaction with Child Protection and statutory services, </w:t>
      </w:r>
      <w:r w:rsidR="00E83419">
        <w:rPr>
          <w:rFonts w:ascii="Verdana" w:hAnsi="Verdana"/>
        </w:rPr>
        <w:t xml:space="preserve">and </w:t>
      </w:r>
      <w:r w:rsidR="00F67A71" w:rsidRPr="00F67A71">
        <w:rPr>
          <w:rFonts w:ascii="Verdana" w:hAnsi="Verdana"/>
        </w:rPr>
        <w:t xml:space="preserve">improved health and wellbeing </w:t>
      </w:r>
      <w:r w:rsidR="003C45FB">
        <w:rPr>
          <w:rFonts w:ascii="Verdana" w:hAnsi="Verdana"/>
        </w:rPr>
        <w:t>outcomes</w:t>
      </w:r>
      <w:r w:rsidR="003F46D1">
        <w:rPr>
          <w:rFonts w:ascii="Verdana" w:hAnsi="Verdana"/>
        </w:rPr>
        <w:t>.</w:t>
      </w:r>
    </w:p>
    <w:p w:rsidR="00F67A71" w:rsidRDefault="004E1DD8" w:rsidP="00A76FAF">
      <w:pPr>
        <w:pStyle w:val="WOVGbody"/>
        <w:numPr>
          <w:ilvl w:val="0"/>
          <w:numId w:val="18"/>
        </w:numPr>
        <w:ind w:left="426"/>
        <w:rPr>
          <w:rFonts w:ascii="Verdana" w:hAnsi="Verdana"/>
        </w:rPr>
      </w:pPr>
      <w:r>
        <w:rPr>
          <w:rFonts w:ascii="Verdana" w:hAnsi="Verdana"/>
          <w:b/>
        </w:rPr>
        <w:t>Risk of infe</w:t>
      </w:r>
      <w:r w:rsidR="00F67A71" w:rsidRPr="00F67A71">
        <w:rPr>
          <w:rFonts w:ascii="Verdana" w:hAnsi="Verdana"/>
          <w:b/>
        </w:rPr>
        <w:t>asibility</w:t>
      </w:r>
      <w:r w:rsidR="0057755B">
        <w:rPr>
          <w:rFonts w:ascii="Verdana" w:hAnsi="Verdana"/>
        </w:rPr>
        <w:t xml:space="preserve"> </w:t>
      </w:r>
      <w:r w:rsidR="00F67A71">
        <w:rPr>
          <w:rFonts w:ascii="Verdana" w:hAnsi="Verdana"/>
        </w:rPr>
        <w:t>– How</w:t>
      </w:r>
      <w:r w:rsidR="004173F9">
        <w:rPr>
          <w:rFonts w:ascii="Verdana" w:hAnsi="Verdana"/>
        </w:rPr>
        <w:t xml:space="preserve"> well will the option support</w:t>
      </w:r>
      <w:r w:rsidR="00E55A3E">
        <w:rPr>
          <w:rFonts w:ascii="Verdana" w:hAnsi="Verdana"/>
        </w:rPr>
        <w:t xml:space="preserve"> </w:t>
      </w:r>
      <w:r w:rsidR="00F67A71">
        <w:rPr>
          <w:rFonts w:ascii="Verdana" w:hAnsi="Verdana"/>
        </w:rPr>
        <w:t>reform delivery by</w:t>
      </w:r>
      <w:r w:rsidR="00E45B55">
        <w:rPr>
          <w:rFonts w:ascii="Verdana" w:hAnsi="Verdana"/>
        </w:rPr>
        <w:t xml:space="preserve"> prescribing ISEs that </w:t>
      </w:r>
      <w:r w:rsidR="00F67A71">
        <w:rPr>
          <w:rFonts w:ascii="Verdana" w:hAnsi="Verdana"/>
        </w:rPr>
        <w:t xml:space="preserve">have </w:t>
      </w:r>
      <w:r w:rsidR="00520A64">
        <w:rPr>
          <w:rFonts w:ascii="Verdana" w:hAnsi="Verdana"/>
        </w:rPr>
        <w:t xml:space="preserve">established structures for </w:t>
      </w:r>
      <w:r w:rsidR="00F67A71">
        <w:rPr>
          <w:rFonts w:ascii="Verdana" w:hAnsi="Verdana"/>
        </w:rPr>
        <w:t xml:space="preserve">formal risk assessment and </w:t>
      </w:r>
      <w:r w:rsidR="003D0A89">
        <w:rPr>
          <w:rFonts w:ascii="Verdana" w:hAnsi="Verdana"/>
        </w:rPr>
        <w:t>manage</w:t>
      </w:r>
      <w:r w:rsidR="003A1909">
        <w:rPr>
          <w:rFonts w:ascii="Verdana" w:hAnsi="Verdana"/>
        </w:rPr>
        <w:t>ment</w:t>
      </w:r>
      <w:r w:rsidR="00467699">
        <w:rPr>
          <w:rFonts w:ascii="Verdana" w:hAnsi="Verdana"/>
        </w:rPr>
        <w:t>, and have the</w:t>
      </w:r>
      <w:r w:rsidR="00E55A3E">
        <w:rPr>
          <w:rFonts w:ascii="Verdana" w:hAnsi="Verdana"/>
        </w:rPr>
        <w:t xml:space="preserve"> </w:t>
      </w:r>
      <w:r w:rsidR="00467699">
        <w:rPr>
          <w:rFonts w:ascii="Verdana" w:hAnsi="Verdana"/>
        </w:rPr>
        <w:t xml:space="preserve">capacity to </w:t>
      </w:r>
      <w:r w:rsidR="00E55A3E">
        <w:rPr>
          <w:rFonts w:ascii="Verdana" w:hAnsi="Verdana"/>
        </w:rPr>
        <w:t>deliver</w:t>
      </w:r>
      <w:r w:rsidR="00467699">
        <w:rPr>
          <w:rFonts w:ascii="Verdana" w:hAnsi="Verdana"/>
        </w:rPr>
        <w:t xml:space="preserve"> the reforms within the</w:t>
      </w:r>
      <w:r w:rsidR="00520A64">
        <w:rPr>
          <w:rFonts w:ascii="Verdana" w:hAnsi="Verdana"/>
        </w:rPr>
        <w:t xml:space="preserve"> current timelines for Phase Two implementation of the CIS Scheme</w:t>
      </w:r>
      <w:r w:rsidR="003A1909">
        <w:rPr>
          <w:rFonts w:ascii="Verdana" w:hAnsi="Verdana"/>
        </w:rPr>
        <w:t>?</w:t>
      </w:r>
      <w:r w:rsidR="00F67A71">
        <w:rPr>
          <w:rFonts w:ascii="Verdana" w:hAnsi="Verdana"/>
        </w:rPr>
        <w:t xml:space="preserve"> </w:t>
      </w:r>
      <w:r w:rsidR="00F67A71" w:rsidRPr="00F67A71">
        <w:rPr>
          <w:rFonts w:ascii="Verdana" w:hAnsi="Verdana"/>
        </w:rPr>
        <w:t xml:space="preserve">When applying the </w:t>
      </w:r>
      <w:r>
        <w:rPr>
          <w:rFonts w:ascii="Verdana" w:hAnsi="Verdana"/>
        </w:rPr>
        <w:t>risk of in</w:t>
      </w:r>
      <w:r w:rsidR="00F67A71">
        <w:rPr>
          <w:rFonts w:ascii="Verdana" w:hAnsi="Verdana"/>
        </w:rPr>
        <w:t xml:space="preserve">feasibility </w:t>
      </w:r>
      <w:r w:rsidR="00F67A71" w:rsidRPr="00F67A71">
        <w:rPr>
          <w:rFonts w:ascii="Verdana" w:hAnsi="Verdana"/>
        </w:rPr>
        <w:t>cr</w:t>
      </w:r>
      <w:r w:rsidR="00282DE9">
        <w:rPr>
          <w:rFonts w:ascii="Verdana" w:hAnsi="Verdana"/>
        </w:rPr>
        <w:t>iterion</w:t>
      </w:r>
      <w:r w:rsidR="00F67A71" w:rsidRPr="00F67A71">
        <w:rPr>
          <w:rFonts w:ascii="Verdana" w:hAnsi="Verdana"/>
        </w:rPr>
        <w:t xml:space="preserve">, consideration is given to the </w:t>
      </w:r>
      <w:r w:rsidR="00E55A3E">
        <w:rPr>
          <w:rFonts w:ascii="Verdana" w:hAnsi="Verdana"/>
        </w:rPr>
        <w:t xml:space="preserve">services’ capacity for effective reform implementation and the </w:t>
      </w:r>
      <w:r w:rsidR="00F67A71" w:rsidRPr="00F67A71">
        <w:rPr>
          <w:rFonts w:ascii="Verdana" w:hAnsi="Verdana"/>
        </w:rPr>
        <w:t>practical limitations of what can realistically be accomplished within th</w:t>
      </w:r>
      <w:r w:rsidR="006A5D81">
        <w:rPr>
          <w:rFonts w:ascii="Verdana" w:hAnsi="Verdana"/>
        </w:rPr>
        <w:t>e current timeframe</w:t>
      </w:r>
      <w:r w:rsidR="00F67A71">
        <w:rPr>
          <w:rFonts w:ascii="Verdana" w:hAnsi="Verdana"/>
        </w:rPr>
        <w:t xml:space="preserve"> for Phase Two</w:t>
      </w:r>
      <w:r w:rsidR="00F67A71" w:rsidRPr="00F67A71">
        <w:rPr>
          <w:rFonts w:ascii="Verdana" w:hAnsi="Verdana"/>
        </w:rPr>
        <w:t xml:space="preserve"> implementation</w:t>
      </w:r>
      <w:r w:rsidR="006A5D81">
        <w:rPr>
          <w:rFonts w:ascii="Verdana" w:hAnsi="Verdana"/>
        </w:rPr>
        <w:t xml:space="preserve">. This timeframe is aligned with </w:t>
      </w:r>
      <w:r w:rsidR="003A1909">
        <w:rPr>
          <w:rFonts w:ascii="Verdana" w:hAnsi="Verdana"/>
        </w:rPr>
        <w:t xml:space="preserve">reform </w:t>
      </w:r>
      <w:r w:rsidR="003D0A89">
        <w:rPr>
          <w:rFonts w:ascii="Verdana" w:hAnsi="Verdana"/>
        </w:rPr>
        <w:t xml:space="preserve">implementation </w:t>
      </w:r>
      <w:r w:rsidR="006A5D81">
        <w:rPr>
          <w:rFonts w:ascii="Verdana" w:hAnsi="Verdana"/>
        </w:rPr>
        <w:t xml:space="preserve">timeframes of </w:t>
      </w:r>
      <w:r w:rsidR="003D0A89">
        <w:rPr>
          <w:rFonts w:ascii="Verdana" w:hAnsi="Verdana"/>
        </w:rPr>
        <w:t>the F</w:t>
      </w:r>
      <w:r w:rsidR="00C5781C">
        <w:rPr>
          <w:rFonts w:ascii="Verdana" w:hAnsi="Verdana"/>
        </w:rPr>
        <w:t>VIS</w:t>
      </w:r>
      <w:r w:rsidR="003D0A89">
        <w:rPr>
          <w:rFonts w:ascii="Verdana" w:hAnsi="Verdana"/>
        </w:rPr>
        <w:t xml:space="preserve"> Scheme and MARAM</w:t>
      </w:r>
      <w:r w:rsidR="00FE4979">
        <w:rPr>
          <w:rFonts w:ascii="Verdana" w:hAnsi="Verdana"/>
        </w:rPr>
        <w:t xml:space="preserve">, </w:t>
      </w:r>
      <w:r w:rsidR="006A5D81">
        <w:rPr>
          <w:rFonts w:ascii="Verdana" w:hAnsi="Verdana"/>
        </w:rPr>
        <w:t>and a</w:t>
      </w:r>
      <w:r w:rsidR="00FE4979">
        <w:rPr>
          <w:rFonts w:ascii="Verdana" w:hAnsi="Verdana"/>
        </w:rPr>
        <w:t xml:space="preserve"> misalignment of </w:t>
      </w:r>
      <w:r w:rsidR="006A5D81">
        <w:rPr>
          <w:rFonts w:ascii="Verdana" w:hAnsi="Verdana"/>
        </w:rPr>
        <w:t>reform implementation risks</w:t>
      </w:r>
      <w:r w:rsidR="00FE4979">
        <w:rPr>
          <w:rFonts w:ascii="Verdana" w:hAnsi="Verdana"/>
        </w:rPr>
        <w:t xml:space="preserve"> undermining the objectives of the </w:t>
      </w:r>
      <w:r w:rsidR="000445EB">
        <w:rPr>
          <w:rFonts w:ascii="Verdana" w:hAnsi="Verdana"/>
        </w:rPr>
        <w:t xml:space="preserve">proposed </w:t>
      </w:r>
      <w:r w:rsidR="00FE4979">
        <w:rPr>
          <w:rFonts w:ascii="Verdana" w:hAnsi="Verdana"/>
        </w:rPr>
        <w:t>Amendment Regulations</w:t>
      </w:r>
      <w:r w:rsidR="00B81C6D">
        <w:rPr>
          <w:rFonts w:ascii="Verdana" w:hAnsi="Verdana"/>
        </w:rPr>
        <w:t>. Consideration is also given to how well the option aligns with the recommendations of the McClellan Royal Commission</w:t>
      </w:r>
      <w:r w:rsidR="003F46D1">
        <w:rPr>
          <w:rFonts w:ascii="Verdana" w:hAnsi="Verdana"/>
        </w:rPr>
        <w:t>.</w:t>
      </w:r>
    </w:p>
    <w:p w:rsidR="00910B96" w:rsidRDefault="00E45B55" w:rsidP="00A76FAF">
      <w:pPr>
        <w:pStyle w:val="WOVGbody"/>
        <w:numPr>
          <w:ilvl w:val="0"/>
          <w:numId w:val="18"/>
        </w:numPr>
        <w:ind w:left="426"/>
        <w:rPr>
          <w:rFonts w:ascii="Verdana" w:hAnsi="Verdana"/>
        </w:rPr>
      </w:pPr>
      <w:r>
        <w:rPr>
          <w:rFonts w:ascii="Verdana" w:hAnsi="Verdana"/>
          <w:b/>
        </w:rPr>
        <w:t>Implementation costs to ISEs</w:t>
      </w:r>
      <w:r w:rsidR="0057755B">
        <w:rPr>
          <w:rFonts w:ascii="Verdana" w:hAnsi="Verdana"/>
          <w:b/>
        </w:rPr>
        <w:t xml:space="preserve"> </w:t>
      </w:r>
      <w:r w:rsidR="003A1909" w:rsidRPr="0057755B">
        <w:rPr>
          <w:rFonts w:ascii="Verdana" w:hAnsi="Verdana"/>
        </w:rPr>
        <w:t>–</w:t>
      </w:r>
      <w:r w:rsidR="003A1909">
        <w:rPr>
          <w:rFonts w:ascii="Verdana" w:hAnsi="Verdana"/>
        </w:rPr>
        <w:t xml:space="preserve"> </w:t>
      </w:r>
      <w:r>
        <w:rPr>
          <w:rFonts w:ascii="Verdana" w:hAnsi="Verdana"/>
        </w:rPr>
        <w:t xml:space="preserve">What is the cost impact </w:t>
      </w:r>
      <w:r w:rsidR="0057166B">
        <w:rPr>
          <w:rFonts w:ascii="Verdana" w:hAnsi="Verdana"/>
        </w:rPr>
        <w:t xml:space="preserve">of the option </w:t>
      </w:r>
      <w:r>
        <w:rPr>
          <w:rFonts w:ascii="Verdana" w:hAnsi="Verdana"/>
        </w:rPr>
        <w:t>on ISEs?</w:t>
      </w:r>
      <w:r w:rsidR="00E55A3E">
        <w:rPr>
          <w:rFonts w:ascii="Verdana" w:hAnsi="Verdana"/>
        </w:rPr>
        <w:t xml:space="preserve"> </w:t>
      </w:r>
      <w:r w:rsidR="00282DE9">
        <w:rPr>
          <w:rFonts w:ascii="Verdana" w:hAnsi="Verdana"/>
        </w:rPr>
        <w:t>When applying this criterion</w:t>
      </w:r>
      <w:r w:rsidR="00802AF9">
        <w:rPr>
          <w:rFonts w:ascii="Verdana" w:hAnsi="Verdana"/>
        </w:rPr>
        <w:t>,</w:t>
      </w:r>
      <w:r w:rsidR="00554F69">
        <w:rPr>
          <w:rFonts w:ascii="Verdana" w:hAnsi="Verdana"/>
        </w:rPr>
        <w:t xml:space="preserve"> </w:t>
      </w:r>
      <w:r w:rsidR="00802AF9">
        <w:rPr>
          <w:rFonts w:ascii="Verdana" w:hAnsi="Verdana"/>
        </w:rPr>
        <w:t>consideration is given</w:t>
      </w:r>
      <w:r w:rsidR="00910B96">
        <w:rPr>
          <w:rFonts w:ascii="Verdana" w:hAnsi="Verdana"/>
        </w:rPr>
        <w:t xml:space="preserve"> to the following</w:t>
      </w:r>
      <w:r w:rsidR="0088219D">
        <w:rPr>
          <w:rFonts w:ascii="Verdana" w:hAnsi="Verdana"/>
        </w:rPr>
        <w:t xml:space="preserve"> two factors</w:t>
      </w:r>
      <w:r w:rsidR="00910B96">
        <w:rPr>
          <w:rFonts w:ascii="Verdana" w:hAnsi="Verdana"/>
        </w:rPr>
        <w:t>:</w:t>
      </w:r>
    </w:p>
    <w:p w:rsidR="00910B96" w:rsidRPr="00834C4B" w:rsidRDefault="003F46D1" w:rsidP="00A76FAF">
      <w:pPr>
        <w:pStyle w:val="WOVGbody"/>
        <w:numPr>
          <w:ilvl w:val="1"/>
          <w:numId w:val="18"/>
        </w:numPr>
        <w:ind w:left="851"/>
        <w:rPr>
          <w:rFonts w:ascii="Verdana" w:hAnsi="Verdana"/>
        </w:rPr>
      </w:pPr>
      <w:r>
        <w:rPr>
          <w:rFonts w:ascii="Verdana" w:hAnsi="Verdana"/>
        </w:rPr>
        <w:t>Whether</w:t>
      </w:r>
      <w:r w:rsidR="00282DE9">
        <w:rPr>
          <w:rFonts w:ascii="Verdana" w:hAnsi="Verdana"/>
        </w:rPr>
        <w:t xml:space="preserve"> the option prescribe</w:t>
      </w:r>
      <w:r>
        <w:rPr>
          <w:rFonts w:ascii="Verdana" w:hAnsi="Verdana"/>
        </w:rPr>
        <w:t>s</w:t>
      </w:r>
      <w:r w:rsidR="00282DE9">
        <w:rPr>
          <w:rFonts w:ascii="Verdana" w:hAnsi="Verdana"/>
        </w:rPr>
        <w:t xml:space="preserve"> workforces that will receive necessary government training and support, as funded over the 2018-22 State Budget, or </w:t>
      </w:r>
      <w:r>
        <w:rPr>
          <w:rFonts w:ascii="Verdana" w:hAnsi="Verdana"/>
        </w:rPr>
        <w:t xml:space="preserve">the option </w:t>
      </w:r>
      <w:r w:rsidR="00282DE9">
        <w:rPr>
          <w:rFonts w:ascii="Verdana" w:hAnsi="Verdana"/>
        </w:rPr>
        <w:t>will</w:t>
      </w:r>
      <w:r w:rsidR="0088219D">
        <w:rPr>
          <w:rFonts w:ascii="Verdana" w:hAnsi="Verdana"/>
        </w:rPr>
        <w:t xml:space="preserve"> </w:t>
      </w:r>
      <w:r w:rsidR="0088219D">
        <w:rPr>
          <w:rFonts w:ascii="Verdana" w:hAnsi="Verdana"/>
        </w:rPr>
        <w:lastRenderedPageBreak/>
        <w:t xml:space="preserve">result in </w:t>
      </w:r>
      <w:r w:rsidR="00282DE9">
        <w:rPr>
          <w:rFonts w:ascii="Verdana" w:hAnsi="Verdana"/>
        </w:rPr>
        <w:t>additiona</w:t>
      </w:r>
      <w:r w:rsidR="0088219D">
        <w:rPr>
          <w:rFonts w:ascii="Verdana" w:hAnsi="Verdana"/>
        </w:rPr>
        <w:t xml:space="preserve">l costs of prescription on ISEs resulting from inadequate </w:t>
      </w:r>
      <w:r w:rsidR="008A1963">
        <w:rPr>
          <w:rFonts w:ascii="Verdana" w:hAnsi="Verdana"/>
        </w:rPr>
        <w:t>g</w:t>
      </w:r>
      <w:r w:rsidR="00910B96" w:rsidRPr="00834C4B">
        <w:rPr>
          <w:rFonts w:ascii="Verdana" w:hAnsi="Verdana"/>
        </w:rPr>
        <w:t>overnment training and support</w:t>
      </w:r>
      <w:r>
        <w:rPr>
          <w:rFonts w:ascii="Verdana" w:hAnsi="Verdana"/>
        </w:rPr>
        <w:t>.</w:t>
      </w:r>
      <w:r w:rsidR="00EF4B43">
        <w:rPr>
          <w:rStyle w:val="FootnoteReference"/>
          <w:rFonts w:ascii="Verdana" w:hAnsi="Verdana"/>
        </w:rPr>
        <w:footnoteReference w:id="22"/>
      </w:r>
    </w:p>
    <w:p w:rsidR="003D0A89" w:rsidRPr="00834C4B" w:rsidRDefault="0057166B" w:rsidP="00A76FAF">
      <w:pPr>
        <w:pStyle w:val="WOVGbody"/>
        <w:numPr>
          <w:ilvl w:val="1"/>
          <w:numId w:val="18"/>
        </w:numPr>
        <w:ind w:left="851"/>
        <w:rPr>
          <w:rFonts w:ascii="Verdana" w:hAnsi="Verdana"/>
        </w:rPr>
      </w:pPr>
      <w:r>
        <w:rPr>
          <w:rFonts w:ascii="Verdana" w:hAnsi="Verdana"/>
        </w:rPr>
        <w:t>DET</w:t>
      </w:r>
      <w:r w:rsidR="00282DE9">
        <w:rPr>
          <w:rFonts w:ascii="Verdana" w:hAnsi="Verdana"/>
        </w:rPr>
        <w:t xml:space="preserve"> assumes</w:t>
      </w:r>
      <w:r w:rsidR="0088219D">
        <w:rPr>
          <w:rFonts w:ascii="Verdana" w:hAnsi="Verdana"/>
        </w:rPr>
        <w:t xml:space="preserve"> </w:t>
      </w:r>
      <w:r w:rsidR="003539B8">
        <w:rPr>
          <w:rFonts w:ascii="Verdana" w:hAnsi="Verdana"/>
        </w:rPr>
        <w:t xml:space="preserve">the link </w:t>
      </w:r>
      <w:r w:rsidR="0088219D">
        <w:rPr>
          <w:rFonts w:ascii="Verdana" w:hAnsi="Verdana"/>
        </w:rPr>
        <w:t xml:space="preserve">between the </w:t>
      </w:r>
      <w:r w:rsidR="00282DE9">
        <w:rPr>
          <w:rFonts w:ascii="Verdana" w:hAnsi="Verdana"/>
        </w:rPr>
        <w:t xml:space="preserve">number of ISEs </w:t>
      </w:r>
      <w:r w:rsidR="0088219D">
        <w:rPr>
          <w:rFonts w:ascii="Verdana" w:hAnsi="Verdana"/>
        </w:rPr>
        <w:t xml:space="preserve">prescribed and the </w:t>
      </w:r>
      <w:r w:rsidR="00282DE9">
        <w:rPr>
          <w:rFonts w:ascii="Verdana" w:hAnsi="Verdana"/>
        </w:rPr>
        <w:t xml:space="preserve">cost impact </w:t>
      </w:r>
      <w:r w:rsidR="0088219D">
        <w:rPr>
          <w:rFonts w:ascii="Verdana" w:hAnsi="Verdana"/>
        </w:rPr>
        <w:t xml:space="preserve">of information sharing on each ISE. </w:t>
      </w:r>
      <w:r w:rsidR="003539B8">
        <w:rPr>
          <w:rFonts w:ascii="Verdana" w:hAnsi="Verdana"/>
        </w:rPr>
        <w:t xml:space="preserve">As the </w:t>
      </w:r>
      <w:r w:rsidR="0088219D">
        <w:rPr>
          <w:rFonts w:ascii="Verdana" w:hAnsi="Verdana"/>
        </w:rPr>
        <w:t xml:space="preserve">breadth of prescription </w:t>
      </w:r>
      <w:r w:rsidR="003539B8">
        <w:rPr>
          <w:rFonts w:ascii="Verdana" w:hAnsi="Verdana"/>
        </w:rPr>
        <w:t>widens, the implementation costs to ISEs will increase.</w:t>
      </w:r>
    </w:p>
    <w:p w:rsidR="000414BD" w:rsidRPr="000414BD" w:rsidRDefault="000414BD" w:rsidP="000414BD">
      <w:pPr>
        <w:pStyle w:val="Heading3"/>
        <w:rPr>
          <w:rFonts w:ascii="Verdana" w:hAnsi="Verdana"/>
        </w:rPr>
      </w:pPr>
      <w:r w:rsidRPr="000414BD">
        <w:rPr>
          <w:rFonts w:ascii="Verdana" w:hAnsi="Verdana"/>
        </w:rPr>
        <w:t>Weightings</w:t>
      </w:r>
    </w:p>
    <w:p w:rsidR="004E1DD8" w:rsidRDefault="000414BD" w:rsidP="000414BD">
      <w:pPr>
        <w:pStyle w:val="WOVGbody"/>
        <w:rPr>
          <w:rFonts w:ascii="Verdana" w:hAnsi="Verdana"/>
        </w:rPr>
      </w:pPr>
      <w:r w:rsidRPr="004E1DD8">
        <w:rPr>
          <w:rFonts w:ascii="Verdana" w:hAnsi="Verdana"/>
        </w:rPr>
        <w:t xml:space="preserve">It is common practice for MCA criteria to have neutral weights of 50 per cent in cost-related and 50 per cent </w:t>
      </w:r>
      <w:r w:rsidR="00EF4FA7">
        <w:rPr>
          <w:rFonts w:ascii="Verdana" w:hAnsi="Verdana"/>
        </w:rPr>
        <w:t xml:space="preserve">in </w:t>
      </w:r>
      <w:r w:rsidRPr="004E1DD8">
        <w:rPr>
          <w:rFonts w:ascii="Verdana" w:hAnsi="Verdana"/>
        </w:rPr>
        <w:t xml:space="preserve">benefit-related criteria. </w:t>
      </w:r>
      <w:r w:rsidR="0029089C">
        <w:rPr>
          <w:rFonts w:ascii="Verdana" w:hAnsi="Verdana"/>
        </w:rPr>
        <w:t xml:space="preserve">The </w:t>
      </w:r>
      <w:r w:rsidR="004E1DD8">
        <w:rPr>
          <w:rFonts w:ascii="Verdana" w:hAnsi="Verdana"/>
        </w:rPr>
        <w:t>criteria for an</w:t>
      </w:r>
      <w:r w:rsidR="0029089C">
        <w:rPr>
          <w:rFonts w:ascii="Verdana" w:hAnsi="Verdana"/>
        </w:rPr>
        <w:t>alysis are weighted as follows:</w:t>
      </w:r>
    </w:p>
    <w:p w:rsidR="004E1DD8" w:rsidRDefault="004E1DD8" w:rsidP="00A76FAF">
      <w:pPr>
        <w:pStyle w:val="WOVGbody"/>
        <w:numPr>
          <w:ilvl w:val="0"/>
          <w:numId w:val="19"/>
        </w:numPr>
        <w:ind w:left="426"/>
        <w:rPr>
          <w:rFonts w:ascii="Verdana" w:hAnsi="Verdana"/>
        </w:rPr>
      </w:pPr>
      <w:r w:rsidRPr="004E1DD8">
        <w:rPr>
          <w:rFonts w:ascii="Verdana" w:hAnsi="Verdana"/>
          <w:b/>
        </w:rPr>
        <w:t>Effectiveness</w:t>
      </w:r>
      <w:r>
        <w:rPr>
          <w:rFonts w:ascii="Verdana" w:hAnsi="Verdana"/>
        </w:rPr>
        <w:t xml:space="preserve"> – is a benefits related </w:t>
      </w:r>
      <w:r w:rsidR="0029089C">
        <w:rPr>
          <w:rFonts w:ascii="Verdana" w:hAnsi="Verdana"/>
        </w:rPr>
        <w:t>criterion</w:t>
      </w:r>
      <w:r>
        <w:rPr>
          <w:rFonts w:ascii="Verdana" w:hAnsi="Verdana"/>
        </w:rPr>
        <w:t xml:space="preserve">, </w:t>
      </w:r>
      <w:r w:rsidR="0008323E">
        <w:rPr>
          <w:rFonts w:ascii="Verdana" w:hAnsi="Verdana"/>
        </w:rPr>
        <w:t>with a weighting of 50 per</w:t>
      </w:r>
      <w:r w:rsidR="003F46D1">
        <w:rPr>
          <w:rFonts w:ascii="Verdana" w:hAnsi="Verdana"/>
        </w:rPr>
        <w:t xml:space="preserve"> cent</w:t>
      </w:r>
    </w:p>
    <w:p w:rsidR="004E1DD8" w:rsidRDefault="004E1DD8" w:rsidP="00A76FAF">
      <w:pPr>
        <w:pStyle w:val="WOVGbody"/>
        <w:numPr>
          <w:ilvl w:val="0"/>
          <w:numId w:val="19"/>
        </w:numPr>
        <w:ind w:left="426"/>
        <w:rPr>
          <w:rFonts w:ascii="Verdana" w:hAnsi="Verdana"/>
        </w:rPr>
      </w:pPr>
      <w:r>
        <w:rPr>
          <w:rFonts w:ascii="Verdana" w:hAnsi="Verdana"/>
          <w:b/>
        </w:rPr>
        <w:t>Risk of inf</w:t>
      </w:r>
      <w:r w:rsidRPr="004E1DD8">
        <w:rPr>
          <w:rFonts w:ascii="Verdana" w:hAnsi="Verdana"/>
          <w:b/>
        </w:rPr>
        <w:t>easibility</w:t>
      </w:r>
      <w:r>
        <w:rPr>
          <w:rFonts w:ascii="Verdana" w:hAnsi="Verdana"/>
        </w:rPr>
        <w:t xml:space="preserve"> – is </w:t>
      </w:r>
      <w:r w:rsidR="0029089C">
        <w:rPr>
          <w:rFonts w:ascii="Verdana" w:hAnsi="Verdana"/>
        </w:rPr>
        <w:t>a cost related criterion</w:t>
      </w:r>
      <w:r>
        <w:rPr>
          <w:rFonts w:ascii="Verdana" w:hAnsi="Verdana"/>
        </w:rPr>
        <w:t xml:space="preserve"> </w:t>
      </w:r>
      <w:r w:rsidR="0008323E">
        <w:rPr>
          <w:rFonts w:ascii="Verdana" w:hAnsi="Verdana"/>
        </w:rPr>
        <w:t xml:space="preserve">with </w:t>
      </w:r>
      <w:r w:rsidR="003F46D1">
        <w:rPr>
          <w:rFonts w:ascii="Verdana" w:hAnsi="Verdana"/>
        </w:rPr>
        <w:t>a weighting of 25 per cent</w:t>
      </w:r>
    </w:p>
    <w:p w:rsidR="000414BD" w:rsidRDefault="00E45B55" w:rsidP="00A76FAF">
      <w:pPr>
        <w:pStyle w:val="WOVGbody"/>
        <w:numPr>
          <w:ilvl w:val="0"/>
          <w:numId w:val="19"/>
        </w:numPr>
        <w:ind w:left="426"/>
        <w:rPr>
          <w:rFonts w:ascii="Verdana" w:hAnsi="Verdana"/>
        </w:rPr>
      </w:pPr>
      <w:r>
        <w:rPr>
          <w:rFonts w:ascii="Verdana" w:hAnsi="Verdana"/>
          <w:b/>
        </w:rPr>
        <w:t>Implementation costs to ISEs</w:t>
      </w:r>
      <w:r w:rsidR="0029089C">
        <w:rPr>
          <w:rFonts w:ascii="Verdana" w:hAnsi="Verdana"/>
        </w:rPr>
        <w:t xml:space="preserve"> </w:t>
      </w:r>
      <w:r w:rsidR="004E1DD8">
        <w:rPr>
          <w:rFonts w:ascii="Verdana" w:hAnsi="Verdana"/>
        </w:rPr>
        <w:t xml:space="preserve">– is </w:t>
      </w:r>
      <w:r w:rsidR="0029089C">
        <w:rPr>
          <w:rFonts w:ascii="Verdana" w:hAnsi="Verdana"/>
        </w:rPr>
        <w:t>a cost related criterion</w:t>
      </w:r>
      <w:r w:rsidR="004E1DD8">
        <w:rPr>
          <w:rFonts w:ascii="Verdana" w:hAnsi="Verdana"/>
        </w:rPr>
        <w:t xml:space="preserve"> with a weighting of 25 per cent.</w:t>
      </w:r>
    </w:p>
    <w:p w:rsidR="000414BD" w:rsidRPr="00655DB8" w:rsidRDefault="000414BD" w:rsidP="000414BD">
      <w:pPr>
        <w:pStyle w:val="Heading3"/>
        <w:rPr>
          <w:rFonts w:ascii="Verdana" w:hAnsi="Verdana"/>
        </w:rPr>
      </w:pPr>
      <w:r w:rsidRPr="00655DB8">
        <w:rPr>
          <w:rFonts w:ascii="Verdana" w:hAnsi="Verdana"/>
        </w:rPr>
        <w:t>Scale</w:t>
      </w:r>
    </w:p>
    <w:p w:rsidR="00F402E0" w:rsidRDefault="000414BD" w:rsidP="00521BD0">
      <w:pPr>
        <w:pStyle w:val="WOVGbody"/>
        <w:rPr>
          <w:rFonts w:ascii="Verdana" w:hAnsi="Verdana"/>
        </w:rPr>
      </w:pPr>
      <w:r w:rsidRPr="000414BD">
        <w:rPr>
          <w:rFonts w:ascii="Verdana" w:hAnsi="Verdana"/>
        </w:rPr>
        <w:t>The criterion rating scale ranges from -10 to +10, with a score of zero representin</w:t>
      </w:r>
      <w:r w:rsidR="00CB765B">
        <w:rPr>
          <w:rFonts w:ascii="Verdana" w:hAnsi="Verdana"/>
        </w:rPr>
        <w:t>g no change from the base case.</w:t>
      </w:r>
    </w:p>
    <w:p w:rsidR="000027E2" w:rsidRPr="00E66D6A" w:rsidRDefault="000027E2" w:rsidP="00521BD0">
      <w:pPr>
        <w:pStyle w:val="WOVGbody"/>
        <w:rPr>
          <w:rFonts w:ascii="Verdana" w:hAnsi="Verdana"/>
          <w:b/>
        </w:rPr>
      </w:pPr>
      <w:r>
        <w:rPr>
          <w:rFonts w:ascii="Verdana" w:hAnsi="Verdana"/>
          <w:b/>
        </w:rPr>
        <w:t>Table 5.1 MCA scoring matrix</w:t>
      </w:r>
    </w:p>
    <w:tbl>
      <w:tblPr>
        <w:tblStyle w:val="TableGrid"/>
        <w:tblW w:w="9384" w:type="dxa"/>
        <w:jc w:val="center"/>
        <w:tblInd w:w="0" w:type="dxa"/>
        <w:tblLook w:val="06A0" w:firstRow="1" w:lastRow="0" w:firstColumn="1" w:lastColumn="0" w:noHBand="1" w:noVBand="1"/>
      </w:tblPr>
      <w:tblGrid>
        <w:gridCol w:w="5018"/>
        <w:gridCol w:w="4366"/>
      </w:tblGrid>
      <w:tr w:rsidR="00B54147" w:rsidRPr="00B309AB" w:rsidTr="00DE7C18">
        <w:trPr>
          <w:cnfStyle w:val="100000000000" w:firstRow="1" w:lastRow="0" w:firstColumn="0" w:lastColumn="0" w:oddVBand="0" w:evenVBand="0" w:oddHBand="0" w:evenHBand="0" w:firstRowFirstColumn="0" w:firstRowLastColumn="0" w:lastRowFirstColumn="0" w:lastRowLastColumn="0"/>
          <w:trHeight w:val="453"/>
          <w:tblHeader/>
          <w:jc w:val="center"/>
        </w:trPr>
        <w:tc>
          <w:tcPr>
            <w:cnfStyle w:val="001000000000" w:firstRow="0" w:lastRow="0" w:firstColumn="1" w:lastColumn="0" w:oddVBand="0" w:evenVBand="0" w:oddHBand="0" w:evenHBand="0" w:firstRowFirstColumn="0" w:firstRowLastColumn="0" w:lastRowFirstColumn="0" w:lastRowLastColumn="0"/>
            <w:tcW w:w="5018" w:type="dxa"/>
            <w:hideMark/>
          </w:tcPr>
          <w:p w:rsidR="00B54147" w:rsidRPr="00B309AB" w:rsidRDefault="00B54147" w:rsidP="00B54147">
            <w:pPr>
              <w:pStyle w:val="WOVGtablecolhead"/>
              <w:jc w:val="center"/>
              <w:rPr>
                <w:rFonts w:ascii="Verdana" w:hAnsi="Verdana"/>
              </w:rPr>
            </w:pPr>
            <w:r>
              <w:rPr>
                <w:rFonts w:ascii="Verdana" w:hAnsi="Verdana"/>
              </w:rPr>
              <w:t>Score</w:t>
            </w:r>
          </w:p>
        </w:tc>
        <w:tc>
          <w:tcPr>
            <w:tcW w:w="4366" w:type="dxa"/>
            <w:hideMark/>
          </w:tcPr>
          <w:p w:rsidR="00B54147" w:rsidRPr="003F46D1" w:rsidRDefault="00B54147"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3F46D1">
              <w:rPr>
                <w:rFonts w:ascii="Verdana" w:hAnsi="Verdana"/>
              </w:rPr>
              <w:t>Description</w:t>
            </w:r>
          </w:p>
        </w:tc>
      </w:tr>
      <w:tr w:rsidR="00B54147" w:rsidRPr="00B309AB" w:rsidTr="00DE7C18">
        <w:trPr>
          <w:trHeight w:val="453"/>
          <w:jc w:val="center"/>
        </w:trPr>
        <w:tc>
          <w:tcPr>
            <w:cnfStyle w:val="001000000000" w:firstRow="0" w:lastRow="0" w:firstColumn="1" w:lastColumn="0" w:oddVBand="0" w:evenVBand="0" w:oddHBand="0" w:evenHBand="0" w:firstRowFirstColumn="0" w:firstRowLastColumn="0" w:lastRowFirstColumn="0" w:lastRowLastColumn="0"/>
            <w:tcW w:w="5018" w:type="dxa"/>
            <w:shd w:val="clear" w:color="auto" w:fill="D9D9D9" w:themeFill="background1" w:themeFillShade="D9"/>
            <w:hideMark/>
          </w:tcPr>
          <w:p w:rsidR="00B54147" w:rsidRPr="00B309AB" w:rsidRDefault="00B54147" w:rsidP="00B54147">
            <w:pPr>
              <w:pStyle w:val="WOVGtabletext"/>
              <w:jc w:val="center"/>
              <w:rPr>
                <w:rFonts w:ascii="Verdana" w:hAnsi="Verdana"/>
              </w:rPr>
            </w:pPr>
            <w:r>
              <w:rPr>
                <w:rFonts w:ascii="Verdana" w:hAnsi="Verdana"/>
              </w:rPr>
              <w:t>-10</w:t>
            </w:r>
          </w:p>
        </w:tc>
        <w:tc>
          <w:tcPr>
            <w:tcW w:w="4366" w:type="dxa"/>
            <w:vAlign w:val="bottom"/>
            <w:hideMark/>
          </w:tcPr>
          <w:p w:rsidR="00B54147" w:rsidRPr="00B309AB" w:rsidRDefault="00B54147" w:rsidP="00B54147">
            <w:pPr>
              <w:pStyle w:val="WOVGtabletext"/>
              <w:cnfStyle w:val="000000000000" w:firstRow="0" w:lastRow="0" w:firstColumn="0" w:lastColumn="0" w:oddVBand="0" w:evenVBand="0" w:oddHBand="0" w:evenHBand="0" w:firstRowFirstColumn="0" w:firstRowLastColumn="0" w:lastRowFirstColumn="0" w:lastRowLastColumn="0"/>
              <w:rPr>
                <w:rFonts w:ascii="Verdana" w:hAnsi="Verdana"/>
              </w:rPr>
            </w:pPr>
            <w:r w:rsidRPr="00655DB8">
              <w:rPr>
                <w:rFonts w:ascii="Verdana" w:hAnsi="Verdana"/>
              </w:rPr>
              <w:t>Much worse than the base case</w:t>
            </w:r>
          </w:p>
        </w:tc>
      </w:tr>
      <w:tr w:rsidR="00B54147" w:rsidRPr="00B309AB" w:rsidTr="00DE7C18">
        <w:trPr>
          <w:trHeight w:val="453"/>
          <w:jc w:val="center"/>
        </w:trPr>
        <w:tc>
          <w:tcPr>
            <w:cnfStyle w:val="001000000000" w:firstRow="0" w:lastRow="0" w:firstColumn="1" w:lastColumn="0" w:oddVBand="0" w:evenVBand="0" w:oddHBand="0" w:evenHBand="0" w:firstRowFirstColumn="0" w:firstRowLastColumn="0" w:lastRowFirstColumn="0" w:lastRowLastColumn="0"/>
            <w:tcW w:w="5018" w:type="dxa"/>
            <w:shd w:val="clear" w:color="auto" w:fill="D9D9D9" w:themeFill="background1" w:themeFillShade="D9"/>
          </w:tcPr>
          <w:p w:rsidR="00B54147" w:rsidRDefault="00B54147" w:rsidP="00B54147">
            <w:pPr>
              <w:pStyle w:val="WOVGtabletext"/>
              <w:jc w:val="center"/>
              <w:rPr>
                <w:rFonts w:ascii="Verdana" w:hAnsi="Verdana"/>
              </w:rPr>
            </w:pPr>
            <w:r>
              <w:rPr>
                <w:rFonts w:ascii="Verdana" w:hAnsi="Verdana"/>
              </w:rPr>
              <w:t>-5</w:t>
            </w:r>
          </w:p>
        </w:tc>
        <w:tc>
          <w:tcPr>
            <w:tcW w:w="4366" w:type="dxa"/>
            <w:vAlign w:val="bottom"/>
          </w:tcPr>
          <w:p w:rsidR="00B54147" w:rsidRDefault="00B54147" w:rsidP="00B54147">
            <w:pPr>
              <w:pStyle w:val="WOVGtabletext"/>
              <w:cnfStyle w:val="000000000000" w:firstRow="0" w:lastRow="0" w:firstColumn="0" w:lastColumn="0" w:oddVBand="0" w:evenVBand="0" w:oddHBand="0" w:evenHBand="0" w:firstRowFirstColumn="0" w:firstRowLastColumn="0" w:lastRowFirstColumn="0" w:lastRowLastColumn="0"/>
              <w:rPr>
                <w:rFonts w:ascii="Verdana" w:hAnsi="Verdana"/>
              </w:rPr>
            </w:pPr>
            <w:r w:rsidRPr="00655DB8">
              <w:rPr>
                <w:rFonts w:ascii="Verdana" w:hAnsi="Verdana"/>
              </w:rPr>
              <w:t>Somewhat worse than the base case</w:t>
            </w:r>
          </w:p>
        </w:tc>
      </w:tr>
      <w:tr w:rsidR="00B54147" w:rsidRPr="00B309AB" w:rsidTr="00DE7C18">
        <w:trPr>
          <w:trHeight w:val="453"/>
          <w:jc w:val="center"/>
        </w:trPr>
        <w:tc>
          <w:tcPr>
            <w:cnfStyle w:val="001000000000" w:firstRow="0" w:lastRow="0" w:firstColumn="1" w:lastColumn="0" w:oddVBand="0" w:evenVBand="0" w:oddHBand="0" w:evenHBand="0" w:firstRowFirstColumn="0" w:firstRowLastColumn="0" w:lastRowFirstColumn="0" w:lastRowLastColumn="0"/>
            <w:tcW w:w="5018" w:type="dxa"/>
            <w:shd w:val="clear" w:color="auto" w:fill="D9D9D9" w:themeFill="background1" w:themeFillShade="D9"/>
          </w:tcPr>
          <w:p w:rsidR="00B54147" w:rsidRDefault="00B54147" w:rsidP="00B54147">
            <w:pPr>
              <w:pStyle w:val="WOVGtabletext"/>
              <w:jc w:val="center"/>
              <w:rPr>
                <w:rFonts w:ascii="Verdana" w:hAnsi="Verdana"/>
              </w:rPr>
            </w:pPr>
            <w:r>
              <w:rPr>
                <w:rFonts w:ascii="Verdana" w:hAnsi="Verdana"/>
              </w:rPr>
              <w:t>0</w:t>
            </w:r>
          </w:p>
        </w:tc>
        <w:tc>
          <w:tcPr>
            <w:tcW w:w="4366" w:type="dxa"/>
            <w:vAlign w:val="bottom"/>
          </w:tcPr>
          <w:p w:rsidR="00B54147" w:rsidRDefault="00B54147" w:rsidP="00B54147">
            <w:pPr>
              <w:pStyle w:val="WOVGtabletext"/>
              <w:cnfStyle w:val="000000000000" w:firstRow="0" w:lastRow="0" w:firstColumn="0" w:lastColumn="0" w:oddVBand="0" w:evenVBand="0" w:oddHBand="0" w:evenHBand="0" w:firstRowFirstColumn="0" w:firstRowLastColumn="0" w:lastRowFirstColumn="0" w:lastRowLastColumn="0"/>
              <w:rPr>
                <w:rFonts w:ascii="Verdana" w:hAnsi="Verdana"/>
              </w:rPr>
            </w:pPr>
            <w:r w:rsidRPr="00655DB8">
              <w:rPr>
                <w:rFonts w:ascii="Verdana" w:hAnsi="Verdana"/>
              </w:rPr>
              <w:t>No change from the base case</w:t>
            </w:r>
          </w:p>
        </w:tc>
      </w:tr>
      <w:tr w:rsidR="00B54147" w:rsidRPr="00B309AB" w:rsidTr="00DE7C18">
        <w:trPr>
          <w:trHeight w:val="453"/>
          <w:jc w:val="center"/>
        </w:trPr>
        <w:tc>
          <w:tcPr>
            <w:cnfStyle w:val="001000000000" w:firstRow="0" w:lastRow="0" w:firstColumn="1" w:lastColumn="0" w:oddVBand="0" w:evenVBand="0" w:oddHBand="0" w:evenHBand="0" w:firstRowFirstColumn="0" w:firstRowLastColumn="0" w:lastRowFirstColumn="0" w:lastRowLastColumn="0"/>
            <w:tcW w:w="5018" w:type="dxa"/>
            <w:shd w:val="clear" w:color="auto" w:fill="D9D9D9" w:themeFill="background1" w:themeFillShade="D9"/>
          </w:tcPr>
          <w:p w:rsidR="00B54147" w:rsidRDefault="00B54147" w:rsidP="00B54147">
            <w:pPr>
              <w:pStyle w:val="WOVGtabletext"/>
              <w:jc w:val="center"/>
              <w:rPr>
                <w:rFonts w:ascii="Verdana" w:hAnsi="Verdana"/>
              </w:rPr>
            </w:pPr>
            <w:r>
              <w:rPr>
                <w:rFonts w:ascii="Verdana" w:hAnsi="Verdana"/>
              </w:rPr>
              <w:t>+5</w:t>
            </w:r>
          </w:p>
        </w:tc>
        <w:tc>
          <w:tcPr>
            <w:tcW w:w="4366" w:type="dxa"/>
            <w:vAlign w:val="bottom"/>
          </w:tcPr>
          <w:p w:rsidR="00B54147" w:rsidRDefault="00B54147" w:rsidP="00B54147">
            <w:pPr>
              <w:pStyle w:val="WOVGtabletext"/>
              <w:cnfStyle w:val="000000000000" w:firstRow="0" w:lastRow="0" w:firstColumn="0" w:lastColumn="0" w:oddVBand="0" w:evenVBand="0" w:oddHBand="0" w:evenHBand="0" w:firstRowFirstColumn="0" w:firstRowLastColumn="0" w:lastRowFirstColumn="0" w:lastRowLastColumn="0"/>
              <w:rPr>
                <w:rFonts w:ascii="Verdana" w:hAnsi="Verdana"/>
              </w:rPr>
            </w:pPr>
            <w:r w:rsidRPr="00655DB8">
              <w:rPr>
                <w:rFonts w:ascii="Verdana" w:hAnsi="Verdana"/>
              </w:rPr>
              <w:t>Somewhat better than the base case</w:t>
            </w:r>
          </w:p>
        </w:tc>
      </w:tr>
      <w:tr w:rsidR="00B54147" w:rsidRPr="00B309AB" w:rsidTr="00DE7C18">
        <w:trPr>
          <w:trHeight w:val="453"/>
          <w:jc w:val="center"/>
        </w:trPr>
        <w:tc>
          <w:tcPr>
            <w:cnfStyle w:val="001000000000" w:firstRow="0" w:lastRow="0" w:firstColumn="1" w:lastColumn="0" w:oddVBand="0" w:evenVBand="0" w:oddHBand="0" w:evenHBand="0" w:firstRowFirstColumn="0" w:firstRowLastColumn="0" w:lastRowFirstColumn="0" w:lastRowLastColumn="0"/>
            <w:tcW w:w="5018" w:type="dxa"/>
            <w:shd w:val="clear" w:color="auto" w:fill="D9D9D9" w:themeFill="background1" w:themeFillShade="D9"/>
          </w:tcPr>
          <w:p w:rsidR="00B54147" w:rsidRDefault="00B54147" w:rsidP="00B54147">
            <w:pPr>
              <w:pStyle w:val="WOVGtabletext"/>
              <w:jc w:val="center"/>
              <w:rPr>
                <w:rFonts w:ascii="Verdana" w:hAnsi="Verdana"/>
              </w:rPr>
            </w:pPr>
            <w:r>
              <w:rPr>
                <w:rFonts w:ascii="Verdana" w:hAnsi="Verdana"/>
              </w:rPr>
              <w:t>+10</w:t>
            </w:r>
          </w:p>
        </w:tc>
        <w:tc>
          <w:tcPr>
            <w:tcW w:w="4366" w:type="dxa"/>
            <w:vAlign w:val="bottom"/>
          </w:tcPr>
          <w:p w:rsidR="00B54147" w:rsidRPr="00655DB8" w:rsidRDefault="00B54147" w:rsidP="00B54147">
            <w:pPr>
              <w:pStyle w:val="WOVGtabletext"/>
              <w:cnfStyle w:val="000000000000" w:firstRow="0" w:lastRow="0" w:firstColumn="0" w:lastColumn="0" w:oddVBand="0" w:evenVBand="0" w:oddHBand="0" w:evenHBand="0" w:firstRowFirstColumn="0" w:firstRowLastColumn="0" w:lastRowFirstColumn="0" w:lastRowLastColumn="0"/>
              <w:rPr>
                <w:rFonts w:ascii="Verdana" w:hAnsi="Verdana"/>
              </w:rPr>
            </w:pPr>
            <w:r w:rsidRPr="00655DB8">
              <w:rPr>
                <w:rFonts w:ascii="Verdana" w:hAnsi="Verdana"/>
              </w:rPr>
              <w:t>Much better than the base case</w:t>
            </w:r>
          </w:p>
        </w:tc>
      </w:tr>
    </w:tbl>
    <w:p w:rsidR="00655DB8" w:rsidRDefault="00655DB8" w:rsidP="00655DB8">
      <w:pPr>
        <w:pStyle w:val="Heading2"/>
        <w:rPr>
          <w:rFonts w:ascii="Verdana" w:hAnsi="Verdana"/>
        </w:rPr>
      </w:pPr>
      <w:bookmarkStart w:id="26" w:name="_Toc23510773"/>
      <w:r>
        <w:rPr>
          <w:rFonts w:ascii="Verdana" w:hAnsi="Verdana"/>
        </w:rPr>
        <w:t>Options assessment</w:t>
      </w:r>
      <w:bookmarkEnd w:id="26"/>
    </w:p>
    <w:p w:rsidR="00655DB8" w:rsidRDefault="00655DB8" w:rsidP="00655DB8">
      <w:pPr>
        <w:pStyle w:val="WOVGbody"/>
      </w:pPr>
      <w:r>
        <w:rPr>
          <w:rFonts w:ascii="Verdana" w:hAnsi="Verdana"/>
        </w:rPr>
        <w:t>Options for</w:t>
      </w:r>
      <w:r w:rsidRPr="00CB765B">
        <w:rPr>
          <w:rFonts w:ascii="Verdana" w:hAnsi="Verdana"/>
        </w:rPr>
        <w:t xml:space="preserve"> the proposed scope of prescription of ISEs for Phase Two of the CIS Scheme</w:t>
      </w:r>
      <w:r>
        <w:rPr>
          <w:rFonts w:ascii="Verdana" w:hAnsi="Verdana"/>
        </w:rPr>
        <w:t xml:space="preserve"> are assessed below.</w:t>
      </w:r>
    </w:p>
    <w:p w:rsidR="005171BA" w:rsidRPr="00D75B5B" w:rsidRDefault="005171BA" w:rsidP="005171BA">
      <w:pPr>
        <w:pStyle w:val="Heading3"/>
        <w:rPr>
          <w:rFonts w:ascii="Verdana" w:hAnsi="Verdana"/>
        </w:rPr>
      </w:pPr>
      <w:r w:rsidRPr="00D75B5B">
        <w:rPr>
          <w:rFonts w:ascii="Verdana" w:hAnsi="Verdana"/>
        </w:rPr>
        <w:t>Effectiveness</w:t>
      </w:r>
    </w:p>
    <w:p w:rsidR="00B077B2" w:rsidRDefault="009F232A" w:rsidP="005171BA">
      <w:pPr>
        <w:pStyle w:val="WOVGbody"/>
        <w:rPr>
          <w:rFonts w:ascii="Verdana" w:hAnsi="Verdana"/>
        </w:rPr>
      </w:pPr>
      <w:r>
        <w:rPr>
          <w:rFonts w:ascii="Verdana" w:hAnsi="Verdana"/>
        </w:rPr>
        <w:t>Given the complexities of service delivery provided by the workforces within each option, this RIS does not present a quantitative measure of the scale of impacts of each option, as compared to the base case. Rather, t</w:t>
      </w:r>
      <w:r w:rsidR="00B077B2" w:rsidRPr="00D75B5B">
        <w:rPr>
          <w:rFonts w:ascii="Verdana" w:hAnsi="Verdana"/>
        </w:rPr>
        <w:t xml:space="preserve">he </w:t>
      </w:r>
      <w:r w:rsidR="00152D8E">
        <w:rPr>
          <w:rFonts w:ascii="Verdana" w:hAnsi="Verdana"/>
        </w:rPr>
        <w:t>e</w:t>
      </w:r>
      <w:r w:rsidR="00B077B2" w:rsidRPr="00D75B5B">
        <w:rPr>
          <w:rFonts w:ascii="Verdana" w:hAnsi="Verdana"/>
        </w:rPr>
        <w:t>ffectiveness score for each option has been determined through qualitative assessment of how well each option will realise the benefits of the assessment criterion, as described above</w:t>
      </w:r>
      <w:r w:rsidR="0002215E" w:rsidRPr="00D75B5B">
        <w:rPr>
          <w:rFonts w:ascii="Verdana" w:hAnsi="Verdana"/>
        </w:rPr>
        <w:t>.</w:t>
      </w:r>
      <w:r w:rsidR="00704959">
        <w:rPr>
          <w:rFonts w:ascii="Verdana" w:hAnsi="Verdana"/>
        </w:rPr>
        <w:t xml:space="preserve"> </w:t>
      </w:r>
    </w:p>
    <w:p w:rsidR="000027E2" w:rsidRDefault="000027E2" w:rsidP="005171BA">
      <w:pPr>
        <w:pStyle w:val="WOVGbody"/>
        <w:rPr>
          <w:rFonts w:ascii="Verdana" w:hAnsi="Verdana"/>
        </w:rPr>
      </w:pPr>
    </w:p>
    <w:p w:rsidR="00264E78" w:rsidRDefault="00264E78" w:rsidP="005171BA">
      <w:pPr>
        <w:pStyle w:val="WOVGbody"/>
        <w:rPr>
          <w:rFonts w:ascii="Verdana" w:hAnsi="Verdana"/>
        </w:rPr>
      </w:pPr>
    </w:p>
    <w:p w:rsidR="000027E2" w:rsidRPr="00E66D6A" w:rsidRDefault="000027E2" w:rsidP="005171BA">
      <w:pPr>
        <w:pStyle w:val="WOVGbody"/>
        <w:rPr>
          <w:rFonts w:ascii="Verdana" w:hAnsi="Verdana"/>
          <w:b/>
        </w:rPr>
      </w:pPr>
      <w:r w:rsidRPr="00E66D6A">
        <w:rPr>
          <w:rFonts w:ascii="Verdana" w:hAnsi="Verdana"/>
          <w:b/>
        </w:rPr>
        <w:lastRenderedPageBreak/>
        <w:t>Table 5.2 Effectiveness scores</w:t>
      </w:r>
      <w:r w:rsidR="00870C08" w:rsidRPr="00E66D6A">
        <w:rPr>
          <w:rFonts w:ascii="Verdana" w:hAnsi="Verdana"/>
          <w:b/>
        </w:rPr>
        <w:t xml:space="preserve"> – </w:t>
      </w:r>
      <w:r w:rsidRPr="00E66D6A">
        <w:rPr>
          <w:rFonts w:ascii="Verdana" w:hAnsi="Verdana"/>
          <w:b/>
        </w:rPr>
        <w:t>options for prescribing entities</w:t>
      </w:r>
    </w:p>
    <w:tbl>
      <w:tblPr>
        <w:tblStyle w:val="TableGrid"/>
        <w:tblW w:w="9406" w:type="dxa"/>
        <w:tblLook w:val="06A0" w:firstRow="1" w:lastRow="0" w:firstColumn="1" w:lastColumn="0" w:noHBand="1" w:noVBand="1"/>
      </w:tblPr>
      <w:tblGrid>
        <w:gridCol w:w="1818"/>
        <w:gridCol w:w="1571"/>
        <w:gridCol w:w="2084"/>
        <w:gridCol w:w="2168"/>
        <w:gridCol w:w="1765"/>
      </w:tblGrid>
      <w:tr w:rsidR="00F53533" w:rsidRPr="00B309AB" w:rsidTr="00F535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8" w:type="dxa"/>
            <w:hideMark/>
          </w:tcPr>
          <w:p w:rsidR="00F53533" w:rsidRPr="00B309AB" w:rsidRDefault="00F53533" w:rsidP="00F53533">
            <w:pPr>
              <w:pStyle w:val="WOVGtablecolhead"/>
              <w:rPr>
                <w:rFonts w:ascii="Verdana" w:hAnsi="Verdana"/>
              </w:rPr>
            </w:pPr>
          </w:p>
        </w:tc>
        <w:tc>
          <w:tcPr>
            <w:tcW w:w="1571" w:type="dxa"/>
            <w:hideMark/>
          </w:tcPr>
          <w:p w:rsidR="00F53533" w:rsidRPr="003F46D1" w:rsidRDefault="00F53533" w:rsidP="00F53533">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3F46D1">
              <w:rPr>
                <w:rFonts w:ascii="Verdana" w:hAnsi="Verdana"/>
              </w:rPr>
              <w:t>Base Case</w:t>
            </w:r>
          </w:p>
        </w:tc>
        <w:tc>
          <w:tcPr>
            <w:tcW w:w="2084" w:type="dxa"/>
            <w:hideMark/>
          </w:tcPr>
          <w:p w:rsidR="00F53533" w:rsidRPr="00B309AB" w:rsidRDefault="00F53533" w:rsidP="00F53533">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1</w:t>
            </w:r>
          </w:p>
        </w:tc>
        <w:tc>
          <w:tcPr>
            <w:tcW w:w="2168" w:type="dxa"/>
            <w:hideMark/>
          </w:tcPr>
          <w:p w:rsidR="00F53533" w:rsidRPr="00B309AB" w:rsidRDefault="00F53533" w:rsidP="00F53533">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2</w:t>
            </w:r>
          </w:p>
        </w:tc>
        <w:tc>
          <w:tcPr>
            <w:tcW w:w="1765" w:type="dxa"/>
          </w:tcPr>
          <w:p w:rsidR="00F53533" w:rsidRDefault="00F53533" w:rsidP="00F53533">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3</w:t>
            </w:r>
          </w:p>
        </w:tc>
      </w:tr>
      <w:tr w:rsidR="00F53533" w:rsidRPr="00B309AB" w:rsidTr="007B75B1">
        <w:trPr>
          <w:trHeight w:val="522"/>
        </w:trPr>
        <w:tc>
          <w:tcPr>
            <w:cnfStyle w:val="001000000000" w:firstRow="0" w:lastRow="0" w:firstColumn="1" w:lastColumn="0" w:oddVBand="0" w:evenVBand="0" w:oddHBand="0" w:evenHBand="0" w:firstRowFirstColumn="0" w:firstRowLastColumn="0" w:lastRowFirstColumn="0" w:lastRowLastColumn="0"/>
            <w:tcW w:w="1818" w:type="dxa"/>
            <w:hideMark/>
          </w:tcPr>
          <w:p w:rsidR="007B75B1" w:rsidRDefault="007B75B1" w:rsidP="00F53533">
            <w:pPr>
              <w:pStyle w:val="WOVGtabletext"/>
              <w:rPr>
                <w:rFonts w:ascii="Verdana" w:hAnsi="Verdana"/>
              </w:rPr>
            </w:pPr>
          </w:p>
          <w:p w:rsidR="00F53533" w:rsidRPr="00B309AB" w:rsidRDefault="00F53533" w:rsidP="00F53533">
            <w:pPr>
              <w:pStyle w:val="WOVGtabletext"/>
              <w:rPr>
                <w:rFonts w:ascii="Verdana" w:hAnsi="Verdana"/>
              </w:rPr>
            </w:pPr>
            <w:r>
              <w:rPr>
                <w:rFonts w:ascii="Verdana" w:hAnsi="Verdana"/>
              </w:rPr>
              <w:t>Effectiveness</w:t>
            </w:r>
          </w:p>
        </w:tc>
        <w:tc>
          <w:tcPr>
            <w:tcW w:w="1571" w:type="dxa"/>
            <w:vAlign w:val="bottom"/>
            <w:hideMark/>
          </w:tcPr>
          <w:p w:rsidR="007B75B1" w:rsidRDefault="007B75B1" w:rsidP="007B75B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7B75B1" w:rsidRPr="00B309AB" w:rsidRDefault="00F53533" w:rsidP="007B75B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2084" w:type="dxa"/>
            <w:hideMark/>
          </w:tcPr>
          <w:p w:rsidR="007B75B1" w:rsidRDefault="007B75B1" w:rsidP="00F53533">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F53533" w:rsidRPr="00B309AB" w:rsidRDefault="00AB290F" w:rsidP="00F53533">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w:t>
            </w:r>
          </w:p>
        </w:tc>
        <w:tc>
          <w:tcPr>
            <w:tcW w:w="2168" w:type="dxa"/>
            <w:hideMark/>
          </w:tcPr>
          <w:p w:rsidR="007B75B1" w:rsidRDefault="007B75B1" w:rsidP="00F53533">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F53533" w:rsidRPr="00B309AB" w:rsidRDefault="00F133E9" w:rsidP="00F53533">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8</w:t>
            </w:r>
          </w:p>
        </w:tc>
        <w:tc>
          <w:tcPr>
            <w:tcW w:w="1765" w:type="dxa"/>
          </w:tcPr>
          <w:p w:rsidR="007B75B1" w:rsidRDefault="007B75B1" w:rsidP="00F53533">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F53533" w:rsidRPr="00B309AB" w:rsidRDefault="00BE4139" w:rsidP="00F53533">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9</w:t>
            </w:r>
          </w:p>
        </w:tc>
      </w:tr>
    </w:tbl>
    <w:p w:rsidR="004D1050" w:rsidRPr="007B75B1" w:rsidRDefault="004D1050" w:rsidP="007B75B1">
      <w:pPr>
        <w:pStyle w:val="WOVGtabletext"/>
        <w:rPr>
          <w:rFonts w:ascii="Verdana" w:hAnsi="Verdana"/>
        </w:rPr>
      </w:pPr>
    </w:p>
    <w:p w:rsidR="00F133E9" w:rsidRPr="00F133E9" w:rsidRDefault="00F133E9" w:rsidP="00F133E9">
      <w:pPr>
        <w:pStyle w:val="WOVGbody"/>
        <w:rPr>
          <w:rFonts w:ascii="Verdana" w:hAnsi="Verdana"/>
        </w:rPr>
      </w:pPr>
      <w:r w:rsidRPr="00F133E9">
        <w:rPr>
          <w:rFonts w:ascii="Verdana" w:hAnsi="Verdana"/>
          <w:b/>
        </w:rPr>
        <w:t>Base case</w:t>
      </w:r>
      <w:r w:rsidRPr="00F133E9">
        <w:rPr>
          <w:rFonts w:ascii="Verdana" w:hAnsi="Verdana"/>
        </w:rPr>
        <w:t xml:space="preserve">: Without regulations, no </w:t>
      </w:r>
      <w:r w:rsidR="00AC53C0">
        <w:rPr>
          <w:rFonts w:ascii="Verdana" w:hAnsi="Verdana"/>
        </w:rPr>
        <w:t>additional services would be prescribed for the CIS Scheme.</w:t>
      </w:r>
      <w:r w:rsidRPr="00F133E9">
        <w:rPr>
          <w:rFonts w:ascii="Verdana" w:hAnsi="Verdana"/>
        </w:rPr>
        <w:t xml:space="preserve"> </w:t>
      </w:r>
      <w:r w:rsidR="00AC53C0">
        <w:rPr>
          <w:rFonts w:ascii="Verdana" w:hAnsi="Verdana"/>
        </w:rPr>
        <w:t>Beyond the information sharing that can legally occur between already prescribed services within the CIS Scheme, i</w:t>
      </w:r>
      <w:r w:rsidRPr="00F133E9">
        <w:rPr>
          <w:rFonts w:ascii="Verdana" w:hAnsi="Verdana"/>
        </w:rPr>
        <w:t>nformation would continue to be shared in an ad hoc manner and in accordance with existing privacy laws</w:t>
      </w:r>
      <w:r w:rsidR="00AC53C0">
        <w:rPr>
          <w:rFonts w:ascii="Verdana" w:hAnsi="Verdana"/>
        </w:rPr>
        <w:t xml:space="preserve"> only</w:t>
      </w:r>
      <w:r w:rsidRPr="00F133E9">
        <w:rPr>
          <w:rFonts w:ascii="Verdana" w:hAnsi="Verdana"/>
        </w:rPr>
        <w:t>.</w:t>
      </w:r>
      <w:r w:rsidR="00AC53C0">
        <w:rPr>
          <w:rFonts w:ascii="Verdana" w:hAnsi="Verdana"/>
        </w:rPr>
        <w:t xml:space="preserve"> By not prescribing additional ISEs</w:t>
      </w:r>
      <w:r w:rsidR="00F225C8">
        <w:rPr>
          <w:rFonts w:ascii="Verdana" w:hAnsi="Verdana"/>
        </w:rPr>
        <w:t>,</w:t>
      </w:r>
      <w:r w:rsidR="00AC53C0">
        <w:rPr>
          <w:rFonts w:ascii="Verdana" w:hAnsi="Verdana"/>
        </w:rPr>
        <w:t xml:space="preserve"> the base case scenario will not facilitate an increase in information sharing to support child wellbeing or safety, and </w:t>
      </w:r>
      <w:r w:rsidR="00C4189F">
        <w:rPr>
          <w:rFonts w:ascii="Verdana" w:hAnsi="Verdana"/>
        </w:rPr>
        <w:t>will not realise</w:t>
      </w:r>
      <w:r w:rsidR="00AC53C0">
        <w:rPr>
          <w:rFonts w:ascii="Verdana" w:hAnsi="Verdana"/>
        </w:rPr>
        <w:t xml:space="preserve"> the anticipated benefits of the CIS Scheme.</w:t>
      </w:r>
    </w:p>
    <w:p w:rsidR="003836A3" w:rsidRDefault="00F133E9" w:rsidP="00F133E9">
      <w:pPr>
        <w:pStyle w:val="WOVGbody"/>
        <w:rPr>
          <w:rFonts w:ascii="Verdana" w:hAnsi="Verdana"/>
        </w:rPr>
      </w:pPr>
      <w:r w:rsidRPr="00F133E9">
        <w:rPr>
          <w:rFonts w:ascii="Verdana" w:hAnsi="Verdana"/>
          <w:b/>
        </w:rPr>
        <w:t>Option 1</w:t>
      </w:r>
      <w:r w:rsidRPr="00F133E9">
        <w:rPr>
          <w:rFonts w:ascii="Verdana" w:hAnsi="Verdana"/>
        </w:rPr>
        <w:t xml:space="preserve">: The </w:t>
      </w:r>
      <w:r w:rsidR="00AC53C0">
        <w:rPr>
          <w:rFonts w:ascii="Verdana" w:hAnsi="Verdana"/>
        </w:rPr>
        <w:t>ISEs prescribed under this option</w:t>
      </w:r>
      <w:r w:rsidRPr="00F133E9">
        <w:rPr>
          <w:rFonts w:ascii="Verdana" w:hAnsi="Verdana"/>
        </w:rPr>
        <w:t xml:space="preserve"> have core responsibilities for </w:t>
      </w:r>
      <w:r w:rsidR="00BC74F3">
        <w:rPr>
          <w:rFonts w:ascii="Verdana" w:hAnsi="Verdana"/>
        </w:rPr>
        <w:t xml:space="preserve">providing universal health services. </w:t>
      </w:r>
      <w:r w:rsidR="0057166B">
        <w:rPr>
          <w:rFonts w:ascii="Verdana" w:hAnsi="Verdana"/>
        </w:rPr>
        <w:t>H</w:t>
      </w:r>
      <w:r w:rsidR="00BC74F3">
        <w:rPr>
          <w:rFonts w:ascii="Verdana" w:hAnsi="Verdana"/>
        </w:rPr>
        <w:t>ospitals and GPs</w:t>
      </w:r>
      <w:r w:rsidR="003F46D1">
        <w:rPr>
          <w:rFonts w:ascii="Verdana" w:hAnsi="Verdana"/>
        </w:rPr>
        <w:t>,</w:t>
      </w:r>
      <w:r w:rsidR="00BC74F3">
        <w:rPr>
          <w:rFonts w:ascii="Verdana" w:hAnsi="Verdana"/>
        </w:rPr>
        <w:t xml:space="preserve"> </w:t>
      </w:r>
      <w:r w:rsidR="00904AE9">
        <w:rPr>
          <w:rFonts w:ascii="Verdana" w:hAnsi="Verdana"/>
        </w:rPr>
        <w:t>provide services to the majority of Victorian children</w:t>
      </w:r>
      <w:r w:rsidR="007F353D">
        <w:rPr>
          <w:rFonts w:ascii="Verdana" w:hAnsi="Verdana"/>
        </w:rPr>
        <w:t xml:space="preserve"> and their families and collect</w:t>
      </w:r>
      <w:r w:rsidR="00904AE9">
        <w:rPr>
          <w:rFonts w:ascii="Verdana" w:hAnsi="Verdana"/>
        </w:rPr>
        <w:t xml:space="preserve"> information deemed relevant to child wellbeing or safety. They </w:t>
      </w:r>
      <w:r w:rsidR="00BC74F3">
        <w:rPr>
          <w:rFonts w:ascii="Verdana" w:hAnsi="Verdana"/>
        </w:rPr>
        <w:t xml:space="preserve">are in a position to effectively share </w:t>
      </w:r>
      <w:r w:rsidR="00106A99">
        <w:rPr>
          <w:rFonts w:ascii="Verdana" w:hAnsi="Verdana"/>
        </w:rPr>
        <w:t xml:space="preserve">relevant health related </w:t>
      </w:r>
      <w:r w:rsidR="00BC74F3">
        <w:rPr>
          <w:rFonts w:ascii="Verdana" w:hAnsi="Verdana"/>
        </w:rPr>
        <w:t xml:space="preserve">information with </w:t>
      </w:r>
      <w:r w:rsidR="007F353D">
        <w:rPr>
          <w:rFonts w:ascii="Verdana" w:hAnsi="Verdana"/>
        </w:rPr>
        <w:t xml:space="preserve">one another as well as with </w:t>
      </w:r>
      <w:r w:rsidR="00BC74F3">
        <w:rPr>
          <w:rFonts w:ascii="Verdana" w:hAnsi="Verdana"/>
        </w:rPr>
        <w:t>secondary and tertiary services prescribed under Phase One of the scheme</w:t>
      </w:r>
      <w:r w:rsidR="003836A3">
        <w:rPr>
          <w:rFonts w:ascii="Verdana" w:hAnsi="Verdana"/>
        </w:rPr>
        <w:t>, including</w:t>
      </w:r>
      <w:r w:rsidR="00904AE9" w:rsidRPr="00F133E9">
        <w:rPr>
          <w:rFonts w:ascii="Verdana" w:hAnsi="Verdana"/>
        </w:rPr>
        <w:t xml:space="preserve"> </w:t>
      </w:r>
      <w:r w:rsidR="003836A3">
        <w:rPr>
          <w:rFonts w:ascii="Verdana" w:hAnsi="Verdana"/>
        </w:rPr>
        <w:t>ISEs</w:t>
      </w:r>
      <w:r w:rsidR="00904AE9" w:rsidRPr="00F133E9">
        <w:rPr>
          <w:rFonts w:ascii="Verdana" w:hAnsi="Verdana"/>
        </w:rPr>
        <w:t xml:space="preserve"> involved in promoting better health and socio-economic outcomes for the highest risk children, such as Child Protection, </w:t>
      </w:r>
      <w:r w:rsidR="00E96563">
        <w:rPr>
          <w:rFonts w:ascii="Verdana" w:hAnsi="Verdana"/>
        </w:rPr>
        <w:t xml:space="preserve">specialist family violence services, </w:t>
      </w:r>
      <w:r w:rsidR="00904AE9" w:rsidRPr="00F133E9">
        <w:rPr>
          <w:rFonts w:ascii="Verdana" w:hAnsi="Verdana"/>
        </w:rPr>
        <w:t>Youth Jus</w:t>
      </w:r>
      <w:r w:rsidR="00704959">
        <w:rPr>
          <w:rFonts w:ascii="Verdana" w:hAnsi="Verdana"/>
        </w:rPr>
        <w:t xml:space="preserve">tice and Victoria Police. </w:t>
      </w:r>
    </w:p>
    <w:p w:rsidR="005121B1" w:rsidRDefault="005121B1" w:rsidP="00F133E9">
      <w:pPr>
        <w:pStyle w:val="WOVGbody"/>
        <w:rPr>
          <w:rFonts w:ascii="Verdana" w:hAnsi="Verdana"/>
        </w:rPr>
      </w:pPr>
      <w:r>
        <w:rPr>
          <w:rFonts w:ascii="Verdana" w:hAnsi="Verdana"/>
        </w:rPr>
        <w:t>Compared to the base case, this option will prescribe services that are in contact with a much higher proportion of all Victorian children, and typically at a much earlier stage in their lives.</w:t>
      </w:r>
      <w:r w:rsidR="00704959">
        <w:rPr>
          <w:rFonts w:ascii="Verdana" w:hAnsi="Verdana"/>
        </w:rPr>
        <w:t xml:space="preserve"> Prescription of ISEs according to this option </w:t>
      </w:r>
      <w:r w:rsidR="00704959" w:rsidRPr="00F133E9">
        <w:rPr>
          <w:rFonts w:ascii="Verdana" w:hAnsi="Verdana"/>
        </w:rPr>
        <w:t xml:space="preserve">will lead to an increased opportunity </w:t>
      </w:r>
      <w:r w:rsidR="00704959">
        <w:rPr>
          <w:rFonts w:ascii="Verdana" w:hAnsi="Verdana"/>
        </w:rPr>
        <w:t xml:space="preserve">for information sharing to support </w:t>
      </w:r>
      <w:r w:rsidR="00704959" w:rsidRPr="00F133E9">
        <w:rPr>
          <w:rFonts w:ascii="Verdana" w:hAnsi="Verdana"/>
        </w:rPr>
        <w:t>early intervention and prevention</w:t>
      </w:r>
      <w:r w:rsidR="00704959">
        <w:rPr>
          <w:rFonts w:ascii="Verdana" w:hAnsi="Verdana"/>
        </w:rPr>
        <w:t xml:space="preserve"> when compared to the base case, possibly reducing reliance on Child Protection and statutory services.</w:t>
      </w:r>
    </w:p>
    <w:p w:rsidR="00904AE9" w:rsidRDefault="00696815" w:rsidP="00F133E9">
      <w:pPr>
        <w:pStyle w:val="WOVGbody"/>
        <w:rPr>
          <w:rFonts w:ascii="Verdana" w:hAnsi="Verdana"/>
        </w:rPr>
      </w:pPr>
      <w:r>
        <w:rPr>
          <w:rFonts w:ascii="Verdana" w:hAnsi="Verdana"/>
        </w:rPr>
        <w:t>Based on input from the workforce consultations for this RIS, and g</w:t>
      </w:r>
      <w:r w:rsidR="00904AE9">
        <w:rPr>
          <w:rFonts w:ascii="Verdana" w:hAnsi="Verdana"/>
        </w:rPr>
        <w:t>iven the nature of the services provided by already prescribed ISEs, it is</w:t>
      </w:r>
      <w:r w:rsidR="00904AE9" w:rsidRPr="00BC74F3">
        <w:rPr>
          <w:rFonts w:ascii="Verdana" w:hAnsi="Verdana"/>
        </w:rPr>
        <w:t xml:space="preserve"> </w:t>
      </w:r>
      <w:r w:rsidR="00904AE9">
        <w:rPr>
          <w:rFonts w:ascii="Verdana" w:hAnsi="Verdana"/>
        </w:rPr>
        <w:t>reasonable to</w:t>
      </w:r>
      <w:r>
        <w:rPr>
          <w:rFonts w:ascii="Verdana" w:hAnsi="Verdana"/>
        </w:rPr>
        <w:t xml:space="preserve"> expect</w:t>
      </w:r>
      <w:r w:rsidR="00904AE9">
        <w:rPr>
          <w:rFonts w:ascii="Verdana" w:hAnsi="Verdana"/>
        </w:rPr>
        <w:t xml:space="preserve"> that much of the information sharing </w:t>
      </w:r>
      <w:r w:rsidR="00F157DF">
        <w:rPr>
          <w:rFonts w:ascii="Verdana" w:hAnsi="Verdana"/>
        </w:rPr>
        <w:t>under this option will be focus</w:t>
      </w:r>
      <w:r w:rsidR="00904AE9">
        <w:rPr>
          <w:rFonts w:ascii="Verdana" w:hAnsi="Verdana"/>
        </w:rPr>
        <w:t>ed on issues of child safety, including child safety in a family violence context.</w:t>
      </w:r>
      <w:r w:rsidR="00E71CC1">
        <w:rPr>
          <w:rFonts w:ascii="Verdana" w:hAnsi="Verdana"/>
        </w:rPr>
        <w:t xml:space="preserve"> It has not, however, been possible to quantify the likely scale of the effects.</w:t>
      </w:r>
    </w:p>
    <w:p w:rsidR="00F133E9" w:rsidRPr="003F46D1" w:rsidRDefault="00106A99" w:rsidP="00F133E9">
      <w:pPr>
        <w:pStyle w:val="WOVGbody"/>
        <w:rPr>
          <w:rFonts w:ascii="Verdana" w:hAnsi="Verdana"/>
          <w:b/>
        </w:rPr>
      </w:pPr>
      <w:r w:rsidRPr="003F46D1">
        <w:rPr>
          <w:rFonts w:ascii="Verdana" w:hAnsi="Verdana"/>
          <w:b/>
        </w:rPr>
        <w:t>On this ba</w:t>
      </w:r>
      <w:r w:rsidR="00AB290F" w:rsidRPr="003F46D1">
        <w:rPr>
          <w:rFonts w:ascii="Verdana" w:hAnsi="Verdana"/>
          <w:b/>
        </w:rPr>
        <w:t>sis, this option is scored at +4</w:t>
      </w:r>
      <w:r w:rsidR="00152D8E">
        <w:rPr>
          <w:rFonts w:ascii="Verdana" w:hAnsi="Verdana"/>
          <w:b/>
        </w:rPr>
        <w:t xml:space="preserve"> for e</w:t>
      </w:r>
      <w:r w:rsidRPr="003F46D1">
        <w:rPr>
          <w:rFonts w:ascii="Verdana" w:hAnsi="Verdana"/>
          <w:b/>
        </w:rPr>
        <w:t xml:space="preserve">ffectiveness </w:t>
      </w:r>
      <w:r w:rsidR="003836A3" w:rsidRPr="003F46D1">
        <w:rPr>
          <w:rFonts w:ascii="Verdana" w:hAnsi="Verdana"/>
          <w:b/>
        </w:rPr>
        <w:t>relative to the base case.</w:t>
      </w:r>
    </w:p>
    <w:p w:rsidR="00CB4BDD" w:rsidRDefault="00F133E9" w:rsidP="003836A3">
      <w:pPr>
        <w:pStyle w:val="WOVGbody"/>
        <w:rPr>
          <w:rFonts w:ascii="Verdana" w:hAnsi="Verdana"/>
        </w:rPr>
      </w:pPr>
      <w:r w:rsidRPr="00F133E9">
        <w:rPr>
          <w:rFonts w:ascii="Verdana" w:hAnsi="Verdana"/>
          <w:b/>
        </w:rPr>
        <w:t>Option 2</w:t>
      </w:r>
      <w:r w:rsidRPr="00F133E9">
        <w:rPr>
          <w:rFonts w:ascii="Verdana" w:hAnsi="Verdana"/>
        </w:rPr>
        <w:t xml:space="preserve">: </w:t>
      </w:r>
      <w:r w:rsidR="003836A3">
        <w:rPr>
          <w:rFonts w:ascii="Verdana" w:hAnsi="Verdana"/>
        </w:rPr>
        <w:t xml:space="preserve">Under this option, a wider range of </w:t>
      </w:r>
      <w:r w:rsidR="00CB4BDD">
        <w:rPr>
          <w:rFonts w:ascii="Verdana" w:hAnsi="Verdana"/>
        </w:rPr>
        <w:t>government and non-government services responsible for the provision of services related to the wellbeing and safety of children are prescribed</w:t>
      </w:r>
      <w:r w:rsidR="003836A3">
        <w:rPr>
          <w:rFonts w:ascii="Verdana" w:hAnsi="Verdana"/>
        </w:rPr>
        <w:t xml:space="preserve">. </w:t>
      </w:r>
      <w:r w:rsidR="007667BE">
        <w:rPr>
          <w:rFonts w:ascii="Verdana" w:hAnsi="Verdana"/>
        </w:rPr>
        <w:t>The</w:t>
      </w:r>
      <w:r w:rsidR="00CB4BDD">
        <w:rPr>
          <w:rFonts w:ascii="Verdana" w:hAnsi="Verdana"/>
        </w:rPr>
        <w:t xml:space="preserve"> universal health and education related services prescribed under this option interact with the vast majority of children and families in Victoria</w:t>
      </w:r>
      <w:r w:rsidR="007F353D">
        <w:rPr>
          <w:rFonts w:ascii="Verdana" w:hAnsi="Verdana"/>
        </w:rPr>
        <w:t xml:space="preserve"> on a very regular basis</w:t>
      </w:r>
      <w:r w:rsidR="00CB4BDD">
        <w:rPr>
          <w:rFonts w:ascii="Verdana" w:hAnsi="Verdana"/>
        </w:rPr>
        <w:t xml:space="preserve">, </w:t>
      </w:r>
      <w:r w:rsidR="009F232A">
        <w:rPr>
          <w:rFonts w:ascii="Verdana" w:hAnsi="Verdana"/>
        </w:rPr>
        <w:t xml:space="preserve">and from the earliest stages of life, </w:t>
      </w:r>
      <w:r w:rsidR="00CB4BDD">
        <w:rPr>
          <w:rFonts w:ascii="Verdana" w:hAnsi="Verdana"/>
        </w:rPr>
        <w:t xml:space="preserve">and </w:t>
      </w:r>
      <w:r w:rsidR="007F353D">
        <w:rPr>
          <w:rFonts w:ascii="Verdana" w:hAnsi="Verdana"/>
        </w:rPr>
        <w:t xml:space="preserve">can therefore </w:t>
      </w:r>
      <w:r w:rsidR="00CB4BDD">
        <w:rPr>
          <w:rFonts w:ascii="Verdana" w:hAnsi="Verdana"/>
        </w:rPr>
        <w:t xml:space="preserve">play a crucial role in early intervention and prevention. </w:t>
      </w:r>
      <w:r w:rsidR="007667BE">
        <w:rPr>
          <w:rFonts w:ascii="Verdana" w:hAnsi="Verdana"/>
        </w:rPr>
        <w:t>In addition, some of the services prescribed under this option, including homelessness services, refugee and migrant services, community housing services and supported playgroups,</w:t>
      </w:r>
      <w:r w:rsidR="00417E46">
        <w:rPr>
          <w:rFonts w:ascii="Verdana" w:hAnsi="Verdana"/>
        </w:rPr>
        <w:t xml:space="preserve"> </w:t>
      </w:r>
      <w:r w:rsidR="00CF6AC5">
        <w:rPr>
          <w:rFonts w:ascii="Verdana" w:hAnsi="Verdana"/>
        </w:rPr>
        <w:t>direct</w:t>
      </w:r>
      <w:r w:rsidR="00652A5C">
        <w:rPr>
          <w:rFonts w:ascii="Verdana" w:hAnsi="Verdana"/>
        </w:rPr>
        <w:t>ly</w:t>
      </w:r>
      <w:r w:rsidR="00CF6AC5">
        <w:rPr>
          <w:rFonts w:ascii="Verdana" w:hAnsi="Verdana"/>
        </w:rPr>
        <w:t xml:space="preserve"> support children and families </w:t>
      </w:r>
      <w:r w:rsidR="007F353D">
        <w:rPr>
          <w:rFonts w:ascii="Verdana" w:hAnsi="Verdana"/>
        </w:rPr>
        <w:t>with complex needs</w:t>
      </w:r>
      <w:r w:rsidR="00251023">
        <w:rPr>
          <w:rFonts w:ascii="Verdana" w:hAnsi="Verdana"/>
        </w:rPr>
        <w:t>, and their prescription comple</w:t>
      </w:r>
      <w:r w:rsidR="00417E46">
        <w:rPr>
          <w:rFonts w:ascii="Verdana" w:hAnsi="Verdana"/>
        </w:rPr>
        <w:t>ment</w:t>
      </w:r>
      <w:r w:rsidR="003F46D1">
        <w:rPr>
          <w:rFonts w:ascii="Verdana" w:hAnsi="Verdana"/>
        </w:rPr>
        <w:t>s</w:t>
      </w:r>
      <w:r w:rsidR="00417E46">
        <w:rPr>
          <w:rFonts w:ascii="Verdana" w:hAnsi="Verdana"/>
        </w:rPr>
        <w:t xml:space="preserve"> the prescription of secondary and tertiary services in Phase One of the scheme</w:t>
      </w:r>
      <w:r w:rsidR="007667BE">
        <w:rPr>
          <w:rFonts w:ascii="Verdana" w:hAnsi="Verdana"/>
        </w:rPr>
        <w:t>.</w:t>
      </w:r>
      <w:r w:rsidR="00417E46">
        <w:rPr>
          <w:rFonts w:ascii="Verdana" w:hAnsi="Verdana"/>
        </w:rPr>
        <w:t xml:space="preserve"> </w:t>
      </w:r>
      <w:r w:rsidR="00CB4BDD" w:rsidRPr="00F133E9">
        <w:rPr>
          <w:rFonts w:ascii="Verdana" w:hAnsi="Verdana"/>
        </w:rPr>
        <w:t xml:space="preserve">By enabling earlier intervention and prevention, child information sharing can </w:t>
      </w:r>
      <w:r w:rsidR="00BA31E5">
        <w:rPr>
          <w:rFonts w:ascii="Verdana" w:hAnsi="Verdana"/>
        </w:rPr>
        <w:t xml:space="preserve">improve health and wellbeing outcomes and </w:t>
      </w:r>
      <w:r w:rsidR="00CB4BDD" w:rsidRPr="00F133E9">
        <w:rPr>
          <w:rFonts w:ascii="Verdana" w:hAnsi="Verdana"/>
        </w:rPr>
        <w:t>reduce the need for acute and statutory services involving the Child Protection system</w:t>
      </w:r>
      <w:r w:rsidR="003F46D1">
        <w:rPr>
          <w:rFonts w:ascii="Verdana" w:hAnsi="Verdana"/>
        </w:rPr>
        <w:t>, placement in out of home care,</w:t>
      </w:r>
      <w:r w:rsidR="00CB4BDD" w:rsidRPr="00F133E9">
        <w:rPr>
          <w:rFonts w:ascii="Verdana" w:hAnsi="Verdana"/>
        </w:rPr>
        <w:t xml:space="preserve"> as well as contact with youth justice.</w:t>
      </w:r>
    </w:p>
    <w:p w:rsidR="00F133E9" w:rsidRDefault="003836A3" w:rsidP="003836A3">
      <w:pPr>
        <w:pStyle w:val="WOVGbody"/>
        <w:rPr>
          <w:rFonts w:ascii="Verdana" w:hAnsi="Verdana"/>
        </w:rPr>
      </w:pPr>
      <w:r>
        <w:rPr>
          <w:rFonts w:ascii="Verdana" w:hAnsi="Verdana"/>
        </w:rPr>
        <w:t>Given the broader prescription of</w:t>
      </w:r>
      <w:r w:rsidR="00704959">
        <w:rPr>
          <w:rFonts w:ascii="Verdana" w:hAnsi="Verdana"/>
        </w:rPr>
        <w:t xml:space="preserve"> services under</w:t>
      </w:r>
      <w:r>
        <w:rPr>
          <w:rFonts w:ascii="Verdana" w:hAnsi="Verdana"/>
        </w:rPr>
        <w:t xml:space="preserve"> this option, it is expected that </w:t>
      </w:r>
      <w:r w:rsidR="00704959">
        <w:rPr>
          <w:rFonts w:ascii="Verdana" w:hAnsi="Verdana"/>
        </w:rPr>
        <w:t>the amount of information sharing will increase significantly compared to the base case</w:t>
      </w:r>
      <w:r w:rsidR="00F133E9" w:rsidRPr="00F133E9">
        <w:rPr>
          <w:rFonts w:ascii="Verdana" w:hAnsi="Verdana"/>
        </w:rPr>
        <w:t xml:space="preserve">. This </w:t>
      </w:r>
      <w:r w:rsidR="005B6CC4">
        <w:rPr>
          <w:rFonts w:ascii="Verdana" w:hAnsi="Verdana"/>
        </w:rPr>
        <w:t>is anticipated to</w:t>
      </w:r>
      <w:r w:rsidR="005B6CC4" w:rsidRPr="00F133E9">
        <w:rPr>
          <w:rFonts w:ascii="Verdana" w:hAnsi="Verdana"/>
        </w:rPr>
        <w:t xml:space="preserve"> </w:t>
      </w:r>
      <w:r w:rsidR="00F133E9" w:rsidRPr="00F133E9">
        <w:rPr>
          <w:rFonts w:ascii="Verdana" w:hAnsi="Verdana"/>
        </w:rPr>
        <w:t xml:space="preserve">lead to a more comprehensive understanding of each child’s circumstances, </w:t>
      </w:r>
      <w:r w:rsidR="00F133E9" w:rsidRPr="00F133E9">
        <w:rPr>
          <w:rFonts w:ascii="Verdana" w:hAnsi="Verdana"/>
        </w:rPr>
        <w:lastRenderedPageBreak/>
        <w:t>needs, risks, and the supports required. Increasing information clarity for a greater number of professionals and organisations from the outset, such as health practitioners, early childhood education providers and schools would enable timelier identification of concerns and the potential for earlier provision of supportive services to children and families and, if necessary, referral to targeted and tertiary services. More tailored service provision and collaboration between supportive services around children and families can have positive impacts on children’s social and emotional development, recognising that childhood trauma is a known risk factor for mental illness, drug and alcohol abuse, and being a perpetrator of family violence later in life. Furthermore, meeting critical windows of child brain development is crucial for child wellbeing</w:t>
      </w:r>
      <w:r w:rsidR="005B4D34">
        <w:rPr>
          <w:rFonts w:ascii="Verdana" w:hAnsi="Verdana"/>
        </w:rPr>
        <w:t>.</w:t>
      </w:r>
      <w:r w:rsidR="00CB4BDD">
        <w:rPr>
          <w:rStyle w:val="FootnoteReference"/>
          <w:rFonts w:ascii="Verdana" w:hAnsi="Verdana"/>
        </w:rPr>
        <w:footnoteReference w:id="23"/>
      </w:r>
    </w:p>
    <w:p w:rsidR="00F133E9" w:rsidRPr="00F133E9" w:rsidRDefault="00BA31E5" w:rsidP="00F133E9">
      <w:pPr>
        <w:pStyle w:val="WOVGbody"/>
        <w:rPr>
          <w:rFonts w:ascii="Verdana" w:hAnsi="Verdana"/>
        </w:rPr>
      </w:pPr>
      <w:r>
        <w:rPr>
          <w:rFonts w:ascii="Verdana" w:hAnsi="Verdana"/>
        </w:rPr>
        <w:t>Option 2</w:t>
      </w:r>
      <w:r w:rsidR="003836A3" w:rsidRPr="00F133E9">
        <w:rPr>
          <w:rFonts w:ascii="Verdana" w:hAnsi="Verdana"/>
        </w:rPr>
        <w:t xml:space="preserve"> will ensure a more effective framework for </w:t>
      </w:r>
      <w:r w:rsidR="00CB4BDD">
        <w:rPr>
          <w:rFonts w:ascii="Verdana" w:hAnsi="Verdana"/>
        </w:rPr>
        <w:t xml:space="preserve">sharing </w:t>
      </w:r>
      <w:r w:rsidR="003836A3" w:rsidRPr="00F133E9">
        <w:rPr>
          <w:rFonts w:ascii="Verdana" w:hAnsi="Verdana"/>
        </w:rPr>
        <w:t xml:space="preserve">information </w:t>
      </w:r>
      <w:r w:rsidR="00CB4BDD">
        <w:rPr>
          <w:rFonts w:ascii="Verdana" w:hAnsi="Verdana"/>
        </w:rPr>
        <w:t>relevant to the wellbeing or safety of a child.</w:t>
      </w:r>
      <w:r>
        <w:rPr>
          <w:rFonts w:ascii="Verdana" w:hAnsi="Verdana"/>
        </w:rPr>
        <w:t xml:space="preserve"> </w:t>
      </w:r>
      <w:r w:rsidR="00F133E9" w:rsidRPr="003F46D1">
        <w:rPr>
          <w:rFonts w:ascii="Verdana" w:hAnsi="Verdana"/>
          <w:b/>
        </w:rPr>
        <w:t>On this ba</w:t>
      </w:r>
      <w:r w:rsidRPr="003F46D1">
        <w:rPr>
          <w:rFonts w:ascii="Verdana" w:hAnsi="Verdana"/>
          <w:b/>
        </w:rPr>
        <w:t>sis, the</w:t>
      </w:r>
      <w:r w:rsidR="00CB4BDD" w:rsidRPr="003F46D1">
        <w:rPr>
          <w:rFonts w:ascii="Verdana" w:hAnsi="Verdana"/>
          <w:b/>
        </w:rPr>
        <w:t xml:space="preserve"> option is scored at +8</w:t>
      </w:r>
      <w:r w:rsidR="00152D8E">
        <w:rPr>
          <w:rFonts w:ascii="Verdana" w:hAnsi="Verdana"/>
          <w:b/>
        </w:rPr>
        <w:t xml:space="preserve"> for e</w:t>
      </w:r>
      <w:r w:rsidR="00F133E9" w:rsidRPr="003F46D1">
        <w:rPr>
          <w:rFonts w:ascii="Verdana" w:hAnsi="Verdana"/>
          <w:b/>
        </w:rPr>
        <w:t>ffectiveness relative to the base case.</w:t>
      </w:r>
    </w:p>
    <w:p w:rsidR="00F133E9" w:rsidRPr="00F133E9" w:rsidRDefault="00F133E9" w:rsidP="00F133E9">
      <w:pPr>
        <w:pStyle w:val="WOVGbody"/>
        <w:rPr>
          <w:rFonts w:ascii="Verdana" w:hAnsi="Verdana"/>
        </w:rPr>
      </w:pPr>
      <w:r w:rsidRPr="004D1050">
        <w:rPr>
          <w:rFonts w:ascii="Verdana" w:hAnsi="Verdana"/>
          <w:b/>
        </w:rPr>
        <w:t>Option 3</w:t>
      </w:r>
      <w:r w:rsidRPr="00F133E9">
        <w:rPr>
          <w:rFonts w:ascii="Verdana" w:hAnsi="Verdana"/>
        </w:rPr>
        <w:t>:</w:t>
      </w:r>
      <w:r w:rsidR="00417E46">
        <w:rPr>
          <w:rFonts w:ascii="Verdana" w:hAnsi="Verdana"/>
        </w:rPr>
        <w:t xml:space="preserve"> </w:t>
      </w:r>
      <w:r w:rsidR="00E761B0">
        <w:rPr>
          <w:rFonts w:ascii="Verdana" w:hAnsi="Verdana"/>
        </w:rPr>
        <w:t>T</w:t>
      </w:r>
      <w:r w:rsidRPr="00F133E9">
        <w:rPr>
          <w:rFonts w:ascii="Verdana" w:hAnsi="Verdana"/>
        </w:rPr>
        <w:t>his option prescribes a</w:t>
      </w:r>
      <w:r w:rsidR="00417E46">
        <w:rPr>
          <w:rFonts w:ascii="Verdana" w:hAnsi="Verdana"/>
        </w:rPr>
        <w:t>n even</w:t>
      </w:r>
      <w:r w:rsidRPr="00F133E9">
        <w:rPr>
          <w:rFonts w:ascii="Verdana" w:hAnsi="Verdana"/>
        </w:rPr>
        <w:t xml:space="preserve"> broader scope of ISEs to the CIS Scheme, including those prescribed under Option 1 and Option 2. Option 3 ensures inclusion of all </w:t>
      </w:r>
      <w:r w:rsidR="00DB0CC5">
        <w:rPr>
          <w:rFonts w:ascii="Verdana" w:hAnsi="Verdana"/>
        </w:rPr>
        <w:t xml:space="preserve">health and education services that may </w:t>
      </w:r>
      <w:r w:rsidRPr="00F133E9">
        <w:rPr>
          <w:rFonts w:ascii="Verdana" w:hAnsi="Verdana"/>
        </w:rPr>
        <w:t>involve children, or hold information related to children</w:t>
      </w:r>
      <w:r w:rsidR="00BA31E5">
        <w:rPr>
          <w:rFonts w:ascii="Verdana" w:hAnsi="Verdana"/>
        </w:rPr>
        <w:t xml:space="preserve">, including </w:t>
      </w:r>
      <w:r w:rsidR="00BA31E5" w:rsidRPr="00121846">
        <w:rPr>
          <w:rFonts w:ascii="Verdana" w:hAnsi="Verdana"/>
        </w:rPr>
        <w:t>disability services</w:t>
      </w:r>
      <w:r w:rsidR="00BA31E5">
        <w:rPr>
          <w:rFonts w:ascii="Verdana" w:hAnsi="Verdana"/>
        </w:rPr>
        <w:t>, family day care,</w:t>
      </w:r>
      <w:r w:rsidR="007667BE">
        <w:rPr>
          <w:rFonts w:ascii="Verdana" w:hAnsi="Verdana"/>
        </w:rPr>
        <w:t xml:space="preserve"> private aged care and in-</w:t>
      </w:r>
      <w:r w:rsidR="00BA31E5">
        <w:rPr>
          <w:rFonts w:ascii="Verdana" w:hAnsi="Verdana"/>
        </w:rPr>
        <w:t>home care, private hospitals and private allied health services, TAFE and universities</w:t>
      </w:r>
      <w:r w:rsidRPr="00F133E9">
        <w:rPr>
          <w:rFonts w:ascii="Verdana" w:hAnsi="Verdana"/>
        </w:rPr>
        <w:t>. This</w:t>
      </w:r>
      <w:r w:rsidR="008F737B">
        <w:rPr>
          <w:rFonts w:ascii="Verdana" w:hAnsi="Verdana"/>
        </w:rPr>
        <w:t xml:space="preserve"> would result in a further increase in information sharing which would arguably enable services to</w:t>
      </w:r>
      <w:r w:rsidRPr="00F133E9">
        <w:rPr>
          <w:rFonts w:ascii="Verdana" w:hAnsi="Verdana"/>
        </w:rPr>
        <w:t xml:space="preserve"> identif</w:t>
      </w:r>
      <w:r w:rsidR="008F737B">
        <w:rPr>
          <w:rFonts w:ascii="Verdana" w:hAnsi="Verdana"/>
        </w:rPr>
        <w:t>y and respond to issues</w:t>
      </w:r>
      <w:r w:rsidRPr="00F133E9">
        <w:rPr>
          <w:rFonts w:ascii="Verdana" w:hAnsi="Verdana"/>
        </w:rPr>
        <w:t xml:space="preserve"> within a mainstream context, potentially maximising opport</w:t>
      </w:r>
      <w:r w:rsidR="008F737B">
        <w:rPr>
          <w:rFonts w:ascii="Verdana" w:hAnsi="Verdana"/>
        </w:rPr>
        <w:t>unities for early intervention.</w:t>
      </w:r>
    </w:p>
    <w:p w:rsidR="00476534" w:rsidRPr="00FC2ACB" w:rsidRDefault="00476534" w:rsidP="00F133E9">
      <w:pPr>
        <w:pStyle w:val="WOVGbody"/>
        <w:rPr>
          <w:rFonts w:ascii="Verdana" w:hAnsi="Verdana"/>
          <w:b/>
        </w:rPr>
      </w:pPr>
      <w:r w:rsidRPr="00FC2ACB">
        <w:rPr>
          <w:rFonts w:ascii="Verdana" w:hAnsi="Verdana"/>
          <w:b/>
        </w:rPr>
        <w:t>On this basis, this option is also scored at +</w:t>
      </w:r>
      <w:r w:rsidR="007F7CC5">
        <w:rPr>
          <w:rFonts w:ascii="Verdana" w:hAnsi="Verdana"/>
          <w:b/>
        </w:rPr>
        <w:t>9</w:t>
      </w:r>
      <w:r w:rsidR="00152D8E">
        <w:rPr>
          <w:rFonts w:ascii="Verdana" w:hAnsi="Verdana"/>
          <w:b/>
        </w:rPr>
        <w:t xml:space="preserve"> for e</w:t>
      </w:r>
      <w:r w:rsidRPr="00FC2ACB">
        <w:rPr>
          <w:rFonts w:ascii="Verdana" w:hAnsi="Verdana"/>
          <w:b/>
        </w:rPr>
        <w:t>ffectiveness relative to the base case.</w:t>
      </w:r>
    </w:p>
    <w:p w:rsidR="00F133E9" w:rsidRPr="00D75B5B" w:rsidRDefault="00F133E9" w:rsidP="00F133E9">
      <w:pPr>
        <w:pStyle w:val="Heading3"/>
        <w:rPr>
          <w:rFonts w:ascii="Verdana" w:hAnsi="Verdana"/>
        </w:rPr>
      </w:pPr>
      <w:r w:rsidRPr="00D75B5B">
        <w:rPr>
          <w:rFonts w:ascii="Verdana" w:hAnsi="Verdana"/>
        </w:rPr>
        <w:t>Risk of infeasibility</w:t>
      </w:r>
    </w:p>
    <w:p w:rsidR="00F133E9" w:rsidRDefault="00152D8E" w:rsidP="00F133E9">
      <w:pPr>
        <w:pStyle w:val="WOVGbody"/>
        <w:rPr>
          <w:rFonts w:ascii="Verdana" w:hAnsi="Verdana"/>
        </w:rPr>
      </w:pPr>
      <w:r>
        <w:rPr>
          <w:rFonts w:ascii="Verdana" w:hAnsi="Verdana"/>
        </w:rPr>
        <w:t>The r</w:t>
      </w:r>
      <w:r w:rsidR="00F133E9" w:rsidRPr="00D75B5B">
        <w:rPr>
          <w:rFonts w:ascii="Verdana" w:hAnsi="Verdana"/>
        </w:rPr>
        <w:t xml:space="preserve">isk of infeasibility score for each option has been determined through qualitative assessment of how well each option will avoid the risks of </w:t>
      </w:r>
      <w:r w:rsidR="0021519C">
        <w:rPr>
          <w:rFonts w:ascii="Verdana" w:hAnsi="Verdana"/>
        </w:rPr>
        <w:t>infeasibility</w:t>
      </w:r>
      <w:r w:rsidR="00F133E9" w:rsidRPr="00D75B5B">
        <w:rPr>
          <w:rFonts w:ascii="Verdana" w:hAnsi="Verdana"/>
        </w:rPr>
        <w:t>.</w:t>
      </w:r>
    </w:p>
    <w:p w:rsidR="000027E2" w:rsidRPr="00E66D6A" w:rsidRDefault="000027E2" w:rsidP="00F133E9">
      <w:pPr>
        <w:pStyle w:val="WOVGbody"/>
        <w:rPr>
          <w:rFonts w:ascii="Verdana" w:hAnsi="Verdana"/>
          <w:b/>
        </w:rPr>
      </w:pPr>
      <w:r w:rsidRPr="00E66D6A">
        <w:rPr>
          <w:rFonts w:ascii="Verdana" w:hAnsi="Verdana"/>
          <w:b/>
        </w:rPr>
        <w:t>Table 5.3 Risk scores – options for prescribing entities</w:t>
      </w:r>
    </w:p>
    <w:tbl>
      <w:tblPr>
        <w:tblStyle w:val="TableGrid"/>
        <w:tblW w:w="9406" w:type="dxa"/>
        <w:tblLook w:val="06A0" w:firstRow="1" w:lastRow="0" w:firstColumn="1" w:lastColumn="0" w:noHBand="1" w:noVBand="1"/>
      </w:tblPr>
      <w:tblGrid>
        <w:gridCol w:w="1818"/>
        <w:gridCol w:w="1571"/>
        <w:gridCol w:w="2084"/>
        <w:gridCol w:w="2168"/>
        <w:gridCol w:w="1765"/>
      </w:tblGrid>
      <w:tr w:rsidR="00F133E9" w:rsidRPr="00B309AB" w:rsidTr="00AC53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8" w:type="dxa"/>
            <w:hideMark/>
          </w:tcPr>
          <w:p w:rsidR="00F133E9" w:rsidRPr="00B309AB" w:rsidRDefault="00F133E9" w:rsidP="00AC53C0">
            <w:pPr>
              <w:pStyle w:val="WOVGtablecolhead"/>
              <w:rPr>
                <w:rFonts w:ascii="Verdana" w:hAnsi="Verdana"/>
              </w:rPr>
            </w:pPr>
          </w:p>
        </w:tc>
        <w:tc>
          <w:tcPr>
            <w:tcW w:w="1571" w:type="dxa"/>
            <w:hideMark/>
          </w:tcPr>
          <w:p w:rsidR="00F133E9" w:rsidRPr="00B309AB" w:rsidRDefault="00F133E9"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4D1050">
              <w:rPr>
                <w:rFonts w:ascii="Verdana" w:hAnsi="Verdana"/>
              </w:rPr>
              <w:t>Base Case</w:t>
            </w:r>
          </w:p>
        </w:tc>
        <w:tc>
          <w:tcPr>
            <w:tcW w:w="2084" w:type="dxa"/>
            <w:hideMark/>
          </w:tcPr>
          <w:p w:rsidR="00F133E9" w:rsidRPr="00B309AB" w:rsidRDefault="00F133E9"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1</w:t>
            </w:r>
          </w:p>
        </w:tc>
        <w:tc>
          <w:tcPr>
            <w:tcW w:w="2168" w:type="dxa"/>
            <w:hideMark/>
          </w:tcPr>
          <w:p w:rsidR="00F133E9" w:rsidRPr="00B309AB" w:rsidRDefault="00F133E9"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2</w:t>
            </w:r>
          </w:p>
        </w:tc>
        <w:tc>
          <w:tcPr>
            <w:tcW w:w="1765" w:type="dxa"/>
          </w:tcPr>
          <w:p w:rsidR="00F133E9" w:rsidRDefault="00F133E9"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3</w:t>
            </w:r>
          </w:p>
        </w:tc>
      </w:tr>
      <w:tr w:rsidR="00F133E9" w:rsidRPr="00B309AB" w:rsidTr="00F133E9">
        <w:trPr>
          <w:trHeight w:val="285"/>
        </w:trPr>
        <w:tc>
          <w:tcPr>
            <w:cnfStyle w:val="001000000000" w:firstRow="0" w:lastRow="0" w:firstColumn="1" w:lastColumn="0" w:oddVBand="0" w:evenVBand="0" w:oddHBand="0" w:evenHBand="0" w:firstRowFirstColumn="0" w:firstRowLastColumn="0" w:lastRowFirstColumn="0" w:lastRowLastColumn="0"/>
            <w:tcW w:w="1818" w:type="dxa"/>
            <w:hideMark/>
          </w:tcPr>
          <w:p w:rsidR="00F133E9" w:rsidRPr="00B309AB" w:rsidRDefault="00F133E9" w:rsidP="00AC53C0">
            <w:pPr>
              <w:pStyle w:val="WOVGtabletext"/>
              <w:rPr>
                <w:rFonts w:ascii="Verdana" w:hAnsi="Verdana"/>
              </w:rPr>
            </w:pPr>
            <w:r>
              <w:rPr>
                <w:rFonts w:ascii="Verdana" w:hAnsi="Verdana"/>
              </w:rPr>
              <w:t>Risk of infeasibility</w:t>
            </w:r>
          </w:p>
        </w:tc>
        <w:tc>
          <w:tcPr>
            <w:tcW w:w="1571" w:type="dxa"/>
            <w:vAlign w:val="bottom"/>
            <w:hideMark/>
          </w:tcPr>
          <w:p w:rsidR="00F133E9" w:rsidRPr="00B309AB" w:rsidRDefault="00F133E9" w:rsidP="00F133E9">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2084" w:type="dxa"/>
            <w:hideMark/>
          </w:tcPr>
          <w:p w:rsidR="00F133E9" w:rsidRDefault="00F133E9" w:rsidP="00F133E9">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F133E9" w:rsidRPr="00B309AB" w:rsidRDefault="007C7675" w:rsidP="00F133E9">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-6</w:t>
            </w:r>
          </w:p>
        </w:tc>
        <w:tc>
          <w:tcPr>
            <w:tcW w:w="2168" w:type="dxa"/>
            <w:hideMark/>
          </w:tcPr>
          <w:p w:rsidR="00F133E9" w:rsidRDefault="00F133E9" w:rsidP="00F133E9">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F133E9" w:rsidRPr="00B309AB" w:rsidRDefault="007C7675" w:rsidP="00F133E9">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p>
        </w:tc>
        <w:tc>
          <w:tcPr>
            <w:tcW w:w="1765" w:type="dxa"/>
          </w:tcPr>
          <w:p w:rsidR="00F133E9" w:rsidRDefault="00F133E9" w:rsidP="00F133E9">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F133E9" w:rsidRPr="00B309AB" w:rsidRDefault="00BE4139" w:rsidP="00F133E9">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-9</w:t>
            </w:r>
          </w:p>
        </w:tc>
      </w:tr>
    </w:tbl>
    <w:p w:rsidR="00F133E9" w:rsidRDefault="00F133E9" w:rsidP="00F133E9">
      <w:pPr>
        <w:pStyle w:val="WOVGbody"/>
      </w:pPr>
    </w:p>
    <w:p w:rsidR="004D1050" w:rsidRPr="00D75B5B" w:rsidRDefault="004D1050" w:rsidP="00F133E9">
      <w:pPr>
        <w:pStyle w:val="WOVGbody"/>
        <w:rPr>
          <w:rFonts w:ascii="Verdana" w:hAnsi="Verdana"/>
        </w:rPr>
      </w:pPr>
      <w:r w:rsidRPr="00D75B5B">
        <w:rPr>
          <w:rFonts w:ascii="Verdana" w:hAnsi="Verdana"/>
          <w:b/>
        </w:rPr>
        <w:t>Base case</w:t>
      </w:r>
      <w:r w:rsidRPr="00D75B5B">
        <w:rPr>
          <w:rFonts w:ascii="Verdana" w:hAnsi="Verdana"/>
        </w:rPr>
        <w:t xml:space="preserve">: </w:t>
      </w:r>
      <w:r w:rsidR="00476534">
        <w:rPr>
          <w:rFonts w:ascii="Verdana" w:hAnsi="Verdana"/>
        </w:rPr>
        <w:t xml:space="preserve">As no ISEs would be prescribed in regulation the risk of infeasibility </w:t>
      </w:r>
      <w:r w:rsidR="00CF6AC5">
        <w:rPr>
          <w:rFonts w:ascii="Verdana" w:hAnsi="Verdana"/>
        </w:rPr>
        <w:t xml:space="preserve">of reform implementation </w:t>
      </w:r>
      <w:r w:rsidR="00476534">
        <w:rPr>
          <w:rFonts w:ascii="Verdana" w:hAnsi="Verdana"/>
        </w:rPr>
        <w:t xml:space="preserve">will not change </w:t>
      </w:r>
      <w:r w:rsidR="00CF6AC5">
        <w:rPr>
          <w:rFonts w:ascii="Verdana" w:hAnsi="Verdana"/>
        </w:rPr>
        <w:t>from the c</w:t>
      </w:r>
      <w:r w:rsidR="00476534">
        <w:rPr>
          <w:rFonts w:ascii="Verdana" w:hAnsi="Verdana"/>
        </w:rPr>
        <w:t>urrent situation.</w:t>
      </w:r>
    </w:p>
    <w:p w:rsidR="004D1050" w:rsidRPr="00AE1A96" w:rsidRDefault="004D1050" w:rsidP="00AE1A96">
      <w:pPr>
        <w:pStyle w:val="WOVGbody"/>
        <w:rPr>
          <w:rFonts w:ascii="Verdana" w:hAnsi="Verdana"/>
        </w:rPr>
      </w:pPr>
      <w:r w:rsidRPr="007B4FE1">
        <w:rPr>
          <w:rFonts w:ascii="Verdana" w:hAnsi="Verdana"/>
          <w:b/>
        </w:rPr>
        <w:t>Option 1</w:t>
      </w:r>
      <w:r w:rsidRPr="007B4FE1">
        <w:rPr>
          <w:rFonts w:ascii="Verdana" w:hAnsi="Verdana"/>
        </w:rPr>
        <w:t>:</w:t>
      </w:r>
      <w:r w:rsidRPr="00D75B5B">
        <w:t xml:space="preserve"> </w:t>
      </w:r>
      <w:r w:rsidR="00CF6AC5" w:rsidRPr="00CF6AC5">
        <w:rPr>
          <w:rFonts w:ascii="Verdana" w:hAnsi="Verdana"/>
        </w:rPr>
        <w:t xml:space="preserve">This option prescribes a limited </w:t>
      </w:r>
      <w:r w:rsidR="003836A3" w:rsidRPr="00AE1A96">
        <w:rPr>
          <w:rFonts w:ascii="Verdana" w:hAnsi="Verdana"/>
        </w:rPr>
        <w:t xml:space="preserve">scope of </w:t>
      </w:r>
      <w:r w:rsidR="00CA0AD2" w:rsidRPr="00AE1A96">
        <w:rPr>
          <w:rFonts w:ascii="Verdana" w:hAnsi="Verdana"/>
        </w:rPr>
        <w:t xml:space="preserve">ISEs </w:t>
      </w:r>
      <w:r w:rsidR="00CF6AC5">
        <w:rPr>
          <w:rFonts w:ascii="Verdana" w:hAnsi="Verdana"/>
        </w:rPr>
        <w:t xml:space="preserve">that have </w:t>
      </w:r>
      <w:r w:rsidR="00CF6AC5" w:rsidRPr="00AE1A96">
        <w:rPr>
          <w:rFonts w:ascii="Verdana" w:hAnsi="Verdana"/>
        </w:rPr>
        <w:t>existing capacity and capability in formal risk assessment and management</w:t>
      </w:r>
      <w:r w:rsidR="00CF6AC5">
        <w:rPr>
          <w:rFonts w:ascii="Verdana" w:hAnsi="Verdana"/>
        </w:rPr>
        <w:t xml:space="preserve">. The ISEs will have the capacity to </w:t>
      </w:r>
      <w:r w:rsidR="00A723BA">
        <w:rPr>
          <w:rFonts w:ascii="Verdana" w:hAnsi="Verdana"/>
        </w:rPr>
        <w:t xml:space="preserve"> deliver the reforms within</w:t>
      </w:r>
      <w:r w:rsidR="00CF6AC5" w:rsidRPr="00AE1A96">
        <w:rPr>
          <w:rFonts w:ascii="Verdana" w:hAnsi="Verdana"/>
        </w:rPr>
        <w:t xml:space="preserve"> the timeframes of Phase Two implementation</w:t>
      </w:r>
      <w:r w:rsidR="00CF6AC5">
        <w:rPr>
          <w:rFonts w:ascii="Verdana" w:hAnsi="Verdana"/>
        </w:rPr>
        <w:t>, further reducing the</w:t>
      </w:r>
      <w:r w:rsidR="00CF6AC5" w:rsidRPr="00AE1A96">
        <w:rPr>
          <w:rFonts w:ascii="Verdana" w:hAnsi="Verdana"/>
        </w:rPr>
        <w:t xml:space="preserve"> risk of infeasibility </w:t>
      </w:r>
      <w:r w:rsidR="00A723BA">
        <w:rPr>
          <w:rFonts w:ascii="Verdana" w:hAnsi="Verdana"/>
        </w:rPr>
        <w:t>of this option.</w:t>
      </w:r>
    </w:p>
    <w:p w:rsidR="00AE1A96" w:rsidRPr="00AE1A96" w:rsidRDefault="001C1E37" w:rsidP="00AE1A96">
      <w:pPr>
        <w:pStyle w:val="WOVGbody"/>
        <w:rPr>
          <w:rFonts w:ascii="Verdana" w:hAnsi="Verdana"/>
        </w:rPr>
      </w:pPr>
      <w:r w:rsidRPr="00AE1A96">
        <w:rPr>
          <w:rFonts w:ascii="Verdana" w:hAnsi="Verdana"/>
        </w:rPr>
        <w:t>However, the limited scope of this option is in misalignment with proposed prescription for the FVIS Scheme and MARAM</w:t>
      </w:r>
      <w:r w:rsidR="000D16EF">
        <w:rPr>
          <w:rFonts w:ascii="Verdana" w:hAnsi="Verdana"/>
        </w:rPr>
        <w:t xml:space="preserve">, </w:t>
      </w:r>
      <w:r w:rsidR="00906496">
        <w:rPr>
          <w:rFonts w:ascii="Verdana" w:hAnsi="Verdana"/>
        </w:rPr>
        <w:t xml:space="preserve">which is </w:t>
      </w:r>
      <w:r w:rsidR="000D16EF">
        <w:rPr>
          <w:rFonts w:ascii="Verdana" w:hAnsi="Verdana"/>
        </w:rPr>
        <w:t xml:space="preserve">expected to be </w:t>
      </w:r>
      <w:r w:rsidR="00906496">
        <w:rPr>
          <w:rFonts w:ascii="Verdana" w:hAnsi="Verdana"/>
        </w:rPr>
        <w:t xml:space="preserve">much </w:t>
      </w:r>
      <w:r w:rsidR="00696815">
        <w:rPr>
          <w:rFonts w:ascii="Verdana" w:hAnsi="Verdana"/>
        </w:rPr>
        <w:t>broader in scope</w:t>
      </w:r>
      <w:r w:rsidR="000D16EF">
        <w:rPr>
          <w:rFonts w:ascii="Verdana" w:hAnsi="Verdana"/>
        </w:rPr>
        <w:t xml:space="preserve"> and include universal health and education related services</w:t>
      </w:r>
      <w:r w:rsidRPr="00AE1A96">
        <w:rPr>
          <w:rFonts w:ascii="Verdana" w:hAnsi="Verdana"/>
        </w:rPr>
        <w:t xml:space="preserve">. </w:t>
      </w:r>
      <w:r w:rsidR="008B7137">
        <w:rPr>
          <w:rFonts w:ascii="Verdana" w:hAnsi="Verdana"/>
        </w:rPr>
        <w:t>T</w:t>
      </w:r>
      <w:r w:rsidR="00591C43">
        <w:rPr>
          <w:rFonts w:ascii="Verdana" w:hAnsi="Verdana"/>
        </w:rPr>
        <w:t>ogether, t</w:t>
      </w:r>
      <w:r w:rsidR="008B7137">
        <w:rPr>
          <w:rFonts w:ascii="Verdana" w:hAnsi="Verdana"/>
        </w:rPr>
        <w:t xml:space="preserve">he </w:t>
      </w:r>
      <w:r w:rsidR="00AE1A96" w:rsidRPr="00AE1A96">
        <w:rPr>
          <w:rFonts w:ascii="Verdana" w:hAnsi="Verdana"/>
        </w:rPr>
        <w:t xml:space="preserve">CIS and FVIS </w:t>
      </w:r>
      <w:r w:rsidR="008B7137">
        <w:rPr>
          <w:rFonts w:ascii="Verdana" w:hAnsi="Verdana"/>
        </w:rPr>
        <w:t xml:space="preserve">schemes </w:t>
      </w:r>
      <w:r w:rsidR="00AE1A96" w:rsidRPr="00AE1A96">
        <w:rPr>
          <w:rFonts w:ascii="Verdana" w:hAnsi="Verdana"/>
        </w:rPr>
        <w:t xml:space="preserve">authorise information sharing to </w:t>
      </w:r>
      <w:r w:rsidR="008B7137">
        <w:rPr>
          <w:rFonts w:ascii="Verdana" w:hAnsi="Verdana"/>
        </w:rPr>
        <w:t xml:space="preserve">enable </w:t>
      </w:r>
      <w:r w:rsidR="00AE1A96" w:rsidRPr="00AE1A96">
        <w:rPr>
          <w:rFonts w:ascii="Verdana" w:hAnsi="Verdana"/>
        </w:rPr>
        <w:t>early identification, assessment and management of children’s wellbeing or saf</w:t>
      </w:r>
      <w:r w:rsidR="008B7137">
        <w:rPr>
          <w:rFonts w:ascii="Verdana" w:hAnsi="Verdana"/>
        </w:rPr>
        <w:t>ety in a wide range of contexts. This enables</w:t>
      </w:r>
      <w:r w:rsidR="00AE1A96" w:rsidRPr="00AE1A96">
        <w:rPr>
          <w:rFonts w:ascii="Verdana" w:hAnsi="Verdana"/>
        </w:rPr>
        <w:t xml:space="preserve"> services to </w:t>
      </w:r>
      <w:r w:rsidR="00AE1A96" w:rsidRPr="00AE1A96">
        <w:rPr>
          <w:rFonts w:ascii="Verdana" w:hAnsi="Verdana"/>
        </w:rPr>
        <w:lastRenderedPageBreak/>
        <w:t>respond to the multiple, complex needs of families and children</w:t>
      </w:r>
      <w:r w:rsidR="008B7137">
        <w:rPr>
          <w:rFonts w:ascii="Verdana" w:hAnsi="Verdana"/>
        </w:rPr>
        <w:t>. By breaking the alignment of implementation between the two schemes, this option will create complexities and confusion in reform implementation and will undermine ISEs</w:t>
      </w:r>
      <w:r w:rsidR="00591C43">
        <w:rPr>
          <w:rFonts w:ascii="Verdana" w:hAnsi="Verdana"/>
        </w:rPr>
        <w:t>’</w:t>
      </w:r>
      <w:r w:rsidR="008B7137">
        <w:rPr>
          <w:rFonts w:ascii="Verdana" w:hAnsi="Verdana"/>
        </w:rPr>
        <w:t xml:space="preserve"> ability to respond to the multiple and complex needs of children and their families</w:t>
      </w:r>
      <w:r w:rsidR="007666F2">
        <w:rPr>
          <w:rFonts w:ascii="Verdana" w:hAnsi="Verdana"/>
        </w:rPr>
        <w:t>,</w:t>
      </w:r>
      <w:r w:rsidR="00C4189F">
        <w:rPr>
          <w:rFonts w:ascii="Verdana" w:hAnsi="Verdana"/>
        </w:rPr>
        <w:t xml:space="preserve"> and reduces opportunities </w:t>
      </w:r>
      <w:r w:rsidR="007666F2">
        <w:rPr>
          <w:rFonts w:ascii="Verdana" w:hAnsi="Verdana"/>
        </w:rPr>
        <w:t>for information</w:t>
      </w:r>
      <w:r w:rsidR="00C4189F">
        <w:rPr>
          <w:rFonts w:ascii="Verdana" w:hAnsi="Verdana"/>
        </w:rPr>
        <w:t xml:space="preserve"> sharing to support the wellbeing of children.</w:t>
      </w:r>
    </w:p>
    <w:p w:rsidR="001C1E37" w:rsidRPr="00476534" w:rsidRDefault="001C1E37" w:rsidP="008B7137">
      <w:pPr>
        <w:pStyle w:val="WOVGbody"/>
        <w:rPr>
          <w:rFonts w:ascii="Verdana" w:hAnsi="Verdana"/>
        </w:rPr>
      </w:pPr>
      <w:r>
        <w:rPr>
          <w:rFonts w:ascii="Verdana" w:hAnsi="Verdana"/>
        </w:rPr>
        <w:t xml:space="preserve">Further, this option </w:t>
      </w:r>
      <w:r w:rsidR="00C4189F">
        <w:rPr>
          <w:rFonts w:ascii="Verdana" w:hAnsi="Verdana"/>
        </w:rPr>
        <w:t>does not meet</w:t>
      </w:r>
      <w:r>
        <w:rPr>
          <w:rFonts w:ascii="Verdana" w:hAnsi="Verdana"/>
        </w:rPr>
        <w:t xml:space="preserve"> the recommendations of the McClellan Royal Commission</w:t>
      </w:r>
      <w:r w:rsidR="008B7137" w:rsidRPr="00485F3F">
        <w:rPr>
          <w:rFonts w:ascii="Verdana" w:hAnsi="Verdana"/>
        </w:rPr>
        <w:t xml:space="preserve"> that the scope of prescribed </w:t>
      </w:r>
      <w:r w:rsidR="008B7137">
        <w:rPr>
          <w:rFonts w:ascii="Verdana" w:hAnsi="Verdana"/>
        </w:rPr>
        <w:t>entities</w:t>
      </w:r>
      <w:r w:rsidR="008B7137" w:rsidRPr="00485F3F">
        <w:rPr>
          <w:rFonts w:ascii="Verdana" w:hAnsi="Verdana"/>
        </w:rPr>
        <w:t xml:space="preserve"> should capture a</w:t>
      </w:r>
      <w:r w:rsidR="008B7137">
        <w:rPr>
          <w:rFonts w:ascii="Verdana" w:hAnsi="Verdana"/>
        </w:rPr>
        <w:t xml:space="preserve"> very wide range of institutions.</w:t>
      </w:r>
    </w:p>
    <w:p w:rsidR="00476534" w:rsidRPr="003A0EE2" w:rsidRDefault="00476534" w:rsidP="006E2FB9">
      <w:pPr>
        <w:rPr>
          <w:rFonts w:ascii="Verdana" w:eastAsia="Times" w:hAnsi="Verdana"/>
          <w:b/>
        </w:rPr>
      </w:pPr>
      <w:r w:rsidRPr="003A0EE2">
        <w:rPr>
          <w:rFonts w:ascii="Verdana" w:eastAsia="Times" w:hAnsi="Verdana"/>
          <w:b/>
        </w:rPr>
        <w:t>On this ba</w:t>
      </w:r>
      <w:r w:rsidR="0061649F" w:rsidRPr="003A0EE2">
        <w:rPr>
          <w:rFonts w:ascii="Verdana" w:eastAsia="Times" w:hAnsi="Verdana"/>
          <w:b/>
        </w:rPr>
        <w:t>sis, Option 1</w:t>
      </w:r>
      <w:r w:rsidR="00906496" w:rsidRPr="003A0EE2">
        <w:rPr>
          <w:rFonts w:ascii="Verdana" w:eastAsia="Times" w:hAnsi="Verdana"/>
          <w:b/>
        </w:rPr>
        <w:t xml:space="preserve"> option is scored at </w:t>
      </w:r>
      <w:r w:rsidR="007C7675" w:rsidRPr="003A0EE2">
        <w:rPr>
          <w:rFonts w:ascii="Verdana" w:eastAsia="Times" w:hAnsi="Verdana"/>
          <w:b/>
        </w:rPr>
        <w:t>-6</w:t>
      </w:r>
      <w:r w:rsidRPr="003A0EE2">
        <w:rPr>
          <w:rFonts w:ascii="Verdana" w:eastAsia="Times" w:hAnsi="Verdana"/>
          <w:b/>
        </w:rPr>
        <w:t xml:space="preserve"> for risk of in</w:t>
      </w:r>
      <w:r w:rsidR="00D661F6" w:rsidRPr="003A0EE2">
        <w:rPr>
          <w:rFonts w:ascii="Verdana" w:eastAsia="Times" w:hAnsi="Verdana"/>
          <w:b/>
        </w:rPr>
        <w:t>feasibility</w:t>
      </w:r>
      <w:r w:rsidRPr="003A0EE2">
        <w:rPr>
          <w:rFonts w:ascii="Verdana" w:eastAsia="Times" w:hAnsi="Verdana"/>
          <w:b/>
        </w:rPr>
        <w:t xml:space="preserve"> relative to the base case.</w:t>
      </w:r>
    </w:p>
    <w:p w:rsidR="006E2FB9" w:rsidRPr="006E2FB9" w:rsidRDefault="006E2FB9" w:rsidP="006E2FB9">
      <w:pPr>
        <w:rPr>
          <w:rFonts w:ascii="Verdana" w:eastAsia="Times" w:hAnsi="Verdana"/>
        </w:rPr>
      </w:pPr>
    </w:p>
    <w:p w:rsidR="007B3757" w:rsidRDefault="004D1050" w:rsidP="00F133E9">
      <w:pPr>
        <w:pStyle w:val="WOVGbody"/>
        <w:rPr>
          <w:rFonts w:ascii="Verdana" w:hAnsi="Verdana"/>
        </w:rPr>
      </w:pPr>
      <w:r w:rsidRPr="00D75B5B">
        <w:rPr>
          <w:rFonts w:ascii="Verdana" w:hAnsi="Verdana"/>
          <w:b/>
        </w:rPr>
        <w:t>Option 2</w:t>
      </w:r>
      <w:r w:rsidRPr="00D75B5B">
        <w:rPr>
          <w:rFonts w:ascii="Verdana" w:hAnsi="Verdana"/>
        </w:rPr>
        <w:t xml:space="preserve">: </w:t>
      </w:r>
      <w:r w:rsidR="00566CF8">
        <w:rPr>
          <w:rFonts w:ascii="Verdana" w:hAnsi="Verdana"/>
        </w:rPr>
        <w:t xml:space="preserve">This option prescribes </w:t>
      </w:r>
      <w:r w:rsidR="007B3757">
        <w:rPr>
          <w:rFonts w:ascii="Verdana" w:hAnsi="Verdana"/>
        </w:rPr>
        <w:t>universal services that</w:t>
      </w:r>
      <w:r w:rsidR="00566CF8">
        <w:rPr>
          <w:rFonts w:ascii="Verdana" w:hAnsi="Verdana"/>
        </w:rPr>
        <w:t xml:space="preserve"> largely </w:t>
      </w:r>
      <w:r w:rsidR="007B3757">
        <w:rPr>
          <w:rFonts w:ascii="Verdana" w:hAnsi="Verdana"/>
        </w:rPr>
        <w:t xml:space="preserve">have </w:t>
      </w:r>
      <w:r w:rsidR="0061649F">
        <w:rPr>
          <w:rFonts w:ascii="Verdana" w:hAnsi="Verdana"/>
        </w:rPr>
        <w:t>the capacity to</w:t>
      </w:r>
      <w:r w:rsidR="007B3757">
        <w:rPr>
          <w:rFonts w:ascii="Verdana" w:hAnsi="Verdana"/>
        </w:rPr>
        <w:t xml:space="preserve"> deliver the reforms within their current business and according to current timelines for Phase Two implementation of the CIS Scheme. These workforces, including schools, hospitals</w:t>
      </w:r>
      <w:r w:rsidR="0061649F">
        <w:rPr>
          <w:rFonts w:ascii="Verdana" w:hAnsi="Verdana"/>
        </w:rPr>
        <w:t xml:space="preserve"> and other government delivered or supported health services,</w:t>
      </w:r>
      <w:r w:rsidR="007B3757">
        <w:rPr>
          <w:rFonts w:ascii="Verdana" w:hAnsi="Verdana"/>
        </w:rPr>
        <w:t xml:space="preserve"> and the early childhood education sector</w:t>
      </w:r>
      <w:r w:rsidR="0061649F">
        <w:rPr>
          <w:rFonts w:ascii="Verdana" w:hAnsi="Verdana"/>
        </w:rPr>
        <w:t>,</w:t>
      </w:r>
      <w:r w:rsidR="007B3757">
        <w:rPr>
          <w:rFonts w:ascii="Verdana" w:hAnsi="Verdana"/>
        </w:rPr>
        <w:t xml:space="preserve"> have existing capacity within formal risk assessment and management, and </w:t>
      </w:r>
      <w:r w:rsidR="0061649F">
        <w:rPr>
          <w:rFonts w:ascii="Verdana" w:hAnsi="Verdana"/>
        </w:rPr>
        <w:t xml:space="preserve">already </w:t>
      </w:r>
      <w:r w:rsidR="007B3757">
        <w:rPr>
          <w:rFonts w:ascii="Verdana" w:hAnsi="Verdana"/>
        </w:rPr>
        <w:t>perform information sharing such as Mandatory Reporting.</w:t>
      </w:r>
    </w:p>
    <w:p w:rsidR="00566CF8" w:rsidRDefault="0061649F" w:rsidP="00F133E9">
      <w:pPr>
        <w:pStyle w:val="WOVGbody"/>
        <w:rPr>
          <w:rFonts w:ascii="Verdana" w:hAnsi="Verdana"/>
        </w:rPr>
      </w:pPr>
      <w:r>
        <w:rPr>
          <w:rFonts w:ascii="Verdana" w:hAnsi="Verdana"/>
        </w:rPr>
        <w:t>The option</w:t>
      </w:r>
      <w:r w:rsidR="007B3757">
        <w:rPr>
          <w:rFonts w:ascii="Verdana" w:hAnsi="Verdana"/>
        </w:rPr>
        <w:t xml:space="preserve"> reduces </w:t>
      </w:r>
      <w:r>
        <w:rPr>
          <w:rFonts w:ascii="Verdana" w:hAnsi="Verdana"/>
        </w:rPr>
        <w:t xml:space="preserve">the </w:t>
      </w:r>
      <w:r w:rsidR="007B3757">
        <w:rPr>
          <w:rFonts w:ascii="Verdana" w:hAnsi="Verdana"/>
        </w:rPr>
        <w:t xml:space="preserve">risk of </w:t>
      </w:r>
      <w:r w:rsidR="00EC7F7F">
        <w:rPr>
          <w:rFonts w:ascii="Verdana" w:hAnsi="Verdana"/>
        </w:rPr>
        <w:t>infeasibility</w:t>
      </w:r>
      <w:r w:rsidR="007B3757">
        <w:rPr>
          <w:rFonts w:ascii="Verdana" w:hAnsi="Verdana"/>
        </w:rPr>
        <w:t xml:space="preserve"> by prescribing workforces that are largely either Victorian Government managed, funded or </w:t>
      </w:r>
      <w:r w:rsidR="007666F2">
        <w:rPr>
          <w:rFonts w:ascii="Verdana" w:hAnsi="Verdana"/>
        </w:rPr>
        <w:t>delivered</w:t>
      </w:r>
      <w:r w:rsidR="007B3757">
        <w:rPr>
          <w:rFonts w:ascii="Verdana" w:hAnsi="Verdana"/>
        </w:rPr>
        <w:t>, or regulated by a Victorian Government authority or business area.</w:t>
      </w:r>
    </w:p>
    <w:p w:rsidR="004D1050" w:rsidRDefault="00566CF8" w:rsidP="00F133E9">
      <w:pPr>
        <w:pStyle w:val="WOVGbody"/>
        <w:rPr>
          <w:rFonts w:ascii="Verdana" w:hAnsi="Verdana"/>
        </w:rPr>
      </w:pPr>
      <w:r>
        <w:rPr>
          <w:rFonts w:ascii="Verdana" w:hAnsi="Verdana"/>
        </w:rPr>
        <w:t>This option ensures optimal alignment with the FVIS Scheme and</w:t>
      </w:r>
      <w:r w:rsidR="00D661F6">
        <w:rPr>
          <w:rFonts w:ascii="Verdana" w:hAnsi="Verdana"/>
        </w:rPr>
        <w:t xml:space="preserve"> MARAM implementation timelines.</w:t>
      </w:r>
      <w:r w:rsidR="0061649F">
        <w:rPr>
          <w:rFonts w:ascii="Verdana" w:hAnsi="Verdana"/>
        </w:rPr>
        <w:t xml:space="preserve"> It is also </w:t>
      </w:r>
      <w:r w:rsidR="009354BA">
        <w:rPr>
          <w:rFonts w:ascii="Verdana" w:hAnsi="Verdana"/>
        </w:rPr>
        <w:t xml:space="preserve">in line </w:t>
      </w:r>
      <w:r w:rsidR="0061649F">
        <w:rPr>
          <w:rFonts w:ascii="Verdana" w:hAnsi="Verdana"/>
        </w:rPr>
        <w:t xml:space="preserve">with the recommendations of the McClellan </w:t>
      </w:r>
      <w:r w:rsidR="009354BA">
        <w:rPr>
          <w:rFonts w:ascii="Verdana" w:hAnsi="Verdana"/>
        </w:rPr>
        <w:t xml:space="preserve">Royal Commission to prescribe entities that capture a wide range of institutions whilst considering the </w:t>
      </w:r>
      <w:r w:rsidR="009E3AED">
        <w:rPr>
          <w:rFonts w:ascii="Verdana" w:hAnsi="Verdana"/>
        </w:rPr>
        <w:t xml:space="preserve">possible </w:t>
      </w:r>
      <w:r w:rsidR="009354BA">
        <w:rPr>
          <w:rFonts w:ascii="Verdana" w:hAnsi="Verdana"/>
        </w:rPr>
        <w:t>inclusion of entities over time to reduce the risk o</w:t>
      </w:r>
      <w:r w:rsidR="007666F2">
        <w:rPr>
          <w:rFonts w:ascii="Verdana" w:hAnsi="Verdana"/>
        </w:rPr>
        <w:t>f</w:t>
      </w:r>
      <w:r w:rsidR="009354BA">
        <w:rPr>
          <w:rFonts w:ascii="Verdana" w:hAnsi="Verdana"/>
        </w:rPr>
        <w:t xml:space="preserve"> administrative </w:t>
      </w:r>
      <w:r w:rsidR="007666F2">
        <w:rPr>
          <w:rFonts w:ascii="Verdana" w:hAnsi="Verdana"/>
        </w:rPr>
        <w:t>overload</w:t>
      </w:r>
      <w:r w:rsidR="009354BA">
        <w:rPr>
          <w:rFonts w:ascii="Verdana" w:hAnsi="Verdana"/>
        </w:rPr>
        <w:t xml:space="preserve">. </w:t>
      </w:r>
    </w:p>
    <w:p w:rsidR="00D661F6" w:rsidRPr="003A0EE2" w:rsidRDefault="00D661F6" w:rsidP="00D661F6">
      <w:pPr>
        <w:rPr>
          <w:rFonts w:ascii="Verdana" w:eastAsia="Times" w:hAnsi="Verdana"/>
          <w:b/>
        </w:rPr>
      </w:pPr>
      <w:r w:rsidRPr="003A0EE2">
        <w:rPr>
          <w:rFonts w:ascii="Verdana" w:eastAsia="Times" w:hAnsi="Verdana"/>
          <w:b/>
        </w:rPr>
        <w:t>On this basis, this option</w:t>
      </w:r>
      <w:r w:rsidR="007C7675" w:rsidRPr="003A0EE2">
        <w:rPr>
          <w:rFonts w:ascii="Verdana" w:eastAsia="Times" w:hAnsi="Verdana"/>
          <w:b/>
        </w:rPr>
        <w:t xml:space="preserve"> is scored at -2</w:t>
      </w:r>
      <w:r w:rsidRPr="003A0EE2">
        <w:rPr>
          <w:rFonts w:ascii="Verdana" w:eastAsia="Times" w:hAnsi="Verdana"/>
          <w:b/>
        </w:rPr>
        <w:t xml:space="preserve"> for risk of infeasibility relative to the base case.</w:t>
      </w:r>
    </w:p>
    <w:p w:rsidR="00D661F6" w:rsidRPr="00D75B5B" w:rsidRDefault="00D661F6" w:rsidP="00F133E9">
      <w:pPr>
        <w:pStyle w:val="WOVGbody"/>
        <w:rPr>
          <w:rFonts w:ascii="Verdana" w:hAnsi="Verdana"/>
        </w:rPr>
      </w:pPr>
    </w:p>
    <w:p w:rsidR="00D661F6" w:rsidRDefault="004D1050" w:rsidP="00F133E9">
      <w:pPr>
        <w:pStyle w:val="WOVGbody"/>
        <w:rPr>
          <w:rFonts w:ascii="Verdana" w:hAnsi="Verdana"/>
        </w:rPr>
      </w:pPr>
      <w:r w:rsidRPr="00D75B5B">
        <w:rPr>
          <w:rFonts w:ascii="Verdana" w:hAnsi="Verdana"/>
          <w:b/>
        </w:rPr>
        <w:t>Option 3</w:t>
      </w:r>
      <w:r w:rsidRPr="00D75B5B">
        <w:rPr>
          <w:rFonts w:ascii="Verdana" w:hAnsi="Verdana"/>
        </w:rPr>
        <w:t xml:space="preserve">: </w:t>
      </w:r>
      <w:r w:rsidR="00D661F6">
        <w:rPr>
          <w:rFonts w:ascii="Verdana" w:hAnsi="Verdana"/>
        </w:rPr>
        <w:t>By prescribing a large number of organisations, this option puts significant pressure on the</w:t>
      </w:r>
      <w:r w:rsidR="007F353D">
        <w:rPr>
          <w:rFonts w:ascii="Verdana" w:hAnsi="Verdana"/>
        </w:rPr>
        <w:t xml:space="preserve"> organisations and government in</w:t>
      </w:r>
      <w:r w:rsidR="00D661F6">
        <w:rPr>
          <w:rFonts w:ascii="Verdana" w:hAnsi="Verdana"/>
        </w:rPr>
        <w:t xml:space="preserve"> implement</w:t>
      </w:r>
      <w:r w:rsidR="007F353D">
        <w:rPr>
          <w:rFonts w:ascii="Verdana" w:hAnsi="Verdana"/>
        </w:rPr>
        <w:t>ing</w:t>
      </w:r>
      <w:r w:rsidR="00D661F6">
        <w:rPr>
          <w:rFonts w:ascii="Verdana" w:hAnsi="Verdana"/>
        </w:rPr>
        <w:t xml:space="preserve"> Phase Two of the</w:t>
      </w:r>
      <w:r w:rsidR="00CB4BDD" w:rsidRPr="00F133E9">
        <w:rPr>
          <w:rFonts w:ascii="Verdana" w:hAnsi="Verdana"/>
        </w:rPr>
        <w:t xml:space="preserve"> CIS Scheme </w:t>
      </w:r>
      <w:r w:rsidR="00D661F6">
        <w:rPr>
          <w:rFonts w:ascii="Verdana" w:hAnsi="Verdana"/>
        </w:rPr>
        <w:t xml:space="preserve">within the </w:t>
      </w:r>
      <w:r w:rsidR="00CB4BDD" w:rsidRPr="00F133E9">
        <w:rPr>
          <w:rFonts w:ascii="Verdana" w:hAnsi="Verdana"/>
        </w:rPr>
        <w:t>required timeframes, due to the ex</w:t>
      </w:r>
      <w:r w:rsidR="00CB4BDD">
        <w:rPr>
          <w:rFonts w:ascii="Verdana" w:hAnsi="Verdana"/>
        </w:rPr>
        <w:t xml:space="preserve">tensive scale of </w:t>
      </w:r>
      <w:r w:rsidR="00D661F6">
        <w:rPr>
          <w:rFonts w:ascii="Verdana" w:hAnsi="Verdana"/>
        </w:rPr>
        <w:t>implementation</w:t>
      </w:r>
      <w:r w:rsidR="00CB4BDD">
        <w:rPr>
          <w:rFonts w:ascii="Verdana" w:hAnsi="Verdana"/>
        </w:rPr>
        <w:t>.</w:t>
      </w:r>
    </w:p>
    <w:p w:rsidR="004D1050" w:rsidRDefault="00D661F6" w:rsidP="00F133E9">
      <w:pPr>
        <w:pStyle w:val="WOVGbody"/>
        <w:rPr>
          <w:rFonts w:ascii="Verdana" w:hAnsi="Verdana"/>
        </w:rPr>
      </w:pPr>
      <w:r>
        <w:rPr>
          <w:rFonts w:ascii="Verdana" w:hAnsi="Verdana"/>
        </w:rPr>
        <w:t xml:space="preserve">The ISEs </w:t>
      </w:r>
      <w:r w:rsidR="007F353D">
        <w:rPr>
          <w:rFonts w:ascii="Verdana" w:hAnsi="Verdana"/>
        </w:rPr>
        <w:t xml:space="preserve">that would be </w:t>
      </w:r>
      <w:r>
        <w:rPr>
          <w:rFonts w:ascii="Verdana" w:hAnsi="Verdana"/>
        </w:rPr>
        <w:t xml:space="preserve">prescribed under this </w:t>
      </w:r>
      <w:r w:rsidR="007F353D">
        <w:rPr>
          <w:rFonts w:ascii="Verdana" w:hAnsi="Verdana"/>
        </w:rPr>
        <w:t>option have v</w:t>
      </w:r>
      <w:r w:rsidR="00087886">
        <w:rPr>
          <w:rFonts w:ascii="Verdana" w:hAnsi="Verdana"/>
        </w:rPr>
        <w:t>arying degree</w:t>
      </w:r>
      <w:r w:rsidR="007F353D">
        <w:rPr>
          <w:rFonts w:ascii="Verdana" w:hAnsi="Verdana"/>
        </w:rPr>
        <w:t>s</w:t>
      </w:r>
      <w:r w:rsidR="00087886">
        <w:rPr>
          <w:rFonts w:ascii="Verdana" w:hAnsi="Verdana"/>
        </w:rPr>
        <w:t xml:space="preserve"> </w:t>
      </w:r>
      <w:r w:rsidR="007F353D">
        <w:rPr>
          <w:rFonts w:ascii="Verdana" w:hAnsi="Verdana"/>
        </w:rPr>
        <w:t xml:space="preserve">of </w:t>
      </w:r>
      <w:r>
        <w:rPr>
          <w:rFonts w:ascii="Verdana" w:hAnsi="Verdana"/>
        </w:rPr>
        <w:t xml:space="preserve">capacity in formal risk assessment and </w:t>
      </w:r>
      <w:r w:rsidR="007F353D">
        <w:rPr>
          <w:rFonts w:ascii="Verdana" w:hAnsi="Verdana"/>
        </w:rPr>
        <w:t xml:space="preserve">risk </w:t>
      </w:r>
      <w:r>
        <w:rPr>
          <w:rFonts w:ascii="Verdana" w:hAnsi="Verdana"/>
        </w:rPr>
        <w:t>management</w:t>
      </w:r>
      <w:r w:rsidR="007F353D">
        <w:rPr>
          <w:rFonts w:ascii="Verdana" w:hAnsi="Verdana"/>
        </w:rPr>
        <w:t>,</w:t>
      </w:r>
      <w:r>
        <w:rPr>
          <w:rFonts w:ascii="Verdana" w:hAnsi="Verdana"/>
        </w:rPr>
        <w:t xml:space="preserve"> and the </w:t>
      </w:r>
      <w:r w:rsidR="008A1963">
        <w:rPr>
          <w:rFonts w:ascii="Verdana" w:hAnsi="Verdana"/>
        </w:rPr>
        <w:t>Victorian Government</w:t>
      </w:r>
      <w:r w:rsidR="00087886">
        <w:rPr>
          <w:rFonts w:ascii="Verdana" w:hAnsi="Verdana"/>
        </w:rPr>
        <w:t xml:space="preserve"> has only limited levers to ensure </w:t>
      </w:r>
      <w:r w:rsidR="00EC7F7F">
        <w:rPr>
          <w:rFonts w:ascii="Verdana" w:hAnsi="Verdana"/>
        </w:rPr>
        <w:t>appropriate</w:t>
      </w:r>
      <w:r w:rsidR="00087886">
        <w:rPr>
          <w:rFonts w:ascii="Verdana" w:hAnsi="Verdana"/>
        </w:rPr>
        <w:t xml:space="preserve"> </w:t>
      </w:r>
      <w:r w:rsidR="00FB3DE8">
        <w:rPr>
          <w:rFonts w:ascii="Verdana" w:hAnsi="Verdana"/>
        </w:rPr>
        <w:t xml:space="preserve">reform delivery </w:t>
      </w:r>
      <w:r w:rsidR="00087886">
        <w:rPr>
          <w:rFonts w:ascii="Verdana" w:hAnsi="Verdana"/>
        </w:rPr>
        <w:t>in a number of the private or Commonwealth Government supported workforces, including private hospitals, private allied health services and universities.</w:t>
      </w:r>
    </w:p>
    <w:p w:rsidR="00087886" w:rsidRDefault="00087886" w:rsidP="00F133E9">
      <w:pPr>
        <w:pStyle w:val="WOVGbody"/>
        <w:rPr>
          <w:rFonts w:ascii="Verdana" w:hAnsi="Verdana"/>
        </w:rPr>
      </w:pPr>
      <w:r>
        <w:rPr>
          <w:rFonts w:ascii="Verdana" w:hAnsi="Verdana"/>
        </w:rPr>
        <w:t xml:space="preserve">The wide scope of </w:t>
      </w:r>
      <w:r w:rsidR="007666F2">
        <w:rPr>
          <w:rFonts w:ascii="Verdana" w:hAnsi="Verdana"/>
        </w:rPr>
        <w:t xml:space="preserve">prescription under </w:t>
      </w:r>
      <w:r>
        <w:rPr>
          <w:rFonts w:ascii="Verdana" w:hAnsi="Verdana"/>
        </w:rPr>
        <w:t xml:space="preserve">this option </w:t>
      </w:r>
      <w:r w:rsidR="007666F2">
        <w:rPr>
          <w:rFonts w:ascii="Verdana" w:hAnsi="Verdana"/>
        </w:rPr>
        <w:t xml:space="preserve">does not align </w:t>
      </w:r>
      <w:r w:rsidRPr="00AE1A96">
        <w:rPr>
          <w:rFonts w:ascii="Verdana" w:hAnsi="Verdana"/>
        </w:rPr>
        <w:t>with proposed prescription for the FVIS Scheme and MARAM</w:t>
      </w:r>
      <w:r w:rsidR="007F7CC5">
        <w:rPr>
          <w:rFonts w:ascii="Verdana" w:hAnsi="Verdana"/>
        </w:rPr>
        <w:t>.</w:t>
      </w:r>
      <w:r w:rsidR="00D93D57">
        <w:rPr>
          <w:rFonts w:ascii="Verdana" w:hAnsi="Verdana"/>
        </w:rPr>
        <w:t xml:space="preserve"> B</w:t>
      </w:r>
      <w:r>
        <w:rPr>
          <w:rFonts w:ascii="Verdana" w:hAnsi="Verdana"/>
        </w:rPr>
        <w:t xml:space="preserve">y </w:t>
      </w:r>
      <w:r w:rsidR="007F7CC5">
        <w:rPr>
          <w:rFonts w:ascii="Verdana" w:hAnsi="Verdana"/>
        </w:rPr>
        <w:t xml:space="preserve">its wide prescription of </w:t>
      </w:r>
      <w:r w:rsidR="00D93D57">
        <w:rPr>
          <w:rFonts w:ascii="Verdana" w:hAnsi="Verdana"/>
        </w:rPr>
        <w:t>child health and education services it</w:t>
      </w:r>
      <w:r>
        <w:rPr>
          <w:rFonts w:ascii="Verdana" w:hAnsi="Verdana"/>
        </w:rPr>
        <w:t xml:space="preserve"> </w:t>
      </w:r>
      <w:r w:rsidR="007F7CC5">
        <w:rPr>
          <w:rFonts w:ascii="Verdana" w:hAnsi="Verdana"/>
        </w:rPr>
        <w:t xml:space="preserve">arguably also </w:t>
      </w:r>
      <w:r w:rsidRPr="00087886">
        <w:rPr>
          <w:rFonts w:ascii="Verdana" w:hAnsi="Verdana"/>
        </w:rPr>
        <w:t>goes against the recommendation of the McClellan Royal Commission to consider the inclusion of groups of entities over time</w:t>
      </w:r>
      <w:r w:rsidR="00D93D57">
        <w:rPr>
          <w:rFonts w:ascii="Verdana" w:hAnsi="Verdana"/>
        </w:rPr>
        <w:t xml:space="preserve"> to </w:t>
      </w:r>
      <w:r w:rsidRPr="00087886">
        <w:rPr>
          <w:rFonts w:ascii="Verdana" w:hAnsi="Verdana"/>
        </w:rPr>
        <w:t xml:space="preserve">reduce the risk of administrative </w:t>
      </w:r>
      <w:r w:rsidR="007666F2">
        <w:rPr>
          <w:rFonts w:ascii="Verdana" w:hAnsi="Verdana"/>
        </w:rPr>
        <w:t>overload</w:t>
      </w:r>
      <w:r>
        <w:rPr>
          <w:rFonts w:ascii="Verdana" w:hAnsi="Verdana"/>
        </w:rPr>
        <w:t>.</w:t>
      </w:r>
    </w:p>
    <w:p w:rsidR="00645BA4" w:rsidRPr="003A0EE2" w:rsidRDefault="00645BA4" w:rsidP="00645BA4">
      <w:pPr>
        <w:rPr>
          <w:rFonts w:ascii="Verdana" w:eastAsia="Times" w:hAnsi="Verdana"/>
          <w:b/>
        </w:rPr>
      </w:pPr>
      <w:r w:rsidRPr="003A0EE2">
        <w:rPr>
          <w:rFonts w:ascii="Verdana" w:eastAsia="Times" w:hAnsi="Verdana"/>
          <w:b/>
        </w:rPr>
        <w:t>On this ba</w:t>
      </w:r>
      <w:r w:rsidR="00906496" w:rsidRPr="003A0EE2">
        <w:rPr>
          <w:rFonts w:ascii="Verdana" w:eastAsia="Times" w:hAnsi="Verdana"/>
          <w:b/>
        </w:rPr>
        <w:t xml:space="preserve">sis, this option is </w:t>
      </w:r>
      <w:r w:rsidR="007F7CC5">
        <w:rPr>
          <w:rFonts w:ascii="Verdana" w:eastAsia="Times" w:hAnsi="Verdana"/>
          <w:b/>
        </w:rPr>
        <w:t>scored at -9</w:t>
      </w:r>
      <w:r w:rsidRPr="003A0EE2">
        <w:rPr>
          <w:rFonts w:ascii="Verdana" w:eastAsia="Times" w:hAnsi="Verdana"/>
          <w:b/>
        </w:rPr>
        <w:t xml:space="preserve"> for risk of infeasibility relative to the base case.</w:t>
      </w:r>
    </w:p>
    <w:p w:rsidR="004D1050" w:rsidRPr="00D75B5B" w:rsidRDefault="004D1050" w:rsidP="004D1050">
      <w:pPr>
        <w:pStyle w:val="Heading3"/>
        <w:rPr>
          <w:rFonts w:ascii="Verdana" w:hAnsi="Verdana"/>
        </w:rPr>
      </w:pPr>
      <w:r w:rsidRPr="00D75B5B">
        <w:rPr>
          <w:rFonts w:ascii="Verdana" w:hAnsi="Verdana"/>
        </w:rPr>
        <w:t>Implementation costs to ISEs</w:t>
      </w:r>
    </w:p>
    <w:p w:rsidR="00FC2ACB" w:rsidRDefault="00152D8E" w:rsidP="003A0EE2">
      <w:pPr>
        <w:pStyle w:val="WOVGbody"/>
        <w:rPr>
          <w:rFonts w:ascii="Verdana" w:hAnsi="Verdana"/>
        </w:rPr>
      </w:pPr>
      <w:r>
        <w:rPr>
          <w:rFonts w:ascii="Verdana" w:hAnsi="Verdana"/>
        </w:rPr>
        <w:t>The i</w:t>
      </w:r>
      <w:r w:rsidR="004D1050" w:rsidRPr="00D75B5B">
        <w:rPr>
          <w:rFonts w:ascii="Verdana" w:hAnsi="Verdana"/>
        </w:rPr>
        <w:t xml:space="preserve">mplementation costs to ISEs score for each option has been determined through </w:t>
      </w:r>
      <w:r w:rsidR="007F7CC5">
        <w:rPr>
          <w:rFonts w:ascii="Verdana" w:hAnsi="Verdana"/>
        </w:rPr>
        <w:t xml:space="preserve">a combination of quantitative and </w:t>
      </w:r>
      <w:r w:rsidR="004D1050" w:rsidRPr="00D75B5B">
        <w:rPr>
          <w:rFonts w:ascii="Verdana" w:hAnsi="Verdana"/>
        </w:rPr>
        <w:t>qualitative assessment</w:t>
      </w:r>
      <w:r w:rsidR="0021519C">
        <w:rPr>
          <w:rFonts w:ascii="Verdana" w:hAnsi="Verdana"/>
        </w:rPr>
        <w:t>. The implementation cost to each ISE is expected to increase as the breadth of prescription increases</w:t>
      </w:r>
      <w:r w:rsidR="000D28D6">
        <w:rPr>
          <w:rFonts w:ascii="Verdana" w:hAnsi="Verdana"/>
        </w:rPr>
        <w:t xml:space="preserve">. The implementation </w:t>
      </w:r>
      <w:r w:rsidR="000D28D6">
        <w:rPr>
          <w:rFonts w:ascii="Verdana" w:hAnsi="Verdana"/>
        </w:rPr>
        <w:lastRenderedPageBreak/>
        <w:t>cost</w:t>
      </w:r>
      <w:r w:rsidR="0021519C">
        <w:rPr>
          <w:rFonts w:ascii="Verdana" w:hAnsi="Verdana"/>
        </w:rPr>
        <w:t xml:space="preserve"> would fall more significantly on the ISEs directly to the extent an option </w:t>
      </w:r>
      <w:r w:rsidR="000D28D6">
        <w:rPr>
          <w:rFonts w:ascii="Verdana" w:hAnsi="Verdana"/>
        </w:rPr>
        <w:t xml:space="preserve">includes </w:t>
      </w:r>
      <w:r w:rsidR="0021519C">
        <w:rPr>
          <w:rFonts w:ascii="Verdana" w:hAnsi="Verdana"/>
        </w:rPr>
        <w:t>ISEs that</w:t>
      </w:r>
      <w:r w:rsidR="000D28D6">
        <w:rPr>
          <w:rFonts w:ascii="Verdana" w:hAnsi="Verdana"/>
        </w:rPr>
        <w:t xml:space="preserve"> have not been accounted for in the 2018-22 State Budget and</w:t>
      </w:r>
      <w:r w:rsidR="0021519C">
        <w:rPr>
          <w:rFonts w:ascii="Verdana" w:hAnsi="Verdana"/>
        </w:rPr>
        <w:t xml:space="preserve"> </w:t>
      </w:r>
      <w:r w:rsidR="000D28D6">
        <w:rPr>
          <w:rFonts w:ascii="Verdana" w:hAnsi="Verdana"/>
        </w:rPr>
        <w:t>may t</w:t>
      </w:r>
      <w:r w:rsidR="008A1963">
        <w:rPr>
          <w:rFonts w:ascii="Verdana" w:hAnsi="Verdana"/>
        </w:rPr>
        <w:t>herefore not receive necessary g</w:t>
      </w:r>
      <w:r w:rsidR="000D28D6">
        <w:rPr>
          <w:rFonts w:ascii="Verdana" w:hAnsi="Verdana"/>
        </w:rPr>
        <w:t>overnment training and support.</w:t>
      </w:r>
    </w:p>
    <w:p w:rsidR="000027E2" w:rsidRPr="00E66D6A" w:rsidRDefault="00870C08" w:rsidP="004D1050">
      <w:pPr>
        <w:pStyle w:val="WOVGbody"/>
        <w:rPr>
          <w:rFonts w:ascii="Verdana" w:hAnsi="Verdana"/>
          <w:b/>
        </w:rPr>
      </w:pPr>
      <w:r>
        <w:rPr>
          <w:rFonts w:ascii="Verdana" w:hAnsi="Verdana"/>
          <w:b/>
        </w:rPr>
        <w:t>Table 5.4 Implementation costs</w:t>
      </w:r>
      <w:r w:rsidRPr="00E66D6A">
        <w:rPr>
          <w:rFonts w:ascii="Verdana" w:hAnsi="Verdana"/>
          <w:b/>
        </w:rPr>
        <w:t xml:space="preserve"> –</w:t>
      </w:r>
      <w:r w:rsidRPr="00870C08">
        <w:rPr>
          <w:rFonts w:ascii="Verdana" w:hAnsi="Verdana"/>
          <w:b/>
        </w:rPr>
        <w:t xml:space="preserve"> </w:t>
      </w:r>
      <w:r w:rsidRPr="00E66D6A">
        <w:rPr>
          <w:rFonts w:ascii="Verdana" w:hAnsi="Verdana"/>
          <w:b/>
        </w:rPr>
        <w:t>options for prescribing entities</w:t>
      </w:r>
    </w:p>
    <w:tbl>
      <w:tblPr>
        <w:tblStyle w:val="TableGrid"/>
        <w:tblW w:w="9406" w:type="dxa"/>
        <w:tblLook w:val="06A0" w:firstRow="1" w:lastRow="0" w:firstColumn="1" w:lastColumn="0" w:noHBand="1" w:noVBand="1"/>
      </w:tblPr>
      <w:tblGrid>
        <w:gridCol w:w="1818"/>
        <w:gridCol w:w="1571"/>
        <w:gridCol w:w="2084"/>
        <w:gridCol w:w="2168"/>
        <w:gridCol w:w="1765"/>
      </w:tblGrid>
      <w:tr w:rsidR="004D1050" w:rsidRPr="00B309AB" w:rsidTr="00AC53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8" w:type="dxa"/>
            <w:hideMark/>
          </w:tcPr>
          <w:p w:rsidR="004D1050" w:rsidRPr="00B309AB" w:rsidRDefault="004D1050" w:rsidP="00AC53C0">
            <w:pPr>
              <w:pStyle w:val="WOVGtablecolhead"/>
              <w:rPr>
                <w:rFonts w:ascii="Verdana" w:hAnsi="Verdana"/>
              </w:rPr>
            </w:pPr>
          </w:p>
        </w:tc>
        <w:tc>
          <w:tcPr>
            <w:tcW w:w="1571" w:type="dxa"/>
            <w:hideMark/>
          </w:tcPr>
          <w:p w:rsidR="004D1050" w:rsidRPr="00B309AB" w:rsidRDefault="004D1050"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4D1050">
              <w:rPr>
                <w:rFonts w:ascii="Verdana" w:hAnsi="Verdana"/>
              </w:rPr>
              <w:t>Base Case</w:t>
            </w:r>
          </w:p>
        </w:tc>
        <w:tc>
          <w:tcPr>
            <w:tcW w:w="2084" w:type="dxa"/>
            <w:hideMark/>
          </w:tcPr>
          <w:p w:rsidR="004D1050" w:rsidRPr="00B309AB" w:rsidRDefault="004D1050"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1</w:t>
            </w:r>
          </w:p>
        </w:tc>
        <w:tc>
          <w:tcPr>
            <w:tcW w:w="2168" w:type="dxa"/>
            <w:hideMark/>
          </w:tcPr>
          <w:p w:rsidR="004D1050" w:rsidRPr="00B309AB" w:rsidRDefault="004D1050"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2</w:t>
            </w:r>
          </w:p>
        </w:tc>
        <w:tc>
          <w:tcPr>
            <w:tcW w:w="1765" w:type="dxa"/>
          </w:tcPr>
          <w:p w:rsidR="004D1050" w:rsidRDefault="004D1050" w:rsidP="00AC53C0">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Option 3</w:t>
            </w:r>
          </w:p>
        </w:tc>
      </w:tr>
      <w:tr w:rsidR="004D1050" w:rsidRPr="00B309AB" w:rsidTr="00AC53C0">
        <w:trPr>
          <w:trHeight w:val="285"/>
        </w:trPr>
        <w:tc>
          <w:tcPr>
            <w:cnfStyle w:val="001000000000" w:firstRow="0" w:lastRow="0" w:firstColumn="1" w:lastColumn="0" w:oddVBand="0" w:evenVBand="0" w:oddHBand="0" w:evenHBand="0" w:firstRowFirstColumn="0" w:firstRowLastColumn="0" w:lastRowFirstColumn="0" w:lastRowLastColumn="0"/>
            <w:tcW w:w="1818" w:type="dxa"/>
            <w:hideMark/>
          </w:tcPr>
          <w:p w:rsidR="004D1050" w:rsidRPr="00B309AB" w:rsidRDefault="004D1050" w:rsidP="00AC53C0">
            <w:pPr>
              <w:pStyle w:val="WOVGtabletext"/>
              <w:rPr>
                <w:rFonts w:ascii="Verdana" w:hAnsi="Verdana"/>
              </w:rPr>
            </w:pPr>
            <w:r>
              <w:rPr>
                <w:rFonts w:ascii="Verdana" w:hAnsi="Verdana"/>
              </w:rPr>
              <w:t>Implementation costs to ISEs</w:t>
            </w:r>
          </w:p>
        </w:tc>
        <w:tc>
          <w:tcPr>
            <w:tcW w:w="1571" w:type="dxa"/>
            <w:vAlign w:val="bottom"/>
            <w:hideMark/>
          </w:tcPr>
          <w:p w:rsidR="004D1050" w:rsidRPr="00B309AB" w:rsidRDefault="004D1050" w:rsidP="00AC53C0">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2084" w:type="dxa"/>
            <w:hideMark/>
          </w:tcPr>
          <w:p w:rsidR="004D1050" w:rsidRDefault="004D1050" w:rsidP="00AC53C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4D1050" w:rsidRPr="00B309AB" w:rsidRDefault="00BC2B99" w:rsidP="00AC53C0">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p>
        </w:tc>
        <w:tc>
          <w:tcPr>
            <w:tcW w:w="2168" w:type="dxa"/>
            <w:hideMark/>
          </w:tcPr>
          <w:p w:rsidR="004D1050" w:rsidRDefault="004D1050" w:rsidP="00AC53C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4D1050" w:rsidRPr="00B309AB" w:rsidRDefault="00BC2B99" w:rsidP="00AC53C0">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-5</w:t>
            </w:r>
          </w:p>
        </w:tc>
        <w:tc>
          <w:tcPr>
            <w:tcW w:w="1765" w:type="dxa"/>
          </w:tcPr>
          <w:p w:rsidR="004D1050" w:rsidRDefault="004D1050" w:rsidP="00AC53C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4D1050" w:rsidRPr="00B309AB" w:rsidRDefault="00BC2B99" w:rsidP="00AC53C0">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w:t>
            </w:r>
          </w:p>
        </w:tc>
      </w:tr>
    </w:tbl>
    <w:p w:rsidR="004D1050" w:rsidRPr="00D75B5B" w:rsidRDefault="004D1050" w:rsidP="004D1050">
      <w:pPr>
        <w:pStyle w:val="WOVGbody"/>
        <w:rPr>
          <w:rFonts w:ascii="Verdana" w:hAnsi="Verdana"/>
          <w:b/>
        </w:rPr>
      </w:pPr>
    </w:p>
    <w:p w:rsidR="004D1050" w:rsidRPr="00D75B5B" w:rsidRDefault="004D1050" w:rsidP="004D1050">
      <w:pPr>
        <w:pStyle w:val="WOVGbody"/>
        <w:rPr>
          <w:rFonts w:ascii="Verdana" w:hAnsi="Verdana"/>
        </w:rPr>
      </w:pPr>
      <w:r w:rsidRPr="00D75B5B">
        <w:rPr>
          <w:rFonts w:ascii="Verdana" w:hAnsi="Verdana"/>
          <w:b/>
        </w:rPr>
        <w:t>Base case</w:t>
      </w:r>
      <w:r w:rsidRPr="00D75B5B">
        <w:rPr>
          <w:rFonts w:ascii="Verdana" w:hAnsi="Verdana"/>
        </w:rPr>
        <w:t xml:space="preserve">: </w:t>
      </w:r>
      <w:r w:rsidR="00B25844">
        <w:rPr>
          <w:rFonts w:ascii="Verdana" w:hAnsi="Verdana"/>
        </w:rPr>
        <w:t xml:space="preserve">As no new ISEs would be prescribed in regulation there will be no implementation costs to new ISEs. The level of information sharing activity under the </w:t>
      </w:r>
      <w:r w:rsidR="00AB290F">
        <w:rPr>
          <w:rFonts w:ascii="Verdana" w:hAnsi="Verdana"/>
        </w:rPr>
        <w:t>CIS Sch</w:t>
      </w:r>
      <w:r w:rsidR="00B25844">
        <w:rPr>
          <w:rFonts w:ascii="Verdana" w:hAnsi="Verdana"/>
        </w:rPr>
        <w:t xml:space="preserve">eme </w:t>
      </w:r>
      <w:r w:rsidR="00AB290F">
        <w:rPr>
          <w:rFonts w:ascii="Verdana" w:hAnsi="Verdana"/>
        </w:rPr>
        <w:t>would</w:t>
      </w:r>
      <w:r w:rsidR="00B25844">
        <w:rPr>
          <w:rFonts w:ascii="Verdana" w:hAnsi="Verdana"/>
        </w:rPr>
        <w:t xml:space="preserve"> remain</w:t>
      </w:r>
      <w:r w:rsidR="00AB290F">
        <w:rPr>
          <w:rFonts w:ascii="Verdana" w:hAnsi="Verdana"/>
        </w:rPr>
        <w:t xml:space="preserve"> unchanged,</w:t>
      </w:r>
      <w:r w:rsidR="00B25844">
        <w:rPr>
          <w:rFonts w:ascii="Verdana" w:hAnsi="Verdana"/>
        </w:rPr>
        <w:t xml:space="preserve"> </w:t>
      </w:r>
      <w:r w:rsidR="00AB290F">
        <w:rPr>
          <w:rFonts w:ascii="Verdana" w:hAnsi="Verdana"/>
        </w:rPr>
        <w:t xml:space="preserve">as would the </w:t>
      </w:r>
      <w:r w:rsidR="00B25844">
        <w:rPr>
          <w:rFonts w:ascii="Verdana" w:hAnsi="Verdana"/>
        </w:rPr>
        <w:t>implementation costs to already prescribed ISEs.</w:t>
      </w:r>
    </w:p>
    <w:p w:rsidR="009E3AED" w:rsidRDefault="004D1050" w:rsidP="004D1050">
      <w:pPr>
        <w:pStyle w:val="WOVGbody"/>
        <w:rPr>
          <w:rFonts w:ascii="Verdana" w:hAnsi="Verdana"/>
        </w:rPr>
      </w:pPr>
      <w:r w:rsidRPr="00D75B5B">
        <w:rPr>
          <w:rFonts w:ascii="Verdana" w:hAnsi="Verdana"/>
          <w:b/>
        </w:rPr>
        <w:t>Option 1</w:t>
      </w:r>
      <w:r w:rsidR="00B25844">
        <w:rPr>
          <w:rFonts w:ascii="Verdana" w:hAnsi="Verdana"/>
        </w:rPr>
        <w:t>: This option prescribes workforces that have been accounted for in the 2018-22 State Bud</w:t>
      </w:r>
      <w:r w:rsidR="008A1963">
        <w:rPr>
          <w:rFonts w:ascii="Verdana" w:hAnsi="Verdana"/>
        </w:rPr>
        <w:t>get and will receive necessary g</w:t>
      </w:r>
      <w:r w:rsidR="00B25844">
        <w:rPr>
          <w:rFonts w:ascii="Verdana" w:hAnsi="Verdana"/>
        </w:rPr>
        <w:t>overnment training and support. The limited scope of prescription of this option</w:t>
      </w:r>
      <w:r w:rsidR="009E3AED">
        <w:rPr>
          <w:rFonts w:ascii="Verdana" w:hAnsi="Verdana"/>
        </w:rPr>
        <w:t xml:space="preserve">, involving public hospitals and general practitioners and a total workforce of 150,000 across some 1,750 organisations would </w:t>
      </w:r>
      <w:r w:rsidR="00AB290F">
        <w:rPr>
          <w:rFonts w:ascii="Verdana" w:hAnsi="Verdana"/>
        </w:rPr>
        <w:t xml:space="preserve">likely </w:t>
      </w:r>
      <w:r w:rsidR="00B25844">
        <w:rPr>
          <w:rFonts w:ascii="Verdana" w:hAnsi="Verdana"/>
        </w:rPr>
        <w:t>result in a</w:t>
      </w:r>
      <w:r w:rsidR="009E3AED">
        <w:rPr>
          <w:rFonts w:ascii="Verdana" w:hAnsi="Verdana"/>
        </w:rPr>
        <w:t>n</w:t>
      </w:r>
      <w:r w:rsidR="00B25844">
        <w:rPr>
          <w:rFonts w:ascii="Verdana" w:hAnsi="Verdana"/>
        </w:rPr>
        <w:t xml:space="preserve"> increase in information sharing activity between the ISEs prescribed under the CIS Scheme.</w:t>
      </w:r>
      <w:r w:rsidR="009E3AED">
        <w:rPr>
          <w:rFonts w:ascii="Verdana" w:hAnsi="Verdana"/>
        </w:rPr>
        <w:t xml:space="preserve"> This increase in information sharing activity would in turn </w:t>
      </w:r>
      <w:r w:rsidR="007F353D">
        <w:rPr>
          <w:rFonts w:ascii="Verdana" w:hAnsi="Verdana"/>
        </w:rPr>
        <w:t xml:space="preserve">generate </w:t>
      </w:r>
      <w:r w:rsidR="00263143">
        <w:rPr>
          <w:rFonts w:ascii="Verdana" w:hAnsi="Verdana"/>
        </w:rPr>
        <w:t xml:space="preserve">an </w:t>
      </w:r>
      <w:r w:rsidR="00A43575">
        <w:rPr>
          <w:rFonts w:ascii="Verdana" w:hAnsi="Verdana"/>
        </w:rPr>
        <w:t xml:space="preserve">implementation </w:t>
      </w:r>
      <w:r w:rsidR="006E30B4">
        <w:rPr>
          <w:rFonts w:ascii="Verdana" w:hAnsi="Verdana"/>
        </w:rPr>
        <w:t xml:space="preserve">cost </w:t>
      </w:r>
      <w:r w:rsidR="00021F4D">
        <w:rPr>
          <w:rFonts w:ascii="Verdana" w:hAnsi="Verdana"/>
        </w:rPr>
        <w:t xml:space="preserve">to </w:t>
      </w:r>
      <w:r w:rsidR="009E3AED">
        <w:rPr>
          <w:rFonts w:ascii="Verdana" w:hAnsi="Verdana"/>
        </w:rPr>
        <w:t>ISE</w:t>
      </w:r>
      <w:r w:rsidR="00021F4D">
        <w:rPr>
          <w:rFonts w:ascii="Verdana" w:hAnsi="Verdana"/>
        </w:rPr>
        <w:t>s.</w:t>
      </w:r>
    </w:p>
    <w:p w:rsidR="00CE2991" w:rsidRDefault="00CE2991" w:rsidP="004D1050">
      <w:pPr>
        <w:pStyle w:val="WOVGbody"/>
        <w:rPr>
          <w:rFonts w:ascii="Verdana" w:hAnsi="Verdana"/>
        </w:rPr>
      </w:pPr>
      <w:r>
        <w:rPr>
          <w:rFonts w:ascii="Verdana" w:hAnsi="Verdana"/>
        </w:rPr>
        <w:t>Based on the cost estimates for the preferred option as presented in chapter 6 of this RIS , and assuming a linear link between the workforce numbers and total implementation costs of each option, the implementation cost for workforces under this option can be estimated at ap</w:t>
      </w:r>
      <w:r w:rsidR="00FC2ACB">
        <w:rPr>
          <w:rFonts w:ascii="Verdana" w:hAnsi="Verdana"/>
        </w:rPr>
        <w:t>proximately $73 million over 10</w:t>
      </w:r>
      <w:r>
        <w:rPr>
          <w:rFonts w:ascii="Verdana" w:hAnsi="Verdana"/>
        </w:rPr>
        <w:t xml:space="preserve"> years (NPV).</w:t>
      </w:r>
    </w:p>
    <w:p w:rsidR="007B4FE1" w:rsidRPr="003A0EE2" w:rsidRDefault="007B4FE1" w:rsidP="004D1050">
      <w:pPr>
        <w:pStyle w:val="WOVGbody"/>
        <w:rPr>
          <w:rFonts w:ascii="Verdana" w:hAnsi="Verdana"/>
          <w:b/>
        </w:rPr>
      </w:pPr>
      <w:r w:rsidRPr="003A0EE2">
        <w:rPr>
          <w:rFonts w:ascii="Verdana" w:hAnsi="Verdana"/>
          <w:b/>
        </w:rPr>
        <w:t>On this ba</w:t>
      </w:r>
      <w:r w:rsidR="00BC2B99">
        <w:rPr>
          <w:rFonts w:ascii="Verdana" w:hAnsi="Verdana"/>
          <w:b/>
        </w:rPr>
        <w:t>sis, this option is scored at -2</w:t>
      </w:r>
      <w:r w:rsidRPr="003A0EE2">
        <w:rPr>
          <w:rFonts w:ascii="Verdana" w:hAnsi="Verdana"/>
          <w:b/>
        </w:rPr>
        <w:t xml:space="preserve"> for </w:t>
      </w:r>
      <w:r w:rsidR="00152D8E" w:rsidRPr="003A0EE2">
        <w:rPr>
          <w:rFonts w:ascii="Verdana" w:hAnsi="Verdana"/>
          <w:b/>
        </w:rPr>
        <w:t>i</w:t>
      </w:r>
      <w:r w:rsidRPr="003A0EE2">
        <w:rPr>
          <w:rFonts w:ascii="Verdana" w:hAnsi="Verdana"/>
          <w:b/>
        </w:rPr>
        <w:t>mplementation costs to ISEs relative to the base case.</w:t>
      </w:r>
    </w:p>
    <w:p w:rsidR="00A43575" w:rsidRDefault="004D1050" w:rsidP="004D1050">
      <w:pPr>
        <w:pStyle w:val="WOVGbody"/>
        <w:rPr>
          <w:rFonts w:ascii="Verdana" w:hAnsi="Verdana"/>
        </w:rPr>
      </w:pPr>
      <w:r w:rsidRPr="00D75B5B">
        <w:rPr>
          <w:rFonts w:ascii="Verdana" w:hAnsi="Verdana"/>
          <w:b/>
        </w:rPr>
        <w:t>Option 2</w:t>
      </w:r>
      <w:r w:rsidRPr="00D75B5B">
        <w:rPr>
          <w:rFonts w:ascii="Verdana" w:hAnsi="Verdana"/>
        </w:rPr>
        <w:t xml:space="preserve">: </w:t>
      </w:r>
      <w:r w:rsidR="00B25844">
        <w:rPr>
          <w:rFonts w:ascii="Verdana" w:hAnsi="Verdana"/>
        </w:rPr>
        <w:t>This option prescribes workforces that have been accounted for in the 2018-22 State Bud</w:t>
      </w:r>
      <w:r w:rsidR="008A1963">
        <w:rPr>
          <w:rFonts w:ascii="Verdana" w:hAnsi="Verdana"/>
        </w:rPr>
        <w:t>get and will receive necessary g</w:t>
      </w:r>
      <w:r w:rsidR="00B25844">
        <w:rPr>
          <w:rFonts w:ascii="Verdana" w:hAnsi="Verdana"/>
        </w:rPr>
        <w:t>overnment training and support. The scope of prescription of this option is broad</w:t>
      </w:r>
      <w:r w:rsidR="00A43575">
        <w:rPr>
          <w:rFonts w:ascii="Verdana" w:hAnsi="Verdana"/>
        </w:rPr>
        <w:t>, involving an estimated workforce of 370,000 across 7,500 organisations.</w:t>
      </w:r>
    </w:p>
    <w:p w:rsidR="004D1050" w:rsidRDefault="00A43575" w:rsidP="004D1050">
      <w:pPr>
        <w:pStyle w:val="WOVGbody"/>
        <w:rPr>
          <w:rFonts w:ascii="Verdana" w:hAnsi="Verdana"/>
        </w:rPr>
      </w:pPr>
      <w:r>
        <w:rPr>
          <w:rFonts w:ascii="Verdana" w:hAnsi="Verdana"/>
        </w:rPr>
        <w:t>Given the much broader scope of prescription, it is likely that this option will lead to a strong</w:t>
      </w:r>
      <w:r w:rsidR="00021F4D">
        <w:rPr>
          <w:rFonts w:ascii="Verdana" w:hAnsi="Verdana"/>
        </w:rPr>
        <w:t>er</w:t>
      </w:r>
      <w:r>
        <w:rPr>
          <w:rFonts w:ascii="Verdana" w:hAnsi="Verdana"/>
        </w:rPr>
        <w:t xml:space="preserve"> increase in information sharing and subsequently </w:t>
      </w:r>
      <w:r w:rsidR="00021F4D">
        <w:rPr>
          <w:rFonts w:ascii="Verdana" w:hAnsi="Verdana"/>
        </w:rPr>
        <w:t xml:space="preserve">to even higher </w:t>
      </w:r>
      <w:r>
        <w:rPr>
          <w:rFonts w:ascii="Verdana" w:hAnsi="Verdana"/>
        </w:rPr>
        <w:t>costs to ISEs</w:t>
      </w:r>
      <w:r w:rsidR="007B4FE1">
        <w:rPr>
          <w:rFonts w:ascii="Verdana" w:hAnsi="Verdana"/>
        </w:rPr>
        <w:t>.</w:t>
      </w:r>
    </w:p>
    <w:p w:rsidR="00CE2991" w:rsidRDefault="00CE2991" w:rsidP="004D1050">
      <w:pPr>
        <w:pStyle w:val="WOVGbody"/>
        <w:rPr>
          <w:rFonts w:ascii="Verdana" w:hAnsi="Verdana"/>
        </w:rPr>
      </w:pPr>
      <w:r>
        <w:rPr>
          <w:rFonts w:ascii="Verdana" w:hAnsi="Verdana"/>
        </w:rPr>
        <w:t>Based on the cost estimates for the preferred option as presented in chapter 6 of this RIS, the implementation cost for workforces under this option can be estimated at app</w:t>
      </w:r>
      <w:r w:rsidR="00FC2ACB">
        <w:rPr>
          <w:rFonts w:ascii="Verdana" w:hAnsi="Verdana"/>
        </w:rPr>
        <w:t>roximately $182 million over 10</w:t>
      </w:r>
      <w:r>
        <w:rPr>
          <w:rFonts w:ascii="Verdana" w:hAnsi="Verdana"/>
        </w:rPr>
        <w:t xml:space="preserve"> years (NPV).</w:t>
      </w:r>
    </w:p>
    <w:p w:rsidR="007B4FE1" w:rsidRPr="003A0EE2" w:rsidRDefault="007B4FE1" w:rsidP="004D1050">
      <w:pPr>
        <w:pStyle w:val="WOVGbody"/>
        <w:rPr>
          <w:rFonts w:ascii="Verdana" w:hAnsi="Verdana"/>
          <w:b/>
        </w:rPr>
      </w:pPr>
      <w:r w:rsidRPr="003A0EE2">
        <w:rPr>
          <w:rFonts w:ascii="Verdana" w:hAnsi="Verdana"/>
          <w:b/>
        </w:rPr>
        <w:t>On this ba</w:t>
      </w:r>
      <w:r w:rsidR="00BC2B99">
        <w:rPr>
          <w:rFonts w:ascii="Verdana" w:hAnsi="Verdana"/>
          <w:b/>
        </w:rPr>
        <w:t>sis, this option is scored at -5</w:t>
      </w:r>
      <w:r w:rsidRPr="003A0EE2">
        <w:rPr>
          <w:rFonts w:ascii="Verdana" w:hAnsi="Verdana"/>
          <w:b/>
        </w:rPr>
        <w:t xml:space="preserve"> for </w:t>
      </w:r>
      <w:r w:rsidR="00152D8E" w:rsidRPr="003A0EE2">
        <w:rPr>
          <w:rFonts w:ascii="Verdana" w:hAnsi="Verdana"/>
          <w:b/>
        </w:rPr>
        <w:t>i</w:t>
      </w:r>
      <w:r w:rsidRPr="003A0EE2">
        <w:rPr>
          <w:rFonts w:ascii="Verdana" w:hAnsi="Verdana"/>
          <w:b/>
        </w:rPr>
        <w:t>mplementation costs to ISEs relative to the base case.</w:t>
      </w:r>
    </w:p>
    <w:p w:rsidR="00594E0A" w:rsidRDefault="004D1050" w:rsidP="004D1050">
      <w:pPr>
        <w:pStyle w:val="WOVGbody"/>
        <w:rPr>
          <w:rFonts w:ascii="Verdana" w:hAnsi="Verdana"/>
        </w:rPr>
      </w:pPr>
      <w:r w:rsidRPr="00D75B5B">
        <w:rPr>
          <w:rFonts w:ascii="Verdana" w:hAnsi="Verdana"/>
          <w:b/>
        </w:rPr>
        <w:t>Option 3</w:t>
      </w:r>
      <w:r w:rsidRPr="00D75B5B">
        <w:rPr>
          <w:rFonts w:ascii="Verdana" w:hAnsi="Verdana"/>
        </w:rPr>
        <w:t xml:space="preserve">: </w:t>
      </w:r>
      <w:r w:rsidR="007B4FE1">
        <w:rPr>
          <w:rFonts w:ascii="Verdana" w:hAnsi="Verdana"/>
        </w:rPr>
        <w:t xml:space="preserve">This option </w:t>
      </w:r>
      <w:r w:rsidR="00594E0A">
        <w:rPr>
          <w:rFonts w:ascii="Verdana" w:hAnsi="Verdana"/>
        </w:rPr>
        <w:t>includes prescription of</w:t>
      </w:r>
      <w:r w:rsidR="007B4FE1">
        <w:rPr>
          <w:rFonts w:ascii="Verdana" w:hAnsi="Verdana"/>
        </w:rPr>
        <w:t xml:space="preserve"> workforces that </w:t>
      </w:r>
      <w:r w:rsidR="00AB290F">
        <w:rPr>
          <w:rFonts w:ascii="Verdana" w:hAnsi="Verdana"/>
        </w:rPr>
        <w:t xml:space="preserve">were </w:t>
      </w:r>
      <w:r w:rsidR="007B4FE1">
        <w:rPr>
          <w:rFonts w:ascii="Verdana" w:hAnsi="Verdana"/>
        </w:rPr>
        <w:t xml:space="preserve">not </w:t>
      </w:r>
      <w:r w:rsidR="00594E0A">
        <w:rPr>
          <w:rFonts w:ascii="Verdana" w:hAnsi="Verdana"/>
        </w:rPr>
        <w:t>a</w:t>
      </w:r>
      <w:r w:rsidR="007B4FE1">
        <w:rPr>
          <w:rFonts w:ascii="Verdana" w:hAnsi="Verdana"/>
        </w:rPr>
        <w:t xml:space="preserve">ccounted for in the </w:t>
      </w:r>
      <w:r w:rsidR="00594E0A">
        <w:rPr>
          <w:rFonts w:ascii="Verdana" w:hAnsi="Verdana"/>
        </w:rPr>
        <w:t xml:space="preserve">2018-22 State Budget. This is likely to negatively impact these workforces’ access to training </w:t>
      </w:r>
      <w:r w:rsidR="003E4926">
        <w:rPr>
          <w:rFonts w:ascii="Verdana" w:hAnsi="Verdana"/>
        </w:rPr>
        <w:t xml:space="preserve">and targeted </w:t>
      </w:r>
      <w:r w:rsidR="008A1963">
        <w:rPr>
          <w:rFonts w:ascii="Verdana" w:hAnsi="Verdana"/>
        </w:rPr>
        <w:t>g</w:t>
      </w:r>
      <w:r w:rsidR="00AB290F">
        <w:rPr>
          <w:rFonts w:ascii="Verdana" w:hAnsi="Verdana"/>
        </w:rPr>
        <w:t xml:space="preserve">overnment </w:t>
      </w:r>
      <w:r w:rsidR="003E4926">
        <w:rPr>
          <w:rFonts w:ascii="Verdana" w:hAnsi="Verdana"/>
        </w:rPr>
        <w:t xml:space="preserve">support, </w:t>
      </w:r>
      <w:r w:rsidR="00BB3CBB">
        <w:rPr>
          <w:rFonts w:ascii="Verdana" w:hAnsi="Verdana"/>
        </w:rPr>
        <w:t>which may include</w:t>
      </w:r>
      <w:r w:rsidR="00594E0A">
        <w:rPr>
          <w:rFonts w:ascii="Verdana" w:hAnsi="Verdana"/>
        </w:rPr>
        <w:t xml:space="preserve"> provision of templates for procedures, </w:t>
      </w:r>
      <w:r w:rsidR="00582456">
        <w:rPr>
          <w:rFonts w:ascii="Verdana" w:hAnsi="Verdana"/>
        </w:rPr>
        <w:t xml:space="preserve">guidance materials including </w:t>
      </w:r>
      <w:r w:rsidR="00594E0A">
        <w:rPr>
          <w:rFonts w:ascii="Verdana" w:hAnsi="Verdana"/>
        </w:rPr>
        <w:t>operational checklists and</w:t>
      </w:r>
      <w:r w:rsidR="003E4926">
        <w:rPr>
          <w:rFonts w:ascii="Verdana" w:hAnsi="Verdana"/>
        </w:rPr>
        <w:t xml:space="preserve"> forms, and</w:t>
      </w:r>
      <w:r w:rsidR="00594E0A">
        <w:rPr>
          <w:rFonts w:ascii="Verdana" w:hAnsi="Verdana"/>
        </w:rPr>
        <w:t xml:space="preserve"> workforce specific operating models. This will likely result in </w:t>
      </w:r>
      <w:r w:rsidR="00B53A6B">
        <w:rPr>
          <w:rFonts w:ascii="Verdana" w:hAnsi="Verdana"/>
        </w:rPr>
        <w:t xml:space="preserve">a lower level of reform sector readiness and </w:t>
      </w:r>
      <w:r w:rsidR="00594E0A">
        <w:rPr>
          <w:rFonts w:ascii="Verdana" w:hAnsi="Verdana"/>
        </w:rPr>
        <w:t>additional costs to these organisations as they implement the CIS Scheme.</w:t>
      </w:r>
    </w:p>
    <w:p w:rsidR="00594E0A" w:rsidRDefault="00594E0A" w:rsidP="004D1050">
      <w:pPr>
        <w:pStyle w:val="WOVGbody"/>
        <w:rPr>
          <w:rFonts w:ascii="Verdana" w:hAnsi="Verdana"/>
        </w:rPr>
      </w:pPr>
      <w:r>
        <w:rPr>
          <w:rFonts w:ascii="Verdana" w:hAnsi="Verdana"/>
        </w:rPr>
        <w:t xml:space="preserve">By prescribing a very broad range of workforces, </w:t>
      </w:r>
      <w:r w:rsidR="00465F92">
        <w:rPr>
          <w:rFonts w:ascii="Verdana" w:hAnsi="Verdana"/>
        </w:rPr>
        <w:t xml:space="preserve">estimated at 500,000 workers across 10,000 organisations, </w:t>
      </w:r>
      <w:r>
        <w:rPr>
          <w:rFonts w:ascii="Verdana" w:hAnsi="Verdana"/>
        </w:rPr>
        <w:t>this option further increases the cost of participation to all prescribed ISEs</w:t>
      </w:r>
      <w:r w:rsidR="00021F4D">
        <w:rPr>
          <w:rFonts w:ascii="Verdana" w:hAnsi="Verdana"/>
        </w:rPr>
        <w:t xml:space="preserve"> and has the highest cost impact on ISEs of all three options</w:t>
      </w:r>
      <w:r w:rsidR="00CE2991">
        <w:rPr>
          <w:rFonts w:ascii="Verdana" w:hAnsi="Verdana"/>
        </w:rPr>
        <w:t>.</w:t>
      </w:r>
    </w:p>
    <w:p w:rsidR="00CE2991" w:rsidRDefault="00CE2991" w:rsidP="004D1050">
      <w:pPr>
        <w:pStyle w:val="WOVGbody"/>
        <w:rPr>
          <w:rFonts w:ascii="Verdana" w:hAnsi="Verdana"/>
        </w:rPr>
      </w:pPr>
      <w:r>
        <w:rPr>
          <w:rFonts w:ascii="Verdana" w:hAnsi="Verdana"/>
        </w:rPr>
        <w:lastRenderedPageBreak/>
        <w:t>Based on the cost estimates for the preferred option as pre</w:t>
      </w:r>
      <w:r w:rsidR="00591C43">
        <w:rPr>
          <w:rFonts w:ascii="Verdana" w:hAnsi="Verdana"/>
        </w:rPr>
        <w:t>sented in chapter 6 of this RIS</w:t>
      </w:r>
      <w:r>
        <w:rPr>
          <w:rFonts w:ascii="Verdana" w:hAnsi="Verdana"/>
        </w:rPr>
        <w:t>, and assuming a linear link between the workforce numbers and total implementation costs of each option, the implementation cost for workforces under this option can be estimated at app</w:t>
      </w:r>
      <w:r w:rsidR="00FC2ACB">
        <w:rPr>
          <w:rFonts w:ascii="Verdana" w:hAnsi="Verdana"/>
        </w:rPr>
        <w:t>roximately $245 million over 10</w:t>
      </w:r>
      <w:r>
        <w:rPr>
          <w:rFonts w:ascii="Verdana" w:hAnsi="Verdana"/>
        </w:rPr>
        <w:t xml:space="preserve"> years (NPV).</w:t>
      </w:r>
      <w:r w:rsidR="00AA1412">
        <w:rPr>
          <w:rFonts w:ascii="Verdana" w:hAnsi="Verdana"/>
        </w:rPr>
        <w:t xml:space="preserve"> It has not, however, been possible to quantify the likely scale of the additional costs to this option resulting from inclusion of ISEs that have not been accounted for in the 2018-22 State Budget and may therefore not receive necessary government training and support.</w:t>
      </w:r>
    </w:p>
    <w:p w:rsidR="001B507B" w:rsidRPr="003A0EE2" w:rsidRDefault="007B4FE1" w:rsidP="004D1050">
      <w:pPr>
        <w:pStyle w:val="WOVGbody"/>
        <w:rPr>
          <w:rFonts w:ascii="Verdana" w:hAnsi="Verdana"/>
          <w:b/>
        </w:rPr>
      </w:pPr>
      <w:r w:rsidRPr="003A0EE2">
        <w:rPr>
          <w:rFonts w:ascii="Verdana" w:hAnsi="Verdana"/>
          <w:b/>
        </w:rPr>
        <w:t>On this basis, this opt</w:t>
      </w:r>
      <w:r w:rsidR="00BC2B99">
        <w:rPr>
          <w:rFonts w:ascii="Verdana" w:hAnsi="Verdana"/>
          <w:b/>
        </w:rPr>
        <w:t>ion is scored at -7</w:t>
      </w:r>
      <w:r w:rsidRPr="003A0EE2">
        <w:rPr>
          <w:rFonts w:ascii="Verdana" w:hAnsi="Verdana"/>
          <w:b/>
        </w:rPr>
        <w:t xml:space="preserve"> for </w:t>
      </w:r>
      <w:r w:rsidR="00152D8E" w:rsidRPr="003A0EE2">
        <w:rPr>
          <w:rFonts w:ascii="Verdana" w:hAnsi="Verdana"/>
          <w:b/>
        </w:rPr>
        <w:t>i</w:t>
      </w:r>
      <w:r w:rsidRPr="003A0EE2">
        <w:rPr>
          <w:rFonts w:ascii="Verdana" w:hAnsi="Verdana"/>
          <w:b/>
        </w:rPr>
        <w:t xml:space="preserve">mplementation costs to </w:t>
      </w:r>
      <w:r w:rsidR="00FB4855" w:rsidRPr="003A0EE2">
        <w:rPr>
          <w:rFonts w:ascii="Verdana" w:hAnsi="Verdana"/>
          <w:b/>
        </w:rPr>
        <w:t>ISEs relative to the base case.</w:t>
      </w:r>
    </w:p>
    <w:p w:rsidR="003E4926" w:rsidRPr="00E66D6A" w:rsidRDefault="006641FF" w:rsidP="004D1050">
      <w:pPr>
        <w:pStyle w:val="WOVGbody"/>
        <w:rPr>
          <w:rFonts w:ascii="Verdana" w:hAnsi="Verdana"/>
          <w:b/>
        </w:rPr>
      </w:pPr>
      <w:r w:rsidRPr="00E66D6A">
        <w:rPr>
          <w:rFonts w:ascii="Verdana" w:hAnsi="Verdana"/>
          <w:b/>
        </w:rPr>
        <w:t xml:space="preserve">Table 5.5 </w:t>
      </w:r>
      <w:r w:rsidR="003E4926" w:rsidRPr="00E66D6A">
        <w:rPr>
          <w:rFonts w:ascii="Verdana" w:hAnsi="Verdana"/>
          <w:b/>
        </w:rPr>
        <w:t>Summary of options analysis</w:t>
      </w:r>
    </w:p>
    <w:tbl>
      <w:tblPr>
        <w:tblStyle w:val="TableGrid"/>
        <w:tblW w:w="9406" w:type="dxa"/>
        <w:tblLook w:val="06A0" w:firstRow="1" w:lastRow="0" w:firstColumn="1" w:lastColumn="0" w:noHBand="1" w:noVBand="1"/>
      </w:tblPr>
      <w:tblGrid>
        <w:gridCol w:w="1580"/>
        <w:gridCol w:w="1990"/>
        <w:gridCol w:w="1903"/>
        <w:gridCol w:w="2150"/>
        <w:gridCol w:w="1783"/>
      </w:tblGrid>
      <w:tr w:rsidR="00131BE6" w:rsidRPr="00B309AB" w:rsidTr="000D16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80" w:type="dxa"/>
            <w:hideMark/>
          </w:tcPr>
          <w:p w:rsidR="003E4926" w:rsidRPr="00B309AB" w:rsidRDefault="003E4926" w:rsidP="00131BE6">
            <w:pPr>
              <w:pStyle w:val="WOVGtablecolhead"/>
              <w:jc w:val="center"/>
              <w:rPr>
                <w:rFonts w:ascii="Verdana" w:hAnsi="Verdana"/>
              </w:rPr>
            </w:pPr>
          </w:p>
        </w:tc>
        <w:tc>
          <w:tcPr>
            <w:tcW w:w="1990" w:type="dxa"/>
            <w:hideMark/>
          </w:tcPr>
          <w:p w:rsidR="003E4926" w:rsidRPr="00B309AB" w:rsidRDefault="003E4926" w:rsidP="00131BE6">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Effectiveness</w:t>
            </w:r>
            <w:r w:rsidR="000D16EF">
              <w:rPr>
                <w:rFonts w:ascii="Verdana" w:hAnsi="Verdana"/>
              </w:rPr>
              <w:br/>
              <w:t>(50%)</w:t>
            </w:r>
          </w:p>
        </w:tc>
        <w:tc>
          <w:tcPr>
            <w:tcW w:w="1903" w:type="dxa"/>
            <w:hideMark/>
          </w:tcPr>
          <w:p w:rsidR="003E4926" w:rsidRPr="00B309AB" w:rsidRDefault="003E4926" w:rsidP="00131BE6">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Risk of infeasibility</w:t>
            </w:r>
            <w:r w:rsidR="000D16EF">
              <w:rPr>
                <w:rFonts w:ascii="Verdana" w:hAnsi="Verdana"/>
              </w:rPr>
              <w:br/>
              <w:t>(25%)</w:t>
            </w:r>
          </w:p>
        </w:tc>
        <w:tc>
          <w:tcPr>
            <w:tcW w:w="2150" w:type="dxa"/>
            <w:hideMark/>
          </w:tcPr>
          <w:p w:rsidR="003E4926" w:rsidRPr="00B309AB" w:rsidRDefault="003E4926" w:rsidP="00131BE6">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Implementation costs to ISEs</w:t>
            </w:r>
            <w:r w:rsidR="000D16EF">
              <w:rPr>
                <w:rFonts w:ascii="Verdana" w:hAnsi="Verdana"/>
              </w:rPr>
              <w:br/>
              <w:t>(25%)</w:t>
            </w:r>
          </w:p>
        </w:tc>
        <w:tc>
          <w:tcPr>
            <w:tcW w:w="1783" w:type="dxa"/>
          </w:tcPr>
          <w:p w:rsidR="003E4926" w:rsidRDefault="003E4926" w:rsidP="00131BE6">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Weighted score total</w:t>
            </w:r>
          </w:p>
        </w:tc>
      </w:tr>
      <w:tr w:rsidR="000D16EF" w:rsidRPr="00B309AB" w:rsidTr="00051F04">
        <w:trPr>
          <w:trHeight w:val="170"/>
        </w:trPr>
        <w:tc>
          <w:tcPr>
            <w:cnfStyle w:val="001000000000" w:firstRow="0" w:lastRow="0" w:firstColumn="1" w:lastColumn="0" w:oddVBand="0" w:evenVBand="0" w:oddHBand="0" w:evenHBand="0" w:firstRowFirstColumn="0" w:firstRowLastColumn="0" w:lastRowFirstColumn="0" w:lastRowLastColumn="0"/>
            <w:tcW w:w="1580" w:type="dxa"/>
            <w:shd w:val="clear" w:color="auto" w:fill="00848F" w:themeFill="accent2"/>
          </w:tcPr>
          <w:p w:rsidR="000D16EF" w:rsidRPr="00051F04" w:rsidRDefault="000D16EF" w:rsidP="000D16EF">
            <w:pPr>
              <w:pStyle w:val="WOVGtabletext"/>
              <w:jc w:val="center"/>
              <w:rPr>
                <w:rFonts w:ascii="Verdana" w:hAnsi="Verdana"/>
                <w:color w:val="FFFFFF" w:themeColor="background2"/>
              </w:rPr>
            </w:pPr>
          </w:p>
        </w:tc>
        <w:tc>
          <w:tcPr>
            <w:tcW w:w="1990" w:type="dxa"/>
            <w:shd w:val="clear" w:color="auto" w:fill="00848F" w:themeFill="accent2"/>
            <w:vAlign w:val="bottom"/>
          </w:tcPr>
          <w:p w:rsidR="000D16EF" w:rsidRPr="00051F04" w:rsidRDefault="000D16EF" w:rsidP="000D16EF">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sidRPr="00051F04">
              <w:rPr>
                <w:rFonts w:ascii="Verdana" w:hAnsi="Verdana"/>
                <w:b/>
                <w:color w:val="FFFFFF" w:themeColor="background2"/>
              </w:rPr>
              <w:t>Score</w:t>
            </w:r>
          </w:p>
        </w:tc>
        <w:tc>
          <w:tcPr>
            <w:tcW w:w="1903" w:type="dxa"/>
            <w:shd w:val="clear" w:color="auto" w:fill="00848F" w:themeFill="accent2"/>
          </w:tcPr>
          <w:p w:rsidR="000D16EF" w:rsidRPr="00051F04" w:rsidRDefault="000D16EF" w:rsidP="000D16EF">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sidRPr="00051F04">
              <w:rPr>
                <w:rFonts w:ascii="Verdana" w:hAnsi="Verdana"/>
                <w:b/>
                <w:color w:val="FFFFFF" w:themeColor="background2"/>
              </w:rPr>
              <w:t>Score</w:t>
            </w:r>
          </w:p>
        </w:tc>
        <w:tc>
          <w:tcPr>
            <w:tcW w:w="2150" w:type="dxa"/>
            <w:shd w:val="clear" w:color="auto" w:fill="00848F" w:themeFill="accent2"/>
          </w:tcPr>
          <w:p w:rsidR="000D16EF" w:rsidRPr="00051F04" w:rsidRDefault="000D16EF" w:rsidP="000D16EF">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sidRPr="00051F04">
              <w:rPr>
                <w:rFonts w:ascii="Verdana" w:hAnsi="Verdana"/>
                <w:b/>
                <w:color w:val="FFFFFF" w:themeColor="background2"/>
              </w:rPr>
              <w:t>Score</w:t>
            </w:r>
          </w:p>
        </w:tc>
        <w:tc>
          <w:tcPr>
            <w:tcW w:w="1783" w:type="dxa"/>
            <w:shd w:val="clear" w:color="auto" w:fill="00848F" w:themeFill="accent2"/>
          </w:tcPr>
          <w:p w:rsidR="000D16EF" w:rsidRPr="00051F04" w:rsidRDefault="00C5104F" w:rsidP="00131BE6">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b/>
                <w:color w:val="FFFFFF" w:themeColor="background2"/>
              </w:rPr>
            </w:pPr>
            <w:r>
              <w:rPr>
                <w:rFonts w:ascii="Verdana" w:hAnsi="Verdana"/>
                <w:b/>
                <w:color w:val="FFFFFF" w:themeColor="background2"/>
              </w:rPr>
              <w:t>Score</w:t>
            </w:r>
          </w:p>
        </w:tc>
      </w:tr>
      <w:tr w:rsidR="003E4926" w:rsidRPr="00B309AB" w:rsidTr="000D16EF">
        <w:trPr>
          <w:trHeight w:val="285"/>
        </w:trPr>
        <w:tc>
          <w:tcPr>
            <w:cnfStyle w:val="001000000000" w:firstRow="0" w:lastRow="0" w:firstColumn="1" w:lastColumn="0" w:oddVBand="0" w:evenVBand="0" w:oddHBand="0" w:evenHBand="0" w:firstRowFirstColumn="0" w:firstRowLastColumn="0" w:lastRowFirstColumn="0" w:lastRowLastColumn="0"/>
            <w:tcW w:w="1580" w:type="dxa"/>
          </w:tcPr>
          <w:p w:rsidR="003E4926" w:rsidRDefault="003E4926" w:rsidP="00E96563">
            <w:pPr>
              <w:pStyle w:val="WOVGtabletext"/>
              <w:rPr>
                <w:rFonts w:ascii="Verdana" w:hAnsi="Verdana"/>
              </w:rPr>
            </w:pPr>
            <w:r>
              <w:rPr>
                <w:rFonts w:ascii="Verdana" w:hAnsi="Verdana"/>
              </w:rPr>
              <w:t>Base case</w:t>
            </w:r>
          </w:p>
        </w:tc>
        <w:tc>
          <w:tcPr>
            <w:tcW w:w="1990" w:type="dxa"/>
            <w:vAlign w:val="bottom"/>
          </w:tcPr>
          <w:p w:rsidR="003E4926" w:rsidRDefault="003702AB" w:rsidP="00E96563">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1903" w:type="dxa"/>
          </w:tcPr>
          <w:p w:rsidR="003E4926" w:rsidRDefault="003702AB" w:rsidP="00E96563">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2150" w:type="dxa"/>
          </w:tcPr>
          <w:p w:rsidR="003E4926" w:rsidRDefault="003702AB" w:rsidP="00E96563">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c>
          <w:tcPr>
            <w:tcW w:w="1783" w:type="dxa"/>
          </w:tcPr>
          <w:p w:rsidR="003E4926" w:rsidRDefault="00AB290F" w:rsidP="00E96563">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r>
      <w:tr w:rsidR="003E4926" w:rsidRPr="00B309AB" w:rsidTr="000D16EF">
        <w:trPr>
          <w:trHeight w:val="285"/>
        </w:trPr>
        <w:tc>
          <w:tcPr>
            <w:cnfStyle w:val="001000000000" w:firstRow="0" w:lastRow="0" w:firstColumn="1" w:lastColumn="0" w:oddVBand="0" w:evenVBand="0" w:oddHBand="0" w:evenHBand="0" w:firstRowFirstColumn="0" w:firstRowLastColumn="0" w:lastRowFirstColumn="0" w:lastRowLastColumn="0"/>
            <w:tcW w:w="1580" w:type="dxa"/>
          </w:tcPr>
          <w:p w:rsidR="003E4926" w:rsidRDefault="003E4926" w:rsidP="00E96563">
            <w:pPr>
              <w:pStyle w:val="WOVGtabletext"/>
              <w:rPr>
                <w:rFonts w:ascii="Verdana" w:hAnsi="Verdana"/>
              </w:rPr>
            </w:pPr>
            <w:r>
              <w:rPr>
                <w:rFonts w:ascii="Verdana" w:hAnsi="Verdana"/>
              </w:rPr>
              <w:t>Option 1</w:t>
            </w:r>
          </w:p>
        </w:tc>
        <w:tc>
          <w:tcPr>
            <w:tcW w:w="1990" w:type="dxa"/>
            <w:vAlign w:val="bottom"/>
          </w:tcPr>
          <w:p w:rsidR="003E4926" w:rsidRDefault="003702AB" w:rsidP="00E96563">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w:t>
            </w:r>
          </w:p>
        </w:tc>
        <w:tc>
          <w:tcPr>
            <w:tcW w:w="1903" w:type="dxa"/>
          </w:tcPr>
          <w:p w:rsidR="003E4926" w:rsidRDefault="007C7675" w:rsidP="00E96563">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-6</w:t>
            </w:r>
          </w:p>
        </w:tc>
        <w:tc>
          <w:tcPr>
            <w:tcW w:w="2150" w:type="dxa"/>
          </w:tcPr>
          <w:p w:rsidR="003E4926" w:rsidRDefault="00BC2B99" w:rsidP="00E96563">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p>
        </w:tc>
        <w:tc>
          <w:tcPr>
            <w:tcW w:w="1783" w:type="dxa"/>
          </w:tcPr>
          <w:p w:rsidR="003E4926" w:rsidRDefault="00BC2B99" w:rsidP="00E96563">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w:t>
            </w:r>
          </w:p>
        </w:tc>
      </w:tr>
      <w:tr w:rsidR="003E4926" w:rsidRPr="00B309AB" w:rsidTr="000D16EF">
        <w:trPr>
          <w:trHeight w:val="285"/>
        </w:trPr>
        <w:tc>
          <w:tcPr>
            <w:cnfStyle w:val="001000000000" w:firstRow="0" w:lastRow="0" w:firstColumn="1" w:lastColumn="0" w:oddVBand="0" w:evenVBand="0" w:oddHBand="0" w:evenHBand="0" w:firstRowFirstColumn="0" w:firstRowLastColumn="0" w:lastRowFirstColumn="0" w:lastRowLastColumn="0"/>
            <w:tcW w:w="1580" w:type="dxa"/>
          </w:tcPr>
          <w:p w:rsidR="003E4926" w:rsidRDefault="003E4926" w:rsidP="00E96563">
            <w:pPr>
              <w:pStyle w:val="WOVGtabletext"/>
              <w:rPr>
                <w:rFonts w:ascii="Verdana" w:hAnsi="Verdana"/>
              </w:rPr>
            </w:pPr>
            <w:r>
              <w:rPr>
                <w:rFonts w:ascii="Verdana" w:hAnsi="Verdana"/>
              </w:rPr>
              <w:t>Option 2</w:t>
            </w:r>
          </w:p>
        </w:tc>
        <w:tc>
          <w:tcPr>
            <w:tcW w:w="1990" w:type="dxa"/>
            <w:vAlign w:val="bottom"/>
          </w:tcPr>
          <w:p w:rsidR="003E4926" w:rsidRDefault="003702AB" w:rsidP="00E96563">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8</w:t>
            </w:r>
          </w:p>
        </w:tc>
        <w:tc>
          <w:tcPr>
            <w:tcW w:w="1903" w:type="dxa"/>
          </w:tcPr>
          <w:p w:rsidR="003E4926" w:rsidRDefault="007C7675" w:rsidP="00E96563">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w:t>
            </w:r>
          </w:p>
        </w:tc>
        <w:tc>
          <w:tcPr>
            <w:tcW w:w="2150" w:type="dxa"/>
          </w:tcPr>
          <w:p w:rsidR="003E4926" w:rsidRDefault="00BC2B99" w:rsidP="00E96563">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-5</w:t>
            </w:r>
          </w:p>
        </w:tc>
        <w:tc>
          <w:tcPr>
            <w:tcW w:w="1783" w:type="dxa"/>
          </w:tcPr>
          <w:p w:rsidR="003E4926" w:rsidRDefault="00BC2B99" w:rsidP="00E96563">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2.2</w:t>
            </w:r>
            <w:r w:rsidR="00255410">
              <w:rPr>
                <w:rFonts w:ascii="Verdana" w:hAnsi="Verdana"/>
              </w:rPr>
              <w:t>5</w:t>
            </w:r>
          </w:p>
        </w:tc>
      </w:tr>
      <w:tr w:rsidR="003E4926" w:rsidRPr="00B309AB" w:rsidTr="000D16EF">
        <w:trPr>
          <w:trHeight w:val="285"/>
        </w:trPr>
        <w:tc>
          <w:tcPr>
            <w:cnfStyle w:val="001000000000" w:firstRow="0" w:lastRow="0" w:firstColumn="1" w:lastColumn="0" w:oddVBand="0" w:evenVBand="0" w:oddHBand="0" w:evenHBand="0" w:firstRowFirstColumn="0" w:firstRowLastColumn="0" w:lastRowFirstColumn="0" w:lastRowLastColumn="0"/>
            <w:tcW w:w="1580" w:type="dxa"/>
          </w:tcPr>
          <w:p w:rsidR="003E4926" w:rsidRDefault="003E4926" w:rsidP="00E96563">
            <w:pPr>
              <w:pStyle w:val="WOVGtabletext"/>
              <w:rPr>
                <w:rFonts w:ascii="Verdana" w:hAnsi="Verdana"/>
              </w:rPr>
            </w:pPr>
            <w:r>
              <w:rPr>
                <w:rFonts w:ascii="Verdana" w:hAnsi="Verdana"/>
              </w:rPr>
              <w:t>Option 3</w:t>
            </w:r>
          </w:p>
        </w:tc>
        <w:tc>
          <w:tcPr>
            <w:tcW w:w="1990" w:type="dxa"/>
            <w:vAlign w:val="bottom"/>
          </w:tcPr>
          <w:p w:rsidR="003E4926" w:rsidRDefault="00255410" w:rsidP="00E96563">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9</w:t>
            </w:r>
          </w:p>
        </w:tc>
        <w:tc>
          <w:tcPr>
            <w:tcW w:w="1903" w:type="dxa"/>
          </w:tcPr>
          <w:p w:rsidR="003E4926" w:rsidRDefault="00255410" w:rsidP="00E96563">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-9</w:t>
            </w:r>
          </w:p>
        </w:tc>
        <w:tc>
          <w:tcPr>
            <w:tcW w:w="2150" w:type="dxa"/>
          </w:tcPr>
          <w:p w:rsidR="003E4926" w:rsidRDefault="00BC2B99" w:rsidP="00E96563">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w:t>
            </w:r>
          </w:p>
        </w:tc>
        <w:tc>
          <w:tcPr>
            <w:tcW w:w="1783" w:type="dxa"/>
          </w:tcPr>
          <w:p w:rsidR="003E4926" w:rsidRDefault="00BC2B99" w:rsidP="00E96563">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0.5</w:t>
            </w:r>
          </w:p>
        </w:tc>
      </w:tr>
    </w:tbl>
    <w:p w:rsidR="00D272DA" w:rsidRDefault="00D272DA">
      <w:pPr>
        <w:rPr>
          <w:rFonts w:ascii="Verdana" w:hAnsi="Verdana"/>
          <w:bCs/>
          <w:color w:val="53565A" w:themeColor="accent1"/>
          <w:sz w:val="44"/>
          <w:szCs w:val="44"/>
        </w:rPr>
      </w:pPr>
      <w:r>
        <w:rPr>
          <w:rFonts w:ascii="Verdana" w:hAnsi="Verdana"/>
        </w:rPr>
        <w:br w:type="page"/>
      </w:r>
    </w:p>
    <w:p w:rsidR="004D1050" w:rsidRPr="00D75B5B" w:rsidRDefault="000450C1" w:rsidP="00FE48EB">
      <w:pPr>
        <w:pStyle w:val="Heading1"/>
        <w:ind w:left="284"/>
        <w:rPr>
          <w:rFonts w:ascii="Verdana" w:hAnsi="Verdana"/>
        </w:rPr>
      </w:pPr>
      <w:bookmarkStart w:id="27" w:name="_Toc23510774"/>
      <w:r w:rsidRPr="00D75B5B">
        <w:rPr>
          <w:rFonts w:ascii="Verdana" w:hAnsi="Verdana"/>
        </w:rPr>
        <w:lastRenderedPageBreak/>
        <w:t>Preferred Option</w:t>
      </w:r>
      <w:bookmarkEnd w:id="27"/>
    </w:p>
    <w:p w:rsidR="00B91F4B" w:rsidRPr="00BF143A" w:rsidRDefault="00B91F4B" w:rsidP="00B91F4B">
      <w:pPr>
        <w:pStyle w:val="Heading2"/>
        <w:rPr>
          <w:rFonts w:ascii="Verdana" w:hAnsi="Verdana"/>
        </w:rPr>
      </w:pPr>
      <w:bookmarkStart w:id="28" w:name="_Toc23510775"/>
      <w:r w:rsidRPr="00BF143A">
        <w:rPr>
          <w:rFonts w:ascii="Verdana" w:hAnsi="Verdana"/>
        </w:rPr>
        <w:t>Summary of the preferred option</w:t>
      </w:r>
      <w:bookmarkEnd w:id="28"/>
    </w:p>
    <w:p w:rsidR="00B91F4B" w:rsidRDefault="00B91F4B" w:rsidP="00B91F4B">
      <w:pPr>
        <w:pStyle w:val="WOVGbody"/>
        <w:rPr>
          <w:rFonts w:ascii="Verdana" w:hAnsi="Verdana"/>
        </w:rPr>
      </w:pPr>
      <w:r>
        <w:rPr>
          <w:rFonts w:ascii="Verdana" w:hAnsi="Verdana"/>
        </w:rPr>
        <w:t xml:space="preserve">Based on the </w:t>
      </w:r>
      <w:r w:rsidR="00FC2ACB">
        <w:rPr>
          <w:rFonts w:ascii="Verdana" w:hAnsi="Verdana"/>
        </w:rPr>
        <w:t>outcome of the multi-</w:t>
      </w:r>
      <w:r w:rsidR="00652A5C">
        <w:rPr>
          <w:rFonts w:ascii="Verdana" w:hAnsi="Verdana"/>
        </w:rPr>
        <w:t xml:space="preserve">criteria options </w:t>
      </w:r>
      <w:r>
        <w:rPr>
          <w:rFonts w:ascii="Verdana" w:hAnsi="Verdana"/>
        </w:rPr>
        <w:t xml:space="preserve">analysis </w:t>
      </w:r>
      <w:r w:rsidR="00652A5C">
        <w:rPr>
          <w:rFonts w:ascii="Verdana" w:hAnsi="Verdana"/>
        </w:rPr>
        <w:t xml:space="preserve">presented </w:t>
      </w:r>
      <w:r>
        <w:rPr>
          <w:rFonts w:ascii="Verdana" w:hAnsi="Verdana"/>
        </w:rPr>
        <w:t>in the previous chapter, the preferred option for the scope of the</w:t>
      </w:r>
      <w:r w:rsidR="00BF143A">
        <w:rPr>
          <w:rFonts w:ascii="Verdana" w:hAnsi="Verdana"/>
        </w:rPr>
        <w:t xml:space="preserve"> proposed</w:t>
      </w:r>
      <w:r>
        <w:rPr>
          <w:rFonts w:ascii="Verdana" w:hAnsi="Verdana"/>
        </w:rPr>
        <w:t xml:space="preserve"> </w:t>
      </w:r>
      <w:r w:rsidR="00652A5C">
        <w:rPr>
          <w:rFonts w:ascii="Verdana" w:hAnsi="Verdana"/>
        </w:rPr>
        <w:t xml:space="preserve">Amendment </w:t>
      </w:r>
      <w:r>
        <w:rPr>
          <w:rFonts w:ascii="Verdana" w:hAnsi="Verdana"/>
        </w:rPr>
        <w:t>Regulations is:</w:t>
      </w:r>
    </w:p>
    <w:p w:rsidR="00B91F4B" w:rsidRPr="00B91F4B" w:rsidRDefault="00B91F4B" w:rsidP="00A76FAF">
      <w:pPr>
        <w:pStyle w:val="WOVGbody"/>
        <w:numPr>
          <w:ilvl w:val="0"/>
          <w:numId w:val="36"/>
        </w:numPr>
        <w:ind w:left="426"/>
        <w:rPr>
          <w:rFonts w:ascii="Verdana" w:hAnsi="Verdana"/>
        </w:rPr>
      </w:pPr>
      <w:r w:rsidRPr="00D106A4">
        <w:rPr>
          <w:rFonts w:ascii="Verdana" w:hAnsi="Verdana"/>
          <w:b/>
        </w:rPr>
        <w:t>Option 2</w:t>
      </w:r>
      <w:r>
        <w:rPr>
          <w:rFonts w:ascii="Verdana" w:hAnsi="Verdana"/>
        </w:rPr>
        <w:t>. Targeted prescription of universal health and education services and other key child service providers</w:t>
      </w:r>
    </w:p>
    <w:p w:rsidR="00B91F4B" w:rsidRPr="00B91F4B" w:rsidRDefault="00764F37" w:rsidP="00B91F4B">
      <w:pPr>
        <w:pStyle w:val="WOVGbody"/>
        <w:rPr>
          <w:rFonts w:ascii="Verdana" w:hAnsi="Verdana"/>
        </w:rPr>
      </w:pPr>
      <w:r>
        <w:rPr>
          <w:rFonts w:ascii="Verdana" w:hAnsi="Verdana"/>
        </w:rPr>
        <w:t>In line with the</w:t>
      </w:r>
      <w:r w:rsidR="00B91F4B" w:rsidRPr="00B91F4B">
        <w:rPr>
          <w:rFonts w:ascii="Verdana" w:hAnsi="Verdana"/>
        </w:rPr>
        <w:t xml:space="preserve"> recommendations</w:t>
      </w:r>
      <w:r>
        <w:rPr>
          <w:rFonts w:ascii="Verdana" w:hAnsi="Verdana"/>
        </w:rPr>
        <w:t xml:space="preserve"> of the McClellan Royal Commission</w:t>
      </w:r>
      <w:r w:rsidR="00B91F4B" w:rsidRPr="00B91F4B">
        <w:rPr>
          <w:rFonts w:ascii="Verdana" w:hAnsi="Verdana"/>
        </w:rPr>
        <w:t xml:space="preserve">, the CIS Scheme assumes a phased approach to implementation which, </w:t>
      </w:r>
      <w:r w:rsidR="00B91F4B">
        <w:rPr>
          <w:rFonts w:ascii="Verdana" w:hAnsi="Verdana"/>
        </w:rPr>
        <w:t xml:space="preserve">upon Phase Two </w:t>
      </w:r>
      <w:r w:rsidR="00B91F4B" w:rsidRPr="00B91F4B">
        <w:rPr>
          <w:rFonts w:ascii="Verdana" w:hAnsi="Verdana"/>
        </w:rPr>
        <w:t>implement</w:t>
      </w:r>
      <w:r w:rsidR="00B91F4B">
        <w:rPr>
          <w:rFonts w:ascii="Verdana" w:hAnsi="Verdana"/>
        </w:rPr>
        <w:t xml:space="preserve">ation, </w:t>
      </w:r>
      <w:r w:rsidR="00B91F4B" w:rsidRPr="00B91F4B">
        <w:rPr>
          <w:rFonts w:ascii="Verdana" w:hAnsi="Verdana"/>
        </w:rPr>
        <w:t>will involve a wide range of both govern</w:t>
      </w:r>
      <w:r w:rsidR="00944F2B">
        <w:rPr>
          <w:rFonts w:ascii="Verdana" w:hAnsi="Verdana"/>
        </w:rPr>
        <w:t>ment and non-government organisations</w:t>
      </w:r>
      <w:r w:rsidR="00B91F4B" w:rsidRPr="00B91F4B">
        <w:rPr>
          <w:rFonts w:ascii="Verdana" w:hAnsi="Verdana"/>
        </w:rPr>
        <w:t>. Further, the phased implementation of the CIS Scheme is as far as possible aligned with the implementation of the FVIS Scheme</w:t>
      </w:r>
      <w:r w:rsidR="00591C43">
        <w:rPr>
          <w:rFonts w:ascii="Verdana" w:hAnsi="Verdana"/>
        </w:rPr>
        <w:t xml:space="preserve"> and MARAM</w:t>
      </w:r>
      <w:r w:rsidR="00B91F4B" w:rsidRPr="00B91F4B">
        <w:rPr>
          <w:rFonts w:ascii="Verdana" w:hAnsi="Verdana"/>
        </w:rPr>
        <w:t>.</w:t>
      </w:r>
    </w:p>
    <w:p w:rsidR="00B91F4B" w:rsidRPr="00B91F4B" w:rsidRDefault="00652A5C" w:rsidP="002C6FC1">
      <w:pPr>
        <w:pStyle w:val="WOVGbody"/>
        <w:rPr>
          <w:rFonts w:ascii="Verdana" w:hAnsi="Verdana"/>
        </w:rPr>
      </w:pPr>
      <w:r>
        <w:rPr>
          <w:rFonts w:ascii="Verdana" w:hAnsi="Verdana"/>
        </w:rPr>
        <w:t xml:space="preserve">The preferred option prescribes universal health and education related services as well as services that support vulnerable children and families, ensuring </w:t>
      </w:r>
      <w:r w:rsidR="00764F37">
        <w:rPr>
          <w:rFonts w:ascii="Verdana" w:hAnsi="Verdana"/>
        </w:rPr>
        <w:t xml:space="preserve">prescription of </w:t>
      </w:r>
      <w:r>
        <w:rPr>
          <w:rFonts w:ascii="Verdana" w:hAnsi="Verdana"/>
        </w:rPr>
        <w:t>services that interact with the vast majority of Victorian children and p</w:t>
      </w:r>
      <w:r w:rsidR="002C6FC1">
        <w:rPr>
          <w:rFonts w:ascii="Verdana" w:hAnsi="Verdana"/>
        </w:rPr>
        <w:t xml:space="preserve">articularly </w:t>
      </w:r>
      <w:r w:rsidR="00764F37">
        <w:rPr>
          <w:rFonts w:ascii="Verdana" w:hAnsi="Verdana"/>
        </w:rPr>
        <w:t>with those who are in greatest</w:t>
      </w:r>
      <w:r w:rsidR="002C6FC1">
        <w:rPr>
          <w:rFonts w:ascii="Verdana" w:hAnsi="Verdana"/>
        </w:rPr>
        <w:t xml:space="preserve"> need of support. The ISEs prescribed under the preferred </w:t>
      </w:r>
      <w:r w:rsidR="00764F37">
        <w:rPr>
          <w:rFonts w:ascii="Verdana" w:hAnsi="Verdana"/>
        </w:rPr>
        <w:t xml:space="preserve">option </w:t>
      </w:r>
      <w:r w:rsidR="002C6FC1">
        <w:rPr>
          <w:rFonts w:ascii="Verdana" w:hAnsi="Verdana"/>
        </w:rPr>
        <w:t xml:space="preserve">have the capacity to provide </w:t>
      </w:r>
      <w:r>
        <w:rPr>
          <w:rFonts w:ascii="Verdana" w:hAnsi="Verdana"/>
        </w:rPr>
        <w:t xml:space="preserve">timely access to information deemed relevant to </w:t>
      </w:r>
      <w:r w:rsidR="002C6FC1">
        <w:rPr>
          <w:rFonts w:ascii="Verdana" w:hAnsi="Verdana"/>
        </w:rPr>
        <w:t xml:space="preserve">the wellbeing or safety of a child, and to facilitate </w:t>
      </w:r>
      <w:r w:rsidR="004173F9">
        <w:rPr>
          <w:rFonts w:ascii="Verdana" w:hAnsi="Verdana"/>
        </w:rPr>
        <w:t>reform</w:t>
      </w:r>
      <w:r w:rsidR="002C6FC1">
        <w:rPr>
          <w:rFonts w:ascii="Verdana" w:hAnsi="Verdana"/>
        </w:rPr>
        <w:t xml:space="preserve"> </w:t>
      </w:r>
      <w:r w:rsidR="00FB3DE8">
        <w:rPr>
          <w:rFonts w:ascii="Verdana" w:hAnsi="Verdana"/>
        </w:rPr>
        <w:t>delivery</w:t>
      </w:r>
      <w:r w:rsidR="002C6FC1">
        <w:rPr>
          <w:rFonts w:ascii="Verdana" w:hAnsi="Verdana"/>
        </w:rPr>
        <w:t>, with appropriate support from government.</w:t>
      </w:r>
    </w:p>
    <w:p w:rsidR="00BF143A" w:rsidRPr="00655DB8" w:rsidRDefault="00737A5E" w:rsidP="00BF143A">
      <w:pPr>
        <w:pStyle w:val="Heading2"/>
        <w:rPr>
          <w:rFonts w:ascii="Verdana" w:hAnsi="Verdana"/>
        </w:rPr>
      </w:pPr>
      <w:bookmarkStart w:id="29" w:name="_Toc23510776"/>
      <w:r>
        <w:rPr>
          <w:rFonts w:ascii="Verdana" w:hAnsi="Verdana"/>
        </w:rPr>
        <w:t>How workforce impacts were assessed</w:t>
      </w:r>
      <w:bookmarkEnd w:id="29"/>
    </w:p>
    <w:p w:rsidR="00BF143A" w:rsidRPr="00CB765B" w:rsidRDefault="00BF143A" w:rsidP="00BF143A">
      <w:pPr>
        <w:pStyle w:val="WOVGbody"/>
        <w:rPr>
          <w:rFonts w:ascii="Verdana" w:hAnsi="Verdana"/>
        </w:rPr>
      </w:pPr>
      <w:r w:rsidRPr="00CB765B">
        <w:rPr>
          <w:rFonts w:ascii="Verdana" w:hAnsi="Verdana"/>
        </w:rPr>
        <w:t xml:space="preserve">Impacts </w:t>
      </w:r>
      <w:r w:rsidR="00954540">
        <w:rPr>
          <w:rFonts w:ascii="Verdana" w:hAnsi="Verdana"/>
        </w:rPr>
        <w:t>were</w:t>
      </w:r>
      <w:r w:rsidRPr="00CB765B">
        <w:rPr>
          <w:rFonts w:ascii="Verdana" w:hAnsi="Verdana"/>
        </w:rPr>
        <w:t xml:space="preserve"> estimated through consultations with </w:t>
      </w:r>
      <w:r w:rsidR="001D37D1" w:rsidRPr="001D37D1">
        <w:rPr>
          <w:rFonts w:ascii="Verdana" w:hAnsi="Verdana"/>
        </w:rPr>
        <w:t>approximately 120 workforce representatives</w:t>
      </w:r>
      <w:r w:rsidRPr="001D37D1">
        <w:rPr>
          <w:rFonts w:ascii="Verdana" w:hAnsi="Verdana"/>
        </w:rPr>
        <w:t xml:space="preserve"> from</w:t>
      </w:r>
      <w:r w:rsidR="001D37D1" w:rsidRPr="001D37D1">
        <w:rPr>
          <w:rFonts w:ascii="Verdana" w:hAnsi="Verdana"/>
        </w:rPr>
        <w:t xml:space="preserve"> 60 </w:t>
      </w:r>
      <w:r w:rsidR="001D37D1">
        <w:rPr>
          <w:rFonts w:ascii="Verdana" w:hAnsi="Verdana"/>
        </w:rPr>
        <w:t xml:space="preserve">unique organisations </w:t>
      </w:r>
      <w:r w:rsidRPr="00CB765B">
        <w:rPr>
          <w:rFonts w:ascii="Verdana" w:hAnsi="Verdana"/>
        </w:rPr>
        <w:t xml:space="preserve">likely to be impacted by the </w:t>
      </w:r>
      <w:r>
        <w:rPr>
          <w:rFonts w:ascii="Verdana" w:hAnsi="Verdana"/>
        </w:rPr>
        <w:t>proposed Amendment Regulations</w:t>
      </w:r>
      <w:r w:rsidRPr="00CB765B">
        <w:rPr>
          <w:rFonts w:ascii="Verdana" w:hAnsi="Verdana"/>
        </w:rPr>
        <w:t>.</w:t>
      </w:r>
      <w:r w:rsidR="003B6279">
        <w:rPr>
          <w:rFonts w:ascii="Verdana" w:hAnsi="Verdana"/>
        </w:rPr>
        <w:t xml:space="preserve"> </w:t>
      </w:r>
      <w:r w:rsidR="00F4740E">
        <w:rPr>
          <w:rFonts w:ascii="Verdana" w:hAnsi="Verdana"/>
        </w:rPr>
        <w:t xml:space="preserve">The consultations included 53 unique interviews with workforce representatives to collect data for the impact analysis of this RIS. </w:t>
      </w:r>
      <w:r w:rsidR="00FC2ACB">
        <w:rPr>
          <w:rFonts w:ascii="Verdana" w:hAnsi="Verdana"/>
        </w:rPr>
        <w:t xml:space="preserve">Please refer to Chapter 10 for a more </w:t>
      </w:r>
      <w:r w:rsidR="00F4740E">
        <w:rPr>
          <w:rFonts w:ascii="Verdana" w:hAnsi="Verdana"/>
        </w:rPr>
        <w:t xml:space="preserve">detailed description of the </w:t>
      </w:r>
      <w:r w:rsidRPr="00CB765B">
        <w:rPr>
          <w:rFonts w:ascii="Verdana" w:hAnsi="Verdana"/>
        </w:rPr>
        <w:t xml:space="preserve">consultation </w:t>
      </w:r>
      <w:r w:rsidR="00C650B2">
        <w:rPr>
          <w:rFonts w:ascii="Verdana" w:hAnsi="Verdana"/>
        </w:rPr>
        <w:t>process</w:t>
      </w:r>
      <w:r w:rsidRPr="00CB765B">
        <w:rPr>
          <w:rFonts w:ascii="Verdana" w:hAnsi="Verdana"/>
        </w:rPr>
        <w:t xml:space="preserve">. While the stakeholders consulted included both government and non-government organisations across a range of </w:t>
      </w:r>
      <w:r>
        <w:rPr>
          <w:rFonts w:ascii="Verdana" w:hAnsi="Verdana"/>
        </w:rPr>
        <w:t>services</w:t>
      </w:r>
      <w:r w:rsidRPr="00CB765B">
        <w:rPr>
          <w:rFonts w:ascii="Verdana" w:hAnsi="Verdana"/>
        </w:rPr>
        <w:t xml:space="preserve">, it should be noted that only a small sample of organisations likely to be </w:t>
      </w:r>
      <w:r>
        <w:rPr>
          <w:rFonts w:ascii="Verdana" w:hAnsi="Verdana"/>
        </w:rPr>
        <w:t xml:space="preserve">prescribed in Phase Two of the CIS Scheme </w:t>
      </w:r>
      <w:r w:rsidRPr="00CB765B">
        <w:rPr>
          <w:rFonts w:ascii="Verdana" w:hAnsi="Verdana"/>
        </w:rPr>
        <w:t>could be consulted.</w:t>
      </w:r>
      <w:r>
        <w:rPr>
          <w:rFonts w:ascii="Verdana" w:hAnsi="Verdana"/>
        </w:rPr>
        <w:t xml:space="preserve"> As such, the impact estimates</w:t>
      </w:r>
      <w:r w:rsidRPr="00CB765B">
        <w:rPr>
          <w:rFonts w:ascii="Verdana" w:hAnsi="Verdana"/>
        </w:rPr>
        <w:t xml:space="preserve"> reported </w:t>
      </w:r>
      <w:r>
        <w:rPr>
          <w:rFonts w:ascii="Verdana" w:hAnsi="Verdana"/>
        </w:rPr>
        <w:t>i</w:t>
      </w:r>
      <w:r w:rsidR="00680980">
        <w:rPr>
          <w:rFonts w:ascii="Verdana" w:hAnsi="Verdana"/>
        </w:rPr>
        <w:t>n this RIS should be considered</w:t>
      </w:r>
      <w:r>
        <w:rPr>
          <w:rFonts w:ascii="Verdana" w:hAnsi="Verdana"/>
        </w:rPr>
        <w:t xml:space="preserve"> approximate </w:t>
      </w:r>
      <w:r w:rsidR="00680980">
        <w:rPr>
          <w:rFonts w:ascii="Verdana" w:hAnsi="Verdana"/>
        </w:rPr>
        <w:t xml:space="preserve">indication </w:t>
      </w:r>
      <w:r>
        <w:rPr>
          <w:rFonts w:ascii="Verdana" w:hAnsi="Verdana"/>
        </w:rPr>
        <w:t>impact estimates</w:t>
      </w:r>
      <w:r w:rsidRPr="00CB765B">
        <w:rPr>
          <w:rFonts w:ascii="Verdana" w:hAnsi="Verdana"/>
        </w:rPr>
        <w:t>, rather</w:t>
      </w:r>
      <w:r w:rsidR="00680980">
        <w:rPr>
          <w:rFonts w:ascii="Verdana" w:hAnsi="Verdana"/>
        </w:rPr>
        <w:t xml:space="preserve"> than anything more definitive.</w:t>
      </w:r>
    </w:p>
    <w:p w:rsidR="00BF143A" w:rsidRPr="00CB765B" w:rsidRDefault="00BF143A" w:rsidP="00BF143A">
      <w:pPr>
        <w:pStyle w:val="WOVGbody"/>
        <w:rPr>
          <w:rFonts w:ascii="Verdana" w:hAnsi="Verdana"/>
        </w:rPr>
      </w:pPr>
      <w:r w:rsidRPr="00CB765B">
        <w:rPr>
          <w:rFonts w:ascii="Verdana" w:hAnsi="Verdana"/>
        </w:rPr>
        <w:t>The consultations indicated significant variation across organisations in th</w:t>
      </w:r>
      <w:r>
        <w:rPr>
          <w:rFonts w:ascii="Verdana" w:hAnsi="Verdana"/>
        </w:rPr>
        <w:t>e level of expected impact of their prescription under</w:t>
      </w:r>
      <w:r w:rsidRPr="00CB765B">
        <w:rPr>
          <w:rFonts w:ascii="Verdana" w:hAnsi="Verdana"/>
        </w:rPr>
        <w:t xml:space="preserve"> </w:t>
      </w:r>
      <w:r>
        <w:rPr>
          <w:rFonts w:ascii="Verdana" w:hAnsi="Verdana"/>
        </w:rPr>
        <w:t xml:space="preserve">Phase Two of </w:t>
      </w:r>
      <w:r w:rsidRPr="00CB765B">
        <w:rPr>
          <w:rFonts w:ascii="Verdana" w:hAnsi="Verdana"/>
        </w:rPr>
        <w:t>the CIS Scheme. This in part reflects the uncertainty that organisations invariably face wh</w:t>
      </w:r>
      <w:r w:rsidR="000445EB">
        <w:rPr>
          <w:rFonts w:ascii="Verdana" w:hAnsi="Verdana"/>
        </w:rPr>
        <w:t>en contemplating the impact of r</w:t>
      </w:r>
      <w:r w:rsidRPr="00CB765B">
        <w:rPr>
          <w:rFonts w:ascii="Verdana" w:hAnsi="Verdana"/>
        </w:rPr>
        <w:t xml:space="preserve">egulations they have not previously encountered. It also reflects the fundamental factors that will drive variation in the regulations’ impacts across ISEs, including the size of the organisation, their resourcing capacity, the nature of their work involving information sharing, and their </w:t>
      </w:r>
      <w:r>
        <w:rPr>
          <w:rFonts w:ascii="Verdana" w:hAnsi="Verdana"/>
        </w:rPr>
        <w:t>existing systems and processes.</w:t>
      </w:r>
    </w:p>
    <w:p w:rsidR="00BF143A" w:rsidRPr="00CB765B" w:rsidRDefault="00BF143A" w:rsidP="00BF143A">
      <w:pPr>
        <w:pStyle w:val="WOVGbody"/>
        <w:rPr>
          <w:rFonts w:ascii="Verdana" w:hAnsi="Verdana"/>
        </w:rPr>
      </w:pPr>
      <w:r w:rsidRPr="00CB765B">
        <w:rPr>
          <w:rFonts w:ascii="Verdana" w:hAnsi="Verdana"/>
        </w:rPr>
        <w:t xml:space="preserve">Reflecting the wide range of circumstances this list of organisational attributes can produce, the range of impacts expected to result from the regulations is also wide. The points below provide examples of the </w:t>
      </w:r>
      <w:r>
        <w:rPr>
          <w:rFonts w:ascii="Verdana" w:hAnsi="Verdana"/>
        </w:rPr>
        <w:t xml:space="preserve">expected </w:t>
      </w:r>
      <w:r w:rsidRPr="00CB765B">
        <w:rPr>
          <w:rFonts w:ascii="Verdana" w:hAnsi="Verdana"/>
        </w:rPr>
        <w:t xml:space="preserve">variation </w:t>
      </w:r>
      <w:r>
        <w:rPr>
          <w:rFonts w:ascii="Verdana" w:hAnsi="Verdana"/>
        </w:rPr>
        <w:t xml:space="preserve">in practices for </w:t>
      </w:r>
      <w:r w:rsidRPr="00CB765B">
        <w:rPr>
          <w:rFonts w:ascii="Verdana" w:hAnsi="Verdana"/>
        </w:rPr>
        <w:t>information sharing across entities:</w:t>
      </w:r>
    </w:p>
    <w:p w:rsidR="00BF143A" w:rsidRPr="00CB765B" w:rsidRDefault="00BF143A" w:rsidP="00A76FAF">
      <w:pPr>
        <w:pStyle w:val="WOVGbody"/>
        <w:numPr>
          <w:ilvl w:val="0"/>
          <w:numId w:val="20"/>
        </w:numPr>
        <w:ind w:left="426"/>
        <w:rPr>
          <w:rFonts w:ascii="Verdana" w:hAnsi="Verdana"/>
        </w:rPr>
      </w:pPr>
      <w:r w:rsidRPr="00CB765B">
        <w:rPr>
          <w:rFonts w:ascii="Verdana" w:hAnsi="Verdana"/>
        </w:rPr>
        <w:t xml:space="preserve">The volume of </w:t>
      </w:r>
      <w:r>
        <w:rPr>
          <w:rFonts w:ascii="Verdana" w:hAnsi="Verdana"/>
        </w:rPr>
        <w:t xml:space="preserve">information sharing occurrences that are expected </w:t>
      </w:r>
      <w:r w:rsidRPr="00CB765B">
        <w:rPr>
          <w:rFonts w:ascii="Verdana" w:hAnsi="Verdana"/>
        </w:rPr>
        <w:t>by organisations ranged from</w:t>
      </w:r>
      <w:r>
        <w:rPr>
          <w:rFonts w:ascii="Verdana" w:hAnsi="Verdana"/>
        </w:rPr>
        <w:t xml:space="preserve"> a few to several thousand per year, depending on the services provided by organisations, their </w:t>
      </w:r>
      <w:r w:rsidRPr="00CB765B">
        <w:rPr>
          <w:rFonts w:ascii="Verdana" w:hAnsi="Verdana"/>
        </w:rPr>
        <w:t xml:space="preserve">reliance on </w:t>
      </w:r>
      <w:r w:rsidR="00764F37">
        <w:rPr>
          <w:rFonts w:ascii="Verdana" w:hAnsi="Verdana"/>
        </w:rPr>
        <w:t xml:space="preserve">and opportunity </w:t>
      </w:r>
      <w:r w:rsidR="00B53A6B">
        <w:rPr>
          <w:rFonts w:ascii="Verdana" w:hAnsi="Verdana"/>
        </w:rPr>
        <w:t>for</w:t>
      </w:r>
      <w:r w:rsidR="00764F37">
        <w:rPr>
          <w:rFonts w:ascii="Verdana" w:hAnsi="Verdana"/>
        </w:rPr>
        <w:t xml:space="preserve"> </w:t>
      </w:r>
      <w:r w:rsidRPr="00CB765B">
        <w:rPr>
          <w:rFonts w:ascii="Verdana" w:hAnsi="Verdana"/>
        </w:rPr>
        <w:t>receiving input from</w:t>
      </w:r>
      <w:r>
        <w:rPr>
          <w:rFonts w:ascii="Verdana" w:hAnsi="Verdana"/>
        </w:rPr>
        <w:t>/providing input to</w:t>
      </w:r>
      <w:r w:rsidRPr="00CB765B">
        <w:rPr>
          <w:rFonts w:ascii="Verdana" w:hAnsi="Verdana"/>
        </w:rPr>
        <w:t xml:space="preserve"> other </w:t>
      </w:r>
      <w:r w:rsidR="00FC2ACB">
        <w:rPr>
          <w:rFonts w:ascii="Verdana" w:hAnsi="Verdana"/>
        </w:rPr>
        <w:t>services, and</w:t>
      </w:r>
      <w:r>
        <w:rPr>
          <w:rFonts w:ascii="Verdana" w:hAnsi="Verdana"/>
        </w:rPr>
        <w:t xml:space="preserve"> their relative size.</w:t>
      </w:r>
    </w:p>
    <w:p w:rsidR="00EC0A4B" w:rsidRDefault="00BF143A" w:rsidP="00A76FAF">
      <w:pPr>
        <w:pStyle w:val="WOVGbody"/>
        <w:numPr>
          <w:ilvl w:val="0"/>
          <w:numId w:val="20"/>
        </w:numPr>
        <w:ind w:left="426"/>
        <w:rPr>
          <w:rFonts w:ascii="Verdana" w:hAnsi="Verdana"/>
        </w:rPr>
      </w:pPr>
      <w:r w:rsidRPr="00CB765B">
        <w:rPr>
          <w:rFonts w:ascii="Verdana" w:hAnsi="Verdana"/>
        </w:rPr>
        <w:lastRenderedPageBreak/>
        <w:t xml:space="preserve">The </w:t>
      </w:r>
      <w:r>
        <w:rPr>
          <w:rFonts w:ascii="Verdana" w:hAnsi="Verdana"/>
        </w:rPr>
        <w:t xml:space="preserve">process and </w:t>
      </w:r>
      <w:r w:rsidRPr="00CB765B">
        <w:rPr>
          <w:rFonts w:ascii="Verdana" w:hAnsi="Verdana"/>
        </w:rPr>
        <w:t xml:space="preserve">time taken to </w:t>
      </w:r>
      <w:r>
        <w:rPr>
          <w:rFonts w:ascii="Verdana" w:hAnsi="Verdana"/>
        </w:rPr>
        <w:t xml:space="preserve">make a request or respond to a request for information </w:t>
      </w:r>
      <w:r w:rsidRPr="00CB765B">
        <w:rPr>
          <w:rFonts w:ascii="Verdana" w:hAnsi="Verdana"/>
        </w:rPr>
        <w:t xml:space="preserve">ranged from a phone call </w:t>
      </w:r>
      <w:r w:rsidR="00EC0A4B">
        <w:rPr>
          <w:rFonts w:ascii="Verdana" w:hAnsi="Verdana"/>
        </w:rPr>
        <w:t xml:space="preserve">or email taking </w:t>
      </w:r>
      <w:r w:rsidRPr="00CB765B">
        <w:rPr>
          <w:rFonts w:ascii="Verdana" w:hAnsi="Verdana"/>
        </w:rPr>
        <w:t>a few minutes, to</w:t>
      </w:r>
      <w:r>
        <w:rPr>
          <w:rFonts w:ascii="Verdana" w:hAnsi="Verdana"/>
        </w:rPr>
        <w:t xml:space="preserve"> highly formalised and structured processes for information release</w:t>
      </w:r>
      <w:r w:rsidR="00EC0A4B">
        <w:rPr>
          <w:rFonts w:ascii="Verdana" w:hAnsi="Verdana"/>
        </w:rPr>
        <w:t>.</w:t>
      </w:r>
    </w:p>
    <w:p w:rsidR="00BF143A" w:rsidRDefault="00EC0A4B" w:rsidP="00864C0B">
      <w:pPr>
        <w:pStyle w:val="WOVGbody"/>
        <w:ind w:left="66"/>
        <w:rPr>
          <w:rFonts w:ascii="Verdana" w:hAnsi="Verdana"/>
        </w:rPr>
      </w:pPr>
      <w:r>
        <w:rPr>
          <w:rFonts w:ascii="Verdana" w:hAnsi="Verdana"/>
        </w:rPr>
        <w:t xml:space="preserve">In addition, consultations revealed significant expected variation in the complexity of information </w:t>
      </w:r>
      <w:r w:rsidR="00864C0B">
        <w:rPr>
          <w:rFonts w:ascii="Verdana" w:hAnsi="Verdana"/>
        </w:rPr>
        <w:t>sharing requests</w:t>
      </w:r>
      <w:r>
        <w:rPr>
          <w:rFonts w:ascii="Verdana" w:hAnsi="Verdana"/>
        </w:rPr>
        <w:t>, a</w:t>
      </w:r>
      <w:r w:rsidR="00864C0B">
        <w:rPr>
          <w:rFonts w:ascii="Verdana" w:hAnsi="Verdana"/>
        </w:rPr>
        <w:t xml:space="preserve">nd organisations indicated </w:t>
      </w:r>
      <w:r>
        <w:rPr>
          <w:rFonts w:ascii="Verdana" w:hAnsi="Verdana"/>
        </w:rPr>
        <w:t>this would result in a corresponding variation in time impact</w:t>
      </w:r>
      <w:r w:rsidR="00864C0B">
        <w:rPr>
          <w:rFonts w:ascii="Verdana" w:hAnsi="Verdana"/>
        </w:rPr>
        <w:t xml:space="preserve"> when responding to a request for information</w:t>
      </w:r>
      <w:r>
        <w:rPr>
          <w:rFonts w:ascii="Verdana" w:hAnsi="Verdana"/>
        </w:rPr>
        <w:t xml:space="preserve">. </w:t>
      </w:r>
      <w:r w:rsidR="00864C0B">
        <w:rPr>
          <w:rFonts w:ascii="Verdana" w:hAnsi="Verdana"/>
        </w:rPr>
        <w:t>Scenarios described by organisations varied from retrieving data relatively quickly from an electronic system to conducting</w:t>
      </w:r>
      <w:r w:rsidR="00BF143A" w:rsidRPr="00CB765B">
        <w:rPr>
          <w:rFonts w:ascii="Verdana" w:hAnsi="Verdana"/>
        </w:rPr>
        <w:t xml:space="preserve"> significant</w:t>
      </w:r>
      <w:r w:rsidR="00864C0B">
        <w:rPr>
          <w:rFonts w:ascii="Verdana" w:hAnsi="Verdana"/>
        </w:rPr>
        <w:t xml:space="preserve"> and time-</w:t>
      </w:r>
      <w:r w:rsidR="00BF143A">
        <w:rPr>
          <w:rFonts w:ascii="Verdana" w:hAnsi="Verdana"/>
        </w:rPr>
        <w:t>consuming investigative work to obtain information</w:t>
      </w:r>
      <w:r w:rsidR="00F4740E">
        <w:rPr>
          <w:rFonts w:ascii="Verdana" w:hAnsi="Verdana"/>
        </w:rPr>
        <w:t>.</w:t>
      </w:r>
    </w:p>
    <w:p w:rsidR="00F4740E" w:rsidRPr="00F4740E" w:rsidRDefault="00F4740E" w:rsidP="00F4740E">
      <w:pPr>
        <w:pStyle w:val="Heading3"/>
        <w:rPr>
          <w:rFonts w:ascii="Verdana" w:hAnsi="Verdana"/>
        </w:rPr>
      </w:pPr>
      <w:r w:rsidRPr="00F4740E">
        <w:rPr>
          <w:rFonts w:ascii="Verdana" w:hAnsi="Verdana"/>
        </w:rPr>
        <w:t>Types of workforce costs</w:t>
      </w:r>
    </w:p>
    <w:p w:rsidR="00F4740E" w:rsidRPr="00D94ADF" w:rsidRDefault="00F4740E" w:rsidP="00877130">
      <w:pPr>
        <w:pStyle w:val="Heading4"/>
        <w:rPr>
          <w:rFonts w:ascii="Verdana" w:hAnsi="Verdana"/>
        </w:rPr>
      </w:pPr>
      <w:r w:rsidRPr="00D94ADF">
        <w:rPr>
          <w:rFonts w:ascii="Verdana" w:hAnsi="Verdana"/>
        </w:rPr>
        <w:t>Upfront costs to ISEs</w:t>
      </w:r>
    </w:p>
    <w:p w:rsidR="00F4740E" w:rsidRPr="00540CA7" w:rsidRDefault="00F4740E" w:rsidP="00F4740E">
      <w:pPr>
        <w:pStyle w:val="WOVGbody"/>
        <w:rPr>
          <w:rFonts w:ascii="Verdana" w:hAnsi="Verdana"/>
        </w:rPr>
      </w:pPr>
      <w:r>
        <w:rPr>
          <w:rFonts w:ascii="Verdana" w:hAnsi="Verdana"/>
        </w:rPr>
        <w:t>It</w:t>
      </w:r>
      <w:r w:rsidRPr="00540CA7">
        <w:rPr>
          <w:rFonts w:ascii="Verdana" w:hAnsi="Verdana"/>
        </w:rPr>
        <w:t xml:space="preserve"> is anticipated that ISEs will be able to </w:t>
      </w:r>
      <w:r>
        <w:rPr>
          <w:rFonts w:ascii="Verdana" w:hAnsi="Verdana"/>
        </w:rPr>
        <w:t xml:space="preserve">implement </w:t>
      </w:r>
      <w:r w:rsidRPr="00540CA7">
        <w:rPr>
          <w:rFonts w:ascii="Verdana" w:hAnsi="Verdana"/>
        </w:rPr>
        <w:t>the CIS Scheme within their current levels of capacity</w:t>
      </w:r>
      <w:r>
        <w:rPr>
          <w:rFonts w:ascii="Verdana" w:hAnsi="Verdana"/>
        </w:rPr>
        <w:t xml:space="preserve">. </w:t>
      </w:r>
      <w:r w:rsidRPr="00540CA7">
        <w:rPr>
          <w:rFonts w:ascii="Verdana" w:hAnsi="Verdana"/>
        </w:rPr>
        <w:t>However, there will be upfront costs</w:t>
      </w:r>
      <w:r w:rsidRPr="00540CA7">
        <w:rPr>
          <w:rFonts w:ascii="Verdana" w:hAnsi="Verdana"/>
          <w:color w:val="FF0000"/>
        </w:rPr>
        <w:t xml:space="preserve"> </w:t>
      </w:r>
      <w:r w:rsidRPr="00540CA7">
        <w:rPr>
          <w:rFonts w:ascii="Verdana" w:hAnsi="Verdana"/>
        </w:rPr>
        <w:t>incurred within the first year that are associated with training staff and updating policies</w:t>
      </w:r>
      <w:r>
        <w:rPr>
          <w:rFonts w:ascii="Verdana" w:hAnsi="Verdana"/>
        </w:rPr>
        <w:t xml:space="preserve"> and procedures:</w:t>
      </w:r>
    </w:p>
    <w:p w:rsidR="00F4740E" w:rsidRPr="00540CA7" w:rsidRDefault="00F4740E" w:rsidP="00A76FAF">
      <w:pPr>
        <w:pStyle w:val="WOVGbody"/>
        <w:numPr>
          <w:ilvl w:val="0"/>
          <w:numId w:val="40"/>
        </w:numPr>
        <w:ind w:left="426"/>
        <w:rPr>
          <w:rFonts w:ascii="Verdana" w:hAnsi="Verdana"/>
        </w:rPr>
      </w:pPr>
      <w:r w:rsidRPr="00540CA7">
        <w:rPr>
          <w:rFonts w:ascii="Verdana" w:hAnsi="Verdana"/>
        </w:rPr>
        <w:t xml:space="preserve">While the financial cost of training </w:t>
      </w:r>
      <w:r>
        <w:rPr>
          <w:rFonts w:ascii="Verdana" w:hAnsi="Verdana"/>
        </w:rPr>
        <w:t xml:space="preserve">targeted </w:t>
      </w:r>
      <w:r w:rsidRPr="00540CA7">
        <w:rPr>
          <w:rFonts w:ascii="Verdana" w:hAnsi="Verdana"/>
        </w:rPr>
        <w:t>staff will be covered by the government, there will be resourcing implications for organisations as staff are attending training and therefore diverted from their core work.</w:t>
      </w:r>
    </w:p>
    <w:p w:rsidR="00F4740E" w:rsidRPr="00540CA7" w:rsidRDefault="00F4740E" w:rsidP="00A76FAF">
      <w:pPr>
        <w:pStyle w:val="WOVGbody"/>
        <w:numPr>
          <w:ilvl w:val="0"/>
          <w:numId w:val="40"/>
        </w:numPr>
        <w:ind w:left="426"/>
        <w:rPr>
          <w:rFonts w:ascii="Verdana" w:hAnsi="Verdana"/>
        </w:rPr>
      </w:pPr>
      <w:r w:rsidRPr="00540CA7">
        <w:rPr>
          <w:rFonts w:ascii="Verdana" w:hAnsi="Verdana"/>
        </w:rPr>
        <w:t>ISEs will need to update existing policies</w:t>
      </w:r>
      <w:r>
        <w:rPr>
          <w:rFonts w:ascii="Verdana" w:hAnsi="Verdana"/>
        </w:rPr>
        <w:t xml:space="preserve"> and procedures</w:t>
      </w:r>
      <w:r w:rsidRPr="00540CA7">
        <w:rPr>
          <w:rFonts w:ascii="Verdana" w:hAnsi="Verdana"/>
        </w:rPr>
        <w:t xml:space="preserve"> related to information sharing practices, in order to meet their obligations under the CIS Scheme. The level of impact depends on </w:t>
      </w:r>
      <w:r>
        <w:rPr>
          <w:rFonts w:ascii="Verdana" w:hAnsi="Verdana"/>
        </w:rPr>
        <w:t xml:space="preserve">factors such as </w:t>
      </w:r>
      <w:r w:rsidRPr="00540CA7">
        <w:rPr>
          <w:rFonts w:ascii="Verdana" w:hAnsi="Verdana"/>
        </w:rPr>
        <w:t xml:space="preserve">the size </w:t>
      </w:r>
      <w:r>
        <w:rPr>
          <w:rFonts w:ascii="Verdana" w:hAnsi="Verdana"/>
        </w:rPr>
        <w:t xml:space="preserve">and structure </w:t>
      </w:r>
      <w:r w:rsidRPr="00540CA7">
        <w:rPr>
          <w:rFonts w:ascii="Verdana" w:hAnsi="Verdana"/>
        </w:rPr>
        <w:t>of the organisation and</w:t>
      </w:r>
      <w:r>
        <w:rPr>
          <w:rFonts w:ascii="Verdana" w:hAnsi="Verdana"/>
        </w:rPr>
        <w:t xml:space="preserve"> the extent to which development of policies and procedures is coordinated within the organisation or by a governance body.</w:t>
      </w:r>
    </w:p>
    <w:p w:rsidR="00F4740E" w:rsidRPr="00D94ADF" w:rsidRDefault="00F4740E" w:rsidP="00877130">
      <w:pPr>
        <w:pStyle w:val="Heading4"/>
        <w:rPr>
          <w:rFonts w:ascii="Verdana" w:hAnsi="Verdana"/>
        </w:rPr>
      </w:pPr>
      <w:r w:rsidRPr="00D94ADF">
        <w:rPr>
          <w:rFonts w:ascii="Verdana" w:hAnsi="Verdana"/>
        </w:rPr>
        <w:t>Ongoing costs to ISEs</w:t>
      </w:r>
    </w:p>
    <w:p w:rsidR="00F4740E" w:rsidRPr="00540CA7" w:rsidRDefault="00F4740E" w:rsidP="00F4740E">
      <w:pPr>
        <w:pStyle w:val="WOVGbody"/>
        <w:rPr>
          <w:rFonts w:ascii="Verdana" w:hAnsi="Verdana"/>
        </w:rPr>
      </w:pPr>
      <w:r w:rsidRPr="00F4743E">
        <w:rPr>
          <w:rFonts w:ascii="Verdana" w:hAnsi="Verdana"/>
        </w:rPr>
        <w:t>Ongoing costs to ISEs largely depend on their organisational attributes and the volume as well as nature of requests made or received. Identified ongoing yearly cost impacts include:</w:t>
      </w:r>
    </w:p>
    <w:p w:rsidR="00F4740E" w:rsidRPr="00540CA7" w:rsidRDefault="00FC2ACB" w:rsidP="00A76FAF">
      <w:pPr>
        <w:pStyle w:val="WOVGbody"/>
        <w:numPr>
          <w:ilvl w:val="0"/>
          <w:numId w:val="41"/>
        </w:numPr>
        <w:ind w:left="426"/>
        <w:rPr>
          <w:rFonts w:ascii="Verdana" w:hAnsi="Verdana"/>
        </w:rPr>
      </w:pPr>
      <w:r>
        <w:rPr>
          <w:rFonts w:ascii="Verdana" w:hAnsi="Verdana"/>
        </w:rPr>
        <w:t>t</w:t>
      </w:r>
      <w:r w:rsidR="00F4740E" w:rsidRPr="00540CA7">
        <w:rPr>
          <w:rFonts w:ascii="Verdana" w:hAnsi="Verdana"/>
        </w:rPr>
        <w:t>raining for new staff, who are not involved in the initial workforce training, assuming a 20 per cent turnover rate.</w:t>
      </w:r>
    </w:p>
    <w:p w:rsidR="00F4740E" w:rsidRPr="00540CA7" w:rsidRDefault="00F4740E" w:rsidP="00A76FAF">
      <w:pPr>
        <w:pStyle w:val="WOVGbody"/>
        <w:numPr>
          <w:ilvl w:val="0"/>
          <w:numId w:val="41"/>
        </w:numPr>
        <w:ind w:left="426"/>
        <w:rPr>
          <w:rFonts w:ascii="Verdana" w:hAnsi="Verdana"/>
        </w:rPr>
      </w:pPr>
      <w:r w:rsidRPr="00540CA7">
        <w:rPr>
          <w:rFonts w:ascii="Verdana" w:hAnsi="Verdana"/>
        </w:rPr>
        <w:t>time taken to respond to requests for information</w:t>
      </w:r>
      <w:r>
        <w:rPr>
          <w:rFonts w:ascii="Verdana" w:hAnsi="Verdana"/>
        </w:rPr>
        <w:t xml:space="preserve"> (or proactively sharing information)</w:t>
      </w:r>
      <w:r w:rsidRPr="00540CA7">
        <w:rPr>
          <w:rFonts w:ascii="Verdana" w:hAnsi="Verdana"/>
        </w:rPr>
        <w:t xml:space="preserve">, including receiving the request, </w:t>
      </w:r>
      <w:r>
        <w:rPr>
          <w:rFonts w:ascii="Verdana" w:hAnsi="Verdana"/>
        </w:rPr>
        <w:t>identifying</w:t>
      </w:r>
      <w:r w:rsidRPr="00540CA7">
        <w:rPr>
          <w:rFonts w:ascii="Verdana" w:hAnsi="Verdana"/>
        </w:rPr>
        <w:t xml:space="preserve"> </w:t>
      </w:r>
      <w:r>
        <w:rPr>
          <w:rFonts w:ascii="Verdana" w:hAnsi="Verdana"/>
        </w:rPr>
        <w:t>the ISE and</w:t>
      </w:r>
      <w:r w:rsidRPr="00540CA7">
        <w:rPr>
          <w:rFonts w:ascii="Verdana" w:hAnsi="Verdana"/>
        </w:rPr>
        <w:t xml:space="preserve"> retrieving the information</w:t>
      </w:r>
      <w:r>
        <w:rPr>
          <w:rFonts w:ascii="Verdana" w:hAnsi="Verdana"/>
        </w:rPr>
        <w:t xml:space="preserve"> requested</w:t>
      </w:r>
      <w:r w:rsidRPr="00540CA7">
        <w:rPr>
          <w:rFonts w:ascii="Verdana" w:hAnsi="Verdana"/>
        </w:rPr>
        <w:t>, and providing the information to the requesting ISE</w:t>
      </w:r>
      <w:r>
        <w:rPr>
          <w:rFonts w:ascii="Verdana" w:hAnsi="Verdana"/>
        </w:rPr>
        <w:t xml:space="preserve"> in line with the organisation’s internal approval processes.</w:t>
      </w:r>
    </w:p>
    <w:p w:rsidR="00F4740E" w:rsidRPr="00540CA7" w:rsidRDefault="00FC2ACB" w:rsidP="00A76FAF">
      <w:pPr>
        <w:pStyle w:val="WOVGbody"/>
        <w:numPr>
          <w:ilvl w:val="0"/>
          <w:numId w:val="41"/>
        </w:numPr>
        <w:ind w:left="426"/>
        <w:rPr>
          <w:rFonts w:ascii="Verdana" w:hAnsi="Verdana"/>
        </w:rPr>
      </w:pPr>
      <w:r>
        <w:rPr>
          <w:rFonts w:ascii="Verdana" w:hAnsi="Verdana"/>
        </w:rPr>
        <w:t>t</w:t>
      </w:r>
      <w:r w:rsidR="00F4740E" w:rsidRPr="00540CA7">
        <w:rPr>
          <w:rFonts w:ascii="Verdana" w:hAnsi="Verdana"/>
        </w:rPr>
        <w:t xml:space="preserve">ime spent requesting information under the CIS Scheme, including identifying the </w:t>
      </w:r>
      <w:r w:rsidR="00F4740E">
        <w:rPr>
          <w:rFonts w:ascii="Verdana" w:hAnsi="Verdana"/>
        </w:rPr>
        <w:t xml:space="preserve">relevant ISE to contact and </w:t>
      </w:r>
      <w:r w:rsidR="00F4740E" w:rsidRPr="00540CA7">
        <w:rPr>
          <w:rFonts w:ascii="Verdana" w:hAnsi="Verdana"/>
        </w:rPr>
        <w:t xml:space="preserve">information required, and contacting </w:t>
      </w:r>
      <w:r w:rsidR="00F4740E">
        <w:rPr>
          <w:rFonts w:ascii="Verdana" w:hAnsi="Verdana"/>
        </w:rPr>
        <w:t>the</w:t>
      </w:r>
      <w:r w:rsidR="00F4740E" w:rsidRPr="00540CA7">
        <w:rPr>
          <w:rFonts w:ascii="Verdana" w:hAnsi="Verdana"/>
        </w:rPr>
        <w:t xml:space="preserve"> ISE to make the request</w:t>
      </w:r>
      <w:r w:rsidR="00F4740E">
        <w:rPr>
          <w:rFonts w:ascii="Verdana" w:hAnsi="Verdana"/>
        </w:rPr>
        <w:t xml:space="preserve"> for information</w:t>
      </w:r>
      <w:r>
        <w:rPr>
          <w:rFonts w:ascii="Verdana" w:hAnsi="Verdana"/>
        </w:rPr>
        <w:t>.</w:t>
      </w:r>
    </w:p>
    <w:p w:rsidR="00F4740E" w:rsidRPr="00F4740E" w:rsidRDefault="00FC2ACB" w:rsidP="00A76FAF">
      <w:pPr>
        <w:pStyle w:val="WOVGbody"/>
        <w:numPr>
          <w:ilvl w:val="0"/>
          <w:numId w:val="41"/>
        </w:numPr>
        <w:ind w:left="426"/>
        <w:rPr>
          <w:rFonts w:ascii="Verdana" w:hAnsi="Verdana"/>
        </w:rPr>
      </w:pPr>
      <w:r>
        <w:rPr>
          <w:rFonts w:ascii="Verdana" w:hAnsi="Verdana"/>
        </w:rPr>
        <w:t>t</w:t>
      </w:r>
      <w:r w:rsidR="00F4740E" w:rsidRPr="00540CA7">
        <w:rPr>
          <w:rFonts w:ascii="Verdana" w:hAnsi="Verdana"/>
        </w:rPr>
        <w:t>ime spent record keeping</w:t>
      </w:r>
      <w:r w:rsidR="00F4740E">
        <w:rPr>
          <w:rFonts w:ascii="Verdana" w:hAnsi="Verdana"/>
        </w:rPr>
        <w:t>.</w:t>
      </w:r>
    </w:p>
    <w:p w:rsidR="00737A5E" w:rsidRPr="00B14184" w:rsidRDefault="00737A5E" w:rsidP="00737A5E">
      <w:pPr>
        <w:pStyle w:val="Heading2"/>
        <w:rPr>
          <w:rFonts w:ascii="Verdana" w:hAnsi="Verdana"/>
        </w:rPr>
      </w:pPr>
      <w:bookmarkStart w:id="30" w:name="_Toc23510777"/>
      <w:r w:rsidRPr="00B14184">
        <w:rPr>
          <w:rFonts w:ascii="Verdana" w:hAnsi="Verdana"/>
        </w:rPr>
        <w:t>Key assumptions informing the analysis of workforce costs</w:t>
      </w:r>
      <w:bookmarkEnd w:id="30"/>
    </w:p>
    <w:p w:rsidR="00737A5E" w:rsidRDefault="00FC2ACB" w:rsidP="00BF143A">
      <w:pPr>
        <w:pStyle w:val="WOVGbody"/>
        <w:rPr>
          <w:rFonts w:ascii="Verdana" w:hAnsi="Verdana"/>
        </w:rPr>
      </w:pPr>
      <w:r>
        <w:rPr>
          <w:rFonts w:ascii="Verdana" w:hAnsi="Verdana"/>
        </w:rPr>
        <w:t xml:space="preserve">DET engaged </w:t>
      </w:r>
      <w:r w:rsidR="00F6033E" w:rsidRPr="00943170">
        <w:rPr>
          <w:rFonts w:ascii="Verdana" w:hAnsi="Verdana"/>
        </w:rPr>
        <w:t xml:space="preserve">ACIL Allen Consulting to estimate the cost impact of the </w:t>
      </w:r>
      <w:r w:rsidR="000445EB">
        <w:rPr>
          <w:rFonts w:ascii="Verdana" w:hAnsi="Verdana"/>
        </w:rPr>
        <w:t>proposed Amendment Regulations</w:t>
      </w:r>
      <w:r w:rsidR="00F6033E" w:rsidRPr="00943170">
        <w:rPr>
          <w:rFonts w:ascii="Verdana" w:hAnsi="Verdana"/>
        </w:rPr>
        <w:t xml:space="preserve"> </w:t>
      </w:r>
      <w:r w:rsidR="00F366F5">
        <w:rPr>
          <w:rFonts w:ascii="Verdana" w:hAnsi="Verdana"/>
        </w:rPr>
        <w:t>on Phase Two</w:t>
      </w:r>
      <w:r w:rsidR="00F6033E" w:rsidRPr="00943170">
        <w:rPr>
          <w:rFonts w:ascii="Verdana" w:hAnsi="Verdana"/>
        </w:rPr>
        <w:t xml:space="preserve"> workforces. </w:t>
      </w:r>
      <w:r w:rsidR="00F6033E">
        <w:rPr>
          <w:rFonts w:ascii="Verdana" w:hAnsi="Verdana"/>
        </w:rPr>
        <w:t xml:space="preserve">The cost impact analysis was informed by data gathered through </w:t>
      </w:r>
      <w:r w:rsidR="002112A8">
        <w:rPr>
          <w:rFonts w:ascii="Verdana" w:hAnsi="Verdana"/>
        </w:rPr>
        <w:t xml:space="preserve">structured </w:t>
      </w:r>
      <w:r w:rsidR="00F6033E">
        <w:rPr>
          <w:rFonts w:ascii="Verdana" w:hAnsi="Verdana"/>
        </w:rPr>
        <w:t xml:space="preserve">workforce interviews led by representatives of DET and FSV, and involving 53 workforce representatives from as many organisations. </w:t>
      </w:r>
      <w:r w:rsidR="006B3227">
        <w:rPr>
          <w:rFonts w:ascii="Verdana" w:hAnsi="Verdana"/>
        </w:rPr>
        <w:t>The k</w:t>
      </w:r>
      <w:r w:rsidR="00F6033E">
        <w:rPr>
          <w:rFonts w:ascii="Verdana" w:hAnsi="Verdana"/>
        </w:rPr>
        <w:t xml:space="preserve">ey assumptions underpinning the impact analysis are presented below. </w:t>
      </w:r>
      <w:r w:rsidR="0039310D">
        <w:rPr>
          <w:rFonts w:ascii="Verdana" w:hAnsi="Verdana"/>
        </w:rPr>
        <w:t xml:space="preserve">These assumptions were derived by DET and largely drawn from </w:t>
      </w:r>
      <w:r w:rsidR="00A71359">
        <w:rPr>
          <w:rFonts w:ascii="Verdana" w:hAnsi="Verdana"/>
        </w:rPr>
        <w:t xml:space="preserve">the above mentioned </w:t>
      </w:r>
      <w:r w:rsidR="0039310D">
        <w:rPr>
          <w:rFonts w:ascii="Verdana" w:hAnsi="Verdana"/>
        </w:rPr>
        <w:t xml:space="preserve">workforce consultations. </w:t>
      </w:r>
      <w:r w:rsidR="00F6033E">
        <w:rPr>
          <w:rFonts w:ascii="Verdana" w:hAnsi="Verdana"/>
        </w:rPr>
        <w:lastRenderedPageBreak/>
        <w:t>Please refer to Appendix C for further detail on costing assumptions and the costing methodology.</w:t>
      </w:r>
    </w:p>
    <w:p w:rsidR="0040084B" w:rsidRPr="00647F41" w:rsidRDefault="0040084B" w:rsidP="0040084B">
      <w:pPr>
        <w:pStyle w:val="Heading3"/>
        <w:rPr>
          <w:rFonts w:ascii="Verdana" w:hAnsi="Verdana"/>
        </w:rPr>
      </w:pPr>
      <w:r w:rsidRPr="00647F41">
        <w:rPr>
          <w:rFonts w:ascii="Verdana" w:hAnsi="Verdana"/>
        </w:rPr>
        <w:t>Assumed wage rates</w:t>
      </w:r>
    </w:p>
    <w:p w:rsidR="0040084B" w:rsidRPr="00943170" w:rsidRDefault="002112A8" w:rsidP="0040084B">
      <w:pPr>
        <w:pStyle w:val="WOVGbody"/>
        <w:rPr>
          <w:rFonts w:ascii="Verdana" w:hAnsi="Verdana"/>
        </w:rPr>
      </w:pPr>
      <w:r>
        <w:rPr>
          <w:rFonts w:ascii="Verdana" w:hAnsi="Verdana"/>
        </w:rPr>
        <w:t>In the structured interviews, respondents</w:t>
      </w:r>
      <w:r w:rsidR="0040084B" w:rsidRPr="00943170">
        <w:rPr>
          <w:rFonts w:ascii="Verdana" w:hAnsi="Verdana"/>
        </w:rPr>
        <w:t xml:space="preserve"> </w:t>
      </w:r>
      <w:r>
        <w:rPr>
          <w:rFonts w:ascii="Verdana" w:hAnsi="Verdana"/>
        </w:rPr>
        <w:t xml:space="preserve">were </w:t>
      </w:r>
      <w:r w:rsidR="0040084B" w:rsidRPr="00943170">
        <w:rPr>
          <w:rFonts w:ascii="Verdana" w:hAnsi="Verdana"/>
        </w:rPr>
        <w:t xml:space="preserve">asked to specify what category of worker typically undertook each task, where the response options comprised: professional, skilled worker, and any worker. The labour costs for these categories were estimated using </w:t>
      </w:r>
      <w:r w:rsidR="00FC2ACB">
        <w:rPr>
          <w:rFonts w:ascii="Verdana" w:hAnsi="Verdana"/>
        </w:rPr>
        <w:t>Australian Bureau of Statistics (</w:t>
      </w:r>
      <w:r w:rsidR="0040084B" w:rsidRPr="00943170">
        <w:rPr>
          <w:rFonts w:ascii="Verdana" w:hAnsi="Verdana"/>
        </w:rPr>
        <w:t>ABS</w:t>
      </w:r>
      <w:r w:rsidR="00FC2ACB">
        <w:rPr>
          <w:rFonts w:ascii="Verdana" w:hAnsi="Verdana"/>
        </w:rPr>
        <w:t>)</w:t>
      </w:r>
      <w:r w:rsidR="0040084B" w:rsidRPr="00943170">
        <w:rPr>
          <w:rFonts w:ascii="Verdana" w:hAnsi="Verdana"/>
        </w:rPr>
        <w:t xml:space="preserve"> data on wage rates. </w:t>
      </w:r>
    </w:p>
    <w:p w:rsidR="0040084B" w:rsidRPr="00943170" w:rsidRDefault="0040084B" w:rsidP="0040084B">
      <w:pPr>
        <w:pStyle w:val="WOVGbody"/>
        <w:rPr>
          <w:rFonts w:ascii="Verdana" w:hAnsi="Verdana"/>
        </w:rPr>
      </w:pPr>
      <w:r w:rsidRPr="00943170">
        <w:rPr>
          <w:rFonts w:ascii="Verdana" w:hAnsi="Verdana"/>
        </w:rPr>
        <w:t xml:space="preserve">Specifically, the assumed labour costs were calculated using the average wage reported by the ABS, adjusted for overheads and on costs at a rate of 75 per cent (as per the Victorian </w:t>
      </w:r>
      <w:r w:rsidR="00680980">
        <w:rPr>
          <w:rFonts w:ascii="Verdana" w:hAnsi="Verdana"/>
        </w:rPr>
        <w:t>R</w:t>
      </w:r>
      <w:r w:rsidRPr="00943170">
        <w:rPr>
          <w:rFonts w:ascii="Verdana" w:hAnsi="Verdana"/>
        </w:rPr>
        <w:t>egulator</w:t>
      </w:r>
      <w:r w:rsidR="00680980">
        <w:rPr>
          <w:rFonts w:ascii="Verdana" w:hAnsi="Verdana"/>
        </w:rPr>
        <w:t>y Change M</w:t>
      </w:r>
      <w:r w:rsidRPr="00943170">
        <w:rPr>
          <w:rFonts w:ascii="Verdana" w:hAnsi="Verdana"/>
        </w:rPr>
        <w:t>easure</w:t>
      </w:r>
      <w:r w:rsidR="00680980">
        <w:rPr>
          <w:rFonts w:ascii="Verdana" w:hAnsi="Verdana"/>
        </w:rPr>
        <w:t>ment</w:t>
      </w:r>
      <w:r w:rsidRPr="00943170">
        <w:rPr>
          <w:rFonts w:ascii="Verdana" w:hAnsi="Verdana"/>
        </w:rPr>
        <w:t xml:space="preserve"> manual). In May 2018, the ABS reported that professionals had average hou</w:t>
      </w:r>
      <w:r w:rsidR="00FC2ACB">
        <w:rPr>
          <w:rFonts w:ascii="Verdana" w:hAnsi="Verdana"/>
        </w:rPr>
        <w:t>rly earnings of $54</w:t>
      </w:r>
      <w:r w:rsidRPr="00943170">
        <w:rPr>
          <w:rFonts w:ascii="Verdana" w:hAnsi="Verdana"/>
        </w:rPr>
        <w:t xml:space="preserve"> per hour. The average wage across all occupation levels was estimated at $45 </w:t>
      </w:r>
      <w:r w:rsidR="00FC2ACB">
        <w:rPr>
          <w:rFonts w:ascii="Verdana" w:hAnsi="Verdana"/>
        </w:rPr>
        <w:t>per hour</w:t>
      </w:r>
      <w:r w:rsidRPr="00943170">
        <w:rPr>
          <w:rFonts w:ascii="Verdana" w:hAnsi="Verdana"/>
        </w:rPr>
        <w:t>, which was applied to the ‘any worker’ category. A skilled worker has been assumed to have a wage 10 per cent lower than that of a professional.</w:t>
      </w:r>
    </w:p>
    <w:p w:rsidR="0040084B" w:rsidRPr="007B75B1" w:rsidRDefault="0040084B" w:rsidP="0040084B">
      <w:pPr>
        <w:pStyle w:val="BodyText"/>
        <w:rPr>
          <w:rFonts w:ascii="Verdana" w:eastAsia="Times" w:hAnsi="Verdana" w:cs="Times New Roman"/>
          <w:sz w:val="20"/>
          <w:szCs w:val="20"/>
        </w:rPr>
      </w:pPr>
      <w:r w:rsidRPr="007B75B1">
        <w:rPr>
          <w:rFonts w:ascii="Verdana" w:eastAsia="Times" w:hAnsi="Verdana" w:cs="Times New Roman"/>
          <w:sz w:val="20"/>
          <w:szCs w:val="20"/>
        </w:rPr>
        <w:t>These estimated labour costs are summarised in the table below</w:t>
      </w:r>
      <w:r w:rsidR="007B75B1">
        <w:rPr>
          <w:rFonts w:ascii="Verdana" w:eastAsia="Times" w:hAnsi="Verdana" w:cs="Times New Roman"/>
          <w:sz w:val="20"/>
          <w:szCs w:val="20"/>
        </w:rPr>
        <w:t>:</w:t>
      </w:r>
    </w:p>
    <w:p w:rsidR="0040084B" w:rsidRPr="004A1C5C" w:rsidRDefault="0040084B" w:rsidP="0040084B">
      <w:pPr>
        <w:pStyle w:val="Heading4"/>
        <w:rPr>
          <w:rFonts w:ascii="Verdana" w:hAnsi="Verdana"/>
        </w:rPr>
      </w:pPr>
      <w:bookmarkStart w:id="31" w:name="_Toc17813163"/>
      <w:r w:rsidRPr="004A1C5C">
        <w:rPr>
          <w:rFonts w:ascii="Verdana" w:hAnsi="Verdana"/>
        </w:rPr>
        <w:t xml:space="preserve"> </w:t>
      </w:r>
      <w:r w:rsidR="00FB4855">
        <w:rPr>
          <w:rFonts w:ascii="Verdana" w:hAnsi="Verdana"/>
        </w:rPr>
        <w:t>Table 6.1</w:t>
      </w:r>
      <w:r w:rsidRPr="004A1C5C">
        <w:rPr>
          <w:rFonts w:ascii="Verdana" w:hAnsi="Verdana"/>
        </w:rPr>
        <w:t xml:space="preserve"> Assumed labour costs</w:t>
      </w:r>
      <w:bookmarkEnd w:id="31"/>
    </w:p>
    <w:tbl>
      <w:tblPr>
        <w:tblW w:w="9214" w:type="dxa"/>
        <w:tblInd w:w="454" w:type="dxa"/>
        <w:tblLayout w:type="fixed"/>
        <w:tblCellMar>
          <w:left w:w="0" w:type="dxa"/>
          <w:bottom w:w="40" w:type="dxa"/>
          <w:right w:w="0" w:type="dxa"/>
        </w:tblCellMar>
        <w:tblLook w:val="0000" w:firstRow="0" w:lastRow="0" w:firstColumn="0" w:lastColumn="0" w:noHBand="0" w:noVBand="0"/>
        <w:tblDescription w:val="table_Std"/>
      </w:tblPr>
      <w:tblGrid>
        <w:gridCol w:w="4194"/>
        <w:gridCol w:w="5020"/>
      </w:tblGrid>
      <w:tr w:rsidR="0040084B" w:rsidRPr="001B4855" w:rsidTr="007B75B1">
        <w:trPr>
          <w:cantSplit/>
          <w:trHeight w:val="368"/>
          <w:tblHeader/>
        </w:trPr>
        <w:tc>
          <w:tcPr>
            <w:tcW w:w="2276" w:type="pct"/>
            <w:tcBorders>
              <w:top w:val="single" w:sz="4" w:space="0" w:color="auto"/>
              <w:left w:val="single" w:sz="4" w:space="0" w:color="auto"/>
              <w:bottom w:val="single" w:sz="4" w:space="0" w:color="auto"/>
              <w:right w:val="single" w:sz="4" w:space="0" w:color="auto"/>
            </w:tcBorders>
            <w:shd w:val="clear" w:color="auto" w:fill="53565A" w:themeFill="accent1"/>
            <w:tcMar>
              <w:left w:w="454" w:type="dxa"/>
              <w:bottom w:w="0" w:type="dxa"/>
            </w:tcMar>
          </w:tcPr>
          <w:p w:rsidR="0040084B" w:rsidRPr="001B4855" w:rsidRDefault="00C833EB" w:rsidP="00C833EB">
            <w:pPr>
              <w:pStyle w:val="Tablecolumnheadings"/>
              <w:keepLines/>
              <w:tabs>
                <w:tab w:val="left" w:pos="450"/>
              </w:tabs>
              <w:ind w:hanging="450"/>
              <w:rPr>
                <w:rFonts w:ascii="Verdana" w:hAnsi="Verdana"/>
                <w:color w:val="FFFFFF" w:themeColor="background1"/>
              </w:rPr>
            </w:pPr>
            <w:r>
              <w:rPr>
                <w:rFonts w:ascii="Verdana" w:hAnsi="Verdana"/>
                <w:color w:val="FFFFFF" w:themeColor="background1"/>
              </w:rPr>
              <w:t xml:space="preserve"> </w:t>
            </w:r>
            <w:r w:rsidR="0040084B" w:rsidRPr="001B4855">
              <w:rPr>
                <w:rFonts w:ascii="Verdana" w:hAnsi="Verdana"/>
                <w:color w:val="FFFFFF" w:themeColor="background1"/>
              </w:rPr>
              <w:t>Labour</w:t>
            </w:r>
          </w:p>
        </w:tc>
        <w:tc>
          <w:tcPr>
            <w:tcW w:w="2724" w:type="pct"/>
            <w:tcBorders>
              <w:top w:val="single" w:sz="4" w:space="0" w:color="auto"/>
              <w:left w:val="single" w:sz="4" w:space="0" w:color="auto"/>
              <w:bottom w:val="single" w:sz="4" w:space="0" w:color="auto"/>
              <w:right w:val="single" w:sz="4" w:space="0" w:color="auto"/>
            </w:tcBorders>
            <w:shd w:val="clear" w:color="auto" w:fill="53565A" w:themeFill="accent1"/>
            <w:tcMar>
              <w:bottom w:w="0" w:type="dxa"/>
            </w:tcMar>
          </w:tcPr>
          <w:p w:rsidR="0040084B" w:rsidRPr="001B4855" w:rsidRDefault="00C833EB" w:rsidP="00775813">
            <w:pPr>
              <w:pStyle w:val="Tablecolumnheadings"/>
              <w:keepLines/>
              <w:rPr>
                <w:rFonts w:ascii="Verdana" w:hAnsi="Verdana"/>
                <w:color w:val="FFFFFF" w:themeColor="background1"/>
              </w:rPr>
            </w:pPr>
            <w:r>
              <w:rPr>
                <w:rFonts w:ascii="Verdana" w:hAnsi="Verdana"/>
                <w:color w:val="FFFFFF" w:themeColor="background1"/>
              </w:rPr>
              <w:t xml:space="preserve"> </w:t>
            </w:r>
            <w:r w:rsidR="0040084B" w:rsidRPr="001B4855">
              <w:rPr>
                <w:rFonts w:ascii="Verdana" w:hAnsi="Verdana"/>
                <w:color w:val="FFFFFF" w:themeColor="background1"/>
              </w:rPr>
              <w:t>Assume</w:t>
            </w:r>
            <w:r w:rsidR="0040084B">
              <w:rPr>
                <w:rFonts w:ascii="Verdana" w:hAnsi="Verdana"/>
                <w:color w:val="FFFFFF" w:themeColor="background1"/>
              </w:rPr>
              <w:t>d</w:t>
            </w:r>
            <w:r w:rsidR="0040084B" w:rsidRPr="001B4855">
              <w:rPr>
                <w:rFonts w:ascii="Verdana" w:hAnsi="Verdana"/>
                <w:color w:val="FFFFFF" w:themeColor="background1"/>
              </w:rPr>
              <w:t xml:space="preserve"> cost</w:t>
            </w:r>
          </w:p>
        </w:tc>
      </w:tr>
      <w:tr w:rsidR="0040084B" w:rsidRPr="001B4855" w:rsidTr="007B75B1">
        <w:tblPrEx>
          <w:tblBorders>
            <w:bottom w:val="single" w:sz="4" w:space="0" w:color="646464"/>
            <w:insideH w:val="single" w:sz="4" w:space="0" w:color="646464"/>
          </w:tblBorders>
        </w:tblPrEx>
        <w:trPr>
          <w:cantSplit/>
          <w:trHeight w:val="351"/>
        </w:trPr>
        <w:tc>
          <w:tcPr>
            <w:tcW w:w="227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084B" w:rsidRPr="001B4855" w:rsidRDefault="00FC2ACB" w:rsidP="00775813">
            <w:pPr>
              <w:pStyle w:val="Tabletext"/>
              <w:keepNext/>
              <w:keepLines/>
              <w:rPr>
                <w:rFonts w:ascii="Verdana" w:hAnsi="Verdana"/>
              </w:rPr>
            </w:pPr>
            <w:r>
              <w:rPr>
                <w:rFonts w:ascii="Verdana" w:hAnsi="Verdana"/>
              </w:rPr>
              <w:t xml:space="preserve"> </w:t>
            </w:r>
            <w:r w:rsidR="0040084B" w:rsidRPr="001B4855">
              <w:rPr>
                <w:rFonts w:ascii="Verdana" w:hAnsi="Verdana"/>
              </w:rPr>
              <w:t>Professional</w:t>
            </w:r>
          </w:p>
        </w:tc>
        <w:tc>
          <w:tcPr>
            <w:tcW w:w="272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1B4855" w:rsidRDefault="00FC2ACB" w:rsidP="00775813">
            <w:pPr>
              <w:pStyle w:val="Tabletext"/>
              <w:keepNext/>
              <w:keepLines/>
              <w:rPr>
                <w:rFonts w:ascii="Verdana" w:hAnsi="Verdana"/>
              </w:rPr>
            </w:pPr>
            <w:r>
              <w:rPr>
                <w:rFonts w:ascii="Verdana" w:hAnsi="Verdana"/>
              </w:rPr>
              <w:t xml:space="preserve"> </w:t>
            </w:r>
            <w:r w:rsidR="0040084B" w:rsidRPr="001B4855">
              <w:rPr>
                <w:rFonts w:ascii="Verdana" w:hAnsi="Verdana"/>
              </w:rPr>
              <w:t>$96.39</w:t>
            </w:r>
          </w:p>
        </w:tc>
      </w:tr>
      <w:tr w:rsidR="0040084B" w:rsidRPr="001B4855" w:rsidTr="007B75B1">
        <w:tblPrEx>
          <w:tblBorders>
            <w:bottom w:val="single" w:sz="4" w:space="0" w:color="646464"/>
            <w:insideH w:val="single" w:sz="4" w:space="0" w:color="646464"/>
          </w:tblBorders>
        </w:tblPrEx>
        <w:trPr>
          <w:cantSplit/>
          <w:trHeight w:val="90"/>
        </w:trPr>
        <w:tc>
          <w:tcPr>
            <w:tcW w:w="227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084B" w:rsidRPr="001B4855" w:rsidRDefault="00FC2ACB" w:rsidP="00775813">
            <w:pPr>
              <w:pStyle w:val="Tabletext"/>
              <w:rPr>
                <w:rFonts w:ascii="Verdana" w:hAnsi="Verdana"/>
              </w:rPr>
            </w:pPr>
            <w:r>
              <w:rPr>
                <w:rFonts w:ascii="Verdana" w:hAnsi="Verdana"/>
              </w:rPr>
              <w:t xml:space="preserve"> </w:t>
            </w:r>
            <w:r w:rsidR="0040084B" w:rsidRPr="001B4855">
              <w:rPr>
                <w:rFonts w:ascii="Verdana" w:hAnsi="Verdana"/>
              </w:rPr>
              <w:t>Skilled worker</w:t>
            </w:r>
          </w:p>
        </w:tc>
        <w:tc>
          <w:tcPr>
            <w:tcW w:w="272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1B4855" w:rsidRDefault="00FC2ACB" w:rsidP="00775813">
            <w:pPr>
              <w:pStyle w:val="Tabletext"/>
              <w:rPr>
                <w:rFonts w:ascii="Verdana" w:hAnsi="Verdana"/>
              </w:rPr>
            </w:pPr>
            <w:r>
              <w:rPr>
                <w:rFonts w:ascii="Verdana" w:hAnsi="Verdana"/>
              </w:rPr>
              <w:t xml:space="preserve"> </w:t>
            </w:r>
            <w:r w:rsidR="0040084B" w:rsidRPr="001B4855">
              <w:rPr>
                <w:rFonts w:ascii="Verdana" w:hAnsi="Verdana"/>
              </w:rPr>
              <w:t>$86.75</w:t>
            </w:r>
          </w:p>
        </w:tc>
      </w:tr>
      <w:tr w:rsidR="0040084B" w:rsidRPr="001B4855" w:rsidTr="007B75B1">
        <w:tblPrEx>
          <w:tblBorders>
            <w:bottom w:val="single" w:sz="4" w:space="0" w:color="646464"/>
            <w:insideH w:val="single" w:sz="4" w:space="0" w:color="646464"/>
          </w:tblBorders>
        </w:tblPrEx>
        <w:trPr>
          <w:cantSplit/>
          <w:trHeight w:val="351"/>
        </w:trPr>
        <w:tc>
          <w:tcPr>
            <w:tcW w:w="227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084B" w:rsidRPr="001B4855" w:rsidRDefault="00FC2ACB" w:rsidP="00775813">
            <w:pPr>
              <w:pStyle w:val="Tabletext"/>
              <w:rPr>
                <w:rFonts w:ascii="Verdana" w:hAnsi="Verdana"/>
              </w:rPr>
            </w:pPr>
            <w:r>
              <w:rPr>
                <w:rFonts w:ascii="Verdana" w:hAnsi="Verdana"/>
              </w:rPr>
              <w:t xml:space="preserve"> </w:t>
            </w:r>
            <w:r w:rsidR="0040084B" w:rsidRPr="001B4855">
              <w:rPr>
                <w:rFonts w:ascii="Verdana" w:hAnsi="Verdana"/>
              </w:rPr>
              <w:t>Any worker</w:t>
            </w:r>
          </w:p>
        </w:tc>
        <w:tc>
          <w:tcPr>
            <w:tcW w:w="272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1B4855" w:rsidRDefault="00FC2ACB" w:rsidP="00775813">
            <w:pPr>
              <w:pStyle w:val="Tabletext"/>
              <w:rPr>
                <w:rFonts w:ascii="Verdana" w:hAnsi="Verdana"/>
              </w:rPr>
            </w:pPr>
            <w:r>
              <w:rPr>
                <w:rFonts w:ascii="Verdana" w:hAnsi="Verdana"/>
              </w:rPr>
              <w:t xml:space="preserve"> </w:t>
            </w:r>
            <w:r w:rsidR="0040084B" w:rsidRPr="001B4855">
              <w:rPr>
                <w:rFonts w:ascii="Verdana" w:hAnsi="Verdana"/>
              </w:rPr>
              <w:t>$80.33</w:t>
            </w:r>
          </w:p>
        </w:tc>
      </w:tr>
      <w:tr w:rsidR="0040084B" w:rsidRPr="001B4855" w:rsidTr="007B75B1">
        <w:tblPrEx>
          <w:tblBorders>
            <w:bottom w:val="single" w:sz="4" w:space="0" w:color="646464"/>
            <w:insideH w:val="single" w:sz="4" w:space="0" w:color="646464"/>
          </w:tblBorders>
        </w:tblPrEx>
        <w:trPr>
          <w:cantSplit/>
          <w:trHeight w:val="509"/>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084B" w:rsidRPr="00792DC3" w:rsidRDefault="00FC2ACB" w:rsidP="00775813">
            <w:pPr>
              <w:pStyle w:val="Source"/>
              <w:rPr>
                <w:rFonts w:ascii="Verdana" w:hAnsi="Verdana"/>
                <w:i w:val="0"/>
                <w:iCs/>
                <w:sz w:val="16"/>
                <w:szCs w:val="16"/>
              </w:rPr>
            </w:pPr>
            <w:r w:rsidRPr="00792DC3">
              <w:rPr>
                <w:rFonts w:ascii="Verdana" w:hAnsi="Verdana"/>
                <w:i w:val="0"/>
                <w:iCs/>
                <w:caps w:val="0"/>
                <w:sz w:val="16"/>
                <w:szCs w:val="16"/>
              </w:rPr>
              <w:t xml:space="preserve"> </w:t>
            </w:r>
            <w:r w:rsidR="007B75B1" w:rsidRPr="00792DC3">
              <w:rPr>
                <w:rFonts w:ascii="Verdana" w:hAnsi="Verdana"/>
                <w:i w:val="0"/>
                <w:iCs/>
                <w:caps w:val="0"/>
                <w:sz w:val="16"/>
                <w:szCs w:val="16"/>
              </w:rPr>
              <w:t xml:space="preserve">Note: wages were </w:t>
            </w:r>
            <w:r w:rsidR="0040084B" w:rsidRPr="00792DC3">
              <w:rPr>
                <w:rFonts w:ascii="Verdana" w:hAnsi="Verdana"/>
                <w:i w:val="0"/>
                <w:iCs/>
                <w:caps w:val="0"/>
                <w:sz w:val="16"/>
                <w:szCs w:val="16"/>
              </w:rPr>
              <w:t>adjusted for a 2</w:t>
            </w:r>
            <w:r w:rsidR="007B75B1" w:rsidRPr="00792DC3">
              <w:rPr>
                <w:rFonts w:ascii="Verdana" w:hAnsi="Verdana"/>
                <w:i w:val="0"/>
                <w:iCs/>
                <w:caps w:val="0"/>
                <w:sz w:val="16"/>
                <w:szCs w:val="16"/>
              </w:rPr>
              <w:t xml:space="preserve"> per cent wage growth since 2018</w:t>
            </w:r>
            <w:r w:rsidR="0040084B" w:rsidRPr="00792DC3">
              <w:rPr>
                <w:rFonts w:ascii="Verdana" w:hAnsi="Verdana"/>
                <w:i w:val="0"/>
                <w:iCs/>
                <w:caps w:val="0"/>
                <w:sz w:val="16"/>
                <w:szCs w:val="16"/>
              </w:rPr>
              <w:t>.</w:t>
            </w:r>
          </w:p>
          <w:p w:rsidR="0040084B" w:rsidRPr="00792DC3" w:rsidRDefault="00FC2ACB" w:rsidP="00365E9C">
            <w:pPr>
              <w:pStyle w:val="Source"/>
              <w:rPr>
                <w:rFonts w:ascii="Verdana" w:hAnsi="Verdana"/>
                <w:sz w:val="16"/>
                <w:szCs w:val="16"/>
              </w:rPr>
            </w:pPr>
            <w:r w:rsidRPr="00792DC3">
              <w:rPr>
                <w:rFonts w:ascii="Verdana" w:hAnsi="Verdana"/>
                <w:sz w:val="16"/>
                <w:szCs w:val="16"/>
              </w:rPr>
              <w:t xml:space="preserve"> </w:t>
            </w:r>
            <w:r w:rsidR="0040084B" w:rsidRPr="00792DC3">
              <w:rPr>
                <w:rFonts w:ascii="Verdana" w:hAnsi="Verdana"/>
                <w:sz w:val="16"/>
                <w:szCs w:val="16"/>
              </w:rPr>
              <w:t>Source: www.abs.gov.au/ausstats/abs@.nsf/latestProducts/6306.0Media%20Release1May%202018</w:t>
            </w:r>
          </w:p>
        </w:tc>
      </w:tr>
      <w:tr w:rsidR="0040084B" w:rsidRPr="001B4855" w:rsidTr="007B75B1">
        <w:tblPrEx>
          <w:tblBorders>
            <w:bottom w:val="single" w:sz="4" w:space="0" w:color="646464"/>
            <w:insideH w:val="single" w:sz="4" w:space="0" w:color="646464"/>
          </w:tblBorders>
        </w:tblPrEx>
        <w:trPr>
          <w:cantSplit/>
          <w:trHeight w:hRule="exact" w:val="140"/>
        </w:trPr>
        <w:tc>
          <w:tcPr>
            <w:tcW w:w="5000" w:type="pct"/>
            <w:gridSpan w:val="2"/>
            <w:tcBorders>
              <w:top w:val="single" w:sz="4" w:space="0" w:color="auto"/>
              <w:bottom w:val="nil"/>
            </w:tcBorders>
            <w:shd w:val="clear" w:color="auto" w:fill="auto"/>
          </w:tcPr>
          <w:p w:rsidR="0040084B" w:rsidRPr="001B4855" w:rsidRDefault="0040084B" w:rsidP="00775813">
            <w:pPr>
              <w:pStyle w:val="spacertbl"/>
              <w:rPr>
                <w:rFonts w:ascii="Verdana" w:hAnsi="Verdana"/>
              </w:rPr>
            </w:pPr>
          </w:p>
        </w:tc>
      </w:tr>
    </w:tbl>
    <w:p w:rsidR="0040084B" w:rsidRPr="00647F41" w:rsidRDefault="0040084B" w:rsidP="0040084B">
      <w:pPr>
        <w:pStyle w:val="Heading3"/>
        <w:rPr>
          <w:rFonts w:ascii="Verdana" w:hAnsi="Verdana"/>
        </w:rPr>
      </w:pPr>
      <w:r w:rsidRPr="00647F41">
        <w:rPr>
          <w:rFonts w:ascii="Verdana" w:hAnsi="Verdana"/>
        </w:rPr>
        <w:t>Training requirements</w:t>
      </w:r>
    </w:p>
    <w:p w:rsidR="005D7961" w:rsidRDefault="0040084B" w:rsidP="0040084B">
      <w:pPr>
        <w:pStyle w:val="WOVGbody"/>
        <w:rPr>
          <w:rFonts w:ascii="Verdana" w:hAnsi="Verdana"/>
        </w:rPr>
      </w:pPr>
      <w:r w:rsidRPr="00943170">
        <w:rPr>
          <w:rFonts w:ascii="Verdana" w:hAnsi="Verdana"/>
        </w:rPr>
        <w:t xml:space="preserve">Training costs were estimated using assumed upfront and ongoing training requirements per organisation. The assumed training requirements </w:t>
      </w:r>
      <w:r>
        <w:rPr>
          <w:rFonts w:ascii="Verdana" w:hAnsi="Verdana"/>
        </w:rPr>
        <w:t xml:space="preserve">of organisations is provided in the table below </w:t>
      </w:r>
      <w:r w:rsidRPr="00943170">
        <w:rPr>
          <w:rFonts w:ascii="Verdana" w:hAnsi="Verdana"/>
        </w:rPr>
        <w:t xml:space="preserve">and includes an upfront requirement of 2.5 workers spread across four different types of training (leader/sharers and face-to-face/online), and an ongoing annual training requirement of 0.5 workers undertaking online training (which represents a 20 per cent workforce turnover rate). Note that all affected organisations are expected to undergo these training requirements regardless of size. </w:t>
      </w:r>
    </w:p>
    <w:p w:rsidR="005D7961" w:rsidRDefault="005D7961">
      <w:pPr>
        <w:rPr>
          <w:rFonts w:ascii="Verdana" w:eastAsia="Times" w:hAnsi="Verdana"/>
        </w:rPr>
      </w:pPr>
      <w:r>
        <w:rPr>
          <w:rFonts w:ascii="Verdana" w:hAnsi="Verdana"/>
        </w:rPr>
        <w:br w:type="page"/>
      </w:r>
    </w:p>
    <w:p w:rsidR="0040084B" w:rsidRPr="0063467C" w:rsidRDefault="00FB4855" w:rsidP="0040084B">
      <w:pPr>
        <w:pStyle w:val="WOVGbody"/>
        <w:rPr>
          <w:rFonts w:ascii="Verdana" w:hAnsi="Verdana"/>
          <w:b/>
        </w:rPr>
      </w:pPr>
      <w:bookmarkStart w:id="32" w:name="_Toc16695793"/>
      <w:bookmarkStart w:id="33" w:name="_Toc17813164"/>
      <w:r>
        <w:rPr>
          <w:rFonts w:ascii="Verdana" w:hAnsi="Verdana"/>
          <w:b/>
        </w:rPr>
        <w:lastRenderedPageBreak/>
        <w:t>Table 6.2</w:t>
      </w:r>
      <w:r w:rsidR="0040084B" w:rsidRPr="0063467C">
        <w:rPr>
          <w:rFonts w:ascii="Verdana" w:hAnsi="Verdana"/>
          <w:b/>
        </w:rPr>
        <w:t xml:space="preserve"> Per organisation upfront and ongoing training requirements</w:t>
      </w:r>
      <w:bookmarkEnd w:id="32"/>
      <w:bookmarkEnd w:id="33"/>
    </w:p>
    <w:tbl>
      <w:tblPr>
        <w:tblW w:w="9214" w:type="dxa"/>
        <w:tblInd w:w="454" w:type="dxa"/>
        <w:tblLayout w:type="fixed"/>
        <w:tblCellMar>
          <w:left w:w="0" w:type="dxa"/>
          <w:bottom w:w="40" w:type="dxa"/>
          <w:right w:w="0" w:type="dxa"/>
        </w:tblCellMar>
        <w:tblLook w:val="0000" w:firstRow="0" w:lastRow="0" w:firstColumn="0" w:lastColumn="0" w:noHBand="0" w:noVBand="0"/>
        <w:tblDescription w:val="table_Std"/>
      </w:tblPr>
      <w:tblGrid>
        <w:gridCol w:w="2530"/>
        <w:gridCol w:w="1323"/>
        <w:gridCol w:w="1321"/>
        <w:gridCol w:w="1915"/>
        <w:gridCol w:w="2125"/>
      </w:tblGrid>
      <w:tr w:rsidR="0040084B" w:rsidRPr="007A1F0A" w:rsidTr="007B75B1">
        <w:trPr>
          <w:cantSplit/>
          <w:trHeight w:val="392"/>
          <w:tblHeader/>
        </w:trPr>
        <w:tc>
          <w:tcPr>
            <w:tcW w:w="1373" w:type="pct"/>
            <w:tcBorders>
              <w:top w:val="single" w:sz="4" w:space="0" w:color="auto"/>
              <w:left w:val="single" w:sz="4" w:space="0" w:color="auto"/>
              <w:bottom w:val="single" w:sz="4" w:space="0" w:color="auto"/>
              <w:right w:val="single" w:sz="4" w:space="0" w:color="auto"/>
            </w:tcBorders>
            <w:shd w:val="clear" w:color="auto" w:fill="53565A" w:themeFill="accent1"/>
            <w:tcMar>
              <w:left w:w="454" w:type="dxa"/>
              <w:bottom w:w="0" w:type="dxa"/>
            </w:tcMar>
          </w:tcPr>
          <w:p w:rsidR="0040084B" w:rsidRPr="007A1F0A" w:rsidRDefault="0040084B" w:rsidP="00775813">
            <w:pPr>
              <w:pStyle w:val="Tablecolumnheadings"/>
              <w:rPr>
                <w:rFonts w:ascii="Verdana" w:hAnsi="Verdana"/>
                <w:szCs w:val="20"/>
              </w:rPr>
            </w:pPr>
            <w:r w:rsidRPr="007A1F0A">
              <w:rPr>
                <w:rFonts w:ascii="Verdana" w:hAnsi="Verdana"/>
                <w:szCs w:val="20"/>
              </w:rPr>
              <w:t xml:space="preserve">Workforce type </w:t>
            </w:r>
          </w:p>
        </w:tc>
        <w:tc>
          <w:tcPr>
            <w:tcW w:w="718" w:type="pct"/>
            <w:tcBorders>
              <w:top w:val="single" w:sz="4" w:space="0" w:color="auto"/>
              <w:left w:val="single" w:sz="4" w:space="0" w:color="auto"/>
              <w:bottom w:val="single" w:sz="4" w:space="0" w:color="auto"/>
              <w:right w:val="single" w:sz="4" w:space="0" w:color="auto"/>
            </w:tcBorders>
            <w:shd w:val="clear" w:color="auto" w:fill="53565A" w:themeFill="accent1"/>
            <w:tcMar>
              <w:bottom w:w="0" w:type="dxa"/>
            </w:tcMar>
          </w:tcPr>
          <w:p w:rsidR="0097251E" w:rsidRDefault="0097251E" w:rsidP="00775813">
            <w:pPr>
              <w:pStyle w:val="Tablecolumnheadings"/>
              <w:rPr>
                <w:rFonts w:ascii="Verdana" w:hAnsi="Verdana"/>
                <w:szCs w:val="20"/>
              </w:rPr>
            </w:pPr>
            <w:r>
              <w:rPr>
                <w:rFonts w:ascii="Verdana" w:hAnsi="Verdana"/>
                <w:szCs w:val="20"/>
              </w:rPr>
              <w:t xml:space="preserve"> </w:t>
            </w:r>
            <w:r w:rsidR="0040084B" w:rsidRPr="00804743">
              <w:rPr>
                <w:rFonts w:ascii="Verdana" w:hAnsi="Verdana"/>
                <w:szCs w:val="20"/>
              </w:rPr>
              <w:t xml:space="preserve">Mode of </w:t>
            </w:r>
            <w:r>
              <w:rPr>
                <w:rFonts w:ascii="Verdana" w:hAnsi="Verdana"/>
                <w:szCs w:val="20"/>
              </w:rPr>
              <w:t xml:space="preserve">  </w:t>
            </w:r>
          </w:p>
          <w:p w:rsidR="0040084B" w:rsidRPr="006C0219" w:rsidRDefault="0097251E" w:rsidP="00775813">
            <w:pPr>
              <w:pStyle w:val="Tablecolumnheadings"/>
              <w:rPr>
                <w:rFonts w:ascii="Verdana" w:hAnsi="Verdana"/>
                <w:szCs w:val="20"/>
              </w:rPr>
            </w:pPr>
            <w:r>
              <w:rPr>
                <w:rFonts w:ascii="Verdana" w:hAnsi="Verdana"/>
                <w:szCs w:val="20"/>
              </w:rPr>
              <w:t xml:space="preserve"> </w:t>
            </w:r>
            <w:r w:rsidR="0040084B" w:rsidRPr="00804743">
              <w:rPr>
                <w:rFonts w:ascii="Verdana" w:hAnsi="Verdana"/>
                <w:szCs w:val="20"/>
              </w:rPr>
              <w:t>training</w:t>
            </w:r>
          </w:p>
        </w:tc>
        <w:tc>
          <w:tcPr>
            <w:tcW w:w="717" w:type="pct"/>
            <w:tcBorders>
              <w:top w:val="single" w:sz="4" w:space="0" w:color="auto"/>
              <w:left w:val="single" w:sz="4" w:space="0" w:color="auto"/>
              <w:bottom w:val="single" w:sz="4" w:space="0" w:color="auto"/>
              <w:right w:val="single" w:sz="4" w:space="0" w:color="auto"/>
            </w:tcBorders>
            <w:shd w:val="clear" w:color="auto" w:fill="53565A" w:themeFill="accent1"/>
            <w:tcMar>
              <w:bottom w:w="0" w:type="dxa"/>
            </w:tcMar>
          </w:tcPr>
          <w:p w:rsidR="0040084B" w:rsidRPr="00750615" w:rsidRDefault="0040084B" w:rsidP="00775813">
            <w:pPr>
              <w:pStyle w:val="Tablecolumnheadings"/>
              <w:jc w:val="center"/>
              <w:rPr>
                <w:rFonts w:ascii="Verdana" w:hAnsi="Verdana"/>
                <w:szCs w:val="20"/>
              </w:rPr>
            </w:pPr>
            <w:r w:rsidRPr="00750615">
              <w:rPr>
                <w:rFonts w:ascii="Verdana" w:hAnsi="Verdana"/>
                <w:szCs w:val="20"/>
              </w:rPr>
              <w:t>Hours of training</w:t>
            </w:r>
          </w:p>
        </w:tc>
        <w:tc>
          <w:tcPr>
            <w:tcW w:w="1039" w:type="pct"/>
            <w:tcBorders>
              <w:top w:val="single" w:sz="4" w:space="0" w:color="auto"/>
              <w:left w:val="single" w:sz="4" w:space="0" w:color="auto"/>
              <w:bottom w:val="single" w:sz="4" w:space="0" w:color="auto"/>
              <w:right w:val="single" w:sz="4" w:space="0" w:color="auto"/>
            </w:tcBorders>
            <w:shd w:val="clear" w:color="auto" w:fill="53565A" w:themeFill="accent1"/>
            <w:tcMar>
              <w:bottom w:w="0" w:type="dxa"/>
            </w:tcMar>
          </w:tcPr>
          <w:p w:rsidR="0040084B" w:rsidRPr="007E49F7" w:rsidRDefault="0040084B" w:rsidP="00775813">
            <w:pPr>
              <w:pStyle w:val="Tablecolumnheadings"/>
              <w:jc w:val="center"/>
              <w:rPr>
                <w:rFonts w:ascii="Verdana" w:hAnsi="Verdana"/>
                <w:szCs w:val="20"/>
              </w:rPr>
            </w:pPr>
            <w:r w:rsidRPr="00750615">
              <w:rPr>
                <w:rFonts w:ascii="Verdana" w:hAnsi="Verdana"/>
                <w:szCs w:val="20"/>
              </w:rPr>
              <w:t xml:space="preserve">Upfront </w:t>
            </w:r>
            <w:r w:rsidRPr="007E49F7">
              <w:rPr>
                <w:rFonts w:ascii="Verdana" w:hAnsi="Verdana"/>
                <w:szCs w:val="20"/>
              </w:rPr>
              <w:t>training participation</w:t>
            </w:r>
          </w:p>
        </w:tc>
        <w:tc>
          <w:tcPr>
            <w:tcW w:w="1154" w:type="pct"/>
            <w:tcBorders>
              <w:top w:val="single" w:sz="4" w:space="0" w:color="auto"/>
              <w:left w:val="single" w:sz="4" w:space="0" w:color="auto"/>
              <w:bottom w:val="single" w:sz="4" w:space="0" w:color="auto"/>
              <w:right w:val="single" w:sz="4" w:space="0" w:color="auto"/>
            </w:tcBorders>
            <w:shd w:val="clear" w:color="auto" w:fill="53565A" w:themeFill="accent1"/>
          </w:tcPr>
          <w:p w:rsidR="0040084B" w:rsidRPr="00185612" w:rsidRDefault="0097251E" w:rsidP="0097251E">
            <w:pPr>
              <w:pStyle w:val="Tablecolumnheadings"/>
              <w:ind w:right="-728"/>
              <w:rPr>
                <w:rFonts w:ascii="Verdana" w:hAnsi="Verdana"/>
                <w:szCs w:val="20"/>
              </w:rPr>
            </w:pPr>
            <w:r>
              <w:rPr>
                <w:rFonts w:ascii="Verdana" w:hAnsi="Verdana"/>
                <w:szCs w:val="20"/>
              </w:rPr>
              <w:t xml:space="preserve"> </w:t>
            </w:r>
            <w:r w:rsidR="0040084B" w:rsidRPr="00313F2A">
              <w:rPr>
                <w:rFonts w:ascii="Verdana" w:hAnsi="Verdana"/>
                <w:szCs w:val="20"/>
              </w:rPr>
              <w:t xml:space="preserve">Ongoing training </w:t>
            </w:r>
          </w:p>
          <w:p w:rsidR="0040084B" w:rsidRPr="00F73F30" w:rsidRDefault="0097251E" w:rsidP="0097251E">
            <w:pPr>
              <w:pStyle w:val="Tablecolumnheadings"/>
              <w:ind w:right="-728"/>
              <w:rPr>
                <w:rFonts w:ascii="Verdana" w:hAnsi="Verdana"/>
                <w:szCs w:val="20"/>
              </w:rPr>
            </w:pPr>
            <w:r>
              <w:rPr>
                <w:rFonts w:ascii="Verdana" w:hAnsi="Verdana"/>
                <w:szCs w:val="20"/>
              </w:rPr>
              <w:t xml:space="preserve"> </w:t>
            </w:r>
            <w:r w:rsidR="0040084B" w:rsidRPr="00F73F30">
              <w:rPr>
                <w:rFonts w:ascii="Verdana" w:hAnsi="Verdana"/>
                <w:szCs w:val="20"/>
              </w:rPr>
              <w:t>participation</w:t>
            </w:r>
          </w:p>
        </w:tc>
      </w:tr>
      <w:tr w:rsidR="0040084B" w:rsidRPr="007A1F0A" w:rsidTr="007B75B1">
        <w:tblPrEx>
          <w:tblBorders>
            <w:bottom w:val="single" w:sz="4" w:space="0" w:color="646464"/>
            <w:insideH w:val="single" w:sz="4" w:space="0" w:color="646464"/>
          </w:tblBorders>
        </w:tblPrEx>
        <w:trPr>
          <w:cantSplit/>
          <w:trHeight w:val="267"/>
        </w:trPr>
        <w:tc>
          <w:tcPr>
            <w:tcW w:w="1373" w:type="pct"/>
            <w:tcBorders>
              <w:top w:val="single" w:sz="4" w:space="0" w:color="auto"/>
              <w:left w:val="single" w:sz="4" w:space="0" w:color="auto"/>
              <w:bottom w:val="single" w:sz="4" w:space="0" w:color="auto"/>
              <w:right w:val="single" w:sz="4" w:space="0" w:color="auto"/>
            </w:tcBorders>
            <w:shd w:val="clear" w:color="auto" w:fill="00848F" w:themeFill="accent2"/>
          </w:tcPr>
          <w:p w:rsidR="0040084B" w:rsidRPr="00F62C62" w:rsidRDefault="0040084B" w:rsidP="00775813">
            <w:pPr>
              <w:pStyle w:val="Tableunitsrow"/>
              <w:rPr>
                <w:rFonts w:ascii="Verdana" w:hAnsi="Verdana"/>
                <w:color w:val="FFFFFF" w:themeColor="background1"/>
                <w:szCs w:val="20"/>
              </w:rPr>
            </w:pPr>
          </w:p>
        </w:tc>
        <w:tc>
          <w:tcPr>
            <w:tcW w:w="718" w:type="pct"/>
            <w:tcBorders>
              <w:top w:val="single" w:sz="4" w:space="0" w:color="auto"/>
              <w:left w:val="single" w:sz="4" w:space="0" w:color="auto"/>
              <w:bottom w:val="single" w:sz="4" w:space="0" w:color="auto"/>
              <w:right w:val="single" w:sz="4" w:space="0" w:color="auto"/>
            </w:tcBorders>
            <w:shd w:val="clear" w:color="auto" w:fill="00848F" w:themeFill="accent2"/>
          </w:tcPr>
          <w:p w:rsidR="0040084B" w:rsidRPr="003B6DDD" w:rsidRDefault="0040084B" w:rsidP="00775813">
            <w:pPr>
              <w:pStyle w:val="Tableunitsrow"/>
              <w:rPr>
                <w:rFonts w:ascii="Verdana" w:hAnsi="Verdana"/>
                <w:color w:val="FFFFFF" w:themeColor="background1"/>
                <w:szCs w:val="20"/>
              </w:rPr>
            </w:pPr>
          </w:p>
        </w:tc>
        <w:tc>
          <w:tcPr>
            <w:tcW w:w="717" w:type="pct"/>
            <w:tcBorders>
              <w:top w:val="single" w:sz="4" w:space="0" w:color="auto"/>
              <w:left w:val="single" w:sz="4" w:space="0" w:color="auto"/>
              <w:bottom w:val="single" w:sz="4" w:space="0" w:color="auto"/>
              <w:right w:val="single" w:sz="4" w:space="0" w:color="auto"/>
            </w:tcBorders>
            <w:shd w:val="clear" w:color="auto" w:fill="00848F" w:themeFill="accent2"/>
          </w:tcPr>
          <w:p w:rsidR="0040084B" w:rsidRPr="001D1EC2" w:rsidRDefault="0040084B" w:rsidP="00775813">
            <w:pPr>
              <w:pStyle w:val="Tableunitsrow"/>
              <w:jc w:val="center"/>
              <w:rPr>
                <w:rFonts w:ascii="Verdana" w:hAnsi="Verdana"/>
                <w:b/>
                <w:bCs/>
                <w:color w:val="FFFFFF" w:themeColor="background1"/>
                <w:szCs w:val="20"/>
              </w:rPr>
            </w:pPr>
            <w:r w:rsidRPr="00CF1C98">
              <w:rPr>
                <w:rFonts w:ascii="Verdana" w:hAnsi="Verdana"/>
                <w:b/>
                <w:bCs/>
                <w:color w:val="FFFFFF" w:themeColor="background1"/>
                <w:szCs w:val="20"/>
              </w:rPr>
              <w:t>Hours</w:t>
            </w:r>
          </w:p>
        </w:tc>
        <w:tc>
          <w:tcPr>
            <w:tcW w:w="1039" w:type="pct"/>
            <w:tcBorders>
              <w:top w:val="single" w:sz="4" w:space="0" w:color="auto"/>
              <w:left w:val="single" w:sz="4" w:space="0" w:color="auto"/>
              <w:bottom w:val="single" w:sz="4" w:space="0" w:color="auto"/>
              <w:right w:val="single" w:sz="4" w:space="0" w:color="auto"/>
            </w:tcBorders>
            <w:shd w:val="clear" w:color="auto" w:fill="00848F" w:themeFill="accent2"/>
          </w:tcPr>
          <w:p w:rsidR="0040084B" w:rsidRPr="00A02472" w:rsidRDefault="0040084B" w:rsidP="00775813">
            <w:pPr>
              <w:pStyle w:val="Tableunitsrow"/>
              <w:jc w:val="center"/>
              <w:rPr>
                <w:rFonts w:ascii="Verdana" w:hAnsi="Verdana"/>
                <w:b/>
                <w:bCs/>
                <w:color w:val="FFFFFF" w:themeColor="background1"/>
                <w:szCs w:val="20"/>
              </w:rPr>
            </w:pPr>
            <w:r w:rsidRPr="00A02472">
              <w:rPr>
                <w:rFonts w:ascii="Verdana" w:hAnsi="Verdana"/>
                <w:b/>
                <w:bCs/>
                <w:color w:val="FFFFFF" w:themeColor="background1"/>
                <w:szCs w:val="20"/>
              </w:rPr>
              <w:t>Persons trained</w:t>
            </w:r>
          </w:p>
        </w:tc>
        <w:tc>
          <w:tcPr>
            <w:tcW w:w="1154" w:type="pct"/>
            <w:tcBorders>
              <w:top w:val="single" w:sz="4" w:space="0" w:color="auto"/>
              <w:left w:val="single" w:sz="4" w:space="0" w:color="auto"/>
              <w:bottom w:val="single" w:sz="4" w:space="0" w:color="auto"/>
              <w:right w:val="single" w:sz="4" w:space="0" w:color="auto"/>
            </w:tcBorders>
            <w:shd w:val="clear" w:color="auto" w:fill="00848F" w:themeFill="accent2"/>
          </w:tcPr>
          <w:p w:rsidR="0040084B" w:rsidRPr="00A02472" w:rsidRDefault="0040084B" w:rsidP="00775813">
            <w:pPr>
              <w:pStyle w:val="Tableunitsrow"/>
              <w:tabs>
                <w:tab w:val="left" w:pos="2277"/>
              </w:tabs>
              <w:jc w:val="center"/>
              <w:rPr>
                <w:rFonts w:ascii="Verdana" w:hAnsi="Verdana"/>
                <w:b/>
                <w:bCs/>
                <w:color w:val="FFFFFF" w:themeColor="background1"/>
                <w:szCs w:val="20"/>
              </w:rPr>
            </w:pPr>
            <w:r w:rsidRPr="00A02472">
              <w:rPr>
                <w:rFonts w:ascii="Verdana" w:hAnsi="Verdana"/>
                <w:b/>
                <w:bCs/>
                <w:color w:val="FFFFFF" w:themeColor="background1"/>
                <w:szCs w:val="20"/>
              </w:rPr>
              <w:t>Persons trained</w:t>
            </w:r>
          </w:p>
        </w:tc>
      </w:tr>
      <w:tr w:rsidR="0040084B" w:rsidRPr="007A1F0A" w:rsidTr="007B75B1">
        <w:tblPrEx>
          <w:tblBorders>
            <w:bottom w:val="single" w:sz="4" w:space="0" w:color="646464"/>
            <w:insideH w:val="single" w:sz="4" w:space="0" w:color="646464"/>
          </w:tblBorders>
        </w:tblPrEx>
        <w:trPr>
          <w:cantSplit/>
          <w:trHeight w:val="296"/>
        </w:trPr>
        <w:tc>
          <w:tcPr>
            <w:tcW w:w="1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4C3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 xml:space="preserve">Leaders </w:t>
            </w:r>
          </w:p>
          <w:p w:rsidR="0040084B" w:rsidRPr="003B6DD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(professional)</w:t>
            </w:r>
          </w:p>
        </w:tc>
        <w:tc>
          <w:tcPr>
            <w:tcW w:w="7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7251E" w:rsidRDefault="0097251E" w:rsidP="00775813">
            <w:pPr>
              <w:pStyle w:val="Tabletext"/>
              <w:rPr>
                <w:rFonts w:ascii="Verdana" w:hAnsi="Verdana"/>
                <w:szCs w:val="20"/>
              </w:rPr>
            </w:pPr>
            <w:r>
              <w:rPr>
                <w:rFonts w:ascii="Verdana" w:hAnsi="Verdana"/>
                <w:szCs w:val="20"/>
              </w:rPr>
              <w:t xml:space="preserve"> </w:t>
            </w:r>
            <w:r w:rsidR="0040084B" w:rsidRPr="00CF1C98">
              <w:rPr>
                <w:rFonts w:ascii="Verdana" w:hAnsi="Verdana"/>
                <w:szCs w:val="20"/>
              </w:rPr>
              <w:t xml:space="preserve">Face to </w:t>
            </w:r>
            <w:r>
              <w:rPr>
                <w:rFonts w:ascii="Verdana" w:hAnsi="Verdana"/>
                <w:szCs w:val="20"/>
              </w:rPr>
              <w:t xml:space="preserve">  </w:t>
            </w:r>
          </w:p>
          <w:p w:rsidR="0040084B" w:rsidRPr="001D1EC2" w:rsidRDefault="0097251E" w:rsidP="00775813">
            <w:pPr>
              <w:pStyle w:val="Tabletext"/>
              <w:rPr>
                <w:rFonts w:ascii="Verdana" w:hAnsi="Verdana"/>
                <w:szCs w:val="20"/>
              </w:rPr>
            </w:pPr>
            <w:r>
              <w:rPr>
                <w:rFonts w:ascii="Verdana" w:hAnsi="Verdana"/>
                <w:szCs w:val="20"/>
              </w:rPr>
              <w:t xml:space="preserve"> </w:t>
            </w:r>
            <w:r w:rsidR="0040084B" w:rsidRPr="00CF1C98">
              <w:rPr>
                <w:rFonts w:ascii="Verdana" w:hAnsi="Verdana"/>
                <w:szCs w:val="20"/>
              </w:rPr>
              <w:t>face</w:t>
            </w:r>
          </w:p>
        </w:tc>
        <w:tc>
          <w:tcPr>
            <w:tcW w:w="7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4</w:t>
            </w:r>
          </w:p>
        </w:tc>
        <w:tc>
          <w:tcPr>
            <w:tcW w:w="103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0.85</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652100" w:rsidRDefault="0040084B" w:rsidP="00775813">
            <w:pPr>
              <w:pStyle w:val="Tabletext"/>
              <w:jc w:val="center"/>
              <w:rPr>
                <w:rFonts w:ascii="Verdana" w:hAnsi="Verdana"/>
                <w:szCs w:val="20"/>
              </w:rPr>
            </w:pPr>
            <w:r w:rsidRPr="00652100">
              <w:rPr>
                <w:rFonts w:ascii="Verdana" w:hAnsi="Verdana"/>
                <w:szCs w:val="20"/>
              </w:rPr>
              <w:t>0</w:t>
            </w:r>
          </w:p>
        </w:tc>
      </w:tr>
      <w:tr w:rsidR="0040084B" w:rsidRPr="007A1F0A" w:rsidTr="007B75B1">
        <w:tblPrEx>
          <w:tblBorders>
            <w:bottom w:val="single" w:sz="4" w:space="0" w:color="646464"/>
            <w:insideH w:val="single" w:sz="4" w:space="0" w:color="646464"/>
          </w:tblBorders>
        </w:tblPrEx>
        <w:trPr>
          <w:cantSplit/>
          <w:trHeight w:val="296"/>
        </w:trPr>
        <w:tc>
          <w:tcPr>
            <w:tcW w:w="1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4C3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 xml:space="preserve">Leaders </w:t>
            </w:r>
          </w:p>
          <w:p w:rsidR="0040084B" w:rsidRPr="003B6DD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(professional)</w:t>
            </w:r>
          </w:p>
        </w:tc>
        <w:tc>
          <w:tcPr>
            <w:tcW w:w="7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1D1EC2" w:rsidRDefault="0097251E" w:rsidP="00775813">
            <w:pPr>
              <w:pStyle w:val="Tabletext"/>
              <w:rPr>
                <w:rFonts w:ascii="Verdana" w:hAnsi="Verdana"/>
                <w:szCs w:val="20"/>
              </w:rPr>
            </w:pPr>
            <w:r>
              <w:rPr>
                <w:rFonts w:ascii="Verdana" w:hAnsi="Verdana"/>
                <w:szCs w:val="20"/>
              </w:rPr>
              <w:t xml:space="preserve"> </w:t>
            </w:r>
            <w:r w:rsidR="0040084B" w:rsidRPr="00CF1C98">
              <w:rPr>
                <w:rFonts w:ascii="Verdana" w:hAnsi="Verdana"/>
                <w:szCs w:val="20"/>
              </w:rPr>
              <w:t>Online</w:t>
            </w:r>
          </w:p>
        </w:tc>
        <w:tc>
          <w:tcPr>
            <w:tcW w:w="7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3</w:t>
            </w:r>
          </w:p>
        </w:tc>
        <w:tc>
          <w:tcPr>
            <w:tcW w:w="103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0.15</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652100" w:rsidRDefault="0040084B" w:rsidP="00775813">
            <w:pPr>
              <w:pStyle w:val="Tabletext"/>
              <w:jc w:val="center"/>
              <w:rPr>
                <w:rFonts w:ascii="Verdana" w:hAnsi="Verdana"/>
                <w:szCs w:val="20"/>
              </w:rPr>
            </w:pPr>
            <w:r w:rsidRPr="00652100">
              <w:rPr>
                <w:rFonts w:ascii="Verdana" w:hAnsi="Verdana"/>
                <w:szCs w:val="20"/>
              </w:rPr>
              <w:t>0.2</w:t>
            </w:r>
          </w:p>
        </w:tc>
      </w:tr>
      <w:tr w:rsidR="0040084B" w:rsidRPr="007A1F0A" w:rsidTr="007B75B1">
        <w:tblPrEx>
          <w:tblBorders>
            <w:bottom w:val="single" w:sz="4" w:space="0" w:color="646464"/>
            <w:insideH w:val="single" w:sz="4" w:space="0" w:color="646464"/>
          </w:tblBorders>
        </w:tblPrEx>
        <w:trPr>
          <w:cantSplit/>
          <w:trHeight w:val="288"/>
        </w:trPr>
        <w:tc>
          <w:tcPr>
            <w:tcW w:w="1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4C3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 xml:space="preserve">Sharers </w:t>
            </w:r>
          </w:p>
          <w:p w:rsidR="0040084B" w:rsidRPr="003B6DD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(Skilled worker)</w:t>
            </w:r>
          </w:p>
        </w:tc>
        <w:tc>
          <w:tcPr>
            <w:tcW w:w="7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7251E" w:rsidRDefault="0097251E" w:rsidP="00775813">
            <w:pPr>
              <w:pStyle w:val="Tabletext"/>
              <w:rPr>
                <w:rFonts w:ascii="Verdana" w:hAnsi="Verdana"/>
                <w:szCs w:val="20"/>
              </w:rPr>
            </w:pPr>
            <w:r>
              <w:rPr>
                <w:rFonts w:ascii="Verdana" w:hAnsi="Verdana"/>
                <w:szCs w:val="20"/>
              </w:rPr>
              <w:t xml:space="preserve"> </w:t>
            </w:r>
            <w:r w:rsidR="0040084B" w:rsidRPr="00CF1C98">
              <w:rPr>
                <w:rFonts w:ascii="Verdana" w:hAnsi="Verdana"/>
                <w:szCs w:val="20"/>
              </w:rPr>
              <w:t xml:space="preserve">Face to </w:t>
            </w:r>
          </w:p>
          <w:p w:rsidR="0040084B" w:rsidRPr="001D1EC2" w:rsidRDefault="0097251E" w:rsidP="00775813">
            <w:pPr>
              <w:pStyle w:val="Tabletext"/>
              <w:rPr>
                <w:rFonts w:ascii="Verdana" w:hAnsi="Verdana"/>
                <w:szCs w:val="20"/>
              </w:rPr>
            </w:pPr>
            <w:r>
              <w:rPr>
                <w:rFonts w:ascii="Verdana" w:hAnsi="Verdana"/>
                <w:szCs w:val="20"/>
              </w:rPr>
              <w:t xml:space="preserve"> </w:t>
            </w:r>
            <w:r w:rsidR="0040084B" w:rsidRPr="00CF1C98">
              <w:rPr>
                <w:rFonts w:ascii="Verdana" w:hAnsi="Verdana"/>
                <w:szCs w:val="20"/>
              </w:rPr>
              <w:t>face</w:t>
            </w:r>
          </w:p>
        </w:tc>
        <w:tc>
          <w:tcPr>
            <w:tcW w:w="7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8</w:t>
            </w:r>
          </w:p>
        </w:tc>
        <w:tc>
          <w:tcPr>
            <w:tcW w:w="103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1.2</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652100" w:rsidRDefault="0040084B" w:rsidP="00775813">
            <w:pPr>
              <w:pStyle w:val="Tabletext"/>
              <w:jc w:val="center"/>
              <w:rPr>
                <w:rFonts w:ascii="Verdana" w:hAnsi="Verdana"/>
                <w:szCs w:val="20"/>
              </w:rPr>
            </w:pPr>
            <w:r w:rsidRPr="00652100">
              <w:rPr>
                <w:rFonts w:ascii="Verdana" w:hAnsi="Verdana"/>
                <w:szCs w:val="20"/>
              </w:rPr>
              <w:t>0</w:t>
            </w:r>
          </w:p>
        </w:tc>
      </w:tr>
      <w:tr w:rsidR="0040084B" w:rsidRPr="007A1F0A" w:rsidTr="007B75B1">
        <w:tblPrEx>
          <w:tblBorders>
            <w:bottom w:val="single" w:sz="4" w:space="0" w:color="646464"/>
            <w:insideH w:val="single" w:sz="4" w:space="0" w:color="646464"/>
          </w:tblBorders>
        </w:tblPrEx>
        <w:trPr>
          <w:cantSplit/>
          <w:trHeight w:val="296"/>
        </w:trPr>
        <w:tc>
          <w:tcPr>
            <w:tcW w:w="1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4C3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 xml:space="preserve">Sharers </w:t>
            </w:r>
          </w:p>
          <w:p w:rsidR="0040084B" w:rsidRPr="003B6DDD" w:rsidRDefault="00C74C3D" w:rsidP="00775813">
            <w:pPr>
              <w:pStyle w:val="Tabletext"/>
              <w:rPr>
                <w:rFonts w:ascii="Verdana" w:hAnsi="Verdana"/>
                <w:szCs w:val="20"/>
              </w:rPr>
            </w:pPr>
            <w:r>
              <w:rPr>
                <w:rFonts w:ascii="Verdana" w:hAnsi="Verdana"/>
                <w:szCs w:val="20"/>
              </w:rPr>
              <w:t xml:space="preserve"> </w:t>
            </w:r>
            <w:r w:rsidR="0040084B" w:rsidRPr="00F62C62">
              <w:rPr>
                <w:rFonts w:ascii="Verdana" w:hAnsi="Verdana"/>
                <w:szCs w:val="20"/>
              </w:rPr>
              <w:t>(Skilled worker)</w:t>
            </w:r>
          </w:p>
        </w:tc>
        <w:tc>
          <w:tcPr>
            <w:tcW w:w="7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1D1EC2" w:rsidRDefault="0097251E" w:rsidP="00775813">
            <w:pPr>
              <w:pStyle w:val="Tabletext"/>
              <w:rPr>
                <w:rFonts w:ascii="Verdana" w:hAnsi="Verdana"/>
                <w:szCs w:val="20"/>
              </w:rPr>
            </w:pPr>
            <w:r>
              <w:rPr>
                <w:rFonts w:ascii="Verdana" w:hAnsi="Verdana"/>
                <w:szCs w:val="20"/>
              </w:rPr>
              <w:t xml:space="preserve"> </w:t>
            </w:r>
            <w:r w:rsidR="0040084B" w:rsidRPr="00CF1C98">
              <w:rPr>
                <w:rFonts w:ascii="Verdana" w:hAnsi="Verdana"/>
                <w:szCs w:val="20"/>
              </w:rPr>
              <w:t>Online</w:t>
            </w:r>
          </w:p>
        </w:tc>
        <w:tc>
          <w:tcPr>
            <w:tcW w:w="7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4</w:t>
            </w:r>
          </w:p>
        </w:tc>
        <w:tc>
          <w:tcPr>
            <w:tcW w:w="103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szCs w:val="20"/>
              </w:rPr>
            </w:pPr>
            <w:r w:rsidRPr="00A02472">
              <w:rPr>
                <w:rFonts w:ascii="Verdana" w:hAnsi="Verdana"/>
                <w:szCs w:val="20"/>
              </w:rPr>
              <w:t>0.3</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652100" w:rsidRDefault="0040084B" w:rsidP="00775813">
            <w:pPr>
              <w:pStyle w:val="Tabletext"/>
              <w:jc w:val="center"/>
              <w:rPr>
                <w:rFonts w:ascii="Verdana" w:hAnsi="Verdana"/>
                <w:szCs w:val="20"/>
              </w:rPr>
            </w:pPr>
            <w:r w:rsidRPr="00652100">
              <w:rPr>
                <w:rFonts w:ascii="Verdana" w:hAnsi="Verdana"/>
                <w:szCs w:val="20"/>
              </w:rPr>
              <w:t>0.3</w:t>
            </w:r>
          </w:p>
        </w:tc>
      </w:tr>
      <w:tr w:rsidR="0040084B" w:rsidRPr="007A1F0A" w:rsidTr="007B75B1">
        <w:tblPrEx>
          <w:tblBorders>
            <w:bottom w:val="single" w:sz="4" w:space="0" w:color="646464"/>
            <w:insideH w:val="single" w:sz="4" w:space="0" w:color="646464"/>
          </w:tblBorders>
        </w:tblPrEx>
        <w:trPr>
          <w:cantSplit/>
          <w:trHeight w:val="148"/>
        </w:trPr>
        <w:tc>
          <w:tcPr>
            <w:tcW w:w="137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084B" w:rsidRPr="003B6DDD" w:rsidRDefault="0040084B" w:rsidP="00775813">
            <w:pPr>
              <w:pStyle w:val="Tabletext"/>
              <w:rPr>
                <w:rFonts w:ascii="Verdana" w:hAnsi="Verdana"/>
                <w:b/>
                <w:bCs/>
                <w:szCs w:val="20"/>
              </w:rPr>
            </w:pPr>
            <w:r w:rsidRPr="00F62C62">
              <w:rPr>
                <w:rFonts w:ascii="Verdana" w:hAnsi="Verdana"/>
                <w:b/>
                <w:bCs/>
                <w:szCs w:val="20"/>
              </w:rPr>
              <w:t>Total</w:t>
            </w:r>
          </w:p>
        </w:tc>
        <w:tc>
          <w:tcPr>
            <w:tcW w:w="7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CF1C98" w:rsidRDefault="0040084B" w:rsidP="00775813">
            <w:pPr>
              <w:pStyle w:val="Tabletext"/>
              <w:rPr>
                <w:rFonts w:ascii="Verdana" w:hAnsi="Verdana"/>
                <w:b/>
                <w:bCs/>
                <w:szCs w:val="20"/>
              </w:rPr>
            </w:pPr>
          </w:p>
        </w:tc>
        <w:tc>
          <w:tcPr>
            <w:tcW w:w="71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1D1EC2" w:rsidRDefault="0040084B" w:rsidP="00775813">
            <w:pPr>
              <w:pStyle w:val="Tabletext"/>
              <w:jc w:val="center"/>
              <w:rPr>
                <w:rFonts w:ascii="Verdana" w:hAnsi="Verdana"/>
                <w:b/>
                <w:bCs/>
                <w:szCs w:val="20"/>
              </w:rPr>
            </w:pPr>
          </w:p>
        </w:tc>
        <w:tc>
          <w:tcPr>
            <w:tcW w:w="103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b/>
                <w:bCs/>
                <w:szCs w:val="20"/>
              </w:rPr>
            </w:pPr>
            <w:r w:rsidRPr="00A02472">
              <w:rPr>
                <w:rFonts w:ascii="Verdana" w:hAnsi="Verdana"/>
                <w:b/>
                <w:bCs/>
                <w:szCs w:val="20"/>
              </w:rPr>
              <w:t>2.5</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0084B" w:rsidRPr="00A02472" w:rsidRDefault="0040084B" w:rsidP="00775813">
            <w:pPr>
              <w:pStyle w:val="Tabletext"/>
              <w:jc w:val="center"/>
              <w:rPr>
                <w:rFonts w:ascii="Verdana" w:hAnsi="Verdana"/>
                <w:b/>
                <w:bCs/>
                <w:szCs w:val="20"/>
              </w:rPr>
            </w:pPr>
            <w:r w:rsidRPr="00A02472">
              <w:rPr>
                <w:rFonts w:ascii="Verdana" w:hAnsi="Verdana"/>
                <w:b/>
                <w:bCs/>
                <w:szCs w:val="20"/>
              </w:rPr>
              <w:t>0.5</w:t>
            </w:r>
          </w:p>
        </w:tc>
      </w:tr>
      <w:tr w:rsidR="0040084B" w:rsidRPr="007A1F0A" w:rsidTr="007B75B1">
        <w:tblPrEx>
          <w:tblBorders>
            <w:bottom w:val="single" w:sz="4" w:space="0" w:color="646464"/>
            <w:insideH w:val="single" w:sz="4" w:space="0" w:color="646464"/>
          </w:tblBorders>
        </w:tblPrEx>
        <w:trPr>
          <w:cantSplit/>
          <w:trHeight w:val="110"/>
        </w:trPr>
        <w:tc>
          <w:tcPr>
            <w:tcW w:w="5000"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0084B" w:rsidRPr="00792DC3" w:rsidRDefault="00680980" w:rsidP="00792DC3">
            <w:pPr>
              <w:pStyle w:val="Source"/>
              <w:rPr>
                <w:rFonts w:ascii="Verdana" w:hAnsi="Verdana"/>
                <w:sz w:val="16"/>
                <w:szCs w:val="16"/>
              </w:rPr>
            </w:pPr>
            <w:r w:rsidRPr="00792DC3">
              <w:rPr>
                <w:rFonts w:ascii="Verdana" w:hAnsi="Verdana"/>
                <w:sz w:val="16"/>
                <w:szCs w:val="16"/>
              </w:rPr>
              <w:t xml:space="preserve">Source: </w:t>
            </w:r>
            <w:r w:rsidR="00792DC3">
              <w:rPr>
                <w:rFonts w:ascii="Verdana" w:hAnsi="Verdana"/>
                <w:sz w:val="16"/>
                <w:szCs w:val="16"/>
              </w:rPr>
              <w:t xml:space="preserve">DET </w:t>
            </w:r>
            <w:r w:rsidRPr="00792DC3">
              <w:rPr>
                <w:rFonts w:ascii="Verdana" w:hAnsi="Verdana"/>
                <w:sz w:val="16"/>
                <w:szCs w:val="16"/>
              </w:rPr>
              <w:t>estimates</w:t>
            </w:r>
          </w:p>
        </w:tc>
      </w:tr>
      <w:tr w:rsidR="0040084B" w:rsidRPr="007A1F0A" w:rsidTr="007B75B1">
        <w:tblPrEx>
          <w:tblBorders>
            <w:bottom w:val="single" w:sz="4" w:space="0" w:color="646464"/>
            <w:insideH w:val="single" w:sz="4" w:space="0" w:color="646464"/>
          </w:tblBorders>
        </w:tblPrEx>
        <w:trPr>
          <w:cantSplit/>
          <w:trHeight w:hRule="exact" w:val="58"/>
        </w:trPr>
        <w:tc>
          <w:tcPr>
            <w:tcW w:w="3846" w:type="pct"/>
            <w:gridSpan w:val="4"/>
            <w:tcBorders>
              <w:top w:val="single" w:sz="4" w:space="0" w:color="auto"/>
              <w:bottom w:val="nil"/>
            </w:tcBorders>
            <w:shd w:val="clear" w:color="auto" w:fill="auto"/>
          </w:tcPr>
          <w:p w:rsidR="0040084B" w:rsidRPr="00652100" w:rsidRDefault="0040084B" w:rsidP="00775813">
            <w:pPr>
              <w:pStyle w:val="spacertbl"/>
              <w:rPr>
                <w:rFonts w:ascii="Verdana" w:hAnsi="Verdana"/>
                <w:sz w:val="20"/>
              </w:rPr>
            </w:pPr>
          </w:p>
        </w:tc>
        <w:tc>
          <w:tcPr>
            <w:tcW w:w="1154" w:type="pct"/>
            <w:tcBorders>
              <w:top w:val="single" w:sz="4" w:space="0" w:color="auto"/>
              <w:bottom w:val="nil"/>
            </w:tcBorders>
          </w:tcPr>
          <w:p w:rsidR="0040084B" w:rsidRPr="00652100" w:rsidRDefault="0040084B" w:rsidP="00775813">
            <w:pPr>
              <w:pStyle w:val="spacertbl"/>
              <w:rPr>
                <w:rFonts w:ascii="Verdana" w:hAnsi="Verdana"/>
                <w:sz w:val="20"/>
              </w:rPr>
            </w:pPr>
          </w:p>
        </w:tc>
      </w:tr>
    </w:tbl>
    <w:p w:rsidR="0040084B" w:rsidRPr="00647F41" w:rsidRDefault="0040084B" w:rsidP="0040084B">
      <w:pPr>
        <w:pStyle w:val="Heading3"/>
        <w:rPr>
          <w:rFonts w:ascii="Verdana" w:hAnsi="Verdana"/>
        </w:rPr>
      </w:pPr>
      <w:r w:rsidRPr="00647F41">
        <w:rPr>
          <w:rFonts w:ascii="Verdana" w:hAnsi="Verdana"/>
        </w:rPr>
        <w:t xml:space="preserve">Impact of </w:t>
      </w:r>
      <w:r w:rsidR="00AE6996">
        <w:rPr>
          <w:rFonts w:ascii="Verdana" w:hAnsi="Verdana"/>
        </w:rPr>
        <w:t xml:space="preserve">the </w:t>
      </w:r>
      <w:r w:rsidRPr="00647F41">
        <w:rPr>
          <w:rFonts w:ascii="Verdana" w:hAnsi="Verdana"/>
        </w:rPr>
        <w:t>Child Link</w:t>
      </w:r>
      <w:r w:rsidR="00AE6996">
        <w:rPr>
          <w:rFonts w:ascii="Verdana" w:hAnsi="Verdana"/>
        </w:rPr>
        <w:t xml:space="preserve"> Register</w:t>
      </w:r>
    </w:p>
    <w:p w:rsidR="0040084B" w:rsidRPr="00943170" w:rsidRDefault="00680980" w:rsidP="0040084B">
      <w:pPr>
        <w:pStyle w:val="WOVGbody"/>
        <w:rPr>
          <w:rFonts w:ascii="Verdana" w:hAnsi="Verdana"/>
        </w:rPr>
      </w:pPr>
      <w:r>
        <w:rPr>
          <w:rFonts w:ascii="Verdana" w:hAnsi="Verdana"/>
        </w:rPr>
        <w:t xml:space="preserve">The </w:t>
      </w:r>
      <w:r w:rsidR="0040084B" w:rsidRPr="00943170">
        <w:rPr>
          <w:rFonts w:ascii="Verdana" w:hAnsi="Verdana"/>
        </w:rPr>
        <w:t xml:space="preserve">Child Link </w:t>
      </w:r>
      <w:r w:rsidR="00AE6996">
        <w:rPr>
          <w:rFonts w:ascii="Verdana" w:hAnsi="Verdana"/>
        </w:rPr>
        <w:t xml:space="preserve">Register </w:t>
      </w:r>
      <w:r w:rsidR="0040084B" w:rsidRPr="00943170">
        <w:rPr>
          <w:rFonts w:ascii="Verdana" w:hAnsi="Verdana"/>
        </w:rPr>
        <w:t xml:space="preserve">is expected to commence by the start of 2022 and will hold information that could be the subject of an information sharing request. This means that from 2022 some information sharing requests (and as a result the response to these requests) will not be required as the information was accessed through </w:t>
      </w:r>
      <w:r w:rsidR="00AE6996">
        <w:rPr>
          <w:rFonts w:ascii="Verdana" w:hAnsi="Verdana"/>
        </w:rPr>
        <w:t xml:space="preserve">the </w:t>
      </w:r>
      <w:r w:rsidR="0040084B" w:rsidRPr="00943170">
        <w:rPr>
          <w:rFonts w:ascii="Verdana" w:hAnsi="Verdana"/>
        </w:rPr>
        <w:t>Child Link</w:t>
      </w:r>
      <w:r w:rsidR="00AE6996">
        <w:rPr>
          <w:rFonts w:ascii="Verdana" w:hAnsi="Verdana"/>
        </w:rPr>
        <w:t xml:space="preserve"> Register</w:t>
      </w:r>
      <w:r w:rsidR="0040084B" w:rsidRPr="00943170">
        <w:rPr>
          <w:rFonts w:ascii="Verdana" w:hAnsi="Verdana"/>
        </w:rPr>
        <w:t xml:space="preserve">. Consultations with </w:t>
      </w:r>
      <w:r w:rsidR="00F366F5">
        <w:rPr>
          <w:rFonts w:ascii="Verdana" w:hAnsi="Verdana"/>
        </w:rPr>
        <w:t>Phase Two</w:t>
      </w:r>
      <w:r w:rsidR="0040084B" w:rsidRPr="00943170">
        <w:rPr>
          <w:rFonts w:ascii="Verdana" w:hAnsi="Verdana"/>
        </w:rPr>
        <w:t xml:space="preserve"> workforces undertaken by DET demonstrated that the majority of information that will be shared between ISEs under the CIS Scheme aligns with information that will be made available in Chid Link, and DET estimates that from 2022, the introduction of </w:t>
      </w:r>
      <w:r w:rsidR="00AE6996">
        <w:rPr>
          <w:rFonts w:ascii="Verdana" w:hAnsi="Verdana"/>
        </w:rPr>
        <w:t xml:space="preserve">the </w:t>
      </w:r>
      <w:r w:rsidR="0040084B" w:rsidRPr="00943170">
        <w:rPr>
          <w:rFonts w:ascii="Verdana" w:hAnsi="Verdana"/>
        </w:rPr>
        <w:t xml:space="preserve">Child Link </w:t>
      </w:r>
      <w:r w:rsidR="00AE6996">
        <w:rPr>
          <w:rFonts w:ascii="Verdana" w:hAnsi="Verdana"/>
        </w:rPr>
        <w:t xml:space="preserve">Register </w:t>
      </w:r>
      <w:r w:rsidR="0040084B" w:rsidRPr="00943170">
        <w:rPr>
          <w:rFonts w:ascii="Verdana" w:hAnsi="Verdana"/>
        </w:rPr>
        <w:t>will result in the following:</w:t>
      </w:r>
    </w:p>
    <w:p w:rsidR="00365E9C" w:rsidRPr="00365E9C" w:rsidRDefault="0040084B" w:rsidP="00A76FAF">
      <w:pPr>
        <w:pStyle w:val="WOVGbody"/>
        <w:numPr>
          <w:ilvl w:val="0"/>
          <w:numId w:val="41"/>
        </w:numPr>
        <w:ind w:left="426"/>
        <w:rPr>
          <w:rFonts w:ascii="Verdana" w:hAnsi="Verdana"/>
        </w:rPr>
      </w:pPr>
      <w:r w:rsidRPr="00943170">
        <w:rPr>
          <w:rFonts w:ascii="Verdana" w:hAnsi="Verdana"/>
        </w:rPr>
        <w:t xml:space="preserve">the number of information requests and responses will reduce by 25 per cent. Given that DET believes the majority of information which will be requested under the CIS Scheme aligns with information that will be made available in </w:t>
      </w:r>
      <w:r w:rsidR="00AE6996">
        <w:rPr>
          <w:rFonts w:ascii="Verdana" w:hAnsi="Verdana"/>
        </w:rPr>
        <w:t xml:space="preserve">the </w:t>
      </w:r>
      <w:r w:rsidRPr="00943170">
        <w:rPr>
          <w:rFonts w:ascii="Verdana" w:hAnsi="Verdana"/>
        </w:rPr>
        <w:t>Child Link</w:t>
      </w:r>
      <w:r w:rsidR="00AE6996">
        <w:rPr>
          <w:rFonts w:ascii="Verdana" w:hAnsi="Verdana"/>
        </w:rPr>
        <w:t xml:space="preserve"> Register</w:t>
      </w:r>
      <w:r w:rsidRPr="00943170">
        <w:rPr>
          <w:rFonts w:ascii="Verdana" w:hAnsi="Verdana"/>
        </w:rPr>
        <w:t>, DET estimates that the reduction in informati</w:t>
      </w:r>
      <w:r w:rsidR="00365E9C">
        <w:rPr>
          <w:rFonts w:ascii="Verdana" w:hAnsi="Verdana"/>
        </w:rPr>
        <w:t>on requests will be 25 per cent.</w:t>
      </w:r>
    </w:p>
    <w:p w:rsidR="00365E9C" w:rsidRDefault="0040084B" w:rsidP="00A76FAF">
      <w:pPr>
        <w:pStyle w:val="WOVGbody"/>
        <w:numPr>
          <w:ilvl w:val="0"/>
          <w:numId w:val="41"/>
        </w:numPr>
        <w:ind w:left="426"/>
        <w:rPr>
          <w:rFonts w:ascii="Verdana" w:hAnsi="Verdana"/>
        </w:rPr>
      </w:pPr>
      <w:r w:rsidRPr="00365E9C">
        <w:rPr>
          <w:rFonts w:ascii="Verdana" w:hAnsi="Verdana"/>
        </w:rPr>
        <w:t>the 25 per cent fewer information requests are assumed to still re</w:t>
      </w:r>
      <w:r w:rsidR="00365E9C">
        <w:rPr>
          <w:rFonts w:ascii="Verdana" w:hAnsi="Verdana"/>
        </w:rPr>
        <w:t xml:space="preserve">quire 10 minutes of staff time. </w:t>
      </w:r>
      <w:r w:rsidRPr="00365E9C">
        <w:rPr>
          <w:rFonts w:ascii="Verdana" w:hAnsi="Verdana"/>
        </w:rPr>
        <w:t xml:space="preserve">This accounts for time taken to determine what information is needed, then access and retrieve the information in </w:t>
      </w:r>
      <w:r w:rsidR="00AE6996">
        <w:rPr>
          <w:rFonts w:ascii="Verdana" w:hAnsi="Verdana"/>
        </w:rPr>
        <w:t xml:space="preserve">the </w:t>
      </w:r>
      <w:r w:rsidRPr="00365E9C">
        <w:rPr>
          <w:rFonts w:ascii="Verdana" w:hAnsi="Verdana"/>
        </w:rPr>
        <w:t xml:space="preserve">Child Link </w:t>
      </w:r>
      <w:r w:rsidR="00AE6996">
        <w:rPr>
          <w:rFonts w:ascii="Verdana" w:hAnsi="Verdana"/>
        </w:rPr>
        <w:t xml:space="preserve">Register </w:t>
      </w:r>
      <w:r w:rsidRPr="00365E9C">
        <w:rPr>
          <w:rFonts w:ascii="Verdana" w:hAnsi="Verdana"/>
        </w:rPr>
        <w:t xml:space="preserve">and finally consider whether a direct request to another ISE for information is required. It should be noted that the act of looking up information in </w:t>
      </w:r>
      <w:r w:rsidR="00AE6996">
        <w:rPr>
          <w:rFonts w:ascii="Verdana" w:hAnsi="Verdana"/>
        </w:rPr>
        <w:t xml:space="preserve">the </w:t>
      </w:r>
      <w:r w:rsidRPr="00365E9C">
        <w:rPr>
          <w:rFonts w:ascii="Verdana" w:hAnsi="Verdana"/>
        </w:rPr>
        <w:t xml:space="preserve">Child Link </w:t>
      </w:r>
      <w:r w:rsidR="00AE6996">
        <w:rPr>
          <w:rFonts w:ascii="Verdana" w:hAnsi="Verdana"/>
        </w:rPr>
        <w:t xml:space="preserve">Register </w:t>
      </w:r>
      <w:r w:rsidRPr="00365E9C">
        <w:rPr>
          <w:rFonts w:ascii="Verdana" w:hAnsi="Verdana"/>
        </w:rPr>
        <w:t>in and of itself is expe</w:t>
      </w:r>
      <w:r w:rsidR="00365E9C">
        <w:rPr>
          <w:rFonts w:ascii="Verdana" w:hAnsi="Verdana"/>
        </w:rPr>
        <w:t>cted to take minimal time</w:t>
      </w:r>
      <w:r w:rsidR="00365E9C" w:rsidRPr="00365E9C">
        <w:rPr>
          <w:rFonts w:ascii="Verdana" w:hAnsi="Verdana"/>
        </w:rPr>
        <w:t>.</w:t>
      </w:r>
    </w:p>
    <w:p w:rsidR="00F6033E" w:rsidRPr="00365E9C" w:rsidRDefault="0040084B" w:rsidP="00A76FAF">
      <w:pPr>
        <w:pStyle w:val="WOVGbody"/>
        <w:numPr>
          <w:ilvl w:val="0"/>
          <w:numId w:val="41"/>
        </w:numPr>
        <w:ind w:left="426"/>
        <w:rPr>
          <w:rFonts w:ascii="Verdana" w:hAnsi="Verdana"/>
        </w:rPr>
      </w:pPr>
      <w:r w:rsidRPr="00365E9C">
        <w:rPr>
          <w:rFonts w:ascii="Verdana" w:hAnsi="Verdana"/>
        </w:rPr>
        <w:t xml:space="preserve">the time taken to perform the remaining 75 per cent of information requests is assumed to reduce by 10 per cent because some information may be found </w:t>
      </w:r>
      <w:r w:rsidR="00AE6996">
        <w:rPr>
          <w:rFonts w:ascii="Verdana" w:hAnsi="Verdana"/>
        </w:rPr>
        <w:t xml:space="preserve">in the </w:t>
      </w:r>
      <w:r w:rsidRPr="00365E9C">
        <w:rPr>
          <w:rFonts w:ascii="Verdana" w:hAnsi="Verdana"/>
        </w:rPr>
        <w:t>Child Link</w:t>
      </w:r>
      <w:r w:rsidR="00AE6996">
        <w:rPr>
          <w:rFonts w:ascii="Verdana" w:hAnsi="Verdana"/>
        </w:rPr>
        <w:t xml:space="preserve"> Register</w:t>
      </w:r>
      <w:r w:rsidRPr="00365E9C">
        <w:rPr>
          <w:rFonts w:ascii="Verdana" w:hAnsi="Verdana"/>
        </w:rPr>
        <w:t xml:space="preserve">, which in turn refines and potentially reduces the information request. The time to respond to requests for information and record </w:t>
      </w:r>
      <w:r w:rsidR="007004E5">
        <w:rPr>
          <w:rFonts w:ascii="Verdana" w:hAnsi="Verdana"/>
        </w:rPr>
        <w:t xml:space="preserve">keeping </w:t>
      </w:r>
      <w:r w:rsidRPr="00365E9C">
        <w:rPr>
          <w:rFonts w:ascii="Verdana" w:hAnsi="Verdana"/>
        </w:rPr>
        <w:t>is assumed to stay the same.</w:t>
      </w:r>
    </w:p>
    <w:p w:rsidR="00E17645" w:rsidRPr="00E17645" w:rsidRDefault="00E17645" w:rsidP="00E17645">
      <w:pPr>
        <w:pStyle w:val="Heading3"/>
        <w:rPr>
          <w:rFonts w:ascii="Verdana" w:hAnsi="Verdana"/>
        </w:rPr>
      </w:pPr>
      <w:r w:rsidRPr="00E17645">
        <w:rPr>
          <w:rFonts w:ascii="Verdana" w:hAnsi="Verdana"/>
        </w:rPr>
        <w:t xml:space="preserve">Impact of </w:t>
      </w:r>
      <w:r w:rsidR="00F4740E">
        <w:rPr>
          <w:rFonts w:ascii="Verdana" w:hAnsi="Verdana"/>
        </w:rPr>
        <w:t xml:space="preserve">the </w:t>
      </w:r>
      <w:r w:rsidR="007004E5">
        <w:rPr>
          <w:rFonts w:ascii="Verdana" w:hAnsi="Verdana"/>
        </w:rPr>
        <w:t>online ISE d</w:t>
      </w:r>
      <w:r w:rsidRPr="00E17645">
        <w:rPr>
          <w:rFonts w:ascii="Verdana" w:hAnsi="Verdana"/>
        </w:rPr>
        <w:t>irectory</w:t>
      </w:r>
    </w:p>
    <w:p w:rsidR="00E17645" w:rsidRDefault="00E17645" w:rsidP="00BF143A">
      <w:pPr>
        <w:pStyle w:val="WOVGbody"/>
        <w:rPr>
          <w:rFonts w:ascii="Verdana" w:hAnsi="Verdana"/>
        </w:rPr>
      </w:pPr>
      <w:r>
        <w:rPr>
          <w:rFonts w:ascii="Verdana" w:hAnsi="Verdana"/>
        </w:rPr>
        <w:t>An online, searchable directory that specifies all ISEs and their contact details will be operational in 2020.</w:t>
      </w:r>
      <w:r w:rsidRPr="00E17645">
        <w:rPr>
          <w:rFonts w:ascii="Verdana" w:hAnsi="Verdana"/>
        </w:rPr>
        <w:t xml:space="preserve"> </w:t>
      </w:r>
      <w:r w:rsidRPr="00E17645">
        <w:rPr>
          <w:rFonts w:ascii="Verdana" w:hAnsi="Verdana"/>
          <w:bCs/>
        </w:rPr>
        <w:t>DET held</w:t>
      </w:r>
      <w:r w:rsidR="007004E5">
        <w:rPr>
          <w:rFonts w:ascii="Verdana" w:hAnsi="Verdana"/>
          <w:bCs/>
        </w:rPr>
        <w:t xml:space="preserve"> consultations with both Phase One</w:t>
      </w:r>
      <w:r w:rsidRPr="00E17645">
        <w:rPr>
          <w:rFonts w:ascii="Verdana" w:hAnsi="Verdana"/>
          <w:bCs/>
        </w:rPr>
        <w:t xml:space="preserve"> and proposed </w:t>
      </w:r>
      <w:r w:rsidR="00F366F5">
        <w:rPr>
          <w:rFonts w:ascii="Verdana" w:hAnsi="Verdana"/>
          <w:bCs/>
        </w:rPr>
        <w:t>Phase Two</w:t>
      </w:r>
      <w:r w:rsidRPr="00E17645">
        <w:rPr>
          <w:rFonts w:ascii="Verdana" w:hAnsi="Verdana"/>
          <w:bCs/>
        </w:rPr>
        <w:t xml:space="preserve"> workforces, which revealed that a key component of the process of requesting information </w:t>
      </w:r>
      <w:r w:rsidRPr="00E17645">
        <w:rPr>
          <w:rFonts w:ascii="Verdana" w:hAnsi="Verdana"/>
          <w:bCs/>
        </w:rPr>
        <w:lastRenderedPageBreak/>
        <w:t>is related to iden</w:t>
      </w:r>
      <w:r w:rsidR="00591C43">
        <w:rPr>
          <w:rFonts w:ascii="Verdana" w:hAnsi="Verdana"/>
          <w:bCs/>
        </w:rPr>
        <w:t>tifying the relevant ISE to which</w:t>
      </w:r>
      <w:r w:rsidRPr="00E17645">
        <w:rPr>
          <w:rFonts w:ascii="Verdana" w:hAnsi="Verdana"/>
          <w:bCs/>
        </w:rPr>
        <w:t xml:space="preserve"> a request for information should be directed. Consultations also revealed that a key component of responding to a request for information is related to confirming that the entity requesting information is a prescribed ISE. DET was informed during consultations that these work processes could account for a significant part of the time taken to make a request, or respond to a request, for information. The </w:t>
      </w:r>
      <w:r w:rsidR="007004E5">
        <w:rPr>
          <w:rFonts w:ascii="Verdana" w:hAnsi="Verdana"/>
          <w:bCs/>
        </w:rPr>
        <w:t>online ISE d</w:t>
      </w:r>
      <w:r w:rsidRPr="00E17645">
        <w:rPr>
          <w:rFonts w:ascii="Verdana" w:hAnsi="Verdana"/>
          <w:bCs/>
        </w:rPr>
        <w:t>irectory is expected to streamline and shorten both these work processes. On this</w:t>
      </w:r>
      <w:r w:rsidR="007004E5">
        <w:rPr>
          <w:rFonts w:ascii="Verdana" w:hAnsi="Verdana"/>
          <w:bCs/>
        </w:rPr>
        <w:t xml:space="preserve"> basis, DET estimates that the online ISE d</w:t>
      </w:r>
      <w:r w:rsidRPr="00E17645">
        <w:rPr>
          <w:rFonts w:ascii="Verdana" w:hAnsi="Verdana"/>
          <w:bCs/>
        </w:rPr>
        <w:t xml:space="preserve">irectory which will be operational in 2020 (date to be confirmed), will reduce the time taken to request information and the time taken to respond to </w:t>
      </w:r>
      <w:r w:rsidR="007004E5">
        <w:rPr>
          <w:rFonts w:ascii="Verdana" w:hAnsi="Verdana"/>
          <w:bCs/>
        </w:rPr>
        <w:t>a request for information by 10</w:t>
      </w:r>
      <w:r w:rsidRPr="00E17645">
        <w:rPr>
          <w:rFonts w:ascii="Verdana" w:hAnsi="Verdana"/>
          <w:bCs/>
        </w:rPr>
        <w:t xml:space="preserve"> per cent from the start of 2021 onwards</w:t>
      </w:r>
      <w:r>
        <w:rPr>
          <w:rFonts w:ascii="Verdana" w:hAnsi="Verdana"/>
          <w:bCs/>
        </w:rPr>
        <w:t>.</w:t>
      </w:r>
    </w:p>
    <w:p w:rsidR="00B91F4B" w:rsidRPr="00BF143A" w:rsidRDefault="00737A5E" w:rsidP="00B91F4B">
      <w:pPr>
        <w:pStyle w:val="Heading2"/>
        <w:rPr>
          <w:rFonts w:ascii="Verdana" w:hAnsi="Verdana"/>
        </w:rPr>
      </w:pPr>
      <w:bookmarkStart w:id="34" w:name="_Toc23510778"/>
      <w:r>
        <w:rPr>
          <w:rFonts w:ascii="Verdana" w:hAnsi="Verdana"/>
        </w:rPr>
        <w:t xml:space="preserve">Total cost </w:t>
      </w:r>
      <w:r w:rsidR="00BF143A">
        <w:rPr>
          <w:rFonts w:ascii="Verdana" w:hAnsi="Verdana"/>
        </w:rPr>
        <w:t>of the proposed Amendment Regulations</w:t>
      </w:r>
      <w:bookmarkEnd w:id="34"/>
    </w:p>
    <w:p w:rsidR="000957A1" w:rsidRDefault="00B91F4B" w:rsidP="000957A1">
      <w:pPr>
        <w:pStyle w:val="WOVGbody"/>
        <w:rPr>
          <w:rFonts w:ascii="Verdana" w:hAnsi="Verdana"/>
        </w:rPr>
      </w:pPr>
      <w:r w:rsidRPr="00B91F4B">
        <w:rPr>
          <w:rFonts w:ascii="Verdana" w:hAnsi="Verdana"/>
        </w:rPr>
        <w:t xml:space="preserve">The proposed </w:t>
      </w:r>
      <w:r w:rsidR="000445EB">
        <w:rPr>
          <w:rFonts w:ascii="Verdana" w:hAnsi="Verdana"/>
        </w:rPr>
        <w:t xml:space="preserve">Amendment Regulations </w:t>
      </w:r>
      <w:r w:rsidRPr="00B91F4B">
        <w:rPr>
          <w:rFonts w:ascii="Verdana" w:hAnsi="Verdana"/>
        </w:rPr>
        <w:t xml:space="preserve">will result in impacts to </w:t>
      </w:r>
      <w:r w:rsidR="002C6FC1">
        <w:rPr>
          <w:rFonts w:ascii="Verdana" w:hAnsi="Verdana"/>
        </w:rPr>
        <w:t xml:space="preserve">government and to the </w:t>
      </w:r>
      <w:r w:rsidRPr="00B91F4B">
        <w:rPr>
          <w:rFonts w:ascii="Verdana" w:hAnsi="Verdana"/>
        </w:rPr>
        <w:t xml:space="preserve">prescribed </w:t>
      </w:r>
      <w:r w:rsidR="002C6FC1">
        <w:rPr>
          <w:rFonts w:ascii="Verdana" w:hAnsi="Verdana"/>
        </w:rPr>
        <w:t xml:space="preserve">ISEs </w:t>
      </w:r>
      <w:r w:rsidRPr="00B91F4B">
        <w:rPr>
          <w:rFonts w:ascii="Verdana" w:hAnsi="Verdana"/>
        </w:rPr>
        <w:t>in transitioning to the CIS Scheme, and associated ongoing impacts.</w:t>
      </w:r>
      <w:r w:rsidR="005D61B1">
        <w:rPr>
          <w:rFonts w:ascii="Verdana" w:hAnsi="Verdana"/>
        </w:rPr>
        <w:t xml:space="preserve"> </w:t>
      </w:r>
      <w:r w:rsidR="006A60FF" w:rsidRPr="006A60FF">
        <w:rPr>
          <w:rFonts w:ascii="Verdana" w:hAnsi="Verdana"/>
        </w:rPr>
        <w:t>When factoring in the total costs to prescribed ISEs (both government and non-government organisations) and the direct costs to government, the total cost of Phase Two implementation of the CIS Scheme</w:t>
      </w:r>
      <w:r w:rsidR="007004E5">
        <w:rPr>
          <w:rFonts w:ascii="Verdana" w:hAnsi="Verdana"/>
        </w:rPr>
        <w:t xml:space="preserve"> over 10</w:t>
      </w:r>
      <w:r w:rsidR="004B55B0">
        <w:rPr>
          <w:rFonts w:ascii="Verdana" w:hAnsi="Verdana"/>
        </w:rPr>
        <w:t xml:space="preserve"> years</w:t>
      </w:r>
      <w:r w:rsidR="006A60FF" w:rsidRPr="006A60FF">
        <w:rPr>
          <w:rFonts w:ascii="Verdana" w:hAnsi="Verdana"/>
        </w:rPr>
        <w:t xml:space="preserve"> is estimated at $21</w:t>
      </w:r>
      <w:r w:rsidR="00FB3DE8">
        <w:rPr>
          <w:rFonts w:ascii="Verdana" w:hAnsi="Verdana"/>
        </w:rPr>
        <w:t>6</w:t>
      </w:r>
      <w:r w:rsidR="0021170C">
        <w:rPr>
          <w:rFonts w:ascii="Verdana" w:hAnsi="Verdana"/>
        </w:rPr>
        <w:t xml:space="preserve"> </w:t>
      </w:r>
      <w:r w:rsidR="006A60FF" w:rsidRPr="006A60FF">
        <w:rPr>
          <w:rFonts w:ascii="Verdana" w:hAnsi="Verdana"/>
        </w:rPr>
        <w:t>million (NPV).</w:t>
      </w:r>
    </w:p>
    <w:p w:rsidR="000957A1" w:rsidRDefault="00952537" w:rsidP="000957A1">
      <w:pPr>
        <w:pStyle w:val="WOVGbody"/>
        <w:rPr>
          <w:rFonts w:ascii="Verdana" w:hAnsi="Verdana"/>
        </w:rPr>
      </w:pPr>
      <w:r>
        <w:rPr>
          <w:rFonts w:ascii="Verdana" w:hAnsi="Verdana"/>
        </w:rPr>
        <w:t>This includes $65.7</w:t>
      </w:r>
      <w:r w:rsidR="004B55B0">
        <w:rPr>
          <w:rFonts w:ascii="Verdana" w:hAnsi="Verdana"/>
        </w:rPr>
        <w:t xml:space="preserve"> million in the first year, in direct costs to government</w:t>
      </w:r>
      <w:r w:rsidR="00DB6DBE">
        <w:rPr>
          <w:rStyle w:val="FootnoteReference"/>
          <w:rFonts w:ascii="Verdana" w:hAnsi="Verdana"/>
        </w:rPr>
        <w:footnoteReference w:id="24"/>
      </w:r>
      <w:r w:rsidR="004B55B0">
        <w:rPr>
          <w:rFonts w:ascii="Verdana" w:hAnsi="Verdana"/>
        </w:rPr>
        <w:t xml:space="preserve">, </w:t>
      </w:r>
      <w:r w:rsidR="007004E5">
        <w:rPr>
          <w:rFonts w:ascii="Verdana" w:hAnsi="Verdana"/>
        </w:rPr>
        <w:t>upfront costs to ISEs and first-</w:t>
      </w:r>
      <w:r w:rsidR="004B55B0">
        <w:rPr>
          <w:rFonts w:ascii="Verdana" w:hAnsi="Verdana"/>
        </w:rPr>
        <w:t>year ongoing costs to ISEs</w:t>
      </w:r>
      <w:r w:rsidR="005B4D34">
        <w:rPr>
          <w:rFonts w:ascii="Verdana" w:hAnsi="Verdana"/>
        </w:rPr>
        <w:t>.</w:t>
      </w:r>
      <w:r w:rsidR="00DB6DBE">
        <w:rPr>
          <w:rStyle w:val="FootnoteReference"/>
          <w:rFonts w:ascii="Verdana" w:hAnsi="Verdana"/>
        </w:rPr>
        <w:footnoteReference w:id="25"/>
      </w:r>
      <w:r w:rsidR="004B55B0">
        <w:rPr>
          <w:rFonts w:ascii="Verdana" w:hAnsi="Verdana"/>
        </w:rPr>
        <w:t xml:space="preserve"> Across the following nine years, the t</w:t>
      </w:r>
      <w:r>
        <w:rPr>
          <w:rFonts w:ascii="Verdana" w:hAnsi="Verdana"/>
        </w:rPr>
        <w:t>otal cost is $150.3</w:t>
      </w:r>
      <w:r w:rsidR="004B55B0">
        <w:rPr>
          <w:rFonts w:ascii="Verdana" w:hAnsi="Verdana"/>
        </w:rPr>
        <w:t xml:space="preserve"> million. This includes ongoing costs to ISEs and direct costs to government.</w:t>
      </w:r>
    </w:p>
    <w:p w:rsidR="000957A1" w:rsidRDefault="005D61B1" w:rsidP="000957A1">
      <w:pPr>
        <w:pStyle w:val="WOVGbody"/>
        <w:rPr>
          <w:rFonts w:ascii="Verdana" w:hAnsi="Verdana"/>
        </w:rPr>
      </w:pPr>
      <w:r>
        <w:rPr>
          <w:rFonts w:ascii="Verdana" w:hAnsi="Verdana"/>
        </w:rPr>
        <w:t>T</w:t>
      </w:r>
      <w:r w:rsidR="006A60FF">
        <w:rPr>
          <w:rFonts w:ascii="Verdana" w:hAnsi="Verdana"/>
        </w:rPr>
        <w:t>hese cost impacts are presented in further detail below.</w:t>
      </w:r>
    </w:p>
    <w:p w:rsidR="00877130" w:rsidRPr="00053F3B" w:rsidRDefault="00877130" w:rsidP="00877130">
      <w:pPr>
        <w:pStyle w:val="Heading2"/>
        <w:rPr>
          <w:rFonts w:ascii="Verdana" w:hAnsi="Verdana"/>
        </w:rPr>
      </w:pPr>
      <w:bookmarkStart w:id="35" w:name="_Toc23510779"/>
      <w:r w:rsidRPr="00053F3B">
        <w:rPr>
          <w:rFonts w:ascii="Verdana" w:hAnsi="Verdana"/>
        </w:rPr>
        <w:t>Costs</w:t>
      </w:r>
      <w:r w:rsidR="00737A5E" w:rsidRPr="00053F3B">
        <w:rPr>
          <w:rFonts w:ascii="Verdana" w:hAnsi="Verdana"/>
        </w:rPr>
        <w:t xml:space="preserve"> to </w:t>
      </w:r>
      <w:r w:rsidR="00850C24" w:rsidRPr="00053F3B">
        <w:rPr>
          <w:rFonts w:ascii="Verdana" w:hAnsi="Verdana"/>
        </w:rPr>
        <w:t xml:space="preserve">workforces </w:t>
      </w:r>
      <w:r w:rsidRPr="00053F3B">
        <w:rPr>
          <w:rFonts w:ascii="Verdana" w:hAnsi="Verdana"/>
        </w:rPr>
        <w:t>proposed for prescription</w:t>
      </w:r>
      <w:bookmarkEnd w:id="35"/>
    </w:p>
    <w:p w:rsidR="00877130" w:rsidRPr="00053F3B" w:rsidRDefault="00877130" w:rsidP="00877130">
      <w:pPr>
        <w:pStyle w:val="Heading3"/>
        <w:rPr>
          <w:rFonts w:ascii="Verdana" w:hAnsi="Verdana"/>
        </w:rPr>
      </w:pPr>
      <w:r w:rsidRPr="00053F3B">
        <w:rPr>
          <w:rFonts w:ascii="Verdana" w:hAnsi="Verdana"/>
        </w:rPr>
        <w:t>Total costs to Phase Two workforces</w:t>
      </w:r>
    </w:p>
    <w:p w:rsidR="00F93BA1" w:rsidRDefault="0080010B" w:rsidP="00AF7065">
      <w:pPr>
        <w:pStyle w:val="WOVGbody"/>
        <w:rPr>
          <w:rFonts w:ascii="Verdana" w:hAnsi="Verdana"/>
        </w:rPr>
      </w:pPr>
      <w:r w:rsidRPr="00AF7065">
        <w:rPr>
          <w:rFonts w:ascii="Verdana" w:hAnsi="Verdana"/>
        </w:rPr>
        <w:t xml:space="preserve">The total estimated cost impact of the </w:t>
      </w:r>
      <w:r w:rsidR="000445EB">
        <w:rPr>
          <w:rFonts w:ascii="Verdana" w:hAnsi="Verdana"/>
        </w:rPr>
        <w:t xml:space="preserve">proposed </w:t>
      </w:r>
      <w:r w:rsidR="00DD74F9" w:rsidRPr="00AF7065">
        <w:rPr>
          <w:rFonts w:ascii="Verdana" w:hAnsi="Verdana"/>
        </w:rPr>
        <w:t xml:space="preserve">Amendment </w:t>
      </w:r>
      <w:r w:rsidRPr="00AF7065">
        <w:rPr>
          <w:rFonts w:ascii="Verdana" w:hAnsi="Verdana"/>
        </w:rPr>
        <w:t xml:space="preserve">Regulations on </w:t>
      </w:r>
      <w:r w:rsidR="00F366F5">
        <w:rPr>
          <w:rFonts w:ascii="Verdana" w:hAnsi="Verdana"/>
        </w:rPr>
        <w:t>Phase Two</w:t>
      </w:r>
      <w:r w:rsidRPr="00AF7065">
        <w:rPr>
          <w:rFonts w:ascii="Verdana" w:hAnsi="Verdana"/>
        </w:rPr>
        <w:t xml:space="preserve"> workforces over a 10-year period is expected to be approximately $18</w:t>
      </w:r>
      <w:r w:rsidR="00B53A6B">
        <w:rPr>
          <w:rFonts w:ascii="Verdana" w:hAnsi="Verdana"/>
        </w:rPr>
        <w:t>1.6</w:t>
      </w:r>
      <w:r w:rsidRPr="00AF7065">
        <w:rPr>
          <w:rFonts w:ascii="Verdana" w:hAnsi="Verdana"/>
        </w:rPr>
        <w:t xml:space="preserve"> million</w:t>
      </w:r>
      <w:r w:rsidR="00764F37">
        <w:rPr>
          <w:rFonts w:ascii="Verdana" w:hAnsi="Verdana"/>
        </w:rPr>
        <w:t xml:space="preserve"> in</w:t>
      </w:r>
      <w:r w:rsidR="000957A1">
        <w:rPr>
          <w:rFonts w:ascii="Verdana" w:hAnsi="Verdana"/>
        </w:rPr>
        <w:t xml:space="preserve"> </w:t>
      </w:r>
      <w:r w:rsidR="00764F37">
        <w:rPr>
          <w:rFonts w:ascii="Verdana" w:hAnsi="Verdana"/>
        </w:rPr>
        <w:t>NPV terms</w:t>
      </w:r>
      <w:r w:rsidR="004A34D0">
        <w:rPr>
          <w:rFonts w:ascii="Verdana" w:hAnsi="Verdana"/>
        </w:rPr>
        <w:t>, of which $101.1</w:t>
      </w:r>
      <w:r w:rsidR="00F93BA1">
        <w:rPr>
          <w:rFonts w:ascii="Verdana" w:hAnsi="Verdana"/>
        </w:rPr>
        <w:t xml:space="preserve"> million is attributable to </w:t>
      </w:r>
      <w:r w:rsidR="004A34D0">
        <w:rPr>
          <w:rFonts w:ascii="Verdana" w:hAnsi="Verdana"/>
        </w:rPr>
        <w:t>government organisations and $80.5</w:t>
      </w:r>
      <w:r w:rsidR="00F93BA1">
        <w:rPr>
          <w:rFonts w:ascii="Verdana" w:hAnsi="Verdana"/>
        </w:rPr>
        <w:t xml:space="preserve"> million in attributable to non-government organisations.</w:t>
      </w:r>
    </w:p>
    <w:p w:rsidR="005D7961" w:rsidRDefault="00F93BA1" w:rsidP="00AF7065">
      <w:pPr>
        <w:pStyle w:val="WOVGbody"/>
        <w:rPr>
          <w:rFonts w:ascii="Verdana" w:hAnsi="Verdana"/>
        </w:rPr>
      </w:pPr>
      <w:r>
        <w:rPr>
          <w:rFonts w:ascii="Verdana" w:hAnsi="Verdana"/>
        </w:rPr>
        <w:t xml:space="preserve">The </w:t>
      </w:r>
      <w:r w:rsidR="0080010B" w:rsidRPr="00AF7065">
        <w:rPr>
          <w:rFonts w:ascii="Verdana" w:hAnsi="Verdana"/>
        </w:rPr>
        <w:t xml:space="preserve">total cost comprises $18.2 million to update policies, $19.8 million in upfront and ongoing training, $94.8 million for requests to share information and for responses to information sharing requests, and $48.8 million for record keeping costs associated with requests and responses (see table below). Of these costs, it is estimated that over a 10-year period, $28 million will be incurred as upfront costs and $154 million as ongoing costs. </w:t>
      </w:r>
      <w:r w:rsidR="0080010B" w:rsidRPr="00AF7065" w:rsidDel="00FC16E9">
        <w:rPr>
          <w:rFonts w:ascii="Verdana" w:hAnsi="Verdana"/>
        </w:rPr>
        <w:t xml:space="preserve">From 2022, following the introduction of two new initiatives, the </w:t>
      </w:r>
      <w:r w:rsidR="007004E5">
        <w:rPr>
          <w:rFonts w:ascii="Verdana" w:hAnsi="Verdana"/>
        </w:rPr>
        <w:t>o</w:t>
      </w:r>
      <w:r w:rsidR="0080010B" w:rsidRPr="00AF7065" w:rsidDel="00FC16E9">
        <w:rPr>
          <w:rFonts w:ascii="Verdana" w:hAnsi="Verdana"/>
        </w:rPr>
        <w:t xml:space="preserve">nline ISE </w:t>
      </w:r>
      <w:r w:rsidR="007004E5">
        <w:rPr>
          <w:rFonts w:ascii="Verdana" w:hAnsi="Verdana"/>
        </w:rPr>
        <w:t>d</w:t>
      </w:r>
      <w:r w:rsidR="0080010B" w:rsidRPr="00AF7065" w:rsidDel="00FC16E9">
        <w:rPr>
          <w:rFonts w:ascii="Verdana" w:hAnsi="Verdana"/>
        </w:rPr>
        <w:t xml:space="preserve">irectory and </w:t>
      </w:r>
      <w:r w:rsidR="00DD74F9" w:rsidRPr="00AF7065">
        <w:rPr>
          <w:rFonts w:ascii="Verdana" w:hAnsi="Verdana"/>
        </w:rPr>
        <w:t xml:space="preserve">the </w:t>
      </w:r>
      <w:r w:rsidR="0080010B" w:rsidRPr="00AF7065" w:rsidDel="00FC16E9">
        <w:rPr>
          <w:rFonts w:ascii="Verdana" w:hAnsi="Verdana"/>
        </w:rPr>
        <w:t>Child Link</w:t>
      </w:r>
      <w:r w:rsidR="00DD74F9" w:rsidRPr="00AF7065">
        <w:rPr>
          <w:rFonts w:ascii="Verdana" w:hAnsi="Verdana"/>
        </w:rPr>
        <w:t xml:space="preserve"> Register</w:t>
      </w:r>
      <w:r w:rsidR="0080010B" w:rsidRPr="00AF7065" w:rsidDel="00FC16E9">
        <w:rPr>
          <w:rFonts w:ascii="Verdana" w:hAnsi="Verdana"/>
        </w:rPr>
        <w:t>, annual ongoing costs are estimated at $16.</w:t>
      </w:r>
      <w:r w:rsidR="0080010B" w:rsidRPr="00AF7065">
        <w:rPr>
          <w:rFonts w:ascii="Verdana" w:hAnsi="Verdana"/>
        </w:rPr>
        <w:t>3</w:t>
      </w:r>
      <w:r w:rsidR="0080010B" w:rsidRPr="00AF7065" w:rsidDel="00FC16E9">
        <w:rPr>
          <w:rFonts w:ascii="Verdana" w:hAnsi="Verdana"/>
        </w:rPr>
        <w:t xml:space="preserve"> million</w:t>
      </w:r>
      <w:r w:rsidR="00AF7065" w:rsidRPr="00AF7065">
        <w:rPr>
          <w:rFonts w:ascii="Verdana" w:hAnsi="Verdana"/>
        </w:rPr>
        <w:t>.</w:t>
      </w:r>
    </w:p>
    <w:p w:rsidR="005D7961" w:rsidRDefault="005D7961">
      <w:pPr>
        <w:rPr>
          <w:rFonts w:ascii="Verdana" w:eastAsia="Times" w:hAnsi="Verdana"/>
        </w:rPr>
      </w:pPr>
      <w:r>
        <w:rPr>
          <w:rFonts w:ascii="Verdana" w:hAnsi="Verdana"/>
        </w:rPr>
        <w:br w:type="page"/>
      </w:r>
    </w:p>
    <w:p w:rsidR="00AF7065" w:rsidRPr="00557AD1" w:rsidRDefault="00FB4855" w:rsidP="00557AD1">
      <w:pPr>
        <w:pStyle w:val="WOVGbody"/>
        <w:rPr>
          <w:rFonts w:ascii="Verdana" w:hAnsi="Verdana"/>
          <w:b/>
        </w:rPr>
      </w:pPr>
      <w:r>
        <w:rPr>
          <w:rFonts w:ascii="Verdana" w:hAnsi="Verdana"/>
          <w:b/>
        </w:rPr>
        <w:lastRenderedPageBreak/>
        <w:t>Table 6.3</w:t>
      </w:r>
      <w:r w:rsidR="006641FF">
        <w:rPr>
          <w:rFonts w:ascii="Verdana" w:hAnsi="Verdana"/>
          <w:b/>
        </w:rPr>
        <w:t xml:space="preserve"> </w:t>
      </w:r>
      <w:r w:rsidR="00764F37" w:rsidRPr="00331E1F">
        <w:rPr>
          <w:rFonts w:ascii="Verdana" w:hAnsi="Verdana"/>
          <w:b/>
        </w:rPr>
        <w:t xml:space="preserve">Total </w:t>
      </w:r>
      <w:r w:rsidR="00540CA7" w:rsidRPr="00331E1F">
        <w:rPr>
          <w:rFonts w:ascii="Verdana" w:hAnsi="Verdana"/>
          <w:b/>
        </w:rPr>
        <w:t>workforce costs, 10 y</w:t>
      </w:r>
      <w:r w:rsidR="00F93957" w:rsidRPr="00331E1F">
        <w:rPr>
          <w:rFonts w:ascii="Verdana" w:hAnsi="Verdana"/>
          <w:b/>
        </w:rPr>
        <w:t xml:space="preserve">ear </w:t>
      </w:r>
      <w:r w:rsidR="00540CA7" w:rsidRPr="00331E1F">
        <w:rPr>
          <w:rFonts w:ascii="Verdana" w:hAnsi="Verdana"/>
          <w:b/>
        </w:rPr>
        <w:t>totals</w:t>
      </w:r>
    </w:p>
    <w:tbl>
      <w:tblPr>
        <w:tblStyle w:val="TableGrid"/>
        <w:tblW w:w="9399" w:type="dxa"/>
        <w:tblLook w:val="04A0" w:firstRow="1" w:lastRow="0" w:firstColumn="1" w:lastColumn="0" w:noHBand="0" w:noVBand="1"/>
      </w:tblPr>
      <w:tblGrid>
        <w:gridCol w:w="2562"/>
        <w:gridCol w:w="2561"/>
        <w:gridCol w:w="2278"/>
        <w:gridCol w:w="1998"/>
      </w:tblGrid>
      <w:tr w:rsidR="00216955" w:rsidTr="007B75B1">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62" w:type="dxa"/>
            <w:tcBorders>
              <w:right w:val="single" w:sz="4" w:space="0" w:color="auto"/>
            </w:tcBorders>
          </w:tcPr>
          <w:p w:rsidR="00216955" w:rsidRPr="00354E72" w:rsidRDefault="00216955" w:rsidP="00B91F4B">
            <w:pPr>
              <w:rPr>
                <w:rFonts w:ascii="Verdana" w:eastAsia="Times" w:hAnsi="Verdana"/>
                <w:color w:val="FFFFFF" w:themeColor="background1"/>
              </w:rPr>
            </w:pPr>
            <w:r w:rsidRPr="00354E72">
              <w:rPr>
                <w:rFonts w:ascii="Verdana" w:eastAsia="Times" w:hAnsi="Verdana"/>
                <w:color w:val="FFFFFF" w:themeColor="background1"/>
              </w:rPr>
              <w:t>Cost Category</w:t>
            </w:r>
          </w:p>
        </w:tc>
        <w:tc>
          <w:tcPr>
            <w:tcW w:w="2561" w:type="dxa"/>
            <w:tcBorders>
              <w:left w:val="single" w:sz="4" w:space="0" w:color="auto"/>
              <w:right w:val="single" w:sz="4" w:space="0" w:color="auto"/>
            </w:tcBorders>
          </w:tcPr>
          <w:p w:rsidR="00216955" w:rsidRPr="00354E72" w:rsidRDefault="00216955" w:rsidP="00B91F4B">
            <w:pPr>
              <w:cnfStyle w:val="100000000000" w:firstRow="1"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354E72">
              <w:rPr>
                <w:rFonts w:ascii="Verdana" w:eastAsia="Times" w:hAnsi="Verdana"/>
                <w:color w:val="FFFFFF" w:themeColor="background1"/>
              </w:rPr>
              <w:t xml:space="preserve">Government </w:t>
            </w:r>
          </w:p>
        </w:tc>
        <w:tc>
          <w:tcPr>
            <w:tcW w:w="2278" w:type="dxa"/>
            <w:tcBorders>
              <w:left w:val="single" w:sz="4" w:space="0" w:color="auto"/>
              <w:right w:val="single" w:sz="4" w:space="0" w:color="auto"/>
            </w:tcBorders>
          </w:tcPr>
          <w:p w:rsidR="00216955" w:rsidRPr="00354E72" w:rsidRDefault="004615F7" w:rsidP="00B91F4B">
            <w:pPr>
              <w:cnfStyle w:val="100000000000" w:firstRow="1"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Pr>
                <w:rFonts w:ascii="Verdana" w:eastAsia="Times" w:hAnsi="Verdana"/>
                <w:color w:val="FFFFFF" w:themeColor="background1"/>
              </w:rPr>
              <w:t>Non-g</w:t>
            </w:r>
            <w:r w:rsidR="00216955" w:rsidRPr="00354E72">
              <w:rPr>
                <w:rFonts w:ascii="Verdana" w:eastAsia="Times" w:hAnsi="Verdana"/>
                <w:color w:val="FFFFFF" w:themeColor="background1"/>
              </w:rPr>
              <w:t>overnment</w:t>
            </w:r>
          </w:p>
        </w:tc>
        <w:tc>
          <w:tcPr>
            <w:tcW w:w="1998" w:type="dxa"/>
            <w:tcBorders>
              <w:left w:val="single" w:sz="4" w:space="0" w:color="auto"/>
            </w:tcBorders>
          </w:tcPr>
          <w:p w:rsidR="00216955" w:rsidRPr="00354E72" w:rsidRDefault="00216955" w:rsidP="00B91F4B">
            <w:pPr>
              <w:cnfStyle w:val="100000000000" w:firstRow="1"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354E72">
              <w:rPr>
                <w:rFonts w:ascii="Verdana" w:eastAsia="Times" w:hAnsi="Verdana"/>
                <w:color w:val="FFFFFF" w:themeColor="background1"/>
              </w:rPr>
              <w:t>Total</w:t>
            </w:r>
          </w:p>
        </w:tc>
      </w:tr>
      <w:tr w:rsidR="00216955"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shd w:val="clear" w:color="auto" w:fill="00848F"/>
          </w:tcPr>
          <w:p w:rsidR="00216955" w:rsidRPr="00354E72" w:rsidRDefault="00216955" w:rsidP="00B91F4B">
            <w:pPr>
              <w:rPr>
                <w:rFonts w:ascii="Verdana" w:eastAsia="Times" w:hAnsi="Verdana"/>
                <w:color w:val="FFFFFF" w:themeColor="background1"/>
              </w:rPr>
            </w:pPr>
            <w:r w:rsidRPr="00354E72">
              <w:rPr>
                <w:rFonts w:ascii="Verdana" w:eastAsia="Times" w:hAnsi="Verdana"/>
                <w:color w:val="FFFFFF" w:themeColor="background1"/>
              </w:rPr>
              <w:t>Upfront costs</w:t>
            </w:r>
          </w:p>
        </w:tc>
        <w:tc>
          <w:tcPr>
            <w:tcW w:w="2561" w:type="dxa"/>
            <w:shd w:val="clear" w:color="auto" w:fill="00848F"/>
          </w:tcPr>
          <w:p w:rsidR="00216955" w:rsidRPr="00354E72" w:rsidRDefault="00216955"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354E72">
              <w:rPr>
                <w:rFonts w:ascii="Verdana" w:eastAsia="Times" w:hAnsi="Verdana"/>
                <w:color w:val="FFFFFF" w:themeColor="background1"/>
              </w:rPr>
              <w:t>‘000</w:t>
            </w:r>
          </w:p>
        </w:tc>
        <w:tc>
          <w:tcPr>
            <w:tcW w:w="2278" w:type="dxa"/>
            <w:shd w:val="clear" w:color="auto" w:fill="00848F"/>
          </w:tcPr>
          <w:p w:rsidR="00216955" w:rsidRPr="00354E72" w:rsidRDefault="00216955"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354E72">
              <w:rPr>
                <w:rFonts w:ascii="Verdana" w:eastAsia="Times" w:hAnsi="Verdana"/>
                <w:color w:val="FFFFFF" w:themeColor="background1"/>
              </w:rPr>
              <w:t>‘000</w:t>
            </w:r>
          </w:p>
        </w:tc>
        <w:tc>
          <w:tcPr>
            <w:tcW w:w="1998" w:type="dxa"/>
            <w:shd w:val="clear" w:color="auto" w:fill="00848F"/>
          </w:tcPr>
          <w:p w:rsidR="00216955" w:rsidRPr="00354E72" w:rsidRDefault="00216955"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354E72">
              <w:rPr>
                <w:rFonts w:ascii="Verdana" w:eastAsia="Times" w:hAnsi="Verdana"/>
                <w:color w:val="FFFFFF" w:themeColor="background1"/>
              </w:rPr>
              <w:t>‘000</w:t>
            </w:r>
          </w:p>
        </w:tc>
      </w:tr>
      <w:tr w:rsidR="00216955"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tcPr>
          <w:p w:rsidR="00216955" w:rsidRPr="00354E72" w:rsidRDefault="00216955" w:rsidP="00B91F4B">
            <w:pPr>
              <w:rPr>
                <w:rFonts w:ascii="Verdana" w:eastAsia="Times" w:hAnsi="Verdana"/>
              </w:rPr>
            </w:pPr>
            <w:r w:rsidRPr="00354E72">
              <w:rPr>
                <w:rFonts w:ascii="Verdana" w:eastAsia="Times" w:hAnsi="Verdana"/>
              </w:rPr>
              <w:t>Update policies</w:t>
            </w:r>
          </w:p>
        </w:tc>
        <w:tc>
          <w:tcPr>
            <w:tcW w:w="2561" w:type="dxa"/>
          </w:tcPr>
          <w:p w:rsidR="00216955" w:rsidRPr="00354E72" w:rsidRDefault="00216955"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$4,677</w:t>
            </w:r>
          </w:p>
        </w:tc>
        <w:tc>
          <w:tcPr>
            <w:tcW w:w="2278" w:type="dxa"/>
          </w:tcPr>
          <w:p w:rsidR="00216955" w:rsidRPr="00354E72" w:rsidRDefault="00216955"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$13,499</w:t>
            </w:r>
          </w:p>
        </w:tc>
        <w:tc>
          <w:tcPr>
            <w:tcW w:w="1998" w:type="dxa"/>
          </w:tcPr>
          <w:p w:rsidR="00216955" w:rsidRPr="00354E72" w:rsidRDefault="00216955"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$18,176</w:t>
            </w:r>
          </w:p>
        </w:tc>
      </w:tr>
      <w:tr w:rsidR="00216955" w:rsidTr="007B75B1">
        <w:trPr>
          <w:trHeight w:val="247"/>
        </w:trPr>
        <w:tc>
          <w:tcPr>
            <w:cnfStyle w:val="001000000000" w:firstRow="0" w:lastRow="0" w:firstColumn="1" w:lastColumn="0" w:oddVBand="0" w:evenVBand="0" w:oddHBand="0" w:evenHBand="0" w:firstRowFirstColumn="0" w:firstRowLastColumn="0" w:lastRowFirstColumn="0" w:lastRowLastColumn="0"/>
            <w:tcW w:w="2562" w:type="dxa"/>
          </w:tcPr>
          <w:p w:rsidR="00216955" w:rsidRPr="00354E72" w:rsidRDefault="00216955" w:rsidP="00B91F4B">
            <w:pPr>
              <w:rPr>
                <w:rFonts w:ascii="Verdana" w:eastAsia="Times" w:hAnsi="Verdana"/>
              </w:rPr>
            </w:pPr>
            <w:r w:rsidRPr="00354E72">
              <w:rPr>
                <w:rFonts w:ascii="Verdana" w:eastAsia="Times" w:hAnsi="Verdana"/>
              </w:rPr>
              <w:t>Upfront training</w:t>
            </w:r>
          </w:p>
        </w:tc>
        <w:tc>
          <w:tcPr>
            <w:tcW w:w="2561" w:type="dxa"/>
          </w:tcPr>
          <w:p w:rsidR="00216955" w:rsidRPr="00354E72" w:rsidRDefault="006A6AC9"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$2,207</w:t>
            </w:r>
          </w:p>
        </w:tc>
        <w:tc>
          <w:tcPr>
            <w:tcW w:w="2278" w:type="dxa"/>
          </w:tcPr>
          <w:p w:rsidR="00216955" w:rsidRPr="00354E72" w:rsidRDefault="006A6AC9"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$7,577</w:t>
            </w:r>
          </w:p>
        </w:tc>
        <w:tc>
          <w:tcPr>
            <w:tcW w:w="1998" w:type="dxa"/>
          </w:tcPr>
          <w:p w:rsidR="00216955" w:rsidRPr="00354E72" w:rsidRDefault="006A6AC9" w:rsidP="00B91F4B">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$9,784</w:t>
            </w:r>
          </w:p>
        </w:tc>
      </w:tr>
      <w:tr w:rsidR="006272F3"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shd w:val="clear" w:color="auto" w:fill="00848F" w:themeFill="accent2"/>
          </w:tcPr>
          <w:p w:rsidR="006272F3" w:rsidRPr="00354E72" w:rsidRDefault="007004E5" w:rsidP="00216955">
            <w:pPr>
              <w:rPr>
                <w:rFonts w:ascii="Verdana" w:eastAsia="Times" w:hAnsi="Verdana"/>
                <w:color w:val="FFFFFF" w:themeColor="background2"/>
              </w:rPr>
            </w:pPr>
            <w:r>
              <w:rPr>
                <w:rFonts w:ascii="Verdana" w:eastAsia="Times" w:hAnsi="Verdana"/>
                <w:color w:val="FFFFFF" w:themeColor="background2"/>
              </w:rPr>
              <w:t>Ongoing c</w:t>
            </w:r>
            <w:r w:rsidR="006272F3" w:rsidRPr="00354E72">
              <w:rPr>
                <w:rFonts w:ascii="Verdana" w:eastAsia="Times" w:hAnsi="Verdana"/>
                <w:color w:val="FFFFFF" w:themeColor="background2"/>
              </w:rPr>
              <w:t>ost</w:t>
            </w:r>
          </w:p>
        </w:tc>
        <w:tc>
          <w:tcPr>
            <w:tcW w:w="2561" w:type="dxa"/>
            <w:shd w:val="clear" w:color="auto" w:fill="00848F" w:themeFill="accent2"/>
          </w:tcPr>
          <w:p w:rsidR="006272F3" w:rsidRPr="00354E72" w:rsidRDefault="006272F3"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2"/>
              </w:rPr>
            </w:pPr>
            <w:r w:rsidRPr="00354E72">
              <w:rPr>
                <w:rFonts w:ascii="Verdana" w:eastAsia="Times" w:hAnsi="Verdana"/>
                <w:color w:val="FFFFFF" w:themeColor="background2"/>
              </w:rPr>
              <w:t>‘000</w:t>
            </w:r>
          </w:p>
        </w:tc>
        <w:tc>
          <w:tcPr>
            <w:tcW w:w="2278" w:type="dxa"/>
            <w:shd w:val="clear" w:color="auto" w:fill="00848F" w:themeFill="accent2"/>
          </w:tcPr>
          <w:p w:rsidR="006272F3" w:rsidRPr="00354E72" w:rsidRDefault="006272F3"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2"/>
              </w:rPr>
            </w:pPr>
            <w:r w:rsidRPr="00354E72">
              <w:rPr>
                <w:rFonts w:ascii="Verdana" w:eastAsia="Times" w:hAnsi="Verdana"/>
                <w:color w:val="FFFFFF" w:themeColor="background2"/>
              </w:rPr>
              <w:t>‘000</w:t>
            </w:r>
          </w:p>
        </w:tc>
        <w:tc>
          <w:tcPr>
            <w:tcW w:w="1998" w:type="dxa"/>
            <w:shd w:val="clear" w:color="auto" w:fill="00848F" w:themeFill="accent2"/>
          </w:tcPr>
          <w:p w:rsidR="006272F3" w:rsidRPr="00354E72" w:rsidRDefault="006272F3"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2"/>
              </w:rPr>
            </w:pPr>
            <w:r w:rsidRPr="00354E72">
              <w:rPr>
                <w:rFonts w:ascii="Verdana" w:eastAsia="Times" w:hAnsi="Verdana"/>
                <w:color w:val="FFFFFF" w:themeColor="background2"/>
              </w:rPr>
              <w:t>‘000</w:t>
            </w:r>
          </w:p>
        </w:tc>
      </w:tr>
      <w:tr w:rsidR="00216955"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shd w:val="clear" w:color="auto" w:fill="DBDCDE" w:themeFill="accent1" w:themeFillTint="33"/>
          </w:tcPr>
          <w:p w:rsidR="00216955" w:rsidRPr="00354E72" w:rsidRDefault="00216955" w:rsidP="00216955">
            <w:pPr>
              <w:rPr>
                <w:rFonts w:ascii="Verdana" w:eastAsia="Times" w:hAnsi="Verdana"/>
              </w:rPr>
            </w:pPr>
            <w:r w:rsidRPr="00354E72">
              <w:rPr>
                <w:rFonts w:ascii="Verdana" w:eastAsia="Times" w:hAnsi="Verdana"/>
              </w:rPr>
              <w:t>Ongoing training</w:t>
            </w:r>
          </w:p>
        </w:tc>
        <w:tc>
          <w:tcPr>
            <w:tcW w:w="2561" w:type="dxa"/>
            <w:shd w:val="clear" w:color="auto" w:fill="F2F2F2" w:themeFill="background2" w:themeFillShade="F2"/>
          </w:tcPr>
          <w:p w:rsidR="00216955" w:rsidRPr="00354E72" w:rsidRDefault="006A6AC9" w:rsidP="007004E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$2</w:t>
            </w:r>
            <w:r w:rsidR="007004E5">
              <w:rPr>
                <w:rFonts w:ascii="Verdana" w:eastAsia="Times" w:hAnsi="Verdana"/>
              </w:rPr>
              <w:t>,</w:t>
            </w:r>
            <w:r w:rsidRPr="00354E72">
              <w:rPr>
                <w:rFonts w:ascii="Verdana" w:eastAsia="Times" w:hAnsi="Verdana"/>
              </w:rPr>
              <w:t>256</w:t>
            </w:r>
          </w:p>
        </w:tc>
        <w:tc>
          <w:tcPr>
            <w:tcW w:w="2278" w:type="dxa"/>
            <w:shd w:val="clear" w:color="auto" w:fill="F2F2F2" w:themeFill="background2" w:themeFillShade="F2"/>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$7,748</w:t>
            </w:r>
          </w:p>
        </w:tc>
        <w:tc>
          <w:tcPr>
            <w:tcW w:w="1998" w:type="dxa"/>
            <w:shd w:val="clear" w:color="auto" w:fill="F2F2F2" w:themeFill="background2" w:themeFillShade="F2"/>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$10,004</w:t>
            </w:r>
          </w:p>
        </w:tc>
      </w:tr>
      <w:tr w:rsidR="00216955" w:rsidTr="007B75B1">
        <w:trPr>
          <w:trHeight w:val="529"/>
        </w:trPr>
        <w:tc>
          <w:tcPr>
            <w:cnfStyle w:val="001000000000" w:firstRow="0" w:lastRow="0" w:firstColumn="1" w:lastColumn="0" w:oddVBand="0" w:evenVBand="0" w:oddHBand="0" w:evenHBand="0" w:firstRowFirstColumn="0" w:firstRowLastColumn="0" w:lastRowFirstColumn="0" w:lastRowLastColumn="0"/>
            <w:tcW w:w="2562" w:type="dxa"/>
          </w:tcPr>
          <w:p w:rsidR="00216955" w:rsidRPr="00354E72" w:rsidRDefault="00216955" w:rsidP="00216955">
            <w:pPr>
              <w:rPr>
                <w:rFonts w:ascii="Verdana" w:eastAsia="Times" w:hAnsi="Verdana"/>
              </w:rPr>
            </w:pPr>
            <w:r w:rsidRPr="00354E72">
              <w:rPr>
                <w:rFonts w:ascii="Verdana" w:eastAsia="Times" w:hAnsi="Verdana"/>
              </w:rPr>
              <w:t>Requests to share information</w:t>
            </w:r>
          </w:p>
        </w:tc>
        <w:tc>
          <w:tcPr>
            <w:tcW w:w="2561" w:type="dxa"/>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$35,973</w:t>
            </w:r>
          </w:p>
        </w:tc>
        <w:tc>
          <w:tcPr>
            <w:tcW w:w="2278" w:type="dxa"/>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$16,332</w:t>
            </w:r>
          </w:p>
        </w:tc>
        <w:tc>
          <w:tcPr>
            <w:tcW w:w="1998" w:type="dxa"/>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$52,306</w:t>
            </w:r>
          </w:p>
        </w:tc>
      </w:tr>
      <w:tr w:rsidR="00216955"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tcPr>
          <w:p w:rsidR="00216955" w:rsidRPr="00354E72" w:rsidRDefault="00216955" w:rsidP="00216955">
            <w:pPr>
              <w:rPr>
                <w:rFonts w:ascii="Verdana" w:eastAsia="Times" w:hAnsi="Verdana"/>
              </w:rPr>
            </w:pPr>
            <w:r w:rsidRPr="00354E72">
              <w:rPr>
                <w:rFonts w:ascii="Verdana" w:eastAsia="Times" w:hAnsi="Verdana"/>
              </w:rPr>
              <w:t>Responses to requests</w:t>
            </w:r>
          </w:p>
        </w:tc>
        <w:tc>
          <w:tcPr>
            <w:tcW w:w="2561" w:type="dxa"/>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$26,367</w:t>
            </w:r>
          </w:p>
        </w:tc>
        <w:tc>
          <w:tcPr>
            <w:tcW w:w="2278" w:type="dxa"/>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$16,162</w:t>
            </w:r>
          </w:p>
        </w:tc>
        <w:tc>
          <w:tcPr>
            <w:tcW w:w="1998" w:type="dxa"/>
          </w:tcPr>
          <w:p w:rsidR="00216955" w:rsidRPr="00354E72" w:rsidRDefault="006A6AC9" w:rsidP="0021695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$42,529</w:t>
            </w:r>
          </w:p>
        </w:tc>
      </w:tr>
      <w:tr w:rsidR="002B78F5"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tcPr>
          <w:p w:rsidR="002B78F5" w:rsidRPr="00354E72" w:rsidRDefault="007004E5" w:rsidP="002B78F5">
            <w:pPr>
              <w:rPr>
                <w:rFonts w:ascii="Verdana" w:eastAsia="Times" w:hAnsi="Verdana"/>
              </w:rPr>
            </w:pPr>
            <w:r>
              <w:rPr>
                <w:rFonts w:ascii="Verdana" w:eastAsia="Times" w:hAnsi="Verdana"/>
              </w:rPr>
              <w:t>Record k</w:t>
            </w:r>
            <w:r w:rsidR="002B78F5" w:rsidRPr="00354E72">
              <w:rPr>
                <w:rFonts w:ascii="Verdana" w:eastAsia="Times" w:hAnsi="Verdana"/>
              </w:rPr>
              <w:t xml:space="preserve">eeping </w:t>
            </w:r>
          </w:p>
        </w:tc>
        <w:tc>
          <w:tcPr>
            <w:tcW w:w="2561" w:type="dxa"/>
          </w:tcPr>
          <w:p w:rsidR="002B78F5" w:rsidRPr="00354E72" w:rsidRDefault="00F040D7"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$29,65</w:t>
            </w:r>
            <w:r w:rsidR="002B78F5" w:rsidRPr="00354E72">
              <w:rPr>
                <w:rFonts w:ascii="Verdana" w:eastAsia="Times" w:hAnsi="Verdana"/>
              </w:rPr>
              <w:t>2</w:t>
            </w:r>
          </w:p>
        </w:tc>
        <w:tc>
          <w:tcPr>
            <w:tcW w:w="2278" w:type="dxa"/>
          </w:tcPr>
          <w:p w:rsidR="002B78F5" w:rsidRPr="00354E72"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$19,143</w:t>
            </w:r>
          </w:p>
        </w:tc>
        <w:tc>
          <w:tcPr>
            <w:tcW w:w="1998" w:type="dxa"/>
          </w:tcPr>
          <w:p w:rsidR="002B78F5" w:rsidRPr="00354E72"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$48,796</w:t>
            </w:r>
          </w:p>
        </w:tc>
      </w:tr>
      <w:tr w:rsidR="002B78F5" w:rsidTr="007B75B1">
        <w:trPr>
          <w:trHeight w:val="263"/>
        </w:trPr>
        <w:tc>
          <w:tcPr>
            <w:cnfStyle w:val="001000000000" w:firstRow="0" w:lastRow="0" w:firstColumn="1" w:lastColumn="0" w:oddVBand="0" w:evenVBand="0" w:oddHBand="0" w:evenHBand="0" w:firstRowFirstColumn="0" w:firstRowLastColumn="0" w:lastRowFirstColumn="0" w:lastRowLastColumn="0"/>
            <w:tcW w:w="2562" w:type="dxa"/>
          </w:tcPr>
          <w:p w:rsidR="002B78F5" w:rsidRPr="00354E72" w:rsidRDefault="007004E5" w:rsidP="002B78F5">
            <w:pPr>
              <w:rPr>
                <w:rFonts w:ascii="Verdana" w:eastAsia="Times" w:hAnsi="Verdana"/>
              </w:rPr>
            </w:pPr>
            <w:r>
              <w:rPr>
                <w:rFonts w:ascii="Verdana" w:eastAsia="Times" w:hAnsi="Verdana"/>
              </w:rPr>
              <w:t>Total c</w:t>
            </w:r>
            <w:r w:rsidR="002B78F5" w:rsidRPr="00354E72">
              <w:rPr>
                <w:rFonts w:ascii="Verdana" w:eastAsia="Times" w:hAnsi="Verdana"/>
              </w:rPr>
              <w:t>osts</w:t>
            </w:r>
          </w:p>
        </w:tc>
        <w:tc>
          <w:tcPr>
            <w:tcW w:w="2561" w:type="dxa"/>
          </w:tcPr>
          <w:p w:rsidR="002B78F5" w:rsidRPr="00354E72" w:rsidRDefault="00F040D7"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$101,133</w:t>
            </w:r>
          </w:p>
        </w:tc>
        <w:tc>
          <w:tcPr>
            <w:tcW w:w="2278" w:type="dxa"/>
          </w:tcPr>
          <w:p w:rsidR="002B78F5" w:rsidRPr="00354E72" w:rsidRDefault="00F040D7"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$80,462</w:t>
            </w:r>
          </w:p>
        </w:tc>
        <w:tc>
          <w:tcPr>
            <w:tcW w:w="1998" w:type="dxa"/>
          </w:tcPr>
          <w:p w:rsidR="002B78F5" w:rsidRPr="00354E72"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354E72">
              <w:rPr>
                <w:rFonts w:ascii="Verdana" w:eastAsia="Times" w:hAnsi="Verdana"/>
              </w:rPr>
              <w:t>$181,595</w:t>
            </w:r>
          </w:p>
        </w:tc>
      </w:tr>
      <w:tr w:rsidR="002B78F5" w:rsidTr="007B75B1">
        <w:trPr>
          <w:trHeight w:val="247"/>
        </w:trPr>
        <w:tc>
          <w:tcPr>
            <w:cnfStyle w:val="001000000000" w:firstRow="0" w:lastRow="0" w:firstColumn="1" w:lastColumn="0" w:oddVBand="0" w:evenVBand="0" w:oddHBand="0" w:evenHBand="0" w:firstRowFirstColumn="0" w:firstRowLastColumn="0" w:lastRowFirstColumn="0" w:lastRowLastColumn="0"/>
            <w:tcW w:w="9399" w:type="dxa"/>
            <w:gridSpan w:val="4"/>
          </w:tcPr>
          <w:p w:rsidR="002B78F5" w:rsidRPr="00792DC3" w:rsidRDefault="002B78F5" w:rsidP="002B78F5">
            <w:pPr>
              <w:rPr>
                <w:rFonts w:ascii="Verdana" w:eastAsia="Times" w:hAnsi="Verdana"/>
                <w:i/>
                <w:sz w:val="16"/>
                <w:szCs w:val="16"/>
              </w:rPr>
            </w:pPr>
            <w:r w:rsidRPr="00792DC3">
              <w:rPr>
                <w:rFonts w:ascii="Verdana" w:hAnsi="Verdana"/>
                <w:i/>
                <w:sz w:val="16"/>
                <w:szCs w:val="16"/>
              </w:rPr>
              <w:t>Source: ACIL Allen Consulting 2019</w:t>
            </w:r>
          </w:p>
        </w:tc>
      </w:tr>
    </w:tbl>
    <w:p w:rsidR="00216955" w:rsidRPr="00B14184" w:rsidRDefault="00C650B2" w:rsidP="00C650B2">
      <w:pPr>
        <w:pStyle w:val="Heading3"/>
        <w:rPr>
          <w:rFonts w:ascii="Verdana" w:hAnsi="Verdana"/>
        </w:rPr>
      </w:pPr>
      <w:r w:rsidRPr="00B14184">
        <w:rPr>
          <w:rFonts w:ascii="Verdana" w:hAnsi="Verdana"/>
        </w:rPr>
        <w:t>Average costs per organisation</w:t>
      </w:r>
    </w:p>
    <w:p w:rsidR="00AF7065" w:rsidRPr="00AF7065" w:rsidRDefault="00AF7065" w:rsidP="00AF7065">
      <w:pPr>
        <w:pStyle w:val="WOVGbody"/>
        <w:rPr>
          <w:rFonts w:ascii="Verdana" w:hAnsi="Verdana"/>
        </w:rPr>
      </w:pPr>
      <w:r w:rsidRPr="00AF7065">
        <w:rPr>
          <w:rFonts w:ascii="Verdana" w:hAnsi="Verdana"/>
        </w:rPr>
        <w:t xml:space="preserve">The per organisation estimated cost impact of the </w:t>
      </w:r>
      <w:r w:rsidR="000445EB">
        <w:rPr>
          <w:rFonts w:ascii="Verdana" w:hAnsi="Verdana"/>
        </w:rPr>
        <w:t xml:space="preserve">proposed Amendment </w:t>
      </w:r>
      <w:r w:rsidRPr="00AF7065">
        <w:rPr>
          <w:rFonts w:ascii="Verdana" w:hAnsi="Verdana"/>
        </w:rPr>
        <w:t xml:space="preserve">Regulations on </w:t>
      </w:r>
      <w:r w:rsidR="00F366F5">
        <w:rPr>
          <w:rFonts w:ascii="Verdana" w:hAnsi="Verdana"/>
        </w:rPr>
        <w:t>Phase Two</w:t>
      </w:r>
      <w:r w:rsidRPr="00AF7065">
        <w:rPr>
          <w:rFonts w:ascii="Verdana" w:hAnsi="Verdana"/>
        </w:rPr>
        <w:t xml:space="preserve"> workforces over a 10-year period is expected to be $24,277 (see </w:t>
      </w:r>
      <w:r>
        <w:rPr>
          <w:rFonts w:ascii="Verdana" w:hAnsi="Verdana"/>
        </w:rPr>
        <w:t>table below</w:t>
      </w:r>
      <w:r w:rsidRPr="00AF7065">
        <w:rPr>
          <w:rFonts w:ascii="Verdana" w:hAnsi="Verdana"/>
        </w:rPr>
        <w:t>). The 10-year cost impact pe</w:t>
      </w:r>
      <w:r w:rsidR="004615F7">
        <w:rPr>
          <w:rFonts w:ascii="Verdana" w:hAnsi="Verdana"/>
        </w:rPr>
        <w:t>r organisation differs between g</w:t>
      </w:r>
      <w:r w:rsidRPr="00AF7065">
        <w:rPr>
          <w:rFonts w:ascii="Verdana" w:hAnsi="Verdana"/>
        </w:rPr>
        <w:t xml:space="preserve">overnment </w:t>
      </w:r>
      <w:r w:rsidR="004615F7">
        <w:rPr>
          <w:rFonts w:ascii="Verdana" w:hAnsi="Verdana"/>
        </w:rPr>
        <w:t>organisation</w:t>
      </w:r>
      <w:r w:rsidR="007004E5">
        <w:rPr>
          <w:rFonts w:ascii="Verdana" w:hAnsi="Verdana"/>
        </w:rPr>
        <w:t>s</w:t>
      </w:r>
      <w:r w:rsidR="00D05C97">
        <w:rPr>
          <w:rFonts w:ascii="Verdana" w:hAnsi="Verdana"/>
        </w:rPr>
        <w:t xml:space="preserve"> ($59</w:t>
      </w:r>
      <w:r w:rsidR="004615F7">
        <w:rPr>
          <w:rFonts w:ascii="Verdana" w:hAnsi="Verdana"/>
        </w:rPr>
        <w:t>,</w:t>
      </w:r>
      <w:r w:rsidR="00D05C97">
        <w:rPr>
          <w:rFonts w:ascii="Verdana" w:hAnsi="Verdana"/>
        </w:rPr>
        <w:t>948</w:t>
      </w:r>
      <w:r w:rsidR="004615F7">
        <w:rPr>
          <w:rFonts w:ascii="Verdana" w:hAnsi="Verdana"/>
        </w:rPr>
        <w:t>) and non-g</w:t>
      </w:r>
      <w:r w:rsidRPr="00AF7065">
        <w:rPr>
          <w:rFonts w:ascii="Verdana" w:hAnsi="Verdana"/>
        </w:rPr>
        <w:t>ov</w:t>
      </w:r>
      <w:r w:rsidR="003718AF">
        <w:rPr>
          <w:rFonts w:ascii="Verdana" w:hAnsi="Verdana"/>
        </w:rPr>
        <w:t>ernment organisation ($13,687), largely a reflection of differences in the average size of organisations within each sector, as defined in this RIS.</w:t>
      </w:r>
    </w:p>
    <w:p w:rsidR="00AF7065" w:rsidRPr="00AF7065" w:rsidRDefault="00AF7065" w:rsidP="00AF7065">
      <w:pPr>
        <w:pStyle w:val="WOVGbody"/>
        <w:rPr>
          <w:rFonts w:ascii="Verdana" w:hAnsi="Verdana"/>
        </w:rPr>
      </w:pPr>
      <w:r w:rsidRPr="00AF7065">
        <w:rPr>
          <w:rFonts w:ascii="Verdana" w:hAnsi="Verdana"/>
        </w:rPr>
        <w:t>In 2020, the upfront costs to the workforce include updates to their policies totalling $2,430 on average per organisation and upfront training costs of $1,308 per organisation. By 2022, the estimated ongoing annual costs per organisation in 2019 dollars will include ongoing training, requests, responses to requests and record keeping totalling $2,177 per annum per organisation.</w:t>
      </w:r>
    </w:p>
    <w:p w:rsidR="00AF7065" w:rsidRPr="00557AD1" w:rsidRDefault="00FB4855" w:rsidP="00557AD1">
      <w:pPr>
        <w:pStyle w:val="WOVGbody"/>
        <w:rPr>
          <w:rFonts w:ascii="Verdana" w:hAnsi="Verdana"/>
          <w:b/>
        </w:rPr>
      </w:pPr>
      <w:r>
        <w:rPr>
          <w:rFonts w:ascii="Verdana" w:hAnsi="Verdana"/>
          <w:b/>
        </w:rPr>
        <w:t>Table 6.4</w:t>
      </w:r>
      <w:r w:rsidR="006641FF">
        <w:rPr>
          <w:rFonts w:ascii="Verdana" w:hAnsi="Verdana"/>
          <w:b/>
        </w:rPr>
        <w:t xml:space="preserve"> </w:t>
      </w:r>
      <w:r w:rsidR="00540CA7" w:rsidRPr="000303C3">
        <w:rPr>
          <w:rFonts w:ascii="Verdana" w:hAnsi="Verdana"/>
          <w:b/>
        </w:rPr>
        <w:t>Average per organisation</w:t>
      </w:r>
      <w:r w:rsidR="00540CA7" w:rsidRPr="00557AD1">
        <w:rPr>
          <w:rFonts w:ascii="Verdana" w:hAnsi="Verdana"/>
          <w:b/>
        </w:rPr>
        <w:t xml:space="preserve"> </w:t>
      </w:r>
      <w:r w:rsidR="00540CA7" w:rsidRPr="00331E1F">
        <w:rPr>
          <w:rFonts w:ascii="Verdana" w:hAnsi="Verdana"/>
          <w:b/>
        </w:rPr>
        <w:t>c</w:t>
      </w:r>
      <w:r w:rsidR="00D00821" w:rsidRPr="00331E1F">
        <w:rPr>
          <w:rFonts w:ascii="Verdana" w:hAnsi="Verdana"/>
          <w:b/>
        </w:rPr>
        <w:t>ost</w:t>
      </w:r>
      <w:r w:rsidR="00540CA7" w:rsidRPr="00331E1F">
        <w:rPr>
          <w:rFonts w:ascii="Verdana" w:hAnsi="Verdana"/>
          <w:b/>
        </w:rPr>
        <w:t>, 10 year total</w:t>
      </w:r>
      <w:r w:rsidR="00331E1F" w:rsidRPr="00331E1F">
        <w:rPr>
          <w:rFonts w:ascii="Verdana" w:hAnsi="Verdana"/>
          <w:b/>
        </w:rPr>
        <w:t>s</w:t>
      </w:r>
    </w:p>
    <w:tbl>
      <w:tblPr>
        <w:tblStyle w:val="TableGrid"/>
        <w:tblW w:w="9356" w:type="dxa"/>
        <w:tblLayout w:type="fixed"/>
        <w:tblLook w:val="04A0" w:firstRow="1" w:lastRow="0" w:firstColumn="1" w:lastColumn="0" w:noHBand="0" w:noVBand="1"/>
      </w:tblPr>
      <w:tblGrid>
        <w:gridCol w:w="2884"/>
        <w:gridCol w:w="2392"/>
        <w:gridCol w:w="2393"/>
        <w:gridCol w:w="1687"/>
      </w:tblGrid>
      <w:tr w:rsidR="00D00821" w:rsidTr="007B75B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84" w:type="dxa"/>
            <w:tcBorders>
              <w:right w:val="single" w:sz="4" w:space="0" w:color="auto"/>
            </w:tcBorders>
          </w:tcPr>
          <w:p w:rsidR="00D00821" w:rsidRPr="00E856D9" w:rsidRDefault="00D00821" w:rsidP="00D00821">
            <w:pPr>
              <w:rPr>
                <w:rFonts w:ascii="Verdana" w:eastAsia="Times" w:hAnsi="Verdana"/>
              </w:rPr>
            </w:pPr>
            <w:r w:rsidRPr="00E856D9">
              <w:rPr>
                <w:rFonts w:ascii="Verdana" w:eastAsia="Times" w:hAnsi="Verdana"/>
                <w:color w:val="FFFFFF" w:themeColor="background1"/>
              </w:rPr>
              <w:t>Cost Category</w:t>
            </w:r>
          </w:p>
        </w:tc>
        <w:tc>
          <w:tcPr>
            <w:tcW w:w="2392" w:type="dxa"/>
            <w:tcBorders>
              <w:left w:val="single" w:sz="4" w:space="0" w:color="auto"/>
              <w:right w:val="single" w:sz="4" w:space="0" w:color="auto"/>
            </w:tcBorders>
          </w:tcPr>
          <w:p w:rsidR="00D00821" w:rsidRPr="00E856D9" w:rsidRDefault="00D00821" w:rsidP="00D00821">
            <w:pPr>
              <w:cnfStyle w:val="100000000000" w:firstRow="1"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color w:val="FFFFFF" w:themeColor="background1"/>
              </w:rPr>
              <w:t xml:space="preserve">Government </w:t>
            </w:r>
          </w:p>
        </w:tc>
        <w:tc>
          <w:tcPr>
            <w:tcW w:w="2393" w:type="dxa"/>
            <w:tcBorders>
              <w:left w:val="single" w:sz="4" w:space="0" w:color="auto"/>
              <w:right w:val="single" w:sz="4" w:space="0" w:color="auto"/>
            </w:tcBorders>
          </w:tcPr>
          <w:p w:rsidR="00D00821" w:rsidRPr="00E856D9" w:rsidRDefault="004615F7" w:rsidP="00D00821">
            <w:pPr>
              <w:cnfStyle w:val="100000000000" w:firstRow="1"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color w:val="FFFFFF" w:themeColor="background1"/>
              </w:rPr>
              <w:t>Non-g</w:t>
            </w:r>
            <w:r w:rsidR="00D00821" w:rsidRPr="00E856D9">
              <w:rPr>
                <w:rFonts w:ascii="Verdana" w:eastAsia="Times" w:hAnsi="Verdana"/>
                <w:color w:val="FFFFFF" w:themeColor="background1"/>
              </w:rPr>
              <w:t>overnment</w:t>
            </w:r>
          </w:p>
        </w:tc>
        <w:tc>
          <w:tcPr>
            <w:tcW w:w="1687" w:type="dxa"/>
            <w:tcBorders>
              <w:left w:val="single" w:sz="4" w:space="0" w:color="auto"/>
              <w:right w:val="single" w:sz="4" w:space="0" w:color="auto"/>
            </w:tcBorders>
          </w:tcPr>
          <w:p w:rsidR="00D00821" w:rsidRPr="00E856D9" w:rsidRDefault="00D00821" w:rsidP="00D00821">
            <w:pPr>
              <w:cnfStyle w:val="100000000000" w:firstRow="1"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color w:val="FFFFFF" w:themeColor="background1"/>
              </w:rPr>
              <w:t>Total</w:t>
            </w:r>
          </w:p>
        </w:tc>
      </w:tr>
      <w:tr w:rsidR="00D00821" w:rsidTr="007B75B1">
        <w:trPr>
          <w:trHeight w:val="254"/>
        </w:trPr>
        <w:tc>
          <w:tcPr>
            <w:cnfStyle w:val="001000000000" w:firstRow="0" w:lastRow="0" w:firstColumn="1" w:lastColumn="0" w:oddVBand="0" w:evenVBand="0" w:oddHBand="0" w:evenHBand="0" w:firstRowFirstColumn="0" w:firstRowLastColumn="0" w:lastRowFirstColumn="0" w:lastRowLastColumn="0"/>
            <w:tcW w:w="2884" w:type="dxa"/>
            <w:shd w:val="clear" w:color="auto" w:fill="00848F"/>
          </w:tcPr>
          <w:p w:rsidR="00D00821" w:rsidRPr="00E856D9" w:rsidRDefault="00D00821" w:rsidP="00D00821">
            <w:pPr>
              <w:rPr>
                <w:rFonts w:ascii="Verdana" w:eastAsia="Times" w:hAnsi="Verdana"/>
              </w:rPr>
            </w:pPr>
            <w:r w:rsidRPr="00E856D9">
              <w:rPr>
                <w:rFonts w:ascii="Verdana" w:eastAsia="Times" w:hAnsi="Verdana"/>
                <w:color w:val="FFFFFF" w:themeColor="background1"/>
              </w:rPr>
              <w:t>Upfront costs (2020)</w:t>
            </w:r>
          </w:p>
        </w:tc>
        <w:tc>
          <w:tcPr>
            <w:tcW w:w="2392" w:type="dxa"/>
            <w:shd w:val="clear" w:color="auto" w:fill="00848F"/>
          </w:tcPr>
          <w:p w:rsidR="00D00821" w:rsidRPr="00E856D9" w:rsidRDefault="00D00821"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color w:val="FFFFFF" w:themeColor="background1"/>
              </w:rPr>
              <w:t>$</w:t>
            </w:r>
          </w:p>
        </w:tc>
        <w:tc>
          <w:tcPr>
            <w:tcW w:w="2393" w:type="dxa"/>
            <w:shd w:val="clear" w:color="auto" w:fill="00848F"/>
          </w:tcPr>
          <w:p w:rsidR="00D00821" w:rsidRPr="00E856D9" w:rsidRDefault="00D00821"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color w:val="FFFFFF" w:themeColor="background1"/>
              </w:rPr>
              <w:t>$</w:t>
            </w:r>
          </w:p>
        </w:tc>
        <w:tc>
          <w:tcPr>
            <w:tcW w:w="1687" w:type="dxa"/>
            <w:shd w:val="clear" w:color="auto" w:fill="00848F"/>
          </w:tcPr>
          <w:p w:rsidR="00D00821" w:rsidRPr="00E856D9" w:rsidRDefault="00D00821"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color w:val="FFFFFF" w:themeColor="background1"/>
              </w:rPr>
              <w:t>$</w:t>
            </w:r>
          </w:p>
        </w:tc>
      </w:tr>
      <w:tr w:rsidR="00D00821" w:rsidTr="007B75B1">
        <w:trPr>
          <w:trHeight w:val="254"/>
        </w:trPr>
        <w:tc>
          <w:tcPr>
            <w:cnfStyle w:val="001000000000" w:firstRow="0" w:lastRow="0" w:firstColumn="1" w:lastColumn="0" w:oddVBand="0" w:evenVBand="0" w:oddHBand="0" w:evenHBand="0" w:firstRowFirstColumn="0" w:firstRowLastColumn="0" w:lastRowFirstColumn="0" w:lastRowLastColumn="0"/>
            <w:tcW w:w="2884" w:type="dxa"/>
          </w:tcPr>
          <w:p w:rsidR="00D00821" w:rsidRPr="00E856D9" w:rsidRDefault="00C25458" w:rsidP="00D00821">
            <w:pPr>
              <w:rPr>
                <w:rFonts w:ascii="Verdana" w:eastAsia="Times" w:hAnsi="Verdana"/>
              </w:rPr>
            </w:pPr>
            <w:r w:rsidRPr="00E856D9">
              <w:rPr>
                <w:rFonts w:ascii="Verdana" w:eastAsia="Times" w:hAnsi="Verdana"/>
              </w:rPr>
              <w:t>Update policies</w:t>
            </w:r>
          </w:p>
        </w:tc>
        <w:tc>
          <w:tcPr>
            <w:tcW w:w="2392"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$2,772</w:t>
            </w:r>
          </w:p>
        </w:tc>
        <w:tc>
          <w:tcPr>
            <w:tcW w:w="2393"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$2,330</w:t>
            </w:r>
          </w:p>
        </w:tc>
        <w:tc>
          <w:tcPr>
            <w:tcW w:w="1687"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$2,430</w:t>
            </w:r>
          </w:p>
        </w:tc>
      </w:tr>
      <w:tr w:rsidR="00D00821" w:rsidTr="007B75B1">
        <w:trPr>
          <w:trHeight w:val="238"/>
        </w:trPr>
        <w:tc>
          <w:tcPr>
            <w:cnfStyle w:val="001000000000" w:firstRow="0" w:lastRow="0" w:firstColumn="1" w:lastColumn="0" w:oddVBand="0" w:evenVBand="0" w:oddHBand="0" w:evenHBand="0" w:firstRowFirstColumn="0" w:firstRowLastColumn="0" w:lastRowFirstColumn="0" w:lastRowLastColumn="0"/>
            <w:tcW w:w="2884" w:type="dxa"/>
          </w:tcPr>
          <w:p w:rsidR="00D00821" w:rsidRPr="00E856D9" w:rsidRDefault="00C25458" w:rsidP="00D00821">
            <w:pPr>
              <w:rPr>
                <w:rFonts w:ascii="Verdana" w:eastAsia="Times" w:hAnsi="Verdana"/>
              </w:rPr>
            </w:pPr>
            <w:r w:rsidRPr="00E856D9">
              <w:rPr>
                <w:rFonts w:ascii="Verdana" w:eastAsia="Times" w:hAnsi="Verdana"/>
              </w:rPr>
              <w:t>Upfront training</w:t>
            </w:r>
          </w:p>
        </w:tc>
        <w:tc>
          <w:tcPr>
            <w:tcW w:w="2392"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$1,308</w:t>
            </w:r>
          </w:p>
        </w:tc>
        <w:tc>
          <w:tcPr>
            <w:tcW w:w="2393"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$1,308</w:t>
            </w:r>
          </w:p>
        </w:tc>
        <w:tc>
          <w:tcPr>
            <w:tcW w:w="1687"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$1,308</w:t>
            </w:r>
          </w:p>
        </w:tc>
      </w:tr>
      <w:tr w:rsidR="00D00821" w:rsidTr="007B75B1">
        <w:trPr>
          <w:trHeight w:val="524"/>
        </w:trPr>
        <w:tc>
          <w:tcPr>
            <w:cnfStyle w:val="001000000000" w:firstRow="0" w:lastRow="0" w:firstColumn="1" w:lastColumn="0" w:oddVBand="0" w:evenVBand="0" w:oddHBand="0" w:evenHBand="0" w:firstRowFirstColumn="0" w:firstRowLastColumn="0" w:lastRowFirstColumn="0" w:lastRowLastColumn="0"/>
            <w:tcW w:w="2884" w:type="dxa"/>
            <w:shd w:val="clear" w:color="auto" w:fill="00848F"/>
          </w:tcPr>
          <w:p w:rsidR="00D00821" w:rsidRPr="00E856D9" w:rsidRDefault="00C25458" w:rsidP="00D00821">
            <w:pPr>
              <w:rPr>
                <w:rFonts w:ascii="Verdana" w:eastAsia="Times" w:hAnsi="Verdana"/>
                <w:color w:val="FFFFFF" w:themeColor="background1"/>
              </w:rPr>
            </w:pPr>
            <w:r w:rsidRPr="00E856D9">
              <w:rPr>
                <w:rFonts w:ascii="Verdana" w:eastAsia="Times" w:hAnsi="Verdana"/>
                <w:color w:val="FFFFFF" w:themeColor="background1"/>
              </w:rPr>
              <w:t>Ongoing annual costs (from 2022)</w:t>
            </w:r>
          </w:p>
        </w:tc>
        <w:tc>
          <w:tcPr>
            <w:tcW w:w="2392" w:type="dxa"/>
            <w:shd w:val="clear" w:color="auto" w:fill="00848F"/>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E856D9">
              <w:rPr>
                <w:rFonts w:ascii="Verdana" w:eastAsia="Times" w:hAnsi="Verdana"/>
                <w:color w:val="FFFFFF" w:themeColor="background1"/>
              </w:rPr>
              <w:t>$</w:t>
            </w:r>
          </w:p>
        </w:tc>
        <w:tc>
          <w:tcPr>
            <w:tcW w:w="2393" w:type="dxa"/>
            <w:shd w:val="clear" w:color="auto" w:fill="00848F"/>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E856D9">
              <w:rPr>
                <w:rFonts w:ascii="Verdana" w:eastAsia="Times" w:hAnsi="Verdana"/>
                <w:color w:val="FFFFFF" w:themeColor="background1"/>
              </w:rPr>
              <w:t>$</w:t>
            </w:r>
          </w:p>
        </w:tc>
        <w:tc>
          <w:tcPr>
            <w:tcW w:w="1687" w:type="dxa"/>
            <w:shd w:val="clear" w:color="auto" w:fill="00848F"/>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color w:val="FFFFFF" w:themeColor="background1"/>
              </w:rPr>
            </w:pPr>
            <w:r w:rsidRPr="00E856D9">
              <w:rPr>
                <w:rFonts w:ascii="Verdana" w:eastAsia="Times" w:hAnsi="Verdana"/>
                <w:color w:val="FFFFFF" w:themeColor="background1"/>
              </w:rPr>
              <w:t>$</w:t>
            </w:r>
          </w:p>
        </w:tc>
      </w:tr>
      <w:tr w:rsidR="00D00821" w:rsidTr="007B75B1">
        <w:trPr>
          <w:trHeight w:val="238"/>
        </w:trPr>
        <w:tc>
          <w:tcPr>
            <w:cnfStyle w:val="001000000000" w:firstRow="0" w:lastRow="0" w:firstColumn="1" w:lastColumn="0" w:oddVBand="0" w:evenVBand="0" w:oddHBand="0" w:evenHBand="0" w:firstRowFirstColumn="0" w:firstRowLastColumn="0" w:lastRowFirstColumn="0" w:lastRowLastColumn="0"/>
            <w:tcW w:w="2884" w:type="dxa"/>
          </w:tcPr>
          <w:p w:rsidR="00D00821" w:rsidRPr="00E856D9" w:rsidRDefault="00C25458" w:rsidP="00D00821">
            <w:pPr>
              <w:rPr>
                <w:rFonts w:ascii="Verdana" w:eastAsia="Times" w:hAnsi="Verdana"/>
              </w:rPr>
            </w:pPr>
            <w:r w:rsidRPr="00E856D9">
              <w:rPr>
                <w:rFonts w:ascii="Verdana" w:eastAsia="Times" w:hAnsi="Verdana"/>
              </w:rPr>
              <w:t>Ongoing training</w:t>
            </w:r>
          </w:p>
        </w:tc>
        <w:tc>
          <w:tcPr>
            <w:tcW w:w="2392"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$169</w:t>
            </w:r>
          </w:p>
        </w:tc>
        <w:tc>
          <w:tcPr>
            <w:tcW w:w="2393"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$169</w:t>
            </w:r>
          </w:p>
        </w:tc>
        <w:tc>
          <w:tcPr>
            <w:tcW w:w="1687"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$169</w:t>
            </w:r>
          </w:p>
        </w:tc>
      </w:tr>
      <w:tr w:rsidR="00D00821" w:rsidTr="007B75B1">
        <w:trPr>
          <w:trHeight w:val="254"/>
        </w:trPr>
        <w:tc>
          <w:tcPr>
            <w:cnfStyle w:val="001000000000" w:firstRow="0" w:lastRow="0" w:firstColumn="1" w:lastColumn="0" w:oddVBand="0" w:evenVBand="0" w:oddHBand="0" w:evenHBand="0" w:firstRowFirstColumn="0" w:firstRowLastColumn="0" w:lastRowFirstColumn="0" w:lastRowLastColumn="0"/>
            <w:tcW w:w="2884" w:type="dxa"/>
          </w:tcPr>
          <w:p w:rsidR="00D00821" w:rsidRPr="00E856D9" w:rsidRDefault="00D05C97" w:rsidP="00D00821">
            <w:pPr>
              <w:rPr>
                <w:rFonts w:ascii="Verdana" w:eastAsia="Times" w:hAnsi="Verdana"/>
              </w:rPr>
            </w:pPr>
            <w:r>
              <w:rPr>
                <w:rFonts w:ascii="Verdana" w:eastAsia="Times" w:hAnsi="Verdana"/>
              </w:rPr>
              <w:t>Request</w:t>
            </w:r>
          </w:p>
        </w:tc>
        <w:tc>
          <w:tcPr>
            <w:tcW w:w="2392"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$2,206</w:t>
            </w:r>
          </w:p>
        </w:tc>
        <w:tc>
          <w:tcPr>
            <w:tcW w:w="2393"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$302</w:t>
            </w:r>
          </w:p>
        </w:tc>
        <w:tc>
          <w:tcPr>
            <w:tcW w:w="1687"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$731</w:t>
            </w:r>
          </w:p>
        </w:tc>
      </w:tr>
      <w:tr w:rsidR="00D00821" w:rsidTr="007B75B1">
        <w:trPr>
          <w:trHeight w:val="254"/>
        </w:trPr>
        <w:tc>
          <w:tcPr>
            <w:cnfStyle w:val="001000000000" w:firstRow="0" w:lastRow="0" w:firstColumn="1" w:lastColumn="0" w:oddVBand="0" w:evenVBand="0" w:oddHBand="0" w:evenHBand="0" w:firstRowFirstColumn="0" w:firstRowLastColumn="0" w:lastRowFirstColumn="0" w:lastRowLastColumn="0"/>
            <w:tcW w:w="2884" w:type="dxa"/>
          </w:tcPr>
          <w:p w:rsidR="00D00821" w:rsidRPr="00E856D9" w:rsidRDefault="00C25458" w:rsidP="00D00821">
            <w:pPr>
              <w:rPr>
                <w:rFonts w:ascii="Verdana" w:eastAsia="Times" w:hAnsi="Verdana"/>
              </w:rPr>
            </w:pPr>
            <w:r w:rsidRPr="00E856D9">
              <w:rPr>
                <w:rFonts w:ascii="Verdana" w:eastAsia="Times" w:hAnsi="Verdana"/>
              </w:rPr>
              <w:t>Respond</w:t>
            </w:r>
          </w:p>
        </w:tc>
        <w:tc>
          <w:tcPr>
            <w:tcW w:w="2392"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$1,622</w:t>
            </w:r>
          </w:p>
        </w:tc>
        <w:tc>
          <w:tcPr>
            <w:tcW w:w="2393"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$289</w:t>
            </w:r>
          </w:p>
        </w:tc>
        <w:tc>
          <w:tcPr>
            <w:tcW w:w="1687" w:type="dxa"/>
          </w:tcPr>
          <w:p w:rsidR="00D00821" w:rsidRPr="00E856D9" w:rsidRDefault="00C25458" w:rsidP="00D0082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$590</w:t>
            </w:r>
          </w:p>
        </w:tc>
      </w:tr>
      <w:tr w:rsidR="002B78F5" w:rsidTr="007B75B1">
        <w:trPr>
          <w:trHeight w:val="254"/>
        </w:trPr>
        <w:tc>
          <w:tcPr>
            <w:cnfStyle w:val="001000000000" w:firstRow="0" w:lastRow="0" w:firstColumn="1" w:lastColumn="0" w:oddVBand="0" w:evenVBand="0" w:oddHBand="0" w:evenHBand="0" w:firstRowFirstColumn="0" w:firstRowLastColumn="0" w:lastRowFirstColumn="0" w:lastRowLastColumn="0"/>
            <w:tcW w:w="2884" w:type="dxa"/>
          </w:tcPr>
          <w:p w:rsidR="002B78F5" w:rsidRPr="00E856D9" w:rsidRDefault="007004E5" w:rsidP="002B78F5">
            <w:pPr>
              <w:rPr>
                <w:rFonts w:ascii="Verdana" w:eastAsia="Times" w:hAnsi="Verdana"/>
              </w:rPr>
            </w:pPr>
            <w:r>
              <w:rPr>
                <w:rFonts w:ascii="Verdana" w:eastAsia="Times" w:hAnsi="Verdana"/>
              </w:rPr>
              <w:t>Record k</w:t>
            </w:r>
            <w:r w:rsidR="002B78F5" w:rsidRPr="00E856D9">
              <w:rPr>
                <w:rFonts w:ascii="Verdana" w:eastAsia="Times" w:hAnsi="Verdana"/>
              </w:rPr>
              <w:t xml:space="preserve">eeping </w:t>
            </w:r>
          </w:p>
        </w:tc>
        <w:tc>
          <w:tcPr>
            <w:tcW w:w="2392"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$1,851</w:t>
            </w:r>
          </w:p>
        </w:tc>
        <w:tc>
          <w:tcPr>
            <w:tcW w:w="2393"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$348</w:t>
            </w:r>
          </w:p>
        </w:tc>
        <w:tc>
          <w:tcPr>
            <w:tcW w:w="1687"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$687</w:t>
            </w:r>
          </w:p>
        </w:tc>
      </w:tr>
      <w:tr w:rsidR="002B78F5" w:rsidTr="007B75B1">
        <w:trPr>
          <w:trHeight w:val="508"/>
        </w:trPr>
        <w:tc>
          <w:tcPr>
            <w:cnfStyle w:val="001000000000" w:firstRow="0" w:lastRow="0" w:firstColumn="1" w:lastColumn="0" w:oddVBand="0" w:evenVBand="0" w:oddHBand="0" w:evenHBand="0" w:firstRowFirstColumn="0" w:firstRowLastColumn="0" w:lastRowFirstColumn="0" w:lastRowLastColumn="0"/>
            <w:tcW w:w="2884" w:type="dxa"/>
          </w:tcPr>
          <w:p w:rsidR="002B78F5" w:rsidRPr="00E856D9" w:rsidRDefault="002B78F5" w:rsidP="002B78F5">
            <w:pPr>
              <w:rPr>
                <w:rFonts w:ascii="Verdana" w:eastAsia="Times" w:hAnsi="Verdana"/>
              </w:rPr>
            </w:pPr>
            <w:r w:rsidRPr="00E856D9">
              <w:rPr>
                <w:rFonts w:ascii="Verdana" w:eastAsia="Times" w:hAnsi="Verdana"/>
              </w:rPr>
              <w:t>Total ongoing annual costs (from 2022)</w:t>
            </w:r>
          </w:p>
        </w:tc>
        <w:tc>
          <w:tcPr>
            <w:tcW w:w="2392"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$5,863</w:t>
            </w:r>
          </w:p>
        </w:tc>
        <w:tc>
          <w:tcPr>
            <w:tcW w:w="2393"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$1,104</w:t>
            </w:r>
          </w:p>
        </w:tc>
        <w:tc>
          <w:tcPr>
            <w:tcW w:w="1687"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$2,177</w:t>
            </w:r>
          </w:p>
        </w:tc>
      </w:tr>
      <w:tr w:rsidR="002B78F5" w:rsidTr="007B75B1">
        <w:trPr>
          <w:trHeight w:val="508"/>
        </w:trPr>
        <w:tc>
          <w:tcPr>
            <w:cnfStyle w:val="001000000000" w:firstRow="0" w:lastRow="0" w:firstColumn="1" w:lastColumn="0" w:oddVBand="0" w:evenVBand="0" w:oddHBand="0" w:evenHBand="0" w:firstRowFirstColumn="0" w:firstRowLastColumn="0" w:lastRowFirstColumn="0" w:lastRowLastColumn="0"/>
            <w:tcW w:w="2884" w:type="dxa"/>
          </w:tcPr>
          <w:p w:rsidR="002B78F5" w:rsidRPr="00E856D9" w:rsidRDefault="002B78F5" w:rsidP="002B78F5">
            <w:pPr>
              <w:rPr>
                <w:rFonts w:ascii="Verdana" w:eastAsia="Times" w:hAnsi="Verdana"/>
              </w:rPr>
            </w:pPr>
            <w:r w:rsidRPr="00E856D9">
              <w:rPr>
                <w:rFonts w:ascii="Verdana" w:eastAsia="Times" w:hAnsi="Verdana"/>
              </w:rPr>
              <w:t>Avg. total 10 year cost per organisation</w:t>
            </w:r>
          </w:p>
        </w:tc>
        <w:tc>
          <w:tcPr>
            <w:tcW w:w="2392" w:type="dxa"/>
          </w:tcPr>
          <w:p w:rsidR="002B78F5" w:rsidRPr="00E856D9" w:rsidRDefault="00483B51" w:rsidP="00483B5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Pr>
                <w:rFonts w:ascii="Verdana" w:eastAsia="Times" w:hAnsi="Verdana"/>
              </w:rPr>
              <w:t>$59</w:t>
            </w:r>
            <w:r w:rsidR="002B78F5" w:rsidRPr="00E856D9">
              <w:rPr>
                <w:rFonts w:ascii="Verdana" w:eastAsia="Times" w:hAnsi="Verdana"/>
              </w:rPr>
              <w:t>,</w:t>
            </w:r>
            <w:r>
              <w:rPr>
                <w:rFonts w:ascii="Verdana" w:eastAsia="Times" w:hAnsi="Verdana"/>
              </w:rPr>
              <w:t>948</w:t>
            </w:r>
          </w:p>
        </w:tc>
        <w:tc>
          <w:tcPr>
            <w:tcW w:w="2393" w:type="dxa"/>
          </w:tcPr>
          <w:p w:rsidR="002B78F5" w:rsidRPr="00E856D9" w:rsidRDefault="002B78F5" w:rsidP="00483B51">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$13,</w:t>
            </w:r>
            <w:r w:rsidR="00483B51">
              <w:rPr>
                <w:rFonts w:ascii="Verdana" w:eastAsia="Times" w:hAnsi="Verdana"/>
              </w:rPr>
              <w:t>890</w:t>
            </w:r>
          </w:p>
        </w:tc>
        <w:tc>
          <w:tcPr>
            <w:tcW w:w="1687" w:type="dxa"/>
          </w:tcPr>
          <w:p w:rsidR="002B78F5" w:rsidRPr="00E856D9" w:rsidRDefault="002B78F5" w:rsidP="002B78F5">
            <w:pPr>
              <w:cnfStyle w:val="000000000000" w:firstRow="0" w:lastRow="0" w:firstColumn="0" w:lastColumn="0" w:oddVBand="0" w:evenVBand="0" w:oddHBand="0" w:evenHBand="0" w:firstRowFirstColumn="0" w:firstRowLastColumn="0" w:lastRowFirstColumn="0" w:lastRowLastColumn="0"/>
              <w:rPr>
                <w:rFonts w:ascii="Verdana" w:eastAsia="Times" w:hAnsi="Verdana"/>
              </w:rPr>
            </w:pPr>
            <w:r w:rsidRPr="00E856D9">
              <w:rPr>
                <w:rFonts w:ascii="Verdana" w:eastAsia="Times" w:hAnsi="Verdana"/>
              </w:rPr>
              <w:t>$24,277</w:t>
            </w:r>
          </w:p>
        </w:tc>
      </w:tr>
      <w:tr w:rsidR="002B78F5" w:rsidTr="007B75B1">
        <w:trPr>
          <w:trHeight w:val="254"/>
        </w:trPr>
        <w:tc>
          <w:tcPr>
            <w:cnfStyle w:val="001000000000" w:firstRow="0" w:lastRow="0" w:firstColumn="1" w:lastColumn="0" w:oddVBand="0" w:evenVBand="0" w:oddHBand="0" w:evenHBand="0" w:firstRowFirstColumn="0" w:firstRowLastColumn="0" w:lastRowFirstColumn="0" w:lastRowLastColumn="0"/>
            <w:tcW w:w="9356" w:type="dxa"/>
            <w:gridSpan w:val="4"/>
          </w:tcPr>
          <w:p w:rsidR="002B78F5" w:rsidRPr="00792DC3" w:rsidRDefault="002B78F5" w:rsidP="002B78F5">
            <w:pPr>
              <w:rPr>
                <w:rFonts w:ascii="Verdana" w:eastAsia="Times" w:hAnsi="Verdana"/>
                <w:sz w:val="16"/>
                <w:szCs w:val="16"/>
              </w:rPr>
            </w:pPr>
            <w:r w:rsidRPr="00792DC3">
              <w:rPr>
                <w:rFonts w:ascii="Verdana" w:hAnsi="Verdana"/>
                <w:i/>
                <w:sz w:val="16"/>
                <w:szCs w:val="16"/>
              </w:rPr>
              <w:t>Source: ACIL Allen Consulting 2019</w:t>
            </w:r>
          </w:p>
        </w:tc>
      </w:tr>
    </w:tbl>
    <w:p w:rsidR="00A15954" w:rsidRDefault="002B10AB" w:rsidP="00BF143A">
      <w:pPr>
        <w:pStyle w:val="Heading3"/>
        <w:rPr>
          <w:rFonts w:ascii="Verdana" w:hAnsi="Verdana"/>
        </w:rPr>
      </w:pPr>
      <w:r>
        <w:rPr>
          <w:rFonts w:ascii="Verdana" w:hAnsi="Verdana"/>
        </w:rPr>
        <w:t>Cost</w:t>
      </w:r>
      <w:r w:rsidR="00A15954">
        <w:rPr>
          <w:rFonts w:ascii="Verdana" w:hAnsi="Verdana"/>
        </w:rPr>
        <w:t xml:space="preserve"> impact</w:t>
      </w:r>
      <w:r w:rsidR="00877130">
        <w:rPr>
          <w:rFonts w:ascii="Verdana" w:hAnsi="Verdana"/>
        </w:rPr>
        <w:t>s</w:t>
      </w:r>
      <w:r w:rsidR="00A15954">
        <w:rPr>
          <w:rFonts w:ascii="Verdana" w:hAnsi="Verdana"/>
        </w:rPr>
        <w:t xml:space="preserve"> by workforce category</w:t>
      </w:r>
    </w:p>
    <w:p w:rsidR="002B10AB" w:rsidRPr="002B10AB" w:rsidRDefault="002B10AB" w:rsidP="002B10AB">
      <w:pPr>
        <w:pStyle w:val="WOVGbody"/>
        <w:rPr>
          <w:rFonts w:ascii="Verdana" w:hAnsi="Verdana"/>
        </w:rPr>
      </w:pPr>
      <w:r>
        <w:rPr>
          <w:rFonts w:ascii="Verdana" w:hAnsi="Verdana"/>
        </w:rPr>
        <w:t xml:space="preserve">ISEs proposed for prescription under Phase Two of the CIS Scheme </w:t>
      </w:r>
      <w:r w:rsidR="006D2095">
        <w:rPr>
          <w:rFonts w:ascii="Verdana" w:hAnsi="Verdana"/>
        </w:rPr>
        <w:t>represent</w:t>
      </w:r>
      <w:r>
        <w:rPr>
          <w:rFonts w:ascii="Verdana" w:hAnsi="Verdana"/>
        </w:rPr>
        <w:t xml:space="preserve"> a broad range of </w:t>
      </w:r>
      <w:r w:rsidR="00DF4480">
        <w:rPr>
          <w:rFonts w:ascii="Verdana" w:hAnsi="Verdana"/>
        </w:rPr>
        <w:t xml:space="preserve">services and </w:t>
      </w:r>
      <w:r>
        <w:rPr>
          <w:rFonts w:ascii="Verdana" w:hAnsi="Verdana"/>
        </w:rPr>
        <w:t xml:space="preserve">workforces, ranging from </w:t>
      </w:r>
      <w:r w:rsidRPr="002B10AB">
        <w:rPr>
          <w:rFonts w:ascii="Verdana" w:hAnsi="Verdana"/>
        </w:rPr>
        <w:t>kindergartens, schools, public hospitals, community health services, GPs, Ambulance Victoria, state funded aged care, community housing, to various gover</w:t>
      </w:r>
      <w:r w:rsidR="003231B8">
        <w:rPr>
          <w:rFonts w:ascii="Verdana" w:hAnsi="Verdana"/>
        </w:rPr>
        <w:t xml:space="preserve">nment organisations such as </w:t>
      </w:r>
      <w:r w:rsidR="004A1C5C">
        <w:rPr>
          <w:rFonts w:ascii="Verdana" w:hAnsi="Verdana"/>
        </w:rPr>
        <w:t>the Victorian Registration and Qualification</w:t>
      </w:r>
      <w:r w:rsidR="007004E5">
        <w:rPr>
          <w:rFonts w:ascii="Verdana" w:hAnsi="Verdana"/>
        </w:rPr>
        <w:t>s</w:t>
      </w:r>
      <w:r w:rsidR="004A1C5C">
        <w:rPr>
          <w:rFonts w:ascii="Verdana" w:hAnsi="Verdana"/>
        </w:rPr>
        <w:t xml:space="preserve"> A</w:t>
      </w:r>
      <w:r w:rsidRPr="002B10AB">
        <w:rPr>
          <w:rFonts w:ascii="Verdana" w:hAnsi="Verdana"/>
        </w:rPr>
        <w:t>uthority</w:t>
      </w:r>
      <w:r w:rsidR="003231B8">
        <w:rPr>
          <w:rFonts w:ascii="Verdana" w:hAnsi="Verdana"/>
        </w:rPr>
        <w:t xml:space="preserve"> and the Dispute Settlement Centre of Victoria</w:t>
      </w:r>
      <w:r w:rsidRPr="002B10AB">
        <w:rPr>
          <w:rFonts w:ascii="Verdana" w:hAnsi="Verdana"/>
        </w:rPr>
        <w:t>.</w:t>
      </w:r>
    </w:p>
    <w:p w:rsidR="002B10AB" w:rsidRPr="002B10AB" w:rsidRDefault="002B10AB" w:rsidP="002B10AB">
      <w:pPr>
        <w:pStyle w:val="WOVGbody"/>
        <w:rPr>
          <w:rFonts w:ascii="Verdana" w:hAnsi="Verdana"/>
        </w:rPr>
      </w:pPr>
      <w:r w:rsidRPr="002B10AB">
        <w:rPr>
          <w:rFonts w:ascii="Verdana" w:hAnsi="Verdana"/>
        </w:rPr>
        <w:lastRenderedPageBreak/>
        <w:t xml:space="preserve">To model the impact on these </w:t>
      </w:r>
      <w:r>
        <w:rPr>
          <w:rFonts w:ascii="Verdana" w:hAnsi="Verdana"/>
        </w:rPr>
        <w:t>ISEs i</w:t>
      </w:r>
      <w:r w:rsidRPr="002B10AB">
        <w:rPr>
          <w:rFonts w:ascii="Verdana" w:hAnsi="Verdana"/>
        </w:rPr>
        <w:t xml:space="preserve">t is necessary to group the </w:t>
      </w:r>
      <w:r>
        <w:rPr>
          <w:rFonts w:ascii="Verdana" w:hAnsi="Verdana"/>
        </w:rPr>
        <w:t>workforces</w:t>
      </w:r>
      <w:r w:rsidRPr="002B10AB">
        <w:rPr>
          <w:rFonts w:ascii="Verdana" w:hAnsi="Verdana"/>
        </w:rPr>
        <w:t xml:space="preserve"> together where they are similar in their service offering and cost impacts per </w:t>
      </w:r>
      <w:r w:rsidRPr="00B872B7">
        <w:rPr>
          <w:rFonts w:ascii="Verdana" w:hAnsi="Verdana"/>
        </w:rPr>
        <w:t xml:space="preserve">workforce </w:t>
      </w:r>
      <w:r w:rsidRPr="002B10AB">
        <w:rPr>
          <w:rFonts w:ascii="Verdana" w:hAnsi="Verdana"/>
        </w:rPr>
        <w:t xml:space="preserve">member (i.e. the impact per workforce </w:t>
      </w:r>
      <w:r w:rsidR="00850C24">
        <w:rPr>
          <w:rFonts w:ascii="Verdana" w:hAnsi="Verdana"/>
        </w:rPr>
        <w:t xml:space="preserve">member </w:t>
      </w:r>
      <w:r w:rsidRPr="002B10AB">
        <w:rPr>
          <w:rFonts w:ascii="Verdana" w:hAnsi="Verdana"/>
        </w:rPr>
        <w:t>is expected to be similar).</w:t>
      </w:r>
      <w:r w:rsidR="00850C24">
        <w:rPr>
          <w:rFonts w:ascii="Verdana" w:hAnsi="Verdana"/>
        </w:rPr>
        <w:t xml:space="preserve"> The resulting six workforce categories are listed below:</w:t>
      </w:r>
    </w:p>
    <w:p w:rsidR="002B10AB" w:rsidRDefault="007004E5" w:rsidP="00A76FAF">
      <w:pPr>
        <w:pStyle w:val="WOVGbody"/>
        <w:numPr>
          <w:ilvl w:val="0"/>
          <w:numId w:val="53"/>
        </w:numPr>
        <w:rPr>
          <w:rFonts w:ascii="Verdana" w:hAnsi="Verdana"/>
        </w:rPr>
      </w:pPr>
      <w:r>
        <w:rPr>
          <w:rFonts w:ascii="Verdana" w:hAnsi="Verdana"/>
        </w:rPr>
        <w:t>s</w:t>
      </w:r>
      <w:r w:rsidR="002B10AB">
        <w:rPr>
          <w:rFonts w:ascii="Verdana" w:hAnsi="Verdana"/>
        </w:rPr>
        <w:t>chools</w:t>
      </w:r>
      <w:r w:rsidR="00536B5F">
        <w:rPr>
          <w:rFonts w:ascii="Verdana" w:hAnsi="Verdana"/>
        </w:rPr>
        <w:t xml:space="preserve"> (including student disengagement and wellbeing services)</w:t>
      </w:r>
    </w:p>
    <w:p w:rsidR="002B10AB" w:rsidRDefault="007004E5" w:rsidP="00A76FAF">
      <w:pPr>
        <w:pStyle w:val="WOVGbody"/>
        <w:numPr>
          <w:ilvl w:val="0"/>
          <w:numId w:val="53"/>
        </w:numPr>
        <w:rPr>
          <w:rFonts w:ascii="Verdana" w:hAnsi="Verdana"/>
        </w:rPr>
      </w:pPr>
      <w:r>
        <w:rPr>
          <w:rFonts w:ascii="Verdana" w:hAnsi="Verdana"/>
        </w:rPr>
        <w:t>e</w:t>
      </w:r>
      <w:r w:rsidR="002B10AB">
        <w:rPr>
          <w:rFonts w:ascii="Verdana" w:hAnsi="Verdana"/>
        </w:rPr>
        <w:t xml:space="preserve">arly childhood education and care </w:t>
      </w:r>
      <w:r>
        <w:rPr>
          <w:rFonts w:ascii="Verdana" w:hAnsi="Verdana"/>
        </w:rPr>
        <w:t xml:space="preserve">(ECEC) </w:t>
      </w:r>
      <w:r w:rsidR="002B10AB">
        <w:rPr>
          <w:rFonts w:ascii="Verdana" w:hAnsi="Verdana"/>
        </w:rPr>
        <w:t>provider</w:t>
      </w:r>
      <w:r>
        <w:rPr>
          <w:rFonts w:ascii="Verdana" w:hAnsi="Verdana"/>
        </w:rPr>
        <w:t>s</w:t>
      </w:r>
    </w:p>
    <w:p w:rsidR="002B10AB" w:rsidRDefault="007004E5" w:rsidP="00A76FAF">
      <w:pPr>
        <w:pStyle w:val="WOVGbody"/>
        <w:numPr>
          <w:ilvl w:val="0"/>
          <w:numId w:val="53"/>
        </w:numPr>
        <w:rPr>
          <w:rFonts w:ascii="Verdana" w:hAnsi="Verdana"/>
        </w:rPr>
      </w:pPr>
      <w:r>
        <w:rPr>
          <w:rFonts w:ascii="Verdana" w:hAnsi="Verdana"/>
        </w:rPr>
        <w:t>o</w:t>
      </w:r>
      <w:r w:rsidR="002B10AB">
        <w:rPr>
          <w:rFonts w:ascii="Verdana" w:hAnsi="Verdana"/>
        </w:rPr>
        <w:t>ut</w:t>
      </w:r>
      <w:r w:rsidR="004173F9">
        <w:rPr>
          <w:rFonts w:ascii="Verdana" w:hAnsi="Verdana"/>
        </w:rPr>
        <w:t>side</w:t>
      </w:r>
      <w:r w:rsidR="002B10AB">
        <w:rPr>
          <w:rFonts w:ascii="Verdana" w:hAnsi="Verdana"/>
        </w:rPr>
        <w:t xml:space="preserve"> </w:t>
      </w:r>
      <w:r w:rsidR="004173F9">
        <w:rPr>
          <w:rFonts w:ascii="Verdana" w:hAnsi="Verdana"/>
        </w:rPr>
        <w:t>school</w:t>
      </w:r>
      <w:r w:rsidR="002B10AB">
        <w:rPr>
          <w:rFonts w:ascii="Verdana" w:hAnsi="Verdana"/>
        </w:rPr>
        <w:t xml:space="preserve"> </w:t>
      </w:r>
      <w:r w:rsidR="00850C24">
        <w:rPr>
          <w:rFonts w:ascii="Verdana" w:hAnsi="Verdana"/>
        </w:rPr>
        <w:t xml:space="preserve">hours </w:t>
      </w:r>
      <w:r w:rsidR="002B10AB">
        <w:rPr>
          <w:rFonts w:ascii="Verdana" w:hAnsi="Verdana"/>
        </w:rPr>
        <w:t>care</w:t>
      </w:r>
      <w:r w:rsidR="005B6181">
        <w:rPr>
          <w:rFonts w:ascii="Verdana" w:hAnsi="Verdana"/>
        </w:rPr>
        <w:t xml:space="preserve"> (</w:t>
      </w:r>
      <w:r>
        <w:rPr>
          <w:rFonts w:ascii="Verdana" w:hAnsi="Verdana"/>
        </w:rPr>
        <w:t xml:space="preserve">OSHC) </w:t>
      </w:r>
      <w:r w:rsidR="00C8281E">
        <w:rPr>
          <w:rFonts w:ascii="Verdana" w:hAnsi="Verdana"/>
        </w:rPr>
        <w:t>provider</w:t>
      </w:r>
      <w:r>
        <w:rPr>
          <w:rFonts w:ascii="Verdana" w:hAnsi="Verdana"/>
        </w:rPr>
        <w:t>s</w:t>
      </w:r>
    </w:p>
    <w:p w:rsidR="002B10AB" w:rsidRDefault="007004E5" w:rsidP="00A76FAF">
      <w:pPr>
        <w:pStyle w:val="WOVGbody"/>
        <w:numPr>
          <w:ilvl w:val="0"/>
          <w:numId w:val="53"/>
        </w:numPr>
        <w:rPr>
          <w:rFonts w:ascii="Verdana" w:hAnsi="Verdana"/>
        </w:rPr>
      </w:pPr>
      <w:r>
        <w:rPr>
          <w:rFonts w:ascii="Verdana" w:hAnsi="Verdana"/>
        </w:rPr>
        <w:t>h</w:t>
      </w:r>
      <w:r w:rsidR="002B10AB">
        <w:rPr>
          <w:rFonts w:ascii="Verdana" w:hAnsi="Verdana"/>
        </w:rPr>
        <w:t>ealth and support services</w:t>
      </w:r>
    </w:p>
    <w:p w:rsidR="002B10AB" w:rsidRDefault="007004E5" w:rsidP="00A76FAF">
      <w:pPr>
        <w:pStyle w:val="WOVGbody"/>
        <w:numPr>
          <w:ilvl w:val="0"/>
          <w:numId w:val="53"/>
        </w:numPr>
        <w:rPr>
          <w:rFonts w:ascii="Verdana" w:hAnsi="Verdana"/>
        </w:rPr>
      </w:pPr>
      <w:r>
        <w:rPr>
          <w:rFonts w:ascii="Verdana" w:hAnsi="Verdana"/>
        </w:rPr>
        <w:t>h</w:t>
      </w:r>
      <w:r w:rsidR="002B10AB">
        <w:rPr>
          <w:rFonts w:ascii="Verdana" w:hAnsi="Verdana"/>
        </w:rPr>
        <w:t>ospitals</w:t>
      </w:r>
    </w:p>
    <w:p w:rsidR="00850C24" w:rsidRDefault="007004E5" w:rsidP="00A76FAF">
      <w:pPr>
        <w:pStyle w:val="WOVGbody"/>
        <w:numPr>
          <w:ilvl w:val="0"/>
          <w:numId w:val="53"/>
        </w:numPr>
        <w:rPr>
          <w:rFonts w:ascii="Verdana" w:hAnsi="Verdana"/>
        </w:rPr>
      </w:pPr>
      <w:r>
        <w:rPr>
          <w:rFonts w:ascii="Verdana" w:hAnsi="Verdana"/>
        </w:rPr>
        <w:t>g</w:t>
      </w:r>
      <w:r w:rsidR="002B10AB">
        <w:rPr>
          <w:rFonts w:ascii="Verdana" w:hAnsi="Verdana"/>
        </w:rPr>
        <w:t>overnment statutory bodies and organisations/services</w:t>
      </w:r>
      <w:r>
        <w:rPr>
          <w:rFonts w:ascii="Verdana" w:hAnsi="Verdana"/>
        </w:rPr>
        <w:t>.</w:t>
      </w:r>
    </w:p>
    <w:p w:rsidR="00850C24" w:rsidRPr="00D94ADF" w:rsidRDefault="00850C24" w:rsidP="00850C24">
      <w:pPr>
        <w:pStyle w:val="Heading3"/>
        <w:rPr>
          <w:rFonts w:ascii="Verdana" w:hAnsi="Verdana"/>
        </w:rPr>
      </w:pPr>
      <w:r w:rsidRPr="00D94ADF">
        <w:rPr>
          <w:rFonts w:ascii="Verdana" w:hAnsi="Verdana"/>
        </w:rPr>
        <w:t>Total costs to Phase Two workforce groupings</w:t>
      </w:r>
    </w:p>
    <w:p w:rsidR="00E856D9" w:rsidRPr="004A1C5C" w:rsidRDefault="00850C24" w:rsidP="00D05C97">
      <w:pPr>
        <w:pStyle w:val="WOVGbody"/>
        <w:rPr>
          <w:rFonts w:ascii="Verdana" w:hAnsi="Verdana"/>
        </w:rPr>
      </w:pPr>
      <w:r w:rsidRPr="00850C24">
        <w:rPr>
          <w:rFonts w:ascii="Verdana" w:hAnsi="Verdana"/>
        </w:rPr>
        <w:t xml:space="preserve">The below table illustrates the variance in cost impact across the </w:t>
      </w:r>
      <w:r>
        <w:rPr>
          <w:rFonts w:ascii="Verdana" w:hAnsi="Verdana"/>
        </w:rPr>
        <w:t xml:space="preserve">six workforce groupings. The </w:t>
      </w:r>
      <w:r w:rsidR="00196F71">
        <w:rPr>
          <w:rFonts w:ascii="Verdana" w:hAnsi="Verdana"/>
        </w:rPr>
        <w:t xml:space="preserve">total impact remains at $181.6 million, with the </w:t>
      </w:r>
      <w:r>
        <w:rPr>
          <w:rFonts w:ascii="Verdana" w:hAnsi="Verdana"/>
        </w:rPr>
        <w:t xml:space="preserve">expected </w:t>
      </w:r>
      <w:r w:rsidR="00196F71">
        <w:rPr>
          <w:rFonts w:ascii="Verdana" w:hAnsi="Verdana"/>
        </w:rPr>
        <w:t xml:space="preserve">relative </w:t>
      </w:r>
      <w:r>
        <w:rPr>
          <w:rFonts w:ascii="Verdana" w:hAnsi="Verdana"/>
        </w:rPr>
        <w:t xml:space="preserve">cost impact </w:t>
      </w:r>
      <w:r w:rsidR="00196F71">
        <w:rPr>
          <w:rFonts w:ascii="Verdana" w:hAnsi="Verdana"/>
        </w:rPr>
        <w:t>highest</w:t>
      </w:r>
      <w:r>
        <w:rPr>
          <w:rFonts w:ascii="Verdana" w:hAnsi="Verdana"/>
        </w:rPr>
        <w:t xml:space="preserve"> for the workforce groupings representing hospitals, schools, </w:t>
      </w:r>
      <w:r w:rsidR="007004E5">
        <w:rPr>
          <w:rFonts w:ascii="Verdana" w:hAnsi="Verdana"/>
        </w:rPr>
        <w:t>ECEC</w:t>
      </w:r>
      <w:r>
        <w:rPr>
          <w:rFonts w:ascii="Verdana" w:hAnsi="Verdana"/>
        </w:rPr>
        <w:t xml:space="preserve"> providers</w:t>
      </w:r>
      <w:r w:rsidR="007004E5">
        <w:rPr>
          <w:rFonts w:ascii="Verdana" w:hAnsi="Verdana"/>
        </w:rPr>
        <w:t>,</w:t>
      </w:r>
      <w:r>
        <w:rPr>
          <w:rFonts w:ascii="Verdana" w:hAnsi="Verdana"/>
        </w:rPr>
        <w:t xml:space="preserve"> and health and support services.</w:t>
      </w:r>
      <w:r w:rsidR="00196F71">
        <w:rPr>
          <w:rFonts w:ascii="Verdana" w:hAnsi="Verdana"/>
        </w:rPr>
        <w:t xml:space="preserve"> The cost impact is expected to be relatively lower for</w:t>
      </w:r>
      <w:r>
        <w:rPr>
          <w:rFonts w:ascii="Verdana" w:hAnsi="Verdana"/>
        </w:rPr>
        <w:t xml:space="preserve"> the workforce groupings of</w:t>
      </w:r>
      <w:r w:rsidR="004615F7">
        <w:rPr>
          <w:rFonts w:ascii="Verdana" w:hAnsi="Verdana"/>
        </w:rPr>
        <w:t xml:space="preserve"> </w:t>
      </w:r>
      <w:r w:rsidR="007004E5">
        <w:rPr>
          <w:rFonts w:ascii="Verdana" w:hAnsi="Verdana"/>
        </w:rPr>
        <w:t>OSHC providers</w:t>
      </w:r>
      <w:r w:rsidR="004615F7">
        <w:rPr>
          <w:rFonts w:ascii="Verdana" w:hAnsi="Verdana"/>
        </w:rPr>
        <w:t xml:space="preserve"> and g</w:t>
      </w:r>
      <w:r w:rsidR="00196F71">
        <w:rPr>
          <w:rFonts w:ascii="Verdana" w:hAnsi="Verdana"/>
        </w:rPr>
        <w:t>overnment statutory bodies and organisations/services.</w:t>
      </w:r>
    </w:p>
    <w:p w:rsidR="00DA43B8" w:rsidRPr="00557AD1" w:rsidRDefault="00FB4855" w:rsidP="00A15954">
      <w:pPr>
        <w:pStyle w:val="WOVGbody"/>
        <w:rPr>
          <w:rFonts w:ascii="Verdana" w:hAnsi="Verdana"/>
          <w:b/>
        </w:rPr>
      </w:pPr>
      <w:r>
        <w:rPr>
          <w:rFonts w:ascii="Verdana" w:hAnsi="Verdana"/>
          <w:b/>
        </w:rPr>
        <w:t>Table 6.5</w:t>
      </w:r>
      <w:r w:rsidR="006641FF">
        <w:rPr>
          <w:rFonts w:ascii="Verdana" w:hAnsi="Verdana"/>
          <w:b/>
        </w:rPr>
        <w:t xml:space="preserve"> </w:t>
      </w:r>
      <w:r w:rsidR="00F93BA1" w:rsidRPr="00F93BA1">
        <w:rPr>
          <w:rFonts w:ascii="Verdana" w:hAnsi="Verdana"/>
          <w:b/>
        </w:rPr>
        <w:t>Costs</w:t>
      </w:r>
      <w:r w:rsidR="00FF1480" w:rsidRPr="00557AD1">
        <w:rPr>
          <w:rFonts w:ascii="Verdana" w:hAnsi="Verdana"/>
          <w:b/>
        </w:rPr>
        <w:t xml:space="preserve"> </w:t>
      </w:r>
      <w:r w:rsidR="00F93BA1" w:rsidRPr="00557AD1">
        <w:rPr>
          <w:rFonts w:ascii="Verdana" w:hAnsi="Verdana"/>
          <w:b/>
        </w:rPr>
        <w:t xml:space="preserve">by </w:t>
      </w:r>
      <w:r w:rsidR="00FF1480" w:rsidRPr="00557AD1">
        <w:rPr>
          <w:rFonts w:ascii="Verdana" w:hAnsi="Verdana"/>
          <w:b/>
        </w:rPr>
        <w:t>workforce group and key cost category</w:t>
      </w:r>
      <w:r w:rsidR="00F93BA1" w:rsidRPr="006641FF">
        <w:rPr>
          <w:rFonts w:ascii="Verdana" w:hAnsi="Verdana"/>
          <w:b/>
        </w:rPr>
        <w:t>,</w:t>
      </w:r>
      <w:r w:rsidR="00F93BA1" w:rsidRPr="00F93BA1">
        <w:rPr>
          <w:rFonts w:ascii="Verdana" w:hAnsi="Verdana"/>
          <w:b/>
        </w:rPr>
        <w:t xml:space="preserve"> 10 year totals</w:t>
      </w:r>
    </w:p>
    <w:tbl>
      <w:tblPr>
        <w:tblStyle w:val="TableGrid"/>
        <w:tblW w:w="9526" w:type="dxa"/>
        <w:tblLook w:val="04A0" w:firstRow="1" w:lastRow="0" w:firstColumn="1" w:lastColumn="0" w:noHBand="0" w:noVBand="1"/>
      </w:tblPr>
      <w:tblGrid>
        <w:gridCol w:w="1866"/>
        <w:gridCol w:w="1074"/>
        <w:gridCol w:w="1026"/>
        <w:gridCol w:w="1075"/>
        <w:gridCol w:w="1093"/>
        <w:gridCol w:w="1080"/>
        <w:gridCol w:w="1114"/>
        <w:gridCol w:w="1198"/>
      </w:tblGrid>
      <w:tr w:rsidR="00202A02" w:rsidTr="007B75B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6" w:type="dxa"/>
            <w:tcBorders>
              <w:right w:val="single" w:sz="4" w:space="0" w:color="auto"/>
            </w:tcBorders>
          </w:tcPr>
          <w:p w:rsidR="00202A02" w:rsidRDefault="00202A02" w:rsidP="00202A02">
            <w:pPr>
              <w:pStyle w:val="WOVGbody"/>
            </w:pPr>
          </w:p>
        </w:tc>
        <w:tc>
          <w:tcPr>
            <w:tcW w:w="2100" w:type="dxa"/>
            <w:gridSpan w:val="2"/>
            <w:tcBorders>
              <w:left w:val="single" w:sz="4" w:space="0" w:color="auto"/>
              <w:right w:val="single" w:sz="4" w:space="0" w:color="auto"/>
            </w:tcBorders>
          </w:tcPr>
          <w:p w:rsidR="00202A02" w:rsidRDefault="00202A02" w:rsidP="00366BBE">
            <w:pPr>
              <w:pStyle w:val="WOVGbody"/>
              <w:jc w:val="center"/>
              <w:cnfStyle w:val="100000000000" w:firstRow="1" w:lastRow="0" w:firstColumn="0" w:lastColumn="0" w:oddVBand="0" w:evenVBand="0" w:oddHBand="0" w:evenHBand="0" w:firstRowFirstColumn="0" w:firstRowLastColumn="0" w:lastRowFirstColumn="0" w:lastRowLastColumn="0"/>
            </w:pPr>
            <w:r w:rsidRPr="00E66D6A">
              <w:rPr>
                <w:rFonts w:ascii="Verdana" w:hAnsi="Verdana"/>
                <w:color w:val="FFFFFF" w:themeColor="background1"/>
                <w:sz w:val="16"/>
              </w:rPr>
              <w:t>Upfront Costs</w:t>
            </w:r>
          </w:p>
        </w:tc>
        <w:tc>
          <w:tcPr>
            <w:tcW w:w="4362" w:type="dxa"/>
            <w:gridSpan w:val="4"/>
            <w:tcBorders>
              <w:left w:val="single" w:sz="4" w:space="0" w:color="auto"/>
              <w:right w:val="single" w:sz="4" w:space="0" w:color="auto"/>
            </w:tcBorders>
          </w:tcPr>
          <w:p w:rsidR="00202A02" w:rsidRDefault="00202A02" w:rsidP="00366BBE">
            <w:pPr>
              <w:pStyle w:val="WOVGbody"/>
              <w:jc w:val="center"/>
              <w:cnfStyle w:val="100000000000" w:firstRow="1" w:lastRow="0" w:firstColumn="0" w:lastColumn="0" w:oddVBand="0" w:evenVBand="0" w:oddHBand="0" w:evenHBand="0" w:firstRowFirstColumn="0" w:firstRowLastColumn="0" w:lastRowFirstColumn="0" w:lastRowLastColumn="0"/>
            </w:pPr>
            <w:r>
              <w:rPr>
                <w:rFonts w:ascii="Verdana" w:hAnsi="Verdana"/>
                <w:color w:val="FFFFFF" w:themeColor="background1"/>
                <w:sz w:val="16"/>
              </w:rPr>
              <w:t>Total Costs</w:t>
            </w:r>
          </w:p>
        </w:tc>
        <w:tc>
          <w:tcPr>
            <w:tcW w:w="1196" w:type="dxa"/>
            <w:tcBorders>
              <w:left w:val="single" w:sz="4" w:space="0" w:color="auto"/>
            </w:tcBorders>
          </w:tcPr>
          <w:p w:rsidR="00202A02" w:rsidRDefault="00202A02" w:rsidP="00202A02">
            <w:pPr>
              <w:pStyle w:val="WOVGbody"/>
              <w:cnfStyle w:val="100000000000" w:firstRow="1" w:lastRow="0" w:firstColumn="0" w:lastColumn="0" w:oddVBand="0" w:evenVBand="0" w:oddHBand="0" w:evenHBand="0" w:firstRowFirstColumn="0" w:firstRowLastColumn="0" w:lastRowFirstColumn="0" w:lastRowLastColumn="0"/>
            </w:pPr>
          </w:p>
        </w:tc>
      </w:tr>
      <w:tr w:rsidR="00202A02" w:rsidTr="007B75B1">
        <w:trPr>
          <w:trHeight w:val="618"/>
        </w:trPr>
        <w:tc>
          <w:tcPr>
            <w:cnfStyle w:val="001000000000" w:firstRow="0" w:lastRow="0" w:firstColumn="1" w:lastColumn="0" w:oddVBand="0" w:evenVBand="0" w:oddHBand="0" w:evenHBand="0" w:firstRowFirstColumn="0" w:firstRowLastColumn="0" w:lastRowFirstColumn="0" w:lastRowLastColumn="0"/>
            <w:tcW w:w="1866" w:type="dxa"/>
            <w:tcBorders>
              <w:right w:val="single" w:sz="4" w:space="0" w:color="auto"/>
            </w:tcBorders>
            <w:shd w:val="clear" w:color="auto" w:fill="53565A" w:themeFill="accent1"/>
          </w:tcPr>
          <w:p w:rsidR="00202A02" w:rsidRDefault="00202A02" w:rsidP="00202A02">
            <w:pPr>
              <w:pStyle w:val="WOVGbody"/>
            </w:pPr>
            <w:r>
              <w:rPr>
                <w:rFonts w:ascii="Verdana" w:hAnsi="Verdana"/>
                <w:color w:val="FFFFFF" w:themeColor="background1"/>
                <w:sz w:val="16"/>
              </w:rPr>
              <w:t>Workforce grouping</w:t>
            </w:r>
          </w:p>
        </w:tc>
        <w:tc>
          <w:tcPr>
            <w:tcW w:w="1074" w:type="dxa"/>
            <w:tcBorders>
              <w:left w:val="single" w:sz="4" w:space="0" w:color="auto"/>
            </w:tcBorders>
            <w:shd w:val="clear" w:color="auto" w:fill="53565A" w:themeFill="accent1"/>
          </w:tcPr>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987C28">
              <w:rPr>
                <w:rFonts w:ascii="Verdana" w:hAnsi="Verdana"/>
                <w:color w:val="FFFFFF" w:themeColor="background1"/>
                <w:sz w:val="16"/>
                <w:szCs w:val="16"/>
              </w:rPr>
              <w:t>Update Policies</w:t>
            </w:r>
          </w:p>
        </w:tc>
        <w:tc>
          <w:tcPr>
            <w:tcW w:w="1026" w:type="dxa"/>
            <w:tcBorders>
              <w:right w:val="single" w:sz="4" w:space="0" w:color="auto"/>
            </w:tcBorders>
            <w:shd w:val="clear" w:color="auto" w:fill="53565A" w:themeFill="accent1"/>
          </w:tcPr>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987C28">
              <w:rPr>
                <w:rFonts w:ascii="Verdana" w:hAnsi="Verdana"/>
                <w:color w:val="FFFFFF" w:themeColor="background1"/>
                <w:sz w:val="16"/>
                <w:szCs w:val="16"/>
              </w:rPr>
              <w:t>Upfront training</w:t>
            </w:r>
          </w:p>
        </w:tc>
        <w:tc>
          <w:tcPr>
            <w:tcW w:w="1075" w:type="dxa"/>
            <w:tcBorders>
              <w:left w:val="single" w:sz="4" w:space="0" w:color="auto"/>
            </w:tcBorders>
            <w:shd w:val="clear" w:color="auto" w:fill="53565A" w:themeFill="accent1"/>
          </w:tcPr>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987C28">
              <w:rPr>
                <w:rFonts w:ascii="Verdana" w:hAnsi="Verdana"/>
                <w:color w:val="FFFFFF" w:themeColor="background1"/>
                <w:sz w:val="16"/>
                <w:szCs w:val="16"/>
              </w:rPr>
              <w:t>Ongoing training</w:t>
            </w:r>
          </w:p>
        </w:tc>
        <w:tc>
          <w:tcPr>
            <w:tcW w:w="1093" w:type="dxa"/>
            <w:shd w:val="clear" w:color="auto" w:fill="53565A" w:themeFill="accent1"/>
          </w:tcPr>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987C28">
              <w:rPr>
                <w:rFonts w:ascii="Verdana" w:hAnsi="Verdana"/>
                <w:color w:val="FFFFFF" w:themeColor="background1"/>
                <w:sz w:val="16"/>
                <w:szCs w:val="16"/>
              </w:rPr>
              <w:t>Requests</w:t>
            </w:r>
          </w:p>
        </w:tc>
        <w:tc>
          <w:tcPr>
            <w:tcW w:w="1080" w:type="dxa"/>
            <w:shd w:val="clear" w:color="auto" w:fill="53565A" w:themeFill="accent1"/>
          </w:tcPr>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987C28">
              <w:rPr>
                <w:rFonts w:ascii="Verdana" w:hAnsi="Verdana"/>
                <w:color w:val="FFFFFF" w:themeColor="background1"/>
                <w:sz w:val="16"/>
                <w:szCs w:val="16"/>
              </w:rPr>
              <w:t>Respond</w:t>
            </w:r>
          </w:p>
        </w:tc>
        <w:tc>
          <w:tcPr>
            <w:tcW w:w="1112" w:type="dxa"/>
            <w:tcBorders>
              <w:right w:val="single" w:sz="4" w:space="0" w:color="auto"/>
            </w:tcBorders>
            <w:shd w:val="clear" w:color="auto" w:fill="53565A" w:themeFill="accent1"/>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szCs w:val="16"/>
              </w:rPr>
            </w:pPr>
            <w:r w:rsidRPr="00202A02">
              <w:rPr>
                <w:rFonts w:ascii="Verdana" w:hAnsi="Verdana"/>
                <w:color w:val="FFFFFF" w:themeColor="background1"/>
                <w:sz w:val="16"/>
                <w:szCs w:val="16"/>
              </w:rPr>
              <w:t>Recording</w:t>
            </w:r>
          </w:p>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202A02">
              <w:rPr>
                <w:rFonts w:ascii="Verdana" w:hAnsi="Verdana"/>
                <w:color w:val="FFFFFF" w:themeColor="background1"/>
                <w:sz w:val="16"/>
                <w:szCs w:val="16"/>
              </w:rPr>
              <w:t>keeping</w:t>
            </w:r>
          </w:p>
        </w:tc>
        <w:tc>
          <w:tcPr>
            <w:tcW w:w="1196" w:type="dxa"/>
            <w:tcBorders>
              <w:left w:val="single" w:sz="4" w:space="0" w:color="auto"/>
            </w:tcBorders>
            <w:shd w:val="clear" w:color="auto" w:fill="53565A" w:themeFill="accent1"/>
          </w:tcPr>
          <w:p w:rsidR="00202A02" w:rsidRPr="00366BBE" w:rsidRDefault="00202A02" w:rsidP="00202A02">
            <w:pPr>
              <w:pStyle w:val="WOVGbody"/>
              <w:cnfStyle w:val="000000000000" w:firstRow="0" w:lastRow="0" w:firstColumn="0" w:lastColumn="0" w:oddVBand="0" w:evenVBand="0" w:oddHBand="0" w:evenHBand="0" w:firstRowFirstColumn="0" w:firstRowLastColumn="0" w:lastRowFirstColumn="0" w:lastRowLastColumn="0"/>
              <w:rPr>
                <w:sz w:val="16"/>
                <w:szCs w:val="16"/>
              </w:rPr>
            </w:pPr>
            <w:r w:rsidRPr="00202A02">
              <w:rPr>
                <w:rFonts w:ascii="Verdana" w:hAnsi="Verdana"/>
                <w:color w:val="FFFFFF" w:themeColor="background1"/>
                <w:sz w:val="16"/>
                <w:szCs w:val="16"/>
              </w:rPr>
              <w:t>Total</w:t>
            </w:r>
          </w:p>
        </w:tc>
      </w:tr>
      <w:tr w:rsidR="00202A02" w:rsidTr="007B75B1">
        <w:trPr>
          <w:trHeight w:val="315"/>
        </w:trPr>
        <w:tc>
          <w:tcPr>
            <w:cnfStyle w:val="001000000000" w:firstRow="0" w:lastRow="0" w:firstColumn="1" w:lastColumn="0" w:oddVBand="0" w:evenVBand="0" w:oddHBand="0" w:evenHBand="0" w:firstRowFirstColumn="0" w:firstRowLastColumn="0" w:lastRowFirstColumn="0" w:lastRowLastColumn="0"/>
            <w:tcW w:w="1866" w:type="dxa"/>
            <w:shd w:val="clear" w:color="auto" w:fill="00848F" w:themeFill="accent2"/>
          </w:tcPr>
          <w:p w:rsidR="00202A02" w:rsidRDefault="00202A02" w:rsidP="00202A02">
            <w:pPr>
              <w:pStyle w:val="WOVGbody"/>
            </w:pPr>
          </w:p>
        </w:tc>
        <w:tc>
          <w:tcPr>
            <w:tcW w:w="1074"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c>
          <w:tcPr>
            <w:tcW w:w="1026"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c>
          <w:tcPr>
            <w:tcW w:w="1075"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c>
          <w:tcPr>
            <w:tcW w:w="1093"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c>
          <w:tcPr>
            <w:tcW w:w="1080"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c>
          <w:tcPr>
            <w:tcW w:w="1112"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c>
          <w:tcPr>
            <w:tcW w:w="1196" w:type="dxa"/>
            <w:shd w:val="clear" w:color="auto" w:fill="00848F" w:themeFill="accent2"/>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color w:val="FFFFFF" w:themeColor="background1"/>
              </w:rPr>
              <w:t>‘000</w:t>
            </w:r>
          </w:p>
        </w:tc>
      </w:tr>
      <w:tr w:rsidR="00202A02" w:rsidTr="007B75B1">
        <w:trPr>
          <w:trHeight w:val="315"/>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Grp 1: Schools</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$5,655</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$2,951</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$3,017</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$13,853</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$13,268</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$8,050</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$46,795</w:t>
            </w:r>
          </w:p>
        </w:tc>
      </w:tr>
      <w:tr w:rsidR="00202A02" w:rsidTr="007B75B1">
        <w:trPr>
          <w:trHeight w:val="521"/>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Grp 2: ECEC provider</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$4,822</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$3,651</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$3,733</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$7,227</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$5,025</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$12,509</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$36,966</w:t>
            </w:r>
          </w:p>
        </w:tc>
      </w:tr>
      <w:tr w:rsidR="00202A02" w:rsidTr="007B75B1">
        <w:trPr>
          <w:trHeight w:val="533"/>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Grp 3: OSHC provider</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$401</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$415</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$424</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$409</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$172</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$415</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$2,235</w:t>
            </w:r>
          </w:p>
        </w:tc>
      </w:tr>
      <w:tr w:rsidR="00202A02" w:rsidTr="007B75B1">
        <w:trPr>
          <w:trHeight w:val="533"/>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Grp 4: Health and support services</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$6,482</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$2,575</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$2,634</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$2,913</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$6,316</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$3,254</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$24,174</w:t>
            </w:r>
          </w:p>
        </w:tc>
      </w:tr>
      <w:tr w:rsidR="00202A02" w:rsidTr="007B75B1">
        <w:trPr>
          <w:trHeight w:val="303"/>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Grp 5: Hospitals</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$754</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$114</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$116</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$27,894</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$17,665</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$24,531</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$71,064</w:t>
            </w:r>
          </w:p>
        </w:tc>
      </w:tr>
      <w:tr w:rsidR="00202A02" w:rsidTr="007B75B1">
        <w:trPr>
          <w:trHeight w:val="971"/>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Grp 6: Govt. statutory bodies and organisation/service</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$62</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$78</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$80</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$11</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$93</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$38</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$362</w:t>
            </w:r>
          </w:p>
        </w:tc>
      </w:tr>
      <w:tr w:rsidR="00202A02" w:rsidTr="007B75B1">
        <w:trPr>
          <w:trHeight w:val="315"/>
        </w:trPr>
        <w:tc>
          <w:tcPr>
            <w:cnfStyle w:val="001000000000" w:firstRow="0" w:lastRow="0" w:firstColumn="1" w:lastColumn="0" w:oddVBand="0" w:evenVBand="0" w:oddHBand="0" w:evenHBand="0" w:firstRowFirstColumn="0" w:firstRowLastColumn="0" w:lastRowFirstColumn="0" w:lastRowLastColumn="0"/>
            <w:tcW w:w="1866" w:type="dxa"/>
          </w:tcPr>
          <w:p w:rsidR="00202A02" w:rsidRDefault="00202A02" w:rsidP="00202A02">
            <w:pPr>
              <w:pStyle w:val="WOVGbody"/>
            </w:pPr>
            <w:r w:rsidRPr="00E66D6A">
              <w:rPr>
                <w:rFonts w:ascii="Verdana" w:hAnsi="Verdana"/>
                <w:sz w:val="16"/>
              </w:rPr>
              <w:t>Total</w:t>
            </w:r>
          </w:p>
        </w:tc>
        <w:tc>
          <w:tcPr>
            <w:tcW w:w="1074"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$18,176</w:t>
            </w:r>
          </w:p>
        </w:tc>
        <w:tc>
          <w:tcPr>
            <w:tcW w:w="102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$9,784</w:t>
            </w:r>
          </w:p>
        </w:tc>
        <w:tc>
          <w:tcPr>
            <w:tcW w:w="1075"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$10,004</w:t>
            </w:r>
          </w:p>
        </w:tc>
        <w:tc>
          <w:tcPr>
            <w:tcW w:w="1093"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$52,306</w:t>
            </w:r>
          </w:p>
        </w:tc>
        <w:tc>
          <w:tcPr>
            <w:tcW w:w="1080"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$42,529</w:t>
            </w:r>
          </w:p>
        </w:tc>
        <w:tc>
          <w:tcPr>
            <w:tcW w:w="1112"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$48,796</w:t>
            </w:r>
          </w:p>
        </w:tc>
        <w:tc>
          <w:tcPr>
            <w:tcW w:w="1196" w:type="dxa"/>
          </w:tcPr>
          <w:p w:rsidR="00202A02" w:rsidRPr="00202A02" w:rsidRDefault="00202A02" w:rsidP="00202A02">
            <w:pPr>
              <w:pStyle w:val="WOVGbody"/>
              <w:cnfStyle w:val="000000000000" w:firstRow="0" w:lastRow="0" w:firstColumn="0" w:lastColumn="0" w:oddVBand="0" w:evenVBand="0" w:oddHBand="0" w:evenHBand="0" w:firstRowFirstColumn="0" w:firstRowLastColumn="0" w:lastRowFirstColumn="0" w:lastRowLastColumn="0"/>
            </w:pPr>
            <w:r w:rsidRPr="00366BBE">
              <w:rPr>
                <w:rFonts w:ascii="Verdana" w:hAnsi="Verdana"/>
              </w:rPr>
              <w:t>$181,595</w:t>
            </w:r>
          </w:p>
        </w:tc>
      </w:tr>
      <w:tr w:rsidR="00202A02" w:rsidTr="007B75B1">
        <w:trPr>
          <w:trHeight w:val="303"/>
        </w:trPr>
        <w:tc>
          <w:tcPr>
            <w:cnfStyle w:val="001000000000" w:firstRow="0" w:lastRow="0" w:firstColumn="1" w:lastColumn="0" w:oddVBand="0" w:evenVBand="0" w:oddHBand="0" w:evenHBand="0" w:firstRowFirstColumn="0" w:firstRowLastColumn="0" w:lastRowFirstColumn="0" w:lastRowLastColumn="0"/>
            <w:tcW w:w="9526" w:type="dxa"/>
            <w:gridSpan w:val="8"/>
          </w:tcPr>
          <w:p w:rsidR="00202A02" w:rsidRPr="00792DC3" w:rsidRDefault="00202A02" w:rsidP="00202A02">
            <w:pPr>
              <w:pStyle w:val="WOVGbody"/>
              <w:rPr>
                <w:sz w:val="16"/>
                <w:szCs w:val="16"/>
              </w:rPr>
            </w:pPr>
            <w:r w:rsidRPr="00792DC3">
              <w:rPr>
                <w:rFonts w:ascii="Verdana" w:hAnsi="Verdana"/>
                <w:i/>
                <w:sz w:val="16"/>
                <w:szCs w:val="16"/>
              </w:rPr>
              <w:t>Source: ACIL Allen Consulting 2019</w:t>
            </w:r>
          </w:p>
        </w:tc>
      </w:tr>
    </w:tbl>
    <w:p w:rsidR="00CD74D5" w:rsidRDefault="00CD74D5" w:rsidP="00196F71">
      <w:pPr>
        <w:pStyle w:val="Heading3"/>
        <w:rPr>
          <w:rFonts w:ascii="Verdana" w:hAnsi="Verdana"/>
        </w:rPr>
      </w:pPr>
    </w:p>
    <w:p w:rsidR="00CD74D5" w:rsidRDefault="00CD74D5">
      <w:pPr>
        <w:rPr>
          <w:rFonts w:ascii="Verdana" w:eastAsia="MS Gothic" w:hAnsi="Verdana"/>
          <w:b/>
          <w:bCs/>
          <w:sz w:val="24"/>
          <w:szCs w:val="26"/>
        </w:rPr>
      </w:pPr>
      <w:r>
        <w:rPr>
          <w:rFonts w:ascii="Verdana" w:hAnsi="Verdana"/>
        </w:rPr>
        <w:br w:type="page"/>
      </w:r>
    </w:p>
    <w:p w:rsidR="00196F71" w:rsidRPr="00D94ADF" w:rsidRDefault="00196F71" w:rsidP="00196F71">
      <w:pPr>
        <w:pStyle w:val="Heading3"/>
        <w:rPr>
          <w:rFonts w:ascii="Verdana" w:hAnsi="Verdana"/>
        </w:rPr>
      </w:pPr>
      <w:r w:rsidRPr="00D94ADF">
        <w:rPr>
          <w:rFonts w:ascii="Verdana" w:hAnsi="Verdana"/>
        </w:rPr>
        <w:lastRenderedPageBreak/>
        <w:t>Average costs per organisation, by workforce grouping</w:t>
      </w:r>
    </w:p>
    <w:p w:rsidR="00196F71" w:rsidRPr="00701ED1" w:rsidRDefault="00196F71" w:rsidP="00196F71">
      <w:pPr>
        <w:pStyle w:val="WOVGbody"/>
        <w:rPr>
          <w:rFonts w:ascii="Verdana" w:hAnsi="Verdana"/>
        </w:rPr>
      </w:pPr>
      <w:r w:rsidRPr="00701ED1">
        <w:rPr>
          <w:rFonts w:ascii="Verdana" w:hAnsi="Verdana"/>
        </w:rPr>
        <w:t xml:space="preserve">The tables below present the </w:t>
      </w:r>
      <w:r w:rsidR="00E5759B" w:rsidRPr="00701ED1">
        <w:rPr>
          <w:rFonts w:ascii="Verdana" w:hAnsi="Verdana"/>
        </w:rPr>
        <w:t>expected</w:t>
      </w:r>
      <w:r w:rsidRPr="00701ED1">
        <w:rPr>
          <w:rFonts w:ascii="Verdana" w:hAnsi="Verdana"/>
        </w:rPr>
        <w:t xml:space="preserve"> cost impact </w:t>
      </w:r>
      <w:r w:rsidR="00E5759B" w:rsidRPr="00701ED1">
        <w:rPr>
          <w:rFonts w:ascii="Verdana" w:hAnsi="Verdana"/>
        </w:rPr>
        <w:t xml:space="preserve">per organisation by workforce grouping, over one year and </w:t>
      </w:r>
      <w:r w:rsidRPr="00701ED1">
        <w:rPr>
          <w:rFonts w:ascii="Verdana" w:hAnsi="Verdana"/>
        </w:rPr>
        <w:t>10 years</w:t>
      </w:r>
      <w:r w:rsidR="00CD74D5">
        <w:rPr>
          <w:rFonts w:ascii="Verdana" w:hAnsi="Verdana"/>
        </w:rPr>
        <w:t>,</w:t>
      </w:r>
      <w:r w:rsidR="00E5759B" w:rsidRPr="00701ED1">
        <w:rPr>
          <w:rFonts w:ascii="Verdana" w:hAnsi="Verdana"/>
        </w:rPr>
        <w:t xml:space="preserve"> respectively.</w:t>
      </w:r>
    </w:p>
    <w:p w:rsidR="000C31CF" w:rsidRPr="00D94ADF" w:rsidRDefault="000C31CF" w:rsidP="00196F71">
      <w:pPr>
        <w:pStyle w:val="Heading4"/>
        <w:rPr>
          <w:rFonts w:ascii="Verdana" w:hAnsi="Verdana"/>
        </w:rPr>
      </w:pPr>
      <w:r w:rsidRPr="00D94ADF">
        <w:rPr>
          <w:rFonts w:ascii="Verdana" w:hAnsi="Verdana"/>
        </w:rPr>
        <w:t>V</w:t>
      </w:r>
      <w:r w:rsidR="002B10AB" w:rsidRPr="00D94ADF">
        <w:rPr>
          <w:rFonts w:ascii="Verdana" w:hAnsi="Verdana"/>
        </w:rPr>
        <w:t>ariation according to size of organisation</w:t>
      </w:r>
    </w:p>
    <w:p w:rsidR="002B10AB" w:rsidRPr="002B10AB" w:rsidRDefault="000C31CF" w:rsidP="000C31CF">
      <w:pPr>
        <w:pStyle w:val="WOVGbody"/>
        <w:rPr>
          <w:rFonts w:ascii="Verdana" w:hAnsi="Verdana"/>
        </w:rPr>
      </w:pPr>
      <w:r>
        <w:rPr>
          <w:rFonts w:ascii="Verdana" w:hAnsi="Verdana"/>
        </w:rPr>
        <w:t xml:space="preserve">The breakdown of costs </w:t>
      </w:r>
      <w:r w:rsidRPr="00BE3129">
        <w:t xml:space="preserve">per </w:t>
      </w:r>
      <w:r>
        <w:rPr>
          <w:rFonts w:ascii="Verdana" w:hAnsi="Verdana"/>
        </w:rPr>
        <w:t>workforce category reveals variation in cost impact</w:t>
      </w:r>
      <w:r w:rsidRPr="002B10AB">
        <w:rPr>
          <w:rFonts w:ascii="Verdana" w:hAnsi="Verdana"/>
        </w:rPr>
        <w:t xml:space="preserve"> </w:t>
      </w:r>
      <w:r>
        <w:rPr>
          <w:rFonts w:ascii="Verdana" w:hAnsi="Verdana"/>
        </w:rPr>
        <w:t xml:space="preserve">according to the size of organisations, </w:t>
      </w:r>
      <w:r w:rsidR="002B10AB" w:rsidRPr="002B10AB">
        <w:rPr>
          <w:rFonts w:ascii="Verdana" w:hAnsi="Verdana"/>
        </w:rPr>
        <w:t>with hospitals ranking highest</w:t>
      </w:r>
      <w:r>
        <w:rPr>
          <w:rFonts w:ascii="Verdana" w:hAnsi="Verdana"/>
        </w:rPr>
        <w:t xml:space="preserve"> in terms of absolute size and cost. The cost to a hospital, at </w:t>
      </w:r>
      <w:r w:rsidR="002B10AB" w:rsidRPr="002B10AB">
        <w:rPr>
          <w:rFonts w:ascii="Verdana" w:hAnsi="Verdana"/>
        </w:rPr>
        <w:t>$84,000 annually (excluding upfront costs)</w:t>
      </w:r>
      <w:r>
        <w:rPr>
          <w:rFonts w:ascii="Verdana" w:hAnsi="Verdana"/>
        </w:rPr>
        <w:t xml:space="preserve">, is significantly higher than that of any other organisation and is largely a reflection of the very </w:t>
      </w:r>
      <w:r w:rsidR="004A1C5C">
        <w:rPr>
          <w:rFonts w:ascii="Verdana" w:hAnsi="Verdana"/>
        </w:rPr>
        <w:t>significant</w:t>
      </w:r>
      <w:r>
        <w:rPr>
          <w:rFonts w:ascii="Verdana" w:hAnsi="Verdana"/>
        </w:rPr>
        <w:t xml:space="preserve"> size of the average</w:t>
      </w:r>
      <w:r w:rsidR="00251023">
        <w:rPr>
          <w:rFonts w:ascii="Verdana" w:hAnsi="Verdana"/>
        </w:rPr>
        <w:t xml:space="preserve"> hospital workforce, at around 1,0</w:t>
      </w:r>
      <w:r>
        <w:rPr>
          <w:rFonts w:ascii="Verdana" w:hAnsi="Verdana"/>
        </w:rPr>
        <w:t>00 FTE</w:t>
      </w:r>
      <w:r w:rsidR="002B10AB" w:rsidRPr="002B10AB">
        <w:rPr>
          <w:rFonts w:ascii="Verdana" w:hAnsi="Verdana"/>
        </w:rPr>
        <w:t xml:space="preserve">. </w:t>
      </w:r>
      <w:r w:rsidR="00CD74D5">
        <w:rPr>
          <w:rFonts w:ascii="Verdana" w:hAnsi="Verdana"/>
        </w:rPr>
        <w:t>OSHC</w:t>
      </w:r>
      <w:r w:rsidR="002B10AB" w:rsidRPr="002B10AB">
        <w:rPr>
          <w:rFonts w:ascii="Verdana" w:hAnsi="Verdana"/>
        </w:rPr>
        <w:t>, health and support services and gove</w:t>
      </w:r>
      <w:r w:rsidR="00701ED1">
        <w:rPr>
          <w:rFonts w:ascii="Verdana" w:hAnsi="Verdana"/>
        </w:rPr>
        <w:t>rnment statutory bodies rank</w:t>
      </w:r>
      <w:r w:rsidR="002B10AB" w:rsidRPr="002B10AB">
        <w:rPr>
          <w:rFonts w:ascii="Verdana" w:hAnsi="Verdana"/>
        </w:rPr>
        <w:t xml:space="preserve"> lowest </w:t>
      </w:r>
      <w:r w:rsidR="00701ED1">
        <w:rPr>
          <w:rFonts w:ascii="Verdana" w:hAnsi="Verdana"/>
        </w:rPr>
        <w:t>in terms of cost</w:t>
      </w:r>
      <w:r w:rsidR="006D2095">
        <w:rPr>
          <w:rFonts w:ascii="Verdana" w:hAnsi="Verdana"/>
        </w:rPr>
        <w:t xml:space="preserve"> per organisation</w:t>
      </w:r>
      <w:r w:rsidR="00701ED1">
        <w:rPr>
          <w:rFonts w:ascii="Verdana" w:hAnsi="Verdana"/>
        </w:rPr>
        <w:t xml:space="preserve">, </w:t>
      </w:r>
      <w:r w:rsidR="002B10AB" w:rsidRPr="002B10AB">
        <w:rPr>
          <w:rFonts w:ascii="Verdana" w:hAnsi="Verdana"/>
        </w:rPr>
        <w:t>at under $1,000 annually (excluding upfront costs).</w:t>
      </w:r>
    </w:p>
    <w:p w:rsidR="000C31CF" w:rsidRPr="00D94ADF" w:rsidRDefault="000C31CF" w:rsidP="00196F71">
      <w:pPr>
        <w:pStyle w:val="Heading4"/>
        <w:rPr>
          <w:rFonts w:ascii="Verdana" w:hAnsi="Verdana"/>
        </w:rPr>
      </w:pPr>
      <w:r w:rsidRPr="00D94ADF">
        <w:rPr>
          <w:rFonts w:ascii="Verdana" w:hAnsi="Verdana"/>
        </w:rPr>
        <w:t>V</w:t>
      </w:r>
      <w:r w:rsidR="002B10AB" w:rsidRPr="00D94ADF">
        <w:rPr>
          <w:rFonts w:ascii="Verdana" w:hAnsi="Verdana"/>
        </w:rPr>
        <w:t>ariation according to expecte</w:t>
      </w:r>
      <w:r w:rsidRPr="00D94ADF">
        <w:rPr>
          <w:rFonts w:ascii="Verdana" w:hAnsi="Verdana"/>
        </w:rPr>
        <w:t>d impact on information sharing activity</w:t>
      </w:r>
    </w:p>
    <w:p w:rsidR="00E856D9" w:rsidRPr="004A1C5C" w:rsidRDefault="000C31CF" w:rsidP="00A15954">
      <w:pPr>
        <w:pStyle w:val="WOVGbody"/>
        <w:rPr>
          <w:rFonts w:ascii="Verdana" w:hAnsi="Verdana"/>
        </w:rPr>
      </w:pPr>
      <w:r>
        <w:rPr>
          <w:rFonts w:ascii="Verdana" w:hAnsi="Verdana"/>
        </w:rPr>
        <w:t>S</w:t>
      </w:r>
      <w:r w:rsidR="002B10AB" w:rsidRPr="002B10AB">
        <w:rPr>
          <w:rFonts w:ascii="Verdana" w:hAnsi="Verdana"/>
        </w:rPr>
        <w:t xml:space="preserve">chools, </w:t>
      </w:r>
      <w:r w:rsidR="00CD74D5">
        <w:rPr>
          <w:rFonts w:ascii="Verdana" w:hAnsi="Verdana"/>
        </w:rPr>
        <w:t>ECEC providers</w:t>
      </w:r>
      <w:r w:rsidR="002B10AB" w:rsidRPr="002B10AB">
        <w:rPr>
          <w:rFonts w:ascii="Verdana" w:hAnsi="Verdana"/>
        </w:rPr>
        <w:t>, hospitals, and healt</w:t>
      </w:r>
      <w:r>
        <w:rPr>
          <w:rFonts w:ascii="Verdana" w:hAnsi="Verdana"/>
        </w:rPr>
        <w:t>h and support services record</w:t>
      </w:r>
      <w:r w:rsidR="002B10AB" w:rsidRPr="002B10AB">
        <w:rPr>
          <w:rFonts w:ascii="Verdana" w:hAnsi="Verdana"/>
        </w:rPr>
        <w:t xml:space="preserve"> a higher cost level </w:t>
      </w:r>
      <w:r w:rsidR="006B5D50">
        <w:rPr>
          <w:rFonts w:ascii="Verdana" w:hAnsi="Verdana"/>
        </w:rPr>
        <w:t>adjusted for</w:t>
      </w:r>
      <w:r w:rsidR="005B6181">
        <w:rPr>
          <w:rFonts w:ascii="Verdana" w:hAnsi="Verdana"/>
        </w:rPr>
        <w:t xml:space="preserve"> organisational size (</w:t>
      </w:r>
      <w:r w:rsidR="006B5D50">
        <w:rPr>
          <w:rFonts w:ascii="Verdana" w:hAnsi="Verdana"/>
        </w:rPr>
        <w:t xml:space="preserve">by </w:t>
      </w:r>
      <w:r w:rsidR="005B6181">
        <w:rPr>
          <w:rFonts w:ascii="Verdana" w:hAnsi="Verdana"/>
        </w:rPr>
        <w:t xml:space="preserve">FTE) </w:t>
      </w:r>
      <w:r w:rsidR="002B10AB" w:rsidRPr="002B10AB">
        <w:rPr>
          <w:rFonts w:ascii="Verdana" w:hAnsi="Verdana"/>
        </w:rPr>
        <w:t xml:space="preserve">than </w:t>
      </w:r>
      <w:r w:rsidR="00CD74D5">
        <w:rPr>
          <w:rFonts w:ascii="Verdana" w:hAnsi="Verdana"/>
        </w:rPr>
        <w:t>OSHC providers</w:t>
      </w:r>
      <w:r w:rsidR="002B10AB" w:rsidRPr="002B10AB">
        <w:rPr>
          <w:rFonts w:ascii="Verdana" w:hAnsi="Verdana"/>
        </w:rPr>
        <w:t xml:space="preserve"> and government statutory bodies and services.</w:t>
      </w:r>
      <w:r>
        <w:rPr>
          <w:rFonts w:ascii="Verdana" w:hAnsi="Verdana"/>
        </w:rPr>
        <w:t xml:space="preserve"> These findings align with feedback received through consultations, where the former group of workforces indicated greater expected workforce impacts of prescription under </w:t>
      </w:r>
      <w:r w:rsidR="00CC549C">
        <w:rPr>
          <w:rFonts w:ascii="Verdana" w:hAnsi="Verdana"/>
        </w:rPr>
        <w:t xml:space="preserve">the </w:t>
      </w:r>
      <w:r>
        <w:rPr>
          <w:rFonts w:ascii="Verdana" w:hAnsi="Verdana"/>
        </w:rPr>
        <w:t>CIS Scheme.</w:t>
      </w:r>
    </w:p>
    <w:p w:rsidR="00A15954" w:rsidRPr="004A1C5C" w:rsidRDefault="006641FF" w:rsidP="00A15954">
      <w:pPr>
        <w:pStyle w:val="WOVGbody"/>
        <w:rPr>
          <w:rFonts w:ascii="Verdana" w:hAnsi="Verdana"/>
        </w:rPr>
      </w:pPr>
      <w:r w:rsidRPr="004A1C5C">
        <w:rPr>
          <w:rFonts w:ascii="Verdana" w:hAnsi="Verdana"/>
          <w:b/>
        </w:rPr>
        <w:t>Table 6.</w:t>
      </w:r>
      <w:r w:rsidR="00FB4855">
        <w:rPr>
          <w:rFonts w:ascii="Verdana" w:hAnsi="Verdana"/>
          <w:b/>
        </w:rPr>
        <w:t>6</w:t>
      </w:r>
      <w:r w:rsidRPr="004A1C5C">
        <w:rPr>
          <w:rFonts w:ascii="Verdana" w:hAnsi="Verdana"/>
          <w:b/>
        </w:rPr>
        <w:t xml:space="preserve"> </w:t>
      </w:r>
      <w:r w:rsidR="00196F71">
        <w:rPr>
          <w:rFonts w:ascii="Verdana" w:hAnsi="Verdana"/>
          <w:b/>
        </w:rPr>
        <w:t xml:space="preserve">Average annual upfront and </w:t>
      </w:r>
      <w:r w:rsidR="00D96319" w:rsidRPr="004A1C5C">
        <w:rPr>
          <w:rFonts w:ascii="Verdana" w:hAnsi="Verdana"/>
          <w:b/>
        </w:rPr>
        <w:t>ongoing costs per organisation by workforce group (2022)</w:t>
      </w:r>
    </w:p>
    <w:tbl>
      <w:tblPr>
        <w:tblStyle w:val="TableGrid"/>
        <w:tblW w:w="4933" w:type="pct"/>
        <w:tblLook w:val="04A0" w:firstRow="1" w:lastRow="0" w:firstColumn="1" w:lastColumn="0" w:noHBand="0" w:noVBand="1"/>
      </w:tblPr>
      <w:tblGrid>
        <w:gridCol w:w="1907"/>
        <w:gridCol w:w="832"/>
        <w:gridCol w:w="873"/>
        <w:gridCol w:w="916"/>
        <w:gridCol w:w="982"/>
        <w:gridCol w:w="1091"/>
        <w:gridCol w:w="1173"/>
        <w:gridCol w:w="1613"/>
      </w:tblGrid>
      <w:tr w:rsidR="00D74002" w:rsidRPr="00F93BA1" w:rsidTr="007B75B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16" w:type="pct"/>
            <w:vMerge w:val="restart"/>
            <w:tcBorders>
              <w:top w:val="single" w:sz="4" w:space="0" w:color="auto"/>
              <w:left w:val="single" w:sz="4" w:space="0" w:color="auto"/>
              <w:bottom w:val="single" w:sz="4" w:space="0" w:color="53565A" w:themeColor="accent1"/>
              <w:right w:val="single" w:sz="4" w:space="0" w:color="auto"/>
            </w:tcBorders>
          </w:tcPr>
          <w:p w:rsidR="00D74002" w:rsidRPr="002112EE" w:rsidRDefault="00D74002" w:rsidP="001647DF">
            <w:pPr>
              <w:pStyle w:val="WOVGbody"/>
              <w:rPr>
                <w:rFonts w:ascii="Verdana" w:hAnsi="Verdana"/>
                <w:color w:val="FFFFFF" w:themeColor="background1"/>
                <w:sz w:val="16"/>
              </w:rPr>
            </w:pPr>
            <w:r w:rsidRPr="002112EE">
              <w:rPr>
                <w:rFonts w:ascii="Verdana" w:hAnsi="Verdana"/>
                <w:color w:val="FFFFFF" w:themeColor="background1"/>
                <w:sz w:val="16"/>
              </w:rPr>
              <w:t>Workforce group</w:t>
            </w:r>
          </w:p>
        </w:tc>
        <w:tc>
          <w:tcPr>
            <w:tcW w:w="908" w:type="pct"/>
            <w:gridSpan w:val="2"/>
            <w:tcBorders>
              <w:top w:val="nil"/>
              <w:left w:val="single" w:sz="4" w:space="0" w:color="auto"/>
              <w:bottom w:val="nil"/>
              <w:right w:val="single" w:sz="4" w:space="0" w:color="auto"/>
            </w:tcBorders>
          </w:tcPr>
          <w:p w:rsidR="00D74002" w:rsidRPr="002112EE" w:rsidRDefault="00D74002" w:rsidP="001647DF">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Upfront Costs</w:t>
            </w:r>
          </w:p>
        </w:tc>
        <w:tc>
          <w:tcPr>
            <w:tcW w:w="2217" w:type="pct"/>
            <w:gridSpan w:val="4"/>
            <w:tcBorders>
              <w:top w:val="nil"/>
              <w:left w:val="single" w:sz="4" w:space="0" w:color="auto"/>
              <w:bottom w:val="nil"/>
            </w:tcBorders>
          </w:tcPr>
          <w:p w:rsidR="00D74002" w:rsidRPr="002112EE" w:rsidRDefault="00D74002" w:rsidP="002112E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Pr>
                <w:rFonts w:ascii="Verdana" w:hAnsi="Verdana"/>
                <w:color w:val="FFFFFF" w:themeColor="background1"/>
                <w:sz w:val="16"/>
              </w:rPr>
              <w:t>Ongoing Costs in 2022</w:t>
            </w:r>
          </w:p>
        </w:tc>
        <w:tc>
          <w:tcPr>
            <w:tcW w:w="859" w:type="pct"/>
            <w:tcBorders>
              <w:top w:val="nil"/>
              <w:left w:val="single" w:sz="4" w:space="0" w:color="auto"/>
              <w:bottom w:val="nil"/>
            </w:tcBorders>
          </w:tcPr>
          <w:p w:rsidR="00D74002" w:rsidRPr="002112EE" w:rsidRDefault="00D74002" w:rsidP="002112E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p>
        </w:tc>
      </w:tr>
      <w:tr w:rsidR="00987C28" w:rsidRPr="00F93BA1" w:rsidTr="007B75B1">
        <w:trPr>
          <w:trHeight w:val="692"/>
        </w:trPr>
        <w:tc>
          <w:tcPr>
            <w:cnfStyle w:val="001000000000" w:firstRow="0" w:lastRow="0" w:firstColumn="1" w:lastColumn="0" w:oddVBand="0" w:evenVBand="0" w:oddHBand="0" w:evenHBand="0" w:firstRowFirstColumn="0" w:firstRowLastColumn="0" w:lastRowFirstColumn="0" w:lastRowLastColumn="0"/>
            <w:tcW w:w="1016" w:type="pct"/>
            <w:vMerge/>
            <w:tcBorders>
              <w:top w:val="single" w:sz="4" w:space="0" w:color="auto"/>
              <w:right w:val="single" w:sz="4" w:space="0" w:color="auto"/>
            </w:tcBorders>
          </w:tcPr>
          <w:p w:rsidR="00754DC7" w:rsidRPr="002112EE" w:rsidRDefault="00754DC7" w:rsidP="00754DC7">
            <w:pPr>
              <w:pStyle w:val="WOVGbody"/>
              <w:rPr>
                <w:rFonts w:ascii="Verdana" w:hAnsi="Verdana"/>
                <w:color w:val="FFFFFF" w:themeColor="background1"/>
                <w:sz w:val="16"/>
              </w:rPr>
            </w:pPr>
          </w:p>
        </w:tc>
        <w:tc>
          <w:tcPr>
            <w:tcW w:w="443" w:type="pct"/>
            <w:tcBorders>
              <w:top w:val="nil"/>
              <w:left w:val="single" w:sz="4" w:space="0" w:color="auto"/>
              <w:bottom w:val="nil"/>
              <w:right w:val="nil"/>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Update Policies</w:t>
            </w:r>
          </w:p>
        </w:tc>
        <w:tc>
          <w:tcPr>
            <w:tcW w:w="464" w:type="pct"/>
            <w:tcBorders>
              <w:top w:val="nil"/>
              <w:left w:val="nil"/>
              <w:bottom w:val="nil"/>
              <w:right w:val="single" w:sz="4" w:space="0" w:color="auto"/>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Upfront training</w:t>
            </w:r>
          </w:p>
        </w:tc>
        <w:tc>
          <w:tcPr>
            <w:tcW w:w="488" w:type="pct"/>
            <w:tcBorders>
              <w:top w:val="nil"/>
              <w:left w:val="single" w:sz="4" w:space="0" w:color="auto"/>
              <w:bottom w:val="nil"/>
              <w:right w:val="nil"/>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Ongoing training</w:t>
            </w:r>
          </w:p>
        </w:tc>
        <w:tc>
          <w:tcPr>
            <w:tcW w:w="523" w:type="pct"/>
            <w:tcBorders>
              <w:top w:val="nil"/>
              <w:left w:val="nil"/>
              <w:bottom w:val="nil"/>
              <w:right w:val="nil"/>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Requests</w:t>
            </w:r>
          </w:p>
        </w:tc>
        <w:tc>
          <w:tcPr>
            <w:tcW w:w="581" w:type="pct"/>
            <w:tcBorders>
              <w:top w:val="nil"/>
              <w:left w:val="nil"/>
              <w:bottom w:val="nil"/>
              <w:right w:val="nil"/>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Respond</w:t>
            </w:r>
          </w:p>
        </w:tc>
        <w:tc>
          <w:tcPr>
            <w:tcW w:w="625" w:type="pct"/>
            <w:tcBorders>
              <w:top w:val="nil"/>
              <w:left w:val="nil"/>
              <w:bottom w:val="nil"/>
              <w:right w:val="single" w:sz="4" w:space="0" w:color="auto"/>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szCs w:val="16"/>
              </w:rPr>
            </w:pPr>
            <w:r w:rsidRPr="002112EE">
              <w:rPr>
                <w:rFonts w:ascii="Verdana" w:hAnsi="Verdana"/>
                <w:color w:val="FFFFFF" w:themeColor="background1"/>
                <w:sz w:val="16"/>
              </w:rPr>
              <w:t>Record</w:t>
            </w:r>
          </w:p>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szCs w:val="16"/>
              </w:rPr>
              <w:t>Keeping</w:t>
            </w:r>
          </w:p>
        </w:tc>
        <w:tc>
          <w:tcPr>
            <w:tcW w:w="859" w:type="pct"/>
            <w:tcBorders>
              <w:top w:val="nil"/>
              <w:left w:val="single" w:sz="4" w:space="0" w:color="auto"/>
              <w:bottom w:val="nil"/>
              <w:right w:val="single" w:sz="4" w:space="0" w:color="auto"/>
            </w:tcBorders>
            <w:shd w:val="clear" w:color="auto" w:fill="53565A" w:themeFill="accent1"/>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Annual ongoing costs (excl.</w:t>
            </w:r>
            <w:r w:rsidR="00E856D9">
              <w:rPr>
                <w:rFonts w:ascii="Verdana" w:hAnsi="Verdana"/>
                <w:color w:val="FFFFFF" w:themeColor="background1"/>
                <w:sz w:val="16"/>
              </w:rPr>
              <w:t xml:space="preserve"> </w:t>
            </w:r>
            <w:r w:rsidRPr="002112EE">
              <w:rPr>
                <w:rFonts w:ascii="Verdana" w:hAnsi="Verdana"/>
                <w:color w:val="FFFFFF" w:themeColor="background1"/>
                <w:sz w:val="16"/>
              </w:rPr>
              <w:t>upfront)</w:t>
            </w:r>
          </w:p>
        </w:tc>
      </w:tr>
      <w:tr w:rsidR="00754DC7" w:rsidRPr="00F93BA1" w:rsidTr="007B75B1">
        <w:trPr>
          <w:trHeight w:val="240"/>
        </w:trPr>
        <w:tc>
          <w:tcPr>
            <w:cnfStyle w:val="001000000000" w:firstRow="0" w:lastRow="0" w:firstColumn="1" w:lastColumn="0" w:oddVBand="0" w:evenVBand="0" w:oddHBand="0" w:evenHBand="0" w:firstRowFirstColumn="0" w:firstRowLastColumn="0" w:lastRowFirstColumn="0" w:lastRowLastColumn="0"/>
            <w:tcW w:w="1016" w:type="pct"/>
            <w:shd w:val="clear" w:color="auto" w:fill="00848F" w:themeFill="accent2"/>
          </w:tcPr>
          <w:p w:rsidR="00754DC7" w:rsidRPr="002112EE" w:rsidRDefault="00754DC7" w:rsidP="00754DC7">
            <w:pPr>
              <w:pStyle w:val="WOVGbody"/>
              <w:rPr>
                <w:rFonts w:ascii="Verdana" w:hAnsi="Verdana"/>
                <w:sz w:val="16"/>
              </w:rPr>
            </w:pPr>
          </w:p>
        </w:tc>
        <w:tc>
          <w:tcPr>
            <w:tcW w:w="443"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464"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488"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23"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81"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625"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859" w:type="pct"/>
            <w:tcBorders>
              <w:top w:val="nil"/>
            </w:tcBorders>
            <w:shd w:val="clear" w:color="auto" w:fill="00848F" w:themeFill="accent2"/>
          </w:tcPr>
          <w:p w:rsidR="00754DC7" w:rsidRPr="002112EE" w:rsidRDefault="00754DC7" w:rsidP="00754DC7">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szCs w:val="16"/>
              </w:rPr>
              <w:t>$</w:t>
            </w:r>
          </w:p>
        </w:tc>
      </w:tr>
      <w:tr w:rsidR="00754DC7" w:rsidRPr="00F93BA1" w:rsidTr="007B75B1">
        <w:trPr>
          <w:trHeight w:val="249"/>
        </w:trPr>
        <w:tc>
          <w:tcPr>
            <w:cnfStyle w:val="001000000000" w:firstRow="0" w:lastRow="0" w:firstColumn="1" w:lastColumn="0" w:oddVBand="0" w:evenVBand="0" w:oddHBand="0" w:evenHBand="0" w:firstRowFirstColumn="0" w:firstRowLastColumn="0" w:lastRowFirstColumn="0" w:lastRowLastColumn="0"/>
            <w:tcW w:w="1016" w:type="pct"/>
          </w:tcPr>
          <w:p w:rsidR="00754DC7" w:rsidRPr="002112EE" w:rsidRDefault="00754DC7" w:rsidP="00754DC7">
            <w:pPr>
              <w:pStyle w:val="WOVGbody"/>
              <w:rPr>
                <w:rFonts w:ascii="Verdana" w:hAnsi="Verdana"/>
                <w:sz w:val="16"/>
              </w:rPr>
            </w:pPr>
            <w:r w:rsidRPr="002112EE">
              <w:rPr>
                <w:rFonts w:ascii="Verdana" w:hAnsi="Verdana"/>
                <w:sz w:val="16"/>
              </w:rPr>
              <w:t>Grp 1: Schools</w:t>
            </w:r>
          </w:p>
        </w:tc>
        <w:tc>
          <w:tcPr>
            <w:tcW w:w="44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$2,507</w:t>
            </w:r>
          </w:p>
        </w:tc>
        <w:tc>
          <w:tcPr>
            <w:tcW w:w="464"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88"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2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$637</w:t>
            </w:r>
          </w:p>
        </w:tc>
        <w:tc>
          <w:tcPr>
            <w:tcW w:w="581"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610</w:t>
            </w:r>
          </w:p>
        </w:tc>
        <w:tc>
          <w:tcPr>
            <w:tcW w:w="625"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376</w:t>
            </w:r>
          </w:p>
        </w:tc>
        <w:tc>
          <w:tcPr>
            <w:tcW w:w="859"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$1,792</w:t>
            </w:r>
          </w:p>
        </w:tc>
      </w:tr>
      <w:tr w:rsidR="00754DC7" w:rsidRPr="00F93BA1" w:rsidTr="007B75B1">
        <w:trPr>
          <w:trHeight w:val="422"/>
        </w:trPr>
        <w:tc>
          <w:tcPr>
            <w:cnfStyle w:val="001000000000" w:firstRow="0" w:lastRow="0" w:firstColumn="1" w:lastColumn="0" w:oddVBand="0" w:evenVBand="0" w:oddHBand="0" w:evenHBand="0" w:firstRowFirstColumn="0" w:firstRowLastColumn="0" w:lastRowFirstColumn="0" w:lastRowLastColumn="0"/>
            <w:tcW w:w="1016" w:type="pct"/>
          </w:tcPr>
          <w:p w:rsidR="00754DC7" w:rsidRPr="002112EE" w:rsidRDefault="00754DC7" w:rsidP="00754DC7">
            <w:pPr>
              <w:pStyle w:val="WOVGbody"/>
              <w:rPr>
                <w:rFonts w:ascii="Verdana" w:hAnsi="Verdana"/>
                <w:sz w:val="16"/>
              </w:rPr>
            </w:pPr>
            <w:r w:rsidRPr="002112EE">
              <w:rPr>
                <w:rFonts w:ascii="Verdana" w:hAnsi="Verdana"/>
                <w:sz w:val="16"/>
              </w:rPr>
              <w:t>Grp 2: ECEC provider</w:t>
            </w:r>
          </w:p>
        </w:tc>
        <w:tc>
          <w:tcPr>
            <w:tcW w:w="44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$1,728</w:t>
            </w:r>
          </w:p>
        </w:tc>
        <w:tc>
          <w:tcPr>
            <w:tcW w:w="464"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88"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2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$286</w:t>
            </w:r>
          </w:p>
        </w:tc>
        <w:tc>
          <w:tcPr>
            <w:tcW w:w="581"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187</w:t>
            </w:r>
          </w:p>
        </w:tc>
        <w:tc>
          <w:tcPr>
            <w:tcW w:w="625"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472</w:t>
            </w:r>
          </w:p>
        </w:tc>
        <w:tc>
          <w:tcPr>
            <w:tcW w:w="859"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$1,114</w:t>
            </w:r>
          </w:p>
        </w:tc>
      </w:tr>
      <w:tr w:rsidR="00754DC7" w:rsidRPr="00F93BA1" w:rsidTr="007B75B1">
        <w:trPr>
          <w:trHeight w:val="413"/>
        </w:trPr>
        <w:tc>
          <w:tcPr>
            <w:cnfStyle w:val="001000000000" w:firstRow="0" w:lastRow="0" w:firstColumn="1" w:lastColumn="0" w:oddVBand="0" w:evenVBand="0" w:oddHBand="0" w:evenHBand="0" w:firstRowFirstColumn="0" w:firstRowLastColumn="0" w:lastRowFirstColumn="0" w:lastRowLastColumn="0"/>
            <w:tcW w:w="1016" w:type="pct"/>
          </w:tcPr>
          <w:p w:rsidR="00754DC7" w:rsidRPr="002112EE" w:rsidRDefault="00754DC7" w:rsidP="00754DC7">
            <w:pPr>
              <w:pStyle w:val="WOVGbody"/>
              <w:rPr>
                <w:rFonts w:ascii="Verdana" w:hAnsi="Verdana"/>
                <w:sz w:val="16"/>
              </w:rPr>
            </w:pPr>
            <w:r w:rsidRPr="002112EE">
              <w:rPr>
                <w:rFonts w:ascii="Verdana" w:hAnsi="Verdana"/>
                <w:sz w:val="16"/>
              </w:rPr>
              <w:t>Grp 3: OSHC provider</w:t>
            </w:r>
          </w:p>
        </w:tc>
        <w:tc>
          <w:tcPr>
            <w:tcW w:w="44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$1,265</w:t>
            </w:r>
          </w:p>
        </w:tc>
        <w:tc>
          <w:tcPr>
            <w:tcW w:w="464"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88"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2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$140</w:t>
            </w:r>
          </w:p>
        </w:tc>
        <w:tc>
          <w:tcPr>
            <w:tcW w:w="581"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56</w:t>
            </w:r>
          </w:p>
        </w:tc>
        <w:tc>
          <w:tcPr>
            <w:tcW w:w="625"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138</w:t>
            </w:r>
          </w:p>
        </w:tc>
        <w:tc>
          <w:tcPr>
            <w:tcW w:w="859"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$503</w:t>
            </w:r>
          </w:p>
        </w:tc>
      </w:tr>
      <w:tr w:rsidR="00754DC7" w:rsidRPr="00F93BA1" w:rsidTr="007B75B1">
        <w:trPr>
          <w:trHeight w:val="422"/>
        </w:trPr>
        <w:tc>
          <w:tcPr>
            <w:cnfStyle w:val="001000000000" w:firstRow="0" w:lastRow="0" w:firstColumn="1" w:lastColumn="0" w:oddVBand="0" w:evenVBand="0" w:oddHBand="0" w:evenHBand="0" w:firstRowFirstColumn="0" w:firstRowLastColumn="0" w:lastRowFirstColumn="0" w:lastRowLastColumn="0"/>
            <w:tcW w:w="1016" w:type="pct"/>
          </w:tcPr>
          <w:p w:rsidR="00754DC7" w:rsidRPr="002112EE" w:rsidRDefault="00754DC7" w:rsidP="00754DC7">
            <w:pPr>
              <w:pStyle w:val="WOVGbody"/>
              <w:rPr>
                <w:rFonts w:ascii="Verdana" w:hAnsi="Verdana"/>
                <w:sz w:val="16"/>
              </w:rPr>
            </w:pPr>
            <w:r w:rsidRPr="002112EE">
              <w:rPr>
                <w:rFonts w:ascii="Verdana" w:hAnsi="Verdana"/>
                <w:sz w:val="16"/>
              </w:rPr>
              <w:t>Grp 4: Health and support services</w:t>
            </w:r>
          </w:p>
        </w:tc>
        <w:tc>
          <w:tcPr>
            <w:tcW w:w="44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$3,292</w:t>
            </w:r>
          </w:p>
        </w:tc>
        <w:tc>
          <w:tcPr>
            <w:tcW w:w="464"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88"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2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$155</w:t>
            </w:r>
          </w:p>
        </w:tc>
        <w:tc>
          <w:tcPr>
            <w:tcW w:w="581"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333</w:t>
            </w:r>
          </w:p>
        </w:tc>
        <w:tc>
          <w:tcPr>
            <w:tcW w:w="625"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174</w:t>
            </w:r>
          </w:p>
        </w:tc>
        <w:tc>
          <w:tcPr>
            <w:tcW w:w="859"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$831</w:t>
            </w:r>
          </w:p>
        </w:tc>
      </w:tr>
      <w:tr w:rsidR="00754DC7" w:rsidRPr="00F93BA1" w:rsidTr="007B75B1">
        <w:trPr>
          <w:trHeight w:val="249"/>
        </w:trPr>
        <w:tc>
          <w:tcPr>
            <w:cnfStyle w:val="001000000000" w:firstRow="0" w:lastRow="0" w:firstColumn="1" w:lastColumn="0" w:oddVBand="0" w:evenVBand="0" w:oddHBand="0" w:evenHBand="0" w:firstRowFirstColumn="0" w:firstRowLastColumn="0" w:lastRowFirstColumn="0" w:lastRowLastColumn="0"/>
            <w:tcW w:w="1016" w:type="pct"/>
          </w:tcPr>
          <w:p w:rsidR="00754DC7" w:rsidRPr="002112EE" w:rsidRDefault="00754DC7" w:rsidP="00754DC7">
            <w:pPr>
              <w:pStyle w:val="WOVGbody"/>
              <w:rPr>
                <w:rFonts w:ascii="Verdana" w:hAnsi="Verdana"/>
                <w:sz w:val="16"/>
              </w:rPr>
            </w:pPr>
            <w:r w:rsidRPr="002112EE">
              <w:rPr>
                <w:rFonts w:ascii="Verdana" w:hAnsi="Verdana"/>
                <w:sz w:val="16"/>
              </w:rPr>
              <w:t>Grp 5: Hospitals</w:t>
            </w:r>
          </w:p>
        </w:tc>
        <w:tc>
          <w:tcPr>
            <w:tcW w:w="44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$8,667</w:t>
            </w:r>
          </w:p>
        </w:tc>
        <w:tc>
          <w:tcPr>
            <w:tcW w:w="464"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88"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2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$33,130</w:t>
            </w:r>
          </w:p>
        </w:tc>
        <w:tc>
          <w:tcPr>
            <w:tcW w:w="581"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21,055</w:t>
            </w:r>
          </w:p>
        </w:tc>
        <w:tc>
          <w:tcPr>
            <w:tcW w:w="625"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29,692</w:t>
            </w:r>
          </w:p>
        </w:tc>
        <w:tc>
          <w:tcPr>
            <w:tcW w:w="859"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$84,047</w:t>
            </w:r>
          </w:p>
        </w:tc>
      </w:tr>
      <w:tr w:rsidR="00754DC7" w:rsidRPr="00F93BA1" w:rsidTr="007B75B1">
        <w:trPr>
          <w:trHeight w:val="760"/>
        </w:trPr>
        <w:tc>
          <w:tcPr>
            <w:cnfStyle w:val="001000000000" w:firstRow="0" w:lastRow="0" w:firstColumn="1" w:lastColumn="0" w:oddVBand="0" w:evenVBand="0" w:oddHBand="0" w:evenHBand="0" w:firstRowFirstColumn="0" w:firstRowLastColumn="0" w:lastRowFirstColumn="0" w:lastRowLastColumn="0"/>
            <w:tcW w:w="1016" w:type="pct"/>
          </w:tcPr>
          <w:p w:rsidR="00754DC7" w:rsidRPr="002112EE" w:rsidRDefault="00754DC7" w:rsidP="00754DC7">
            <w:pPr>
              <w:pStyle w:val="WOVGbody"/>
              <w:rPr>
                <w:rFonts w:ascii="Verdana" w:hAnsi="Verdana"/>
                <w:sz w:val="16"/>
              </w:rPr>
            </w:pPr>
            <w:r w:rsidRPr="002112EE">
              <w:rPr>
                <w:rFonts w:ascii="Verdana" w:hAnsi="Verdana"/>
                <w:sz w:val="16"/>
              </w:rPr>
              <w:t>Grp 6: Govt. statutory bodies and organisation/service</w:t>
            </w:r>
          </w:p>
        </w:tc>
        <w:tc>
          <w:tcPr>
            <w:tcW w:w="44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$1,027</w:t>
            </w:r>
          </w:p>
        </w:tc>
        <w:tc>
          <w:tcPr>
            <w:tcW w:w="464"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88"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$169</w:t>
            </w:r>
          </w:p>
        </w:tc>
        <w:tc>
          <w:tcPr>
            <w:tcW w:w="523"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$18</w:t>
            </w:r>
          </w:p>
        </w:tc>
        <w:tc>
          <w:tcPr>
            <w:tcW w:w="581"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160</w:t>
            </w:r>
          </w:p>
        </w:tc>
        <w:tc>
          <w:tcPr>
            <w:tcW w:w="625"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w:t>
            </w:r>
            <w:r w:rsidRPr="002112EE">
              <w:rPr>
                <w:rFonts w:ascii="Verdana" w:hAnsi="Verdana"/>
                <w:sz w:val="16"/>
                <w:szCs w:val="16"/>
              </w:rPr>
              <w:t>67</w:t>
            </w:r>
          </w:p>
        </w:tc>
        <w:tc>
          <w:tcPr>
            <w:tcW w:w="859" w:type="pct"/>
          </w:tcPr>
          <w:p w:rsidR="00754DC7" w:rsidRPr="002112EE"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$415</w:t>
            </w:r>
          </w:p>
        </w:tc>
      </w:tr>
      <w:tr w:rsidR="00754DC7" w:rsidRPr="00E5759B" w:rsidTr="007B75B1">
        <w:trPr>
          <w:trHeight w:val="422"/>
        </w:trPr>
        <w:tc>
          <w:tcPr>
            <w:cnfStyle w:val="001000000000" w:firstRow="0" w:lastRow="0" w:firstColumn="1" w:lastColumn="0" w:oddVBand="0" w:evenVBand="0" w:oddHBand="0" w:evenHBand="0" w:firstRowFirstColumn="0" w:firstRowLastColumn="0" w:lastRowFirstColumn="0" w:lastRowLastColumn="0"/>
            <w:tcW w:w="1016" w:type="pct"/>
          </w:tcPr>
          <w:p w:rsidR="00754DC7" w:rsidRPr="00E5759B" w:rsidRDefault="00754DC7" w:rsidP="00754DC7">
            <w:pPr>
              <w:pStyle w:val="WOVGbody"/>
              <w:rPr>
                <w:rFonts w:ascii="Verdana" w:hAnsi="Verdana"/>
                <w:sz w:val="16"/>
              </w:rPr>
            </w:pPr>
            <w:r w:rsidRPr="00E5759B">
              <w:rPr>
                <w:rFonts w:ascii="Verdana" w:hAnsi="Verdana"/>
                <w:sz w:val="16"/>
              </w:rPr>
              <w:t>Avg. all organisations</w:t>
            </w:r>
          </w:p>
        </w:tc>
        <w:tc>
          <w:tcPr>
            <w:tcW w:w="443"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w:t>
            </w:r>
            <w:r w:rsidR="00CD74D5">
              <w:rPr>
                <w:rFonts w:ascii="Verdana" w:hAnsi="Verdana"/>
                <w:sz w:val="16"/>
              </w:rPr>
              <w:t>,</w:t>
            </w:r>
            <w:r w:rsidRPr="00E5759B">
              <w:rPr>
                <w:rFonts w:ascii="Verdana" w:hAnsi="Verdana"/>
                <w:sz w:val="16"/>
              </w:rPr>
              <w:t>430</w:t>
            </w:r>
          </w:p>
        </w:tc>
        <w:tc>
          <w:tcPr>
            <w:tcW w:w="464"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$1,308</w:t>
            </w:r>
          </w:p>
        </w:tc>
        <w:tc>
          <w:tcPr>
            <w:tcW w:w="488"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$169</w:t>
            </w:r>
          </w:p>
        </w:tc>
        <w:tc>
          <w:tcPr>
            <w:tcW w:w="523"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$731</w:t>
            </w:r>
          </w:p>
        </w:tc>
        <w:tc>
          <w:tcPr>
            <w:tcW w:w="581"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w:t>
            </w:r>
            <w:r w:rsidRPr="00E5759B">
              <w:rPr>
                <w:rFonts w:ascii="Verdana" w:hAnsi="Verdana"/>
                <w:sz w:val="16"/>
                <w:szCs w:val="16"/>
              </w:rPr>
              <w:t>590</w:t>
            </w:r>
          </w:p>
        </w:tc>
        <w:tc>
          <w:tcPr>
            <w:tcW w:w="625"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w:t>
            </w:r>
            <w:r w:rsidRPr="00E5759B">
              <w:rPr>
                <w:rFonts w:ascii="Verdana" w:hAnsi="Verdana"/>
                <w:sz w:val="16"/>
                <w:szCs w:val="16"/>
              </w:rPr>
              <w:t>687</w:t>
            </w:r>
          </w:p>
        </w:tc>
        <w:tc>
          <w:tcPr>
            <w:tcW w:w="859" w:type="pct"/>
          </w:tcPr>
          <w:p w:rsidR="00754DC7" w:rsidRPr="00E5759B" w:rsidRDefault="00754DC7" w:rsidP="00754D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$2,177</w:t>
            </w:r>
          </w:p>
        </w:tc>
      </w:tr>
      <w:tr w:rsidR="00E856D9" w:rsidRPr="00F93BA1" w:rsidTr="007B75B1">
        <w:trPr>
          <w:trHeight w:val="242"/>
        </w:trPr>
        <w:tc>
          <w:tcPr>
            <w:cnfStyle w:val="001000000000" w:firstRow="0" w:lastRow="0" w:firstColumn="1" w:lastColumn="0" w:oddVBand="0" w:evenVBand="0" w:oddHBand="0" w:evenHBand="0" w:firstRowFirstColumn="0" w:firstRowLastColumn="0" w:lastRowFirstColumn="0" w:lastRowLastColumn="0"/>
            <w:tcW w:w="5000" w:type="pct"/>
            <w:gridSpan w:val="8"/>
          </w:tcPr>
          <w:p w:rsidR="00E856D9" w:rsidRPr="00792DC3" w:rsidRDefault="00E856D9" w:rsidP="00754DC7">
            <w:pPr>
              <w:pStyle w:val="WOVGbody"/>
              <w:rPr>
                <w:rFonts w:ascii="Verdana" w:hAnsi="Verdana"/>
                <w:sz w:val="16"/>
                <w:szCs w:val="16"/>
              </w:rPr>
            </w:pPr>
            <w:r w:rsidRPr="00792DC3">
              <w:rPr>
                <w:rFonts w:ascii="Verdana" w:hAnsi="Verdana"/>
                <w:i/>
                <w:sz w:val="16"/>
                <w:szCs w:val="16"/>
              </w:rPr>
              <w:t>Source: ACIL Allen Consulting 2019</w:t>
            </w:r>
          </w:p>
        </w:tc>
      </w:tr>
    </w:tbl>
    <w:p w:rsidR="00701ED1" w:rsidRDefault="00701ED1" w:rsidP="00A15954">
      <w:pPr>
        <w:pStyle w:val="WOVGbody"/>
      </w:pPr>
    </w:p>
    <w:p w:rsidR="00701ED1" w:rsidRDefault="00701ED1">
      <w:pPr>
        <w:rPr>
          <w:rFonts w:ascii="Arial" w:eastAsia="Times" w:hAnsi="Arial"/>
        </w:rPr>
      </w:pPr>
      <w:r>
        <w:br w:type="page"/>
      </w:r>
    </w:p>
    <w:p w:rsidR="006C06C7" w:rsidRPr="006C06C7" w:rsidRDefault="006C06C7" w:rsidP="00A15954">
      <w:pPr>
        <w:pStyle w:val="WOVGbody"/>
        <w:rPr>
          <w:rFonts w:ascii="Verdana" w:hAnsi="Verdana"/>
          <w:b/>
        </w:rPr>
      </w:pPr>
      <w:r w:rsidRPr="006C06C7">
        <w:rPr>
          <w:rFonts w:ascii="Verdana" w:hAnsi="Verdana"/>
          <w:b/>
        </w:rPr>
        <w:lastRenderedPageBreak/>
        <w:t xml:space="preserve">Table 6.7 Average per organisation </w:t>
      </w:r>
      <w:r w:rsidR="00196F71">
        <w:rPr>
          <w:rFonts w:ascii="Verdana" w:hAnsi="Verdana"/>
          <w:b/>
        </w:rPr>
        <w:t>cost, by workforce group, 10 year totals</w:t>
      </w:r>
    </w:p>
    <w:tbl>
      <w:tblPr>
        <w:tblStyle w:val="TableGrid"/>
        <w:tblW w:w="4917" w:type="pct"/>
        <w:tblLook w:val="04A0" w:firstRow="1" w:lastRow="0" w:firstColumn="1" w:lastColumn="0" w:noHBand="0" w:noVBand="1"/>
      </w:tblPr>
      <w:tblGrid>
        <w:gridCol w:w="1921"/>
        <w:gridCol w:w="836"/>
        <w:gridCol w:w="868"/>
        <w:gridCol w:w="921"/>
        <w:gridCol w:w="1027"/>
        <w:gridCol w:w="1027"/>
        <w:gridCol w:w="1029"/>
        <w:gridCol w:w="1727"/>
      </w:tblGrid>
      <w:tr w:rsidR="006C06C7" w:rsidRPr="00F93BA1" w:rsidTr="007B75B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26" w:type="pct"/>
            <w:vMerge w:val="restart"/>
            <w:tcBorders>
              <w:top w:val="single" w:sz="4" w:space="0" w:color="auto"/>
              <w:left w:val="single" w:sz="4" w:space="0" w:color="auto"/>
              <w:bottom w:val="single" w:sz="4" w:space="0" w:color="53565A" w:themeColor="accent1"/>
              <w:right w:val="single" w:sz="4" w:space="0" w:color="auto"/>
            </w:tcBorders>
          </w:tcPr>
          <w:p w:rsidR="006C06C7" w:rsidRPr="002112EE" w:rsidRDefault="006C06C7" w:rsidP="00F4740E">
            <w:pPr>
              <w:pStyle w:val="WOVGbody"/>
              <w:rPr>
                <w:rFonts w:ascii="Verdana" w:hAnsi="Verdana"/>
                <w:color w:val="FFFFFF" w:themeColor="background1"/>
                <w:sz w:val="16"/>
              </w:rPr>
            </w:pPr>
            <w:r w:rsidRPr="002112EE">
              <w:rPr>
                <w:rFonts w:ascii="Verdana" w:hAnsi="Verdana"/>
                <w:color w:val="FFFFFF" w:themeColor="background1"/>
                <w:sz w:val="16"/>
              </w:rPr>
              <w:t>Workforce group</w:t>
            </w:r>
          </w:p>
        </w:tc>
        <w:tc>
          <w:tcPr>
            <w:tcW w:w="911" w:type="pct"/>
            <w:gridSpan w:val="2"/>
            <w:tcBorders>
              <w:top w:val="nil"/>
              <w:left w:val="single" w:sz="4" w:space="0" w:color="auto"/>
              <w:bottom w:val="nil"/>
              <w:right w:val="single" w:sz="4" w:space="0" w:color="auto"/>
            </w:tcBorders>
          </w:tcPr>
          <w:p w:rsidR="006C06C7" w:rsidRPr="002112EE" w:rsidRDefault="006C06C7" w:rsidP="00F4740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Upfront Costs</w:t>
            </w:r>
          </w:p>
        </w:tc>
        <w:tc>
          <w:tcPr>
            <w:tcW w:w="2140" w:type="pct"/>
            <w:gridSpan w:val="4"/>
            <w:tcBorders>
              <w:top w:val="nil"/>
              <w:left w:val="single" w:sz="4" w:space="0" w:color="auto"/>
              <w:bottom w:val="nil"/>
            </w:tcBorders>
          </w:tcPr>
          <w:p w:rsidR="006C06C7" w:rsidRPr="002112EE" w:rsidRDefault="006C06C7" w:rsidP="00F4740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Pr>
                <w:rFonts w:ascii="Verdana" w:hAnsi="Verdana"/>
                <w:color w:val="FFFFFF" w:themeColor="background1"/>
                <w:sz w:val="16"/>
              </w:rPr>
              <w:t>Ongoing Costs</w:t>
            </w:r>
          </w:p>
        </w:tc>
        <w:tc>
          <w:tcPr>
            <w:tcW w:w="923" w:type="pct"/>
            <w:tcBorders>
              <w:top w:val="nil"/>
              <w:left w:val="single" w:sz="4" w:space="0" w:color="auto"/>
              <w:bottom w:val="nil"/>
            </w:tcBorders>
          </w:tcPr>
          <w:p w:rsidR="006C06C7" w:rsidRPr="002112EE" w:rsidRDefault="006C06C7" w:rsidP="00F4740E">
            <w:pPr>
              <w:pStyle w:val="WOVGbody"/>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p>
        </w:tc>
      </w:tr>
      <w:tr w:rsidR="006C06C7" w:rsidRPr="00F93BA1" w:rsidTr="007B75B1">
        <w:trPr>
          <w:trHeight w:val="907"/>
        </w:trPr>
        <w:tc>
          <w:tcPr>
            <w:cnfStyle w:val="001000000000" w:firstRow="0" w:lastRow="0" w:firstColumn="1" w:lastColumn="0" w:oddVBand="0" w:evenVBand="0" w:oddHBand="0" w:evenHBand="0" w:firstRowFirstColumn="0" w:firstRowLastColumn="0" w:lastRowFirstColumn="0" w:lastRowLastColumn="0"/>
            <w:tcW w:w="1026" w:type="pct"/>
            <w:vMerge/>
            <w:tcBorders>
              <w:top w:val="single" w:sz="4" w:space="0" w:color="auto"/>
              <w:right w:val="single" w:sz="4" w:space="0" w:color="auto"/>
            </w:tcBorders>
          </w:tcPr>
          <w:p w:rsidR="006C06C7" w:rsidRPr="002112EE" w:rsidRDefault="006C06C7" w:rsidP="00F4740E">
            <w:pPr>
              <w:pStyle w:val="WOVGbody"/>
              <w:rPr>
                <w:rFonts w:ascii="Verdana" w:hAnsi="Verdana"/>
                <w:color w:val="FFFFFF" w:themeColor="background1"/>
                <w:sz w:val="16"/>
              </w:rPr>
            </w:pPr>
          </w:p>
        </w:tc>
        <w:tc>
          <w:tcPr>
            <w:tcW w:w="447" w:type="pct"/>
            <w:tcBorders>
              <w:top w:val="nil"/>
              <w:left w:val="single" w:sz="4" w:space="0" w:color="auto"/>
              <w:bottom w:val="nil"/>
              <w:right w:val="nil"/>
            </w:tcBorders>
            <w:shd w:val="clear" w:color="auto" w:fill="53565A" w:themeFill="accent1"/>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Update Policies</w:t>
            </w:r>
          </w:p>
        </w:tc>
        <w:tc>
          <w:tcPr>
            <w:tcW w:w="463" w:type="pct"/>
            <w:tcBorders>
              <w:top w:val="nil"/>
              <w:left w:val="nil"/>
              <w:bottom w:val="nil"/>
              <w:right w:val="single" w:sz="4" w:space="0" w:color="auto"/>
            </w:tcBorders>
            <w:shd w:val="clear" w:color="auto" w:fill="53565A" w:themeFill="accent1"/>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Upfront training</w:t>
            </w:r>
          </w:p>
        </w:tc>
        <w:tc>
          <w:tcPr>
            <w:tcW w:w="492" w:type="pct"/>
            <w:tcBorders>
              <w:top w:val="nil"/>
              <w:left w:val="single" w:sz="4" w:space="0" w:color="auto"/>
              <w:bottom w:val="nil"/>
              <w:right w:val="nil"/>
            </w:tcBorders>
            <w:shd w:val="clear" w:color="auto" w:fill="53565A" w:themeFill="accent1"/>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Ongoing training</w:t>
            </w:r>
          </w:p>
        </w:tc>
        <w:tc>
          <w:tcPr>
            <w:tcW w:w="549" w:type="pct"/>
            <w:tcBorders>
              <w:top w:val="nil"/>
              <w:left w:val="nil"/>
              <w:bottom w:val="nil"/>
              <w:right w:val="nil"/>
            </w:tcBorders>
            <w:shd w:val="clear" w:color="auto" w:fill="53565A" w:themeFill="accent1"/>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Requests</w:t>
            </w:r>
          </w:p>
        </w:tc>
        <w:tc>
          <w:tcPr>
            <w:tcW w:w="549" w:type="pct"/>
            <w:tcBorders>
              <w:top w:val="nil"/>
              <w:left w:val="nil"/>
              <w:bottom w:val="nil"/>
              <w:right w:val="nil"/>
            </w:tcBorders>
            <w:shd w:val="clear" w:color="auto" w:fill="53565A" w:themeFill="accent1"/>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Respond</w:t>
            </w:r>
          </w:p>
        </w:tc>
        <w:tc>
          <w:tcPr>
            <w:tcW w:w="549" w:type="pct"/>
            <w:tcBorders>
              <w:top w:val="nil"/>
              <w:left w:val="nil"/>
              <w:bottom w:val="nil"/>
              <w:right w:val="single" w:sz="4" w:space="0" w:color="auto"/>
            </w:tcBorders>
            <w:shd w:val="clear" w:color="auto" w:fill="53565A" w:themeFill="accent1"/>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szCs w:val="16"/>
              </w:rPr>
            </w:pPr>
            <w:r w:rsidRPr="002112EE">
              <w:rPr>
                <w:rFonts w:ascii="Verdana" w:hAnsi="Verdana"/>
                <w:color w:val="FFFFFF" w:themeColor="background1"/>
                <w:sz w:val="16"/>
              </w:rPr>
              <w:t>Record</w:t>
            </w:r>
          </w:p>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szCs w:val="16"/>
              </w:rPr>
              <w:t>Keeping</w:t>
            </w:r>
          </w:p>
        </w:tc>
        <w:tc>
          <w:tcPr>
            <w:tcW w:w="923" w:type="pct"/>
            <w:tcBorders>
              <w:top w:val="nil"/>
              <w:left w:val="single" w:sz="4" w:space="0" w:color="auto"/>
              <w:bottom w:val="nil"/>
              <w:right w:val="single" w:sz="4" w:space="0" w:color="auto"/>
            </w:tcBorders>
            <w:shd w:val="clear" w:color="auto" w:fill="53565A" w:themeFill="accent1"/>
          </w:tcPr>
          <w:p w:rsidR="006C06C7" w:rsidRPr="002112EE" w:rsidRDefault="00CD74D5"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Pr>
                <w:rFonts w:ascii="Verdana" w:hAnsi="Verdana"/>
                <w:color w:val="FFFFFF" w:themeColor="background1"/>
                <w:sz w:val="16"/>
              </w:rPr>
              <w:t>Total</w:t>
            </w:r>
          </w:p>
        </w:tc>
      </w:tr>
      <w:tr w:rsidR="006C06C7" w:rsidRPr="00F93BA1" w:rsidTr="007B75B1">
        <w:trPr>
          <w:trHeight w:val="314"/>
        </w:trPr>
        <w:tc>
          <w:tcPr>
            <w:cnfStyle w:val="001000000000" w:firstRow="0" w:lastRow="0" w:firstColumn="1" w:lastColumn="0" w:oddVBand="0" w:evenVBand="0" w:oddHBand="0" w:evenHBand="0" w:firstRowFirstColumn="0" w:firstRowLastColumn="0" w:lastRowFirstColumn="0" w:lastRowLastColumn="0"/>
            <w:tcW w:w="1026" w:type="pct"/>
            <w:shd w:val="clear" w:color="auto" w:fill="00848F" w:themeFill="accent2"/>
          </w:tcPr>
          <w:p w:rsidR="006C06C7" w:rsidRPr="002112EE" w:rsidRDefault="006C06C7" w:rsidP="00F4740E">
            <w:pPr>
              <w:pStyle w:val="WOVGbody"/>
              <w:rPr>
                <w:rFonts w:ascii="Verdana" w:hAnsi="Verdana"/>
                <w:sz w:val="16"/>
              </w:rPr>
            </w:pPr>
          </w:p>
        </w:tc>
        <w:tc>
          <w:tcPr>
            <w:tcW w:w="447"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463"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492"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49"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49"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549"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rPr>
              <w:t>$</w:t>
            </w:r>
          </w:p>
        </w:tc>
        <w:tc>
          <w:tcPr>
            <w:tcW w:w="923" w:type="pct"/>
            <w:tcBorders>
              <w:top w:val="nil"/>
            </w:tcBorders>
            <w:shd w:val="clear" w:color="auto" w:fill="00848F" w:themeFill="accent2"/>
          </w:tcPr>
          <w:p w:rsidR="006C06C7" w:rsidRPr="002112EE" w:rsidRDefault="006C06C7" w:rsidP="00F4740E">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2112EE">
              <w:rPr>
                <w:rFonts w:ascii="Verdana" w:hAnsi="Verdana"/>
                <w:color w:val="FFFFFF" w:themeColor="background1"/>
                <w:sz w:val="16"/>
                <w:szCs w:val="16"/>
              </w:rPr>
              <w:t>$</w:t>
            </w:r>
          </w:p>
        </w:tc>
      </w:tr>
      <w:tr w:rsidR="006C06C7" w:rsidRPr="00F93BA1" w:rsidTr="007B75B1">
        <w:trPr>
          <w:trHeight w:val="327"/>
        </w:trPr>
        <w:tc>
          <w:tcPr>
            <w:cnfStyle w:val="001000000000" w:firstRow="0" w:lastRow="0" w:firstColumn="1" w:lastColumn="0" w:oddVBand="0" w:evenVBand="0" w:oddHBand="0" w:evenHBand="0" w:firstRowFirstColumn="0" w:firstRowLastColumn="0" w:lastRowFirstColumn="0" w:lastRowLastColumn="0"/>
            <w:tcW w:w="1026" w:type="pct"/>
          </w:tcPr>
          <w:p w:rsidR="006C06C7" w:rsidRPr="002112EE" w:rsidRDefault="006C06C7" w:rsidP="00F4740E">
            <w:pPr>
              <w:pStyle w:val="WOVGbody"/>
              <w:rPr>
                <w:rFonts w:ascii="Verdana" w:hAnsi="Verdana"/>
                <w:sz w:val="16"/>
              </w:rPr>
            </w:pPr>
            <w:r w:rsidRPr="002112EE">
              <w:rPr>
                <w:rFonts w:ascii="Verdana" w:hAnsi="Verdana"/>
                <w:sz w:val="16"/>
              </w:rPr>
              <w:t>Grp 1: Schools</w:t>
            </w:r>
          </w:p>
        </w:tc>
        <w:tc>
          <w:tcPr>
            <w:tcW w:w="447" w:type="pct"/>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$2,507</w:t>
            </w:r>
          </w:p>
        </w:tc>
        <w:tc>
          <w:tcPr>
            <w:tcW w:w="463" w:type="pct"/>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2" w:type="pct"/>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$1,337</w:t>
            </w:r>
          </w:p>
        </w:tc>
        <w:tc>
          <w:tcPr>
            <w:tcW w:w="549" w:type="pct"/>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$6,140</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$5,881</w:t>
            </w:r>
          </w:p>
        </w:tc>
        <w:tc>
          <w:tcPr>
            <w:tcW w:w="549" w:type="pct"/>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$3,568</w:t>
            </w:r>
          </w:p>
        </w:tc>
        <w:tc>
          <w:tcPr>
            <w:tcW w:w="923" w:type="pct"/>
          </w:tcPr>
          <w:p w:rsidR="006C06C7" w:rsidRPr="002112EE" w:rsidRDefault="006C06C7" w:rsidP="00F4740E">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$20,742</w:t>
            </w:r>
          </w:p>
        </w:tc>
      </w:tr>
      <w:tr w:rsidR="006C06C7" w:rsidRPr="00F93BA1" w:rsidTr="007B75B1">
        <w:trPr>
          <w:trHeight w:val="553"/>
        </w:trPr>
        <w:tc>
          <w:tcPr>
            <w:cnfStyle w:val="001000000000" w:firstRow="0" w:lastRow="0" w:firstColumn="1" w:lastColumn="0" w:oddVBand="0" w:evenVBand="0" w:oddHBand="0" w:evenHBand="0" w:firstRowFirstColumn="0" w:firstRowLastColumn="0" w:lastRowFirstColumn="0" w:lastRowLastColumn="0"/>
            <w:tcW w:w="1026" w:type="pct"/>
          </w:tcPr>
          <w:p w:rsidR="006C06C7" w:rsidRPr="002112EE" w:rsidRDefault="006C06C7" w:rsidP="006C06C7">
            <w:pPr>
              <w:pStyle w:val="WOVGbody"/>
              <w:rPr>
                <w:rFonts w:ascii="Verdana" w:hAnsi="Verdana"/>
                <w:sz w:val="16"/>
              </w:rPr>
            </w:pPr>
            <w:r w:rsidRPr="002112EE">
              <w:rPr>
                <w:rFonts w:ascii="Verdana" w:hAnsi="Verdana"/>
                <w:sz w:val="16"/>
              </w:rPr>
              <w:t>Grp 2: ECEC provider</w:t>
            </w:r>
          </w:p>
        </w:tc>
        <w:tc>
          <w:tcPr>
            <w:tcW w:w="447"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$1,728</w:t>
            </w:r>
          </w:p>
        </w:tc>
        <w:tc>
          <w:tcPr>
            <w:tcW w:w="46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2"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$1,337</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$2,589</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$1,800</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$4,482</w:t>
            </w:r>
          </w:p>
        </w:tc>
        <w:tc>
          <w:tcPr>
            <w:tcW w:w="92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$13,245</w:t>
            </w:r>
          </w:p>
        </w:tc>
      </w:tr>
      <w:tr w:rsidR="006C06C7" w:rsidRPr="00F93BA1" w:rsidTr="007B75B1">
        <w:trPr>
          <w:trHeight w:val="541"/>
        </w:trPr>
        <w:tc>
          <w:tcPr>
            <w:cnfStyle w:val="001000000000" w:firstRow="0" w:lastRow="0" w:firstColumn="1" w:lastColumn="0" w:oddVBand="0" w:evenVBand="0" w:oddHBand="0" w:evenHBand="0" w:firstRowFirstColumn="0" w:firstRowLastColumn="0" w:lastRowFirstColumn="0" w:lastRowLastColumn="0"/>
            <w:tcW w:w="1026" w:type="pct"/>
          </w:tcPr>
          <w:p w:rsidR="006C06C7" w:rsidRPr="002112EE" w:rsidRDefault="006C06C7" w:rsidP="006C06C7">
            <w:pPr>
              <w:pStyle w:val="WOVGbody"/>
              <w:rPr>
                <w:rFonts w:ascii="Verdana" w:hAnsi="Verdana"/>
                <w:sz w:val="16"/>
              </w:rPr>
            </w:pPr>
            <w:r w:rsidRPr="002112EE">
              <w:rPr>
                <w:rFonts w:ascii="Verdana" w:hAnsi="Verdana"/>
                <w:sz w:val="16"/>
              </w:rPr>
              <w:t>Grp 3: OSHC provider</w:t>
            </w:r>
          </w:p>
        </w:tc>
        <w:tc>
          <w:tcPr>
            <w:tcW w:w="447"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$1,265</w:t>
            </w:r>
          </w:p>
        </w:tc>
        <w:tc>
          <w:tcPr>
            <w:tcW w:w="46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2"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$1,337</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$1,291</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$543</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$1,307</w:t>
            </w:r>
          </w:p>
        </w:tc>
        <w:tc>
          <w:tcPr>
            <w:tcW w:w="923" w:type="pct"/>
          </w:tcPr>
          <w:p w:rsidR="006C06C7" w:rsidRPr="002112EE" w:rsidRDefault="003450C1"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$7,</w:t>
            </w:r>
            <w:r w:rsidR="006C06C7">
              <w:rPr>
                <w:rFonts w:ascii="Verdana" w:hAnsi="Verdana"/>
                <w:sz w:val="16"/>
              </w:rPr>
              <w:t>050</w:t>
            </w:r>
          </w:p>
        </w:tc>
      </w:tr>
      <w:tr w:rsidR="006C06C7" w:rsidRPr="00F93BA1" w:rsidTr="007B75B1">
        <w:trPr>
          <w:trHeight w:val="553"/>
        </w:trPr>
        <w:tc>
          <w:tcPr>
            <w:cnfStyle w:val="001000000000" w:firstRow="0" w:lastRow="0" w:firstColumn="1" w:lastColumn="0" w:oddVBand="0" w:evenVBand="0" w:oddHBand="0" w:evenHBand="0" w:firstRowFirstColumn="0" w:firstRowLastColumn="0" w:lastRowFirstColumn="0" w:lastRowLastColumn="0"/>
            <w:tcW w:w="1026" w:type="pct"/>
          </w:tcPr>
          <w:p w:rsidR="006C06C7" w:rsidRPr="002112EE" w:rsidRDefault="006C06C7" w:rsidP="006C06C7">
            <w:pPr>
              <w:pStyle w:val="WOVGbody"/>
              <w:rPr>
                <w:rFonts w:ascii="Verdana" w:hAnsi="Verdana"/>
                <w:sz w:val="16"/>
              </w:rPr>
            </w:pPr>
            <w:r w:rsidRPr="002112EE">
              <w:rPr>
                <w:rFonts w:ascii="Verdana" w:hAnsi="Verdana"/>
                <w:sz w:val="16"/>
              </w:rPr>
              <w:t>Grp 4: Health and support services</w:t>
            </w:r>
          </w:p>
        </w:tc>
        <w:tc>
          <w:tcPr>
            <w:tcW w:w="447"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$3,292</w:t>
            </w:r>
          </w:p>
        </w:tc>
        <w:tc>
          <w:tcPr>
            <w:tcW w:w="46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2"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$1,337</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$1,479</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$3,208</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$1,653</w:t>
            </w:r>
          </w:p>
        </w:tc>
        <w:tc>
          <w:tcPr>
            <w:tcW w:w="92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$12,277</w:t>
            </w:r>
          </w:p>
        </w:tc>
      </w:tr>
      <w:tr w:rsidR="006C06C7" w:rsidRPr="00F93BA1" w:rsidTr="007B75B1">
        <w:trPr>
          <w:trHeight w:val="327"/>
        </w:trPr>
        <w:tc>
          <w:tcPr>
            <w:cnfStyle w:val="001000000000" w:firstRow="0" w:lastRow="0" w:firstColumn="1" w:lastColumn="0" w:oddVBand="0" w:evenVBand="0" w:oddHBand="0" w:evenHBand="0" w:firstRowFirstColumn="0" w:firstRowLastColumn="0" w:lastRowFirstColumn="0" w:lastRowLastColumn="0"/>
            <w:tcW w:w="1026" w:type="pct"/>
          </w:tcPr>
          <w:p w:rsidR="006C06C7" w:rsidRPr="002112EE" w:rsidRDefault="006C06C7" w:rsidP="006C06C7">
            <w:pPr>
              <w:pStyle w:val="WOVGbody"/>
              <w:rPr>
                <w:rFonts w:ascii="Verdana" w:hAnsi="Verdana"/>
                <w:sz w:val="16"/>
              </w:rPr>
            </w:pPr>
            <w:r w:rsidRPr="002112EE">
              <w:rPr>
                <w:rFonts w:ascii="Verdana" w:hAnsi="Verdana"/>
                <w:sz w:val="16"/>
              </w:rPr>
              <w:t>Grp 5: Hospitals</w:t>
            </w:r>
          </w:p>
        </w:tc>
        <w:tc>
          <w:tcPr>
            <w:tcW w:w="447"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$8,667</w:t>
            </w:r>
          </w:p>
        </w:tc>
        <w:tc>
          <w:tcPr>
            <w:tcW w:w="46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2"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$1,337</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$320,619</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$202,932</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$281,962</w:t>
            </w:r>
          </w:p>
        </w:tc>
        <w:tc>
          <w:tcPr>
            <w:tcW w:w="92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$816,825</w:t>
            </w:r>
          </w:p>
        </w:tc>
      </w:tr>
      <w:tr w:rsidR="006C06C7" w:rsidRPr="00F93BA1" w:rsidTr="007B75B1">
        <w:trPr>
          <w:trHeight w:val="995"/>
        </w:trPr>
        <w:tc>
          <w:tcPr>
            <w:cnfStyle w:val="001000000000" w:firstRow="0" w:lastRow="0" w:firstColumn="1" w:lastColumn="0" w:oddVBand="0" w:evenVBand="0" w:oddHBand="0" w:evenHBand="0" w:firstRowFirstColumn="0" w:firstRowLastColumn="0" w:lastRowFirstColumn="0" w:lastRowLastColumn="0"/>
            <w:tcW w:w="1026" w:type="pct"/>
          </w:tcPr>
          <w:p w:rsidR="006C06C7" w:rsidRPr="002112EE" w:rsidRDefault="006C06C7" w:rsidP="006C06C7">
            <w:pPr>
              <w:pStyle w:val="WOVGbody"/>
              <w:rPr>
                <w:rFonts w:ascii="Verdana" w:hAnsi="Verdana"/>
                <w:sz w:val="16"/>
              </w:rPr>
            </w:pPr>
            <w:r w:rsidRPr="002112EE">
              <w:rPr>
                <w:rFonts w:ascii="Verdana" w:hAnsi="Verdana"/>
                <w:sz w:val="16"/>
              </w:rPr>
              <w:t>Grp 6: Govt. statutory bodies and organisation/service</w:t>
            </w:r>
          </w:p>
        </w:tc>
        <w:tc>
          <w:tcPr>
            <w:tcW w:w="447"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$1,027</w:t>
            </w:r>
          </w:p>
        </w:tc>
        <w:tc>
          <w:tcPr>
            <w:tcW w:w="46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2112EE">
              <w:rPr>
                <w:rFonts w:ascii="Verdana" w:hAnsi="Verdana"/>
                <w:sz w:val="16"/>
              </w:rPr>
              <w:t>$1,308</w:t>
            </w:r>
          </w:p>
        </w:tc>
        <w:tc>
          <w:tcPr>
            <w:tcW w:w="492"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$1,337</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$177</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$1,545</w:t>
            </w:r>
          </w:p>
        </w:tc>
        <w:tc>
          <w:tcPr>
            <w:tcW w:w="549"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$635</w:t>
            </w:r>
          </w:p>
        </w:tc>
        <w:tc>
          <w:tcPr>
            <w:tcW w:w="923" w:type="pct"/>
          </w:tcPr>
          <w:p w:rsidR="006C06C7" w:rsidRPr="002112EE"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Pr>
                <w:rFonts w:ascii="Verdana" w:hAnsi="Verdana"/>
                <w:sz w:val="16"/>
              </w:rPr>
              <w:t>$6,029</w:t>
            </w:r>
          </w:p>
        </w:tc>
      </w:tr>
      <w:tr w:rsidR="006C06C7" w:rsidRPr="00F93BA1" w:rsidTr="007B75B1">
        <w:trPr>
          <w:trHeight w:val="553"/>
        </w:trPr>
        <w:tc>
          <w:tcPr>
            <w:cnfStyle w:val="001000000000" w:firstRow="0" w:lastRow="0" w:firstColumn="1" w:lastColumn="0" w:oddVBand="0" w:evenVBand="0" w:oddHBand="0" w:evenHBand="0" w:firstRowFirstColumn="0" w:firstRowLastColumn="0" w:lastRowFirstColumn="0" w:lastRowLastColumn="0"/>
            <w:tcW w:w="1026" w:type="pct"/>
          </w:tcPr>
          <w:p w:rsidR="006C06C7" w:rsidRPr="00E5759B" w:rsidRDefault="006C06C7" w:rsidP="006C06C7">
            <w:pPr>
              <w:pStyle w:val="WOVGbody"/>
              <w:rPr>
                <w:rFonts w:ascii="Verdana" w:hAnsi="Verdana"/>
                <w:sz w:val="16"/>
              </w:rPr>
            </w:pPr>
            <w:r w:rsidRPr="00E5759B">
              <w:rPr>
                <w:rFonts w:ascii="Verdana" w:hAnsi="Verdana"/>
                <w:sz w:val="16"/>
              </w:rPr>
              <w:t>Avg. all organisations</w:t>
            </w:r>
          </w:p>
        </w:tc>
        <w:tc>
          <w:tcPr>
            <w:tcW w:w="447"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w:t>
            </w:r>
            <w:r w:rsidR="00CD74D5">
              <w:rPr>
                <w:rFonts w:ascii="Verdana" w:hAnsi="Verdana"/>
                <w:sz w:val="16"/>
              </w:rPr>
              <w:t>,</w:t>
            </w:r>
            <w:r w:rsidRPr="00E5759B">
              <w:rPr>
                <w:rFonts w:ascii="Verdana" w:hAnsi="Verdana"/>
                <w:sz w:val="16"/>
              </w:rPr>
              <w:t>430</w:t>
            </w:r>
          </w:p>
        </w:tc>
        <w:tc>
          <w:tcPr>
            <w:tcW w:w="463"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$1,308</w:t>
            </w:r>
          </w:p>
        </w:tc>
        <w:tc>
          <w:tcPr>
            <w:tcW w:w="492"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$1,337</w:t>
            </w:r>
          </w:p>
        </w:tc>
        <w:tc>
          <w:tcPr>
            <w:tcW w:w="549"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$6,993</w:t>
            </w:r>
          </w:p>
        </w:tc>
        <w:tc>
          <w:tcPr>
            <w:tcW w:w="549"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$5,686</w:t>
            </w:r>
          </w:p>
        </w:tc>
        <w:tc>
          <w:tcPr>
            <w:tcW w:w="549"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$6,524</w:t>
            </w:r>
          </w:p>
        </w:tc>
        <w:tc>
          <w:tcPr>
            <w:tcW w:w="923" w:type="pct"/>
          </w:tcPr>
          <w:p w:rsidR="006C06C7" w:rsidRPr="00E5759B" w:rsidRDefault="006C06C7" w:rsidP="006C06C7">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$24,277</w:t>
            </w:r>
          </w:p>
        </w:tc>
      </w:tr>
      <w:tr w:rsidR="006C06C7" w:rsidRPr="00F93BA1" w:rsidTr="007B75B1">
        <w:trPr>
          <w:trHeight w:val="317"/>
        </w:trPr>
        <w:tc>
          <w:tcPr>
            <w:cnfStyle w:val="001000000000" w:firstRow="0" w:lastRow="0" w:firstColumn="1" w:lastColumn="0" w:oddVBand="0" w:evenVBand="0" w:oddHBand="0" w:evenHBand="0" w:firstRowFirstColumn="0" w:firstRowLastColumn="0" w:lastRowFirstColumn="0" w:lastRowLastColumn="0"/>
            <w:tcW w:w="5000" w:type="pct"/>
            <w:gridSpan w:val="8"/>
          </w:tcPr>
          <w:p w:rsidR="006C06C7" w:rsidRPr="00792DC3" w:rsidRDefault="006C06C7" w:rsidP="00F4740E">
            <w:pPr>
              <w:pStyle w:val="WOVGbody"/>
              <w:rPr>
                <w:rFonts w:ascii="Verdana" w:hAnsi="Verdana"/>
                <w:sz w:val="16"/>
                <w:szCs w:val="16"/>
              </w:rPr>
            </w:pPr>
            <w:r w:rsidRPr="00792DC3">
              <w:rPr>
                <w:rFonts w:ascii="Verdana" w:hAnsi="Verdana"/>
                <w:i/>
                <w:sz w:val="16"/>
                <w:szCs w:val="16"/>
              </w:rPr>
              <w:t>Source: ACIL Allen Consulting 2019</w:t>
            </w:r>
          </w:p>
        </w:tc>
      </w:tr>
    </w:tbl>
    <w:p w:rsidR="00A33DAC" w:rsidRDefault="00A33DAC" w:rsidP="00A33DAC">
      <w:pPr>
        <w:pStyle w:val="Heading3"/>
        <w:rPr>
          <w:rFonts w:ascii="Verdana" w:hAnsi="Verdana"/>
        </w:rPr>
      </w:pPr>
      <w:r>
        <w:rPr>
          <w:rFonts w:ascii="Verdana" w:hAnsi="Verdana"/>
        </w:rPr>
        <w:t>Sensitivity analysis</w:t>
      </w:r>
    </w:p>
    <w:p w:rsidR="00A33DAC" w:rsidRDefault="00A33DAC" w:rsidP="00A33DAC">
      <w:pPr>
        <w:pStyle w:val="CommentText"/>
        <w:rPr>
          <w:rFonts w:ascii="Verdana" w:hAnsi="Verdana"/>
        </w:rPr>
      </w:pPr>
      <w:r>
        <w:rPr>
          <w:rFonts w:ascii="Verdana" w:hAnsi="Verdana"/>
        </w:rPr>
        <w:t xml:space="preserve">Due to the variation in cost estimates provided, both within and across workforce groupings, sensitivity analysis was conducted, varying the following key assumptions: </w:t>
      </w:r>
    </w:p>
    <w:p w:rsidR="00A33DAC" w:rsidRDefault="00A33DAC" w:rsidP="00A33DAC">
      <w:pPr>
        <w:pStyle w:val="CommentText"/>
        <w:rPr>
          <w:rFonts w:ascii="Verdana" w:hAnsi="Verdana"/>
        </w:rPr>
      </w:pPr>
    </w:p>
    <w:p w:rsidR="00A33DAC" w:rsidRPr="0095041B" w:rsidRDefault="00A33DAC" w:rsidP="00A76FAF">
      <w:pPr>
        <w:pStyle w:val="WOVGbody"/>
        <w:numPr>
          <w:ilvl w:val="0"/>
          <w:numId w:val="38"/>
        </w:numPr>
        <w:rPr>
          <w:rFonts w:ascii="Verdana" w:hAnsi="Verdana"/>
        </w:rPr>
      </w:pPr>
      <w:r w:rsidRPr="0095041B">
        <w:rPr>
          <w:rFonts w:ascii="Verdana" w:hAnsi="Verdana"/>
          <w:b/>
          <w:bCs/>
          <w:iCs/>
        </w:rPr>
        <w:t>Sensitivity</w:t>
      </w:r>
      <w:r w:rsidRPr="00BE3129">
        <w:t xml:space="preserve"> </w:t>
      </w:r>
      <w:r w:rsidRPr="00152D8E">
        <w:rPr>
          <w:rFonts w:ascii="Verdana" w:hAnsi="Verdana"/>
          <w:b/>
        </w:rPr>
        <w:t>1</w:t>
      </w:r>
      <w:r w:rsidRPr="00152D8E">
        <w:rPr>
          <w:rFonts w:ascii="Verdana" w:hAnsi="Verdana"/>
          <w:b/>
          <w:bCs/>
          <w:iCs/>
        </w:rPr>
        <w:t>:</w:t>
      </w:r>
      <w:r w:rsidR="00CD74D5">
        <w:rPr>
          <w:rFonts w:ascii="Verdana" w:hAnsi="Verdana"/>
          <w:b/>
          <w:bCs/>
          <w:iCs/>
        </w:rPr>
        <w:t xml:space="preserve"> n</w:t>
      </w:r>
      <w:r w:rsidRPr="0095041B">
        <w:rPr>
          <w:rFonts w:ascii="Verdana" w:hAnsi="Verdana"/>
          <w:b/>
          <w:bCs/>
          <w:iCs/>
        </w:rPr>
        <w:t xml:space="preserve">o ISE directory or Child Link </w:t>
      </w:r>
      <w:r w:rsidR="00AE6996">
        <w:rPr>
          <w:rFonts w:ascii="Verdana" w:hAnsi="Verdana"/>
          <w:b/>
          <w:bCs/>
          <w:iCs/>
        </w:rPr>
        <w:t xml:space="preserve">Register – </w:t>
      </w:r>
      <w:r w:rsidR="00AE6996">
        <w:rPr>
          <w:rFonts w:ascii="Verdana" w:hAnsi="Verdana"/>
          <w:bCs/>
          <w:iCs/>
        </w:rPr>
        <w:t>t</w:t>
      </w:r>
      <w:r w:rsidR="00AE6996">
        <w:rPr>
          <w:rFonts w:ascii="Verdana" w:hAnsi="Verdana"/>
        </w:rPr>
        <w:t xml:space="preserve">he online ISE directory and the </w:t>
      </w:r>
      <w:r w:rsidRPr="0095041B">
        <w:rPr>
          <w:rFonts w:ascii="Verdana" w:hAnsi="Verdana"/>
        </w:rPr>
        <w:t xml:space="preserve">Child Link </w:t>
      </w:r>
      <w:r w:rsidR="00AE6996">
        <w:rPr>
          <w:rFonts w:ascii="Verdana" w:hAnsi="Verdana"/>
        </w:rPr>
        <w:t xml:space="preserve">Register </w:t>
      </w:r>
      <w:r w:rsidRPr="0095041B">
        <w:rPr>
          <w:rFonts w:ascii="Verdana" w:hAnsi="Verdana"/>
        </w:rPr>
        <w:t xml:space="preserve">are not implemented and as such there is no </w:t>
      </w:r>
      <w:r>
        <w:rPr>
          <w:rFonts w:ascii="Verdana" w:hAnsi="Verdana"/>
        </w:rPr>
        <w:t xml:space="preserve">associated </w:t>
      </w:r>
      <w:r w:rsidRPr="0095041B">
        <w:rPr>
          <w:rFonts w:ascii="Verdana" w:hAnsi="Verdana"/>
        </w:rPr>
        <w:t>reduction in the estimated cost</w:t>
      </w:r>
      <w:r>
        <w:rPr>
          <w:rFonts w:ascii="Verdana" w:hAnsi="Verdana"/>
        </w:rPr>
        <w:t xml:space="preserve"> impact</w:t>
      </w:r>
      <w:r w:rsidRPr="0095041B">
        <w:rPr>
          <w:rFonts w:ascii="Verdana" w:hAnsi="Verdana"/>
        </w:rPr>
        <w:t>.</w:t>
      </w:r>
    </w:p>
    <w:p w:rsidR="00A33DAC" w:rsidRPr="0095041B" w:rsidRDefault="00CD74D5" w:rsidP="00A76FAF">
      <w:pPr>
        <w:pStyle w:val="WOVGbody"/>
        <w:numPr>
          <w:ilvl w:val="0"/>
          <w:numId w:val="38"/>
        </w:numPr>
        <w:rPr>
          <w:rFonts w:ascii="Verdana" w:hAnsi="Verdana"/>
        </w:rPr>
      </w:pPr>
      <w:r>
        <w:rPr>
          <w:rFonts w:ascii="Verdana" w:hAnsi="Verdana"/>
          <w:b/>
          <w:bCs/>
          <w:iCs/>
        </w:rPr>
        <w:t>Sensitivity 2: h</w:t>
      </w:r>
      <w:r w:rsidR="00A33DAC" w:rsidRPr="0095041B">
        <w:rPr>
          <w:rFonts w:ascii="Verdana" w:hAnsi="Verdana"/>
          <w:b/>
          <w:bCs/>
          <w:iCs/>
        </w:rPr>
        <w:t>igher record keeping time</w:t>
      </w:r>
      <w:r w:rsidR="00AE6996">
        <w:rPr>
          <w:rFonts w:ascii="Verdana" w:hAnsi="Verdana"/>
          <w:iCs/>
        </w:rPr>
        <w:t xml:space="preserve"> – re</w:t>
      </w:r>
      <w:r w:rsidR="00A33DAC" w:rsidRPr="0095041B">
        <w:rPr>
          <w:rFonts w:ascii="Verdana" w:hAnsi="Verdana"/>
        </w:rPr>
        <w:t>cord keeping time is longer than the 12 minutes estimated and assumed to be 24 minutes.</w:t>
      </w:r>
      <w:r w:rsidR="00A33DAC" w:rsidRPr="0095041B">
        <w:rPr>
          <w:rFonts w:ascii="Verdana" w:hAnsi="Verdana"/>
          <w:b/>
          <w:bCs/>
          <w:iCs/>
        </w:rPr>
        <w:t xml:space="preserve"> </w:t>
      </w:r>
    </w:p>
    <w:p w:rsidR="00A33DAC" w:rsidRPr="0095041B" w:rsidRDefault="00A33DAC" w:rsidP="00A76FAF">
      <w:pPr>
        <w:pStyle w:val="WOVGbody"/>
        <w:numPr>
          <w:ilvl w:val="0"/>
          <w:numId w:val="38"/>
        </w:numPr>
        <w:rPr>
          <w:rFonts w:ascii="Verdana" w:hAnsi="Verdana"/>
        </w:rPr>
      </w:pPr>
      <w:r w:rsidRPr="0095041B">
        <w:rPr>
          <w:rFonts w:ascii="Verdana" w:hAnsi="Verdana"/>
          <w:b/>
          <w:bCs/>
          <w:iCs/>
        </w:rPr>
        <w:t>Sen</w:t>
      </w:r>
      <w:r w:rsidR="00AE6996">
        <w:rPr>
          <w:rFonts w:ascii="Verdana" w:hAnsi="Verdana"/>
          <w:b/>
          <w:bCs/>
          <w:iCs/>
        </w:rPr>
        <w:t xml:space="preserve">sitivity 3: higher discount rate – </w:t>
      </w:r>
      <w:r w:rsidR="00AE6996" w:rsidRPr="00AE6996">
        <w:rPr>
          <w:rFonts w:ascii="Verdana" w:hAnsi="Verdana"/>
          <w:bCs/>
          <w:iCs/>
        </w:rPr>
        <w:t>a</w:t>
      </w:r>
      <w:r w:rsidR="00AE6996">
        <w:rPr>
          <w:rFonts w:ascii="Verdana" w:hAnsi="Verdana"/>
          <w:b/>
          <w:bCs/>
          <w:iCs/>
        </w:rPr>
        <w:t xml:space="preserve"> </w:t>
      </w:r>
      <w:r w:rsidRPr="0095041B">
        <w:rPr>
          <w:rFonts w:ascii="Verdana" w:hAnsi="Verdana"/>
        </w:rPr>
        <w:t>disc</w:t>
      </w:r>
      <w:r w:rsidR="000957A1">
        <w:rPr>
          <w:rFonts w:ascii="Verdana" w:hAnsi="Verdana"/>
        </w:rPr>
        <w:t xml:space="preserve">ount rate of 7 per cent is </w:t>
      </w:r>
      <w:r w:rsidR="00972535">
        <w:rPr>
          <w:rFonts w:ascii="Verdana" w:hAnsi="Verdana"/>
        </w:rPr>
        <w:t>applied</w:t>
      </w:r>
      <w:r w:rsidR="005B4D34">
        <w:rPr>
          <w:rFonts w:ascii="Verdana" w:hAnsi="Verdana"/>
        </w:rPr>
        <w:t>.</w:t>
      </w:r>
      <w:r w:rsidR="00F061B9">
        <w:rPr>
          <w:rStyle w:val="FootnoteReference"/>
          <w:rFonts w:ascii="Verdana" w:hAnsi="Verdana"/>
        </w:rPr>
        <w:footnoteReference w:id="26"/>
      </w:r>
    </w:p>
    <w:p w:rsidR="003A0EE2" w:rsidRDefault="00A33DAC" w:rsidP="00053F3B">
      <w:pPr>
        <w:pStyle w:val="CommentText"/>
        <w:rPr>
          <w:rFonts w:ascii="Verdana" w:hAnsi="Verdana"/>
        </w:rPr>
      </w:pPr>
      <w:r>
        <w:rPr>
          <w:rFonts w:ascii="Verdana" w:hAnsi="Verdana"/>
        </w:rPr>
        <w:t>The sensitivity analysis presented below demonstrates the cost impact of key assumptions made in this RIS. It also serves as a proxy for presenting the significant range of impacts within workforce groupings and workforces, due to differences in organisation size and other factors, as highlighted in the wo</w:t>
      </w:r>
      <w:r w:rsidR="003A0EE2">
        <w:rPr>
          <w:rFonts w:ascii="Verdana" w:hAnsi="Verdana"/>
        </w:rPr>
        <w:t>rkforce consultations.</w:t>
      </w:r>
    </w:p>
    <w:p w:rsidR="003A0EE2" w:rsidRDefault="003A0EE2">
      <w:pPr>
        <w:rPr>
          <w:rFonts w:ascii="Verdana" w:hAnsi="Verdana"/>
        </w:rPr>
      </w:pPr>
      <w:r>
        <w:rPr>
          <w:rFonts w:ascii="Verdana" w:hAnsi="Verdana"/>
        </w:rPr>
        <w:br w:type="page"/>
      </w:r>
    </w:p>
    <w:p w:rsidR="00A33DAC" w:rsidRPr="004A1C5C" w:rsidRDefault="006641FF" w:rsidP="00A33DAC">
      <w:pPr>
        <w:pStyle w:val="WOVGbody"/>
        <w:rPr>
          <w:rFonts w:ascii="Verdana" w:hAnsi="Verdana"/>
          <w:b/>
        </w:rPr>
      </w:pPr>
      <w:r w:rsidRPr="004A1C5C">
        <w:rPr>
          <w:rFonts w:ascii="Verdana" w:hAnsi="Verdana"/>
          <w:b/>
        </w:rPr>
        <w:lastRenderedPageBreak/>
        <w:t>T</w:t>
      </w:r>
      <w:r w:rsidR="006C06C7">
        <w:rPr>
          <w:rFonts w:ascii="Verdana" w:hAnsi="Verdana"/>
          <w:b/>
        </w:rPr>
        <w:t>able 6.8</w:t>
      </w:r>
      <w:r w:rsidRPr="004A1C5C">
        <w:rPr>
          <w:rFonts w:ascii="Verdana" w:hAnsi="Verdana"/>
          <w:b/>
        </w:rPr>
        <w:t xml:space="preserve"> </w:t>
      </w:r>
      <w:r w:rsidR="00A33DAC" w:rsidRPr="004A1C5C">
        <w:rPr>
          <w:rFonts w:ascii="Verdana" w:hAnsi="Verdana"/>
          <w:b/>
        </w:rPr>
        <w:t>Sensitivity Analysis – total workforce costs, 10-year totals</w:t>
      </w:r>
    </w:p>
    <w:tbl>
      <w:tblPr>
        <w:tblStyle w:val="TableGrid"/>
        <w:tblW w:w="9356" w:type="dxa"/>
        <w:tblLook w:val="04A0" w:firstRow="1" w:lastRow="0" w:firstColumn="1" w:lastColumn="0" w:noHBand="0" w:noVBand="1"/>
      </w:tblPr>
      <w:tblGrid>
        <w:gridCol w:w="2021"/>
        <w:gridCol w:w="1864"/>
        <w:gridCol w:w="1881"/>
        <w:gridCol w:w="1881"/>
        <w:gridCol w:w="1709"/>
      </w:tblGrid>
      <w:tr w:rsidR="00A33DAC" w:rsidTr="007B75B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33DAC" w:rsidP="00303CED">
            <w:pPr>
              <w:pStyle w:val="WOVGbody"/>
              <w:rPr>
                <w:rFonts w:ascii="Verdana" w:hAnsi="Verdana"/>
                <w:sz w:val="16"/>
              </w:rPr>
            </w:pPr>
          </w:p>
        </w:tc>
        <w:tc>
          <w:tcPr>
            <w:tcW w:w="1864" w:type="dxa"/>
          </w:tcPr>
          <w:p w:rsidR="00A33DAC" w:rsidRPr="006C06C7" w:rsidRDefault="00A33DAC" w:rsidP="00303CED">
            <w:pPr>
              <w:pStyle w:val="WOVGbody"/>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Base case total 10 year cost</w:t>
            </w:r>
          </w:p>
        </w:tc>
        <w:tc>
          <w:tcPr>
            <w:tcW w:w="1881" w:type="dxa"/>
          </w:tcPr>
          <w:p w:rsidR="00A33DAC" w:rsidRPr="006C06C7" w:rsidRDefault="00A33DAC" w:rsidP="00303CED">
            <w:pPr>
              <w:pStyle w:val="WOVGbody"/>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Sensitivity 1: No ISE Directory or Childlink</w:t>
            </w:r>
          </w:p>
        </w:tc>
        <w:tc>
          <w:tcPr>
            <w:tcW w:w="1881" w:type="dxa"/>
          </w:tcPr>
          <w:p w:rsidR="00A33DAC" w:rsidRPr="006C06C7" w:rsidRDefault="00A33DAC" w:rsidP="00303CED">
            <w:pPr>
              <w:pStyle w:val="WOVGbody"/>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Sensitivity 2: Higher record keeping time</w:t>
            </w:r>
          </w:p>
        </w:tc>
        <w:tc>
          <w:tcPr>
            <w:tcW w:w="1709" w:type="dxa"/>
          </w:tcPr>
          <w:p w:rsidR="00A33DAC" w:rsidRPr="006C06C7" w:rsidRDefault="00A33DAC" w:rsidP="00303CED">
            <w:pPr>
              <w:pStyle w:val="WOVGbody"/>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Sensitivity 3: higher discount rate</w:t>
            </w:r>
          </w:p>
        </w:tc>
      </w:tr>
      <w:tr w:rsidR="00A33DAC" w:rsidTr="007B75B1">
        <w:trPr>
          <w:trHeight w:val="395"/>
        </w:trPr>
        <w:tc>
          <w:tcPr>
            <w:cnfStyle w:val="001000000000" w:firstRow="0" w:lastRow="0" w:firstColumn="1" w:lastColumn="0" w:oddVBand="0" w:evenVBand="0" w:oddHBand="0" w:evenHBand="0" w:firstRowFirstColumn="0" w:firstRowLastColumn="0" w:lastRowFirstColumn="0" w:lastRowLastColumn="0"/>
            <w:tcW w:w="2021" w:type="dxa"/>
            <w:shd w:val="clear" w:color="auto" w:fill="00848F" w:themeFill="accent2"/>
          </w:tcPr>
          <w:p w:rsidR="00A33DAC" w:rsidRPr="006C06C7" w:rsidRDefault="00A33DAC" w:rsidP="00303CED">
            <w:pPr>
              <w:pStyle w:val="WOVGbody"/>
              <w:rPr>
                <w:rFonts w:ascii="Verdana" w:hAnsi="Verdana"/>
                <w:sz w:val="16"/>
              </w:rPr>
            </w:pPr>
          </w:p>
        </w:tc>
        <w:tc>
          <w:tcPr>
            <w:tcW w:w="1864" w:type="dxa"/>
            <w:shd w:val="clear" w:color="auto" w:fill="00848F" w:themeFill="accent2"/>
          </w:tcPr>
          <w:p w:rsidR="00A33DAC" w:rsidRPr="006C06C7" w:rsidRDefault="00A33DAC" w:rsidP="00303CED">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‘000</w:t>
            </w:r>
          </w:p>
        </w:tc>
        <w:tc>
          <w:tcPr>
            <w:tcW w:w="1881" w:type="dxa"/>
            <w:shd w:val="clear" w:color="auto" w:fill="00848F" w:themeFill="accent2"/>
          </w:tcPr>
          <w:p w:rsidR="00A33DAC" w:rsidRPr="006C06C7" w:rsidRDefault="00A33DAC" w:rsidP="00303CED">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‘000</w:t>
            </w:r>
          </w:p>
        </w:tc>
        <w:tc>
          <w:tcPr>
            <w:tcW w:w="1881" w:type="dxa"/>
            <w:shd w:val="clear" w:color="auto" w:fill="00848F" w:themeFill="accent2"/>
          </w:tcPr>
          <w:p w:rsidR="00A33DAC" w:rsidRPr="006C06C7" w:rsidRDefault="00A33DAC" w:rsidP="00303CED">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‘000</w:t>
            </w:r>
          </w:p>
        </w:tc>
        <w:tc>
          <w:tcPr>
            <w:tcW w:w="1709" w:type="dxa"/>
            <w:shd w:val="clear" w:color="auto" w:fill="00848F" w:themeFill="accent2"/>
          </w:tcPr>
          <w:p w:rsidR="00A33DAC" w:rsidRPr="006C06C7" w:rsidRDefault="00A33DAC" w:rsidP="00303CED">
            <w:pPr>
              <w:pStyle w:val="WOVGbody"/>
              <w:jc w:val="center"/>
              <w:cnfStyle w:val="000000000000" w:firstRow="0" w:lastRow="0" w:firstColumn="0" w:lastColumn="0" w:oddVBand="0" w:evenVBand="0" w:oddHBand="0" w:evenHBand="0" w:firstRowFirstColumn="0" w:firstRowLastColumn="0" w:lastRowFirstColumn="0" w:lastRowLastColumn="0"/>
              <w:rPr>
                <w:rFonts w:ascii="Verdana" w:hAnsi="Verdana"/>
                <w:color w:val="FFFFFF" w:themeColor="background1"/>
                <w:sz w:val="16"/>
              </w:rPr>
            </w:pPr>
            <w:r w:rsidRPr="006C06C7">
              <w:rPr>
                <w:rFonts w:ascii="Verdana" w:hAnsi="Verdana"/>
                <w:color w:val="FFFFFF" w:themeColor="background1"/>
                <w:sz w:val="16"/>
              </w:rPr>
              <w:t>‘000</w:t>
            </w:r>
          </w:p>
        </w:tc>
      </w:tr>
      <w:tr w:rsidR="00A33DAC" w:rsidTr="007B75B1">
        <w:trPr>
          <w:trHeight w:val="298"/>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33DAC" w:rsidP="00303CED">
            <w:pPr>
              <w:pStyle w:val="WOVGbody"/>
              <w:rPr>
                <w:rFonts w:ascii="Verdana" w:hAnsi="Verdana"/>
                <w:sz w:val="16"/>
              </w:rPr>
            </w:pPr>
            <w:r w:rsidRPr="006C06C7">
              <w:rPr>
                <w:rFonts w:ascii="Verdana" w:hAnsi="Verdana"/>
                <w:sz w:val="16"/>
              </w:rPr>
              <w:t>Grp 1: Schools</w:t>
            </w:r>
          </w:p>
        </w:tc>
        <w:tc>
          <w:tcPr>
            <w:tcW w:w="1864"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$46,795</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$58,609</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$54,845</w:t>
            </w:r>
          </w:p>
        </w:tc>
        <w:tc>
          <w:tcPr>
            <w:tcW w:w="1709"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$42,692</w:t>
            </w:r>
          </w:p>
        </w:tc>
      </w:tr>
      <w:tr w:rsidR="00A33DAC" w:rsidTr="007B75B1">
        <w:trPr>
          <w:trHeight w:val="437"/>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33DAC" w:rsidP="00303CED">
            <w:pPr>
              <w:pStyle w:val="WOVGbody"/>
              <w:rPr>
                <w:rFonts w:ascii="Verdana" w:hAnsi="Verdana"/>
                <w:sz w:val="16"/>
              </w:rPr>
            </w:pPr>
            <w:r w:rsidRPr="006C06C7">
              <w:rPr>
                <w:rFonts w:ascii="Verdana" w:hAnsi="Verdana"/>
                <w:sz w:val="16"/>
              </w:rPr>
              <w:t>Grp 2: ECEC provider</w:t>
            </w:r>
          </w:p>
        </w:tc>
        <w:tc>
          <w:tcPr>
            <w:tcW w:w="1864"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$36,966</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$42,776</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$49,475</w:t>
            </w:r>
          </w:p>
        </w:tc>
        <w:tc>
          <w:tcPr>
            <w:tcW w:w="1709"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$33,818</w:t>
            </w:r>
          </w:p>
        </w:tc>
      </w:tr>
      <w:tr w:rsidR="00A33DAC" w:rsidTr="007B75B1">
        <w:trPr>
          <w:trHeight w:val="441"/>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02472" w:rsidP="00303CED">
            <w:pPr>
              <w:pStyle w:val="WOVGbody"/>
              <w:rPr>
                <w:rFonts w:ascii="Verdana" w:hAnsi="Verdana"/>
                <w:sz w:val="16"/>
              </w:rPr>
            </w:pPr>
            <w:r w:rsidRPr="006C06C7">
              <w:rPr>
                <w:rFonts w:ascii="Verdana" w:hAnsi="Verdana"/>
                <w:sz w:val="16"/>
              </w:rPr>
              <w:t>Grp 3: OSHC</w:t>
            </w:r>
            <w:r w:rsidR="00A33DAC" w:rsidRPr="006C06C7">
              <w:rPr>
                <w:rFonts w:ascii="Verdana" w:hAnsi="Verdana"/>
                <w:sz w:val="16"/>
              </w:rPr>
              <w:t xml:space="preserve"> provider</w:t>
            </w:r>
          </w:p>
        </w:tc>
        <w:tc>
          <w:tcPr>
            <w:tcW w:w="1864"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$2,235</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$2,478</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$2,649</w:t>
            </w:r>
          </w:p>
        </w:tc>
        <w:tc>
          <w:tcPr>
            <w:tcW w:w="1709"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$2,074</w:t>
            </w:r>
          </w:p>
        </w:tc>
      </w:tr>
      <w:tr w:rsidR="00A33DAC" w:rsidTr="007B75B1">
        <w:trPr>
          <w:trHeight w:val="379"/>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33DAC" w:rsidP="00303CED">
            <w:pPr>
              <w:pStyle w:val="WOVGbody"/>
              <w:rPr>
                <w:rFonts w:ascii="Verdana" w:hAnsi="Verdana"/>
                <w:sz w:val="16"/>
              </w:rPr>
            </w:pPr>
            <w:r w:rsidRPr="006C06C7">
              <w:rPr>
                <w:rFonts w:ascii="Verdana" w:hAnsi="Verdana"/>
                <w:sz w:val="16"/>
              </w:rPr>
              <w:t>Grp 4: Health and support services</w:t>
            </w:r>
          </w:p>
        </w:tc>
        <w:tc>
          <w:tcPr>
            <w:tcW w:w="1864"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$24,174</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$28,205</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$27,428</w:t>
            </w:r>
          </w:p>
        </w:tc>
        <w:tc>
          <w:tcPr>
            <w:tcW w:w="1709"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$22,515</w:t>
            </w:r>
          </w:p>
        </w:tc>
      </w:tr>
      <w:tr w:rsidR="00A33DAC" w:rsidTr="007B75B1">
        <w:trPr>
          <w:trHeight w:val="410"/>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33DAC" w:rsidP="00303CED">
            <w:pPr>
              <w:pStyle w:val="WOVGbody"/>
              <w:rPr>
                <w:rFonts w:ascii="Verdana" w:hAnsi="Verdana"/>
                <w:sz w:val="16"/>
              </w:rPr>
            </w:pPr>
            <w:r w:rsidRPr="006C06C7">
              <w:rPr>
                <w:rFonts w:ascii="Verdana" w:hAnsi="Verdana"/>
                <w:sz w:val="16"/>
              </w:rPr>
              <w:t>Grp 5: Hospitals</w:t>
            </w:r>
          </w:p>
        </w:tc>
        <w:tc>
          <w:tcPr>
            <w:tcW w:w="1864"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$71,064</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$93,974</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$95,594</w:t>
            </w:r>
          </w:p>
        </w:tc>
        <w:tc>
          <w:tcPr>
            <w:tcW w:w="1709"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$63,636</w:t>
            </w:r>
          </w:p>
        </w:tc>
      </w:tr>
      <w:tr w:rsidR="00A33DAC" w:rsidTr="007B75B1">
        <w:trPr>
          <w:trHeight w:val="591"/>
        </w:trPr>
        <w:tc>
          <w:tcPr>
            <w:cnfStyle w:val="001000000000" w:firstRow="0" w:lastRow="0" w:firstColumn="1" w:lastColumn="0" w:oddVBand="0" w:evenVBand="0" w:oddHBand="0" w:evenHBand="0" w:firstRowFirstColumn="0" w:firstRowLastColumn="0" w:lastRowFirstColumn="0" w:lastRowLastColumn="0"/>
            <w:tcW w:w="2021" w:type="dxa"/>
          </w:tcPr>
          <w:p w:rsidR="00A33DAC" w:rsidRPr="006C06C7" w:rsidRDefault="00A33DAC" w:rsidP="00303CED">
            <w:pPr>
              <w:pStyle w:val="WOVGbody"/>
              <w:rPr>
                <w:rFonts w:ascii="Verdana" w:hAnsi="Verdana"/>
                <w:sz w:val="16"/>
              </w:rPr>
            </w:pPr>
            <w:r w:rsidRPr="006C06C7">
              <w:rPr>
                <w:rFonts w:ascii="Verdana" w:hAnsi="Verdana"/>
                <w:sz w:val="16"/>
              </w:rPr>
              <w:t>Grp 6: Govt. statutory bodies and organisation/service</w:t>
            </w:r>
          </w:p>
        </w:tc>
        <w:tc>
          <w:tcPr>
            <w:tcW w:w="1864"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$362</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$409</w:t>
            </w:r>
          </w:p>
        </w:tc>
        <w:tc>
          <w:tcPr>
            <w:tcW w:w="1881"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$400</w:t>
            </w:r>
          </w:p>
        </w:tc>
        <w:tc>
          <w:tcPr>
            <w:tcW w:w="1709" w:type="dxa"/>
          </w:tcPr>
          <w:p w:rsidR="00A33DAC" w:rsidRPr="006C06C7"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6C06C7">
              <w:rPr>
                <w:rFonts w:ascii="Verdana" w:hAnsi="Verdana"/>
                <w:sz w:val="16"/>
              </w:rPr>
              <w:t>$337</w:t>
            </w:r>
          </w:p>
        </w:tc>
      </w:tr>
      <w:tr w:rsidR="00A33DAC" w:rsidTr="007B75B1">
        <w:trPr>
          <w:trHeight w:val="327"/>
        </w:trPr>
        <w:tc>
          <w:tcPr>
            <w:cnfStyle w:val="001000000000" w:firstRow="0" w:lastRow="0" w:firstColumn="1" w:lastColumn="0" w:oddVBand="0" w:evenVBand="0" w:oddHBand="0" w:evenHBand="0" w:firstRowFirstColumn="0" w:firstRowLastColumn="0" w:lastRowFirstColumn="0" w:lastRowLastColumn="0"/>
            <w:tcW w:w="2021" w:type="dxa"/>
          </w:tcPr>
          <w:p w:rsidR="00A33DAC" w:rsidRPr="00E5759B" w:rsidRDefault="00A33DAC" w:rsidP="00303CED">
            <w:pPr>
              <w:pStyle w:val="WOVGbody"/>
              <w:rPr>
                <w:rFonts w:ascii="Verdana" w:hAnsi="Verdana"/>
                <w:sz w:val="16"/>
              </w:rPr>
            </w:pPr>
            <w:r w:rsidRPr="00E5759B">
              <w:rPr>
                <w:rFonts w:ascii="Verdana" w:hAnsi="Verdana"/>
                <w:sz w:val="16"/>
              </w:rPr>
              <w:t>Total</w:t>
            </w:r>
          </w:p>
        </w:tc>
        <w:tc>
          <w:tcPr>
            <w:tcW w:w="1864" w:type="dxa"/>
          </w:tcPr>
          <w:p w:rsidR="00A33DAC" w:rsidRPr="00E5759B"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$181,595</w:t>
            </w:r>
          </w:p>
        </w:tc>
        <w:tc>
          <w:tcPr>
            <w:tcW w:w="1881" w:type="dxa"/>
          </w:tcPr>
          <w:p w:rsidR="00A33DAC" w:rsidRPr="00E5759B"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$226,449</w:t>
            </w:r>
          </w:p>
        </w:tc>
        <w:tc>
          <w:tcPr>
            <w:tcW w:w="1881" w:type="dxa"/>
          </w:tcPr>
          <w:p w:rsidR="00A33DAC" w:rsidRPr="00E5759B"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$230,391</w:t>
            </w:r>
          </w:p>
        </w:tc>
        <w:tc>
          <w:tcPr>
            <w:tcW w:w="1709" w:type="dxa"/>
          </w:tcPr>
          <w:p w:rsidR="00A33DAC" w:rsidRPr="00E5759B" w:rsidRDefault="00A33DAC" w:rsidP="00303CED">
            <w:pPr>
              <w:pStyle w:val="WOVGbody"/>
              <w:cnfStyle w:val="000000000000" w:firstRow="0" w:lastRow="0" w:firstColumn="0" w:lastColumn="0" w:oddVBand="0" w:evenVBand="0" w:oddHBand="0" w:evenHBand="0" w:firstRowFirstColumn="0" w:firstRowLastColumn="0" w:lastRowFirstColumn="0" w:lastRowLastColumn="0"/>
              <w:rPr>
                <w:rFonts w:ascii="Verdana" w:hAnsi="Verdana"/>
                <w:sz w:val="16"/>
              </w:rPr>
            </w:pPr>
            <w:r w:rsidRPr="00E5759B">
              <w:rPr>
                <w:rFonts w:ascii="Verdana" w:hAnsi="Verdana"/>
                <w:sz w:val="16"/>
              </w:rPr>
              <w:t>$165,072</w:t>
            </w:r>
          </w:p>
        </w:tc>
      </w:tr>
      <w:tr w:rsidR="00A33DAC" w:rsidTr="007B75B1">
        <w:trPr>
          <w:trHeight w:val="395"/>
        </w:trPr>
        <w:tc>
          <w:tcPr>
            <w:cnfStyle w:val="001000000000" w:firstRow="0" w:lastRow="0" w:firstColumn="1" w:lastColumn="0" w:oddVBand="0" w:evenVBand="0" w:oddHBand="0" w:evenHBand="0" w:firstRowFirstColumn="0" w:firstRowLastColumn="0" w:lastRowFirstColumn="0" w:lastRowLastColumn="0"/>
            <w:tcW w:w="9356" w:type="dxa"/>
            <w:gridSpan w:val="5"/>
          </w:tcPr>
          <w:p w:rsidR="00A33DAC" w:rsidRPr="00792DC3" w:rsidRDefault="00A33DAC" w:rsidP="00303CED">
            <w:pPr>
              <w:pStyle w:val="WOVGbody"/>
              <w:rPr>
                <w:rFonts w:ascii="Verdana" w:hAnsi="Verdana"/>
                <w:sz w:val="16"/>
                <w:szCs w:val="16"/>
              </w:rPr>
            </w:pPr>
            <w:r w:rsidRPr="00792DC3">
              <w:rPr>
                <w:rFonts w:ascii="Verdana" w:hAnsi="Verdana"/>
                <w:i/>
                <w:sz w:val="16"/>
                <w:szCs w:val="16"/>
              </w:rPr>
              <w:t>Source: ACIL Allen Consulting 2019</w:t>
            </w:r>
          </w:p>
        </w:tc>
      </w:tr>
    </w:tbl>
    <w:p w:rsidR="00A33DAC" w:rsidRPr="003B6279" w:rsidRDefault="00A33DAC" w:rsidP="00A33DAC">
      <w:pPr>
        <w:pStyle w:val="WOVGbody"/>
        <w:rPr>
          <w:rFonts w:ascii="Verdana" w:hAnsi="Verdana"/>
        </w:rPr>
      </w:pPr>
    </w:p>
    <w:p w:rsidR="00343036" w:rsidRDefault="00343036" w:rsidP="00343036">
      <w:pPr>
        <w:rPr>
          <w:rFonts w:ascii="Verdana" w:hAnsi="Verdana"/>
        </w:rPr>
        <w:sectPr w:rsidR="00343036" w:rsidSect="007228D3">
          <w:headerReference w:type="even" r:id="rId17"/>
          <w:headerReference w:type="default" r:id="rId18"/>
          <w:footerReference w:type="even" r:id="rId19"/>
          <w:footerReference w:type="default" r:id="rId20"/>
          <w:footerReference w:type="first" r:id="rId21"/>
          <w:pgSz w:w="11906" w:h="16838"/>
          <w:pgMar w:top="1701" w:right="1304" w:bottom="1134" w:left="1304" w:header="454" w:footer="510" w:gutter="0"/>
          <w:cols w:space="720"/>
          <w:docGrid w:linePitch="360"/>
        </w:sectPr>
      </w:pPr>
    </w:p>
    <w:p w:rsidR="00954540" w:rsidRPr="00D94ADF" w:rsidRDefault="00954540" w:rsidP="00E17645">
      <w:pPr>
        <w:pStyle w:val="Heading2"/>
        <w:rPr>
          <w:rFonts w:ascii="Verdana" w:eastAsia="Times" w:hAnsi="Verdana"/>
        </w:rPr>
      </w:pPr>
      <w:bookmarkStart w:id="36" w:name="_Toc23510780"/>
      <w:r w:rsidRPr="00D94ADF">
        <w:rPr>
          <w:rFonts w:ascii="Verdana" w:hAnsi="Verdana"/>
        </w:rPr>
        <w:lastRenderedPageBreak/>
        <w:t>Qualitative ISE impact assessment</w:t>
      </w:r>
      <w:bookmarkEnd w:id="36"/>
    </w:p>
    <w:p w:rsidR="000F6AD9" w:rsidRPr="00CD74D5" w:rsidRDefault="00FB4855" w:rsidP="00954540">
      <w:pPr>
        <w:pStyle w:val="WOVGbody"/>
        <w:rPr>
          <w:rFonts w:ascii="Verdana" w:hAnsi="Verdana"/>
          <w:b/>
        </w:rPr>
      </w:pPr>
      <w:r>
        <w:rPr>
          <w:rFonts w:ascii="Verdana" w:hAnsi="Verdana"/>
          <w:b/>
        </w:rPr>
        <w:t>Table 6.</w:t>
      </w:r>
      <w:r w:rsidR="00273AFA">
        <w:rPr>
          <w:rFonts w:ascii="Verdana" w:hAnsi="Verdana"/>
          <w:b/>
        </w:rPr>
        <w:t>9</w:t>
      </w:r>
      <w:r w:rsidR="006641FF" w:rsidRPr="004A1C5C">
        <w:rPr>
          <w:rFonts w:ascii="Verdana" w:hAnsi="Verdana"/>
        </w:rPr>
        <w:t xml:space="preserve"> </w:t>
      </w:r>
      <w:r w:rsidR="005B6181" w:rsidRPr="00CD74D5">
        <w:rPr>
          <w:rFonts w:ascii="Verdana" w:hAnsi="Verdana"/>
          <w:b/>
        </w:rPr>
        <w:t>The below table reflects expected key impacts on ISEs, gathered through the consultation process for this RIS</w:t>
      </w:r>
    </w:p>
    <w:tbl>
      <w:tblPr>
        <w:tblStyle w:val="Deloittetable"/>
        <w:tblW w:w="14459" w:type="dxa"/>
        <w:tblLook w:val="04A0" w:firstRow="1" w:lastRow="0" w:firstColumn="1" w:lastColumn="0" w:noHBand="0" w:noVBand="1"/>
      </w:tblPr>
      <w:tblGrid>
        <w:gridCol w:w="3047"/>
        <w:gridCol w:w="6451"/>
        <w:gridCol w:w="4961"/>
      </w:tblGrid>
      <w:tr w:rsidR="00343036" w:rsidRPr="00937249" w:rsidTr="00CA46F6">
        <w:trPr>
          <w:cnfStyle w:val="100000000000" w:firstRow="1" w:lastRow="0" w:firstColumn="0" w:lastColumn="0" w:oddVBand="0" w:evenVBand="0" w:oddHBand="0" w:evenHBand="0" w:firstRowFirstColumn="0" w:firstRowLastColumn="0" w:lastRowFirstColumn="0" w:lastRowLastColumn="0"/>
          <w:tblHeader/>
        </w:trPr>
        <w:tc>
          <w:tcPr>
            <w:tcW w:w="3047" w:type="dxa"/>
            <w:tcBorders>
              <w:top w:val="single" w:sz="12" w:space="0" w:color="auto"/>
            </w:tcBorders>
          </w:tcPr>
          <w:p w:rsidR="00343036" w:rsidRPr="009C368A" w:rsidRDefault="00343036" w:rsidP="001647DF">
            <w:pPr>
              <w:rPr>
                <w:rFonts w:ascii="Verdana" w:hAnsi="Verdana"/>
                <w:b/>
                <w:sz w:val="16"/>
                <w:szCs w:val="16"/>
              </w:rPr>
            </w:pPr>
            <w:r w:rsidRPr="009C368A">
              <w:rPr>
                <w:rFonts w:ascii="Verdana" w:hAnsi="Verdana"/>
                <w:b/>
                <w:sz w:val="16"/>
                <w:szCs w:val="16"/>
              </w:rPr>
              <w:t xml:space="preserve">Entity </w:t>
            </w:r>
          </w:p>
        </w:tc>
        <w:tc>
          <w:tcPr>
            <w:tcW w:w="6451" w:type="dxa"/>
            <w:tcBorders>
              <w:top w:val="single" w:sz="12" w:space="0" w:color="auto"/>
            </w:tcBorders>
          </w:tcPr>
          <w:p w:rsidR="00343036" w:rsidRPr="009C368A" w:rsidRDefault="00343036" w:rsidP="001647DF">
            <w:pPr>
              <w:rPr>
                <w:rFonts w:ascii="Verdana" w:hAnsi="Verdana"/>
                <w:b/>
                <w:sz w:val="16"/>
                <w:szCs w:val="16"/>
              </w:rPr>
            </w:pPr>
            <w:r w:rsidRPr="009C368A">
              <w:rPr>
                <w:rFonts w:ascii="Verdana" w:hAnsi="Verdana"/>
                <w:b/>
                <w:sz w:val="16"/>
                <w:szCs w:val="16"/>
              </w:rPr>
              <w:t xml:space="preserve">Impacts - requests </w:t>
            </w:r>
          </w:p>
        </w:tc>
        <w:tc>
          <w:tcPr>
            <w:tcW w:w="4961" w:type="dxa"/>
            <w:tcBorders>
              <w:top w:val="single" w:sz="12" w:space="0" w:color="auto"/>
            </w:tcBorders>
          </w:tcPr>
          <w:p w:rsidR="00343036" w:rsidRPr="009C368A" w:rsidRDefault="00343036" w:rsidP="001647DF">
            <w:pPr>
              <w:rPr>
                <w:rFonts w:ascii="Verdana" w:hAnsi="Verdana"/>
                <w:b/>
                <w:sz w:val="16"/>
                <w:szCs w:val="16"/>
              </w:rPr>
            </w:pPr>
            <w:r w:rsidRPr="009C368A">
              <w:rPr>
                <w:rFonts w:ascii="Verdana" w:hAnsi="Verdana"/>
                <w:b/>
                <w:sz w:val="16"/>
                <w:szCs w:val="16"/>
              </w:rPr>
              <w:t>Impacts - systems and processes</w:t>
            </w:r>
          </w:p>
        </w:tc>
      </w:tr>
      <w:tr w:rsidR="00343036" w:rsidRPr="00937249" w:rsidTr="001647DF">
        <w:trPr>
          <w:trHeight w:val="5197"/>
        </w:trPr>
        <w:tc>
          <w:tcPr>
            <w:tcW w:w="3047" w:type="dxa"/>
          </w:tcPr>
          <w:p w:rsidR="00343036" w:rsidRPr="009C368A" w:rsidRDefault="00343036" w:rsidP="001647DF">
            <w:pPr>
              <w:pStyle w:val="ListParagraph"/>
              <w:spacing w:after="0" w:line="240" w:lineRule="auto"/>
              <w:ind w:left="0"/>
              <w:rPr>
                <w:b/>
                <w:sz w:val="16"/>
                <w:szCs w:val="16"/>
              </w:rPr>
            </w:pPr>
            <w:r w:rsidRPr="009C368A">
              <w:rPr>
                <w:b/>
                <w:sz w:val="16"/>
                <w:szCs w:val="16"/>
              </w:rPr>
              <w:t>Education</w:t>
            </w:r>
          </w:p>
          <w:p w:rsidR="00343036" w:rsidRPr="009C368A" w:rsidRDefault="004173F9" w:rsidP="00A76FAF">
            <w:pPr>
              <w:pStyle w:val="ListParagraph"/>
              <w:numPr>
                <w:ilvl w:val="0"/>
                <w:numId w:val="39"/>
              </w:numPr>
              <w:spacing w:after="0" w:line="240" w:lineRule="auto"/>
              <w:ind w:left="426"/>
              <w:rPr>
                <w:b/>
                <w:sz w:val="16"/>
                <w:szCs w:val="16"/>
              </w:rPr>
            </w:pPr>
            <w:r>
              <w:rPr>
                <w:sz w:val="16"/>
                <w:szCs w:val="16"/>
              </w:rPr>
              <w:t>Government s</w:t>
            </w:r>
            <w:r w:rsidR="00343036" w:rsidRPr="009C368A">
              <w:rPr>
                <w:sz w:val="16"/>
                <w:szCs w:val="16"/>
              </w:rPr>
              <w:t>chools</w:t>
            </w:r>
          </w:p>
          <w:p w:rsidR="00343036" w:rsidRPr="009C368A" w:rsidRDefault="00343036" w:rsidP="00A76FAF">
            <w:pPr>
              <w:pStyle w:val="ListParagraph"/>
              <w:numPr>
                <w:ilvl w:val="0"/>
                <w:numId w:val="39"/>
              </w:numPr>
              <w:spacing w:after="0" w:line="240" w:lineRule="auto"/>
              <w:ind w:left="426"/>
              <w:rPr>
                <w:b/>
                <w:sz w:val="16"/>
                <w:szCs w:val="16"/>
              </w:rPr>
            </w:pPr>
            <w:r w:rsidRPr="009C368A">
              <w:rPr>
                <w:sz w:val="16"/>
                <w:szCs w:val="16"/>
              </w:rPr>
              <w:t>Kindergartens</w:t>
            </w:r>
          </w:p>
          <w:p w:rsidR="00343036" w:rsidRPr="009C368A" w:rsidRDefault="004173F9" w:rsidP="00A76FAF">
            <w:pPr>
              <w:pStyle w:val="ListParagraph"/>
              <w:numPr>
                <w:ilvl w:val="0"/>
                <w:numId w:val="39"/>
              </w:numPr>
              <w:spacing w:after="0" w:line="240" w:lineRule="auto"/>
              <w:ind w:left="426"/>
              <w:rPr>
                <w:b/>
                <w:sz w:val="16"/>
                <w:szCs w:val="16"/>
              </w:rPr>
            </w:pPr>
            <w:r>
              <w:rPr>
                <w:sz w:val="16"/>
                <w:szCs w:val="16"/>
              </w:rPr>
              <w:t>Long day c</w:t>
            </w:r>
            <w:r w:rsidR="00343036" w:rsidRPr="009C368A">
              <w:rPr>
                <w:sz w:val="16"/>
                <w:szCs w:val="16"/>
              </w:rPr>
              <w:t>are</w:t>
            </w:r>
          </w:p>
          <w:p w:rsidR="00343036" w:rsidRPr="009C368A" w:rsidRDefault="004615F7" w:rsidP="00A76FAF">
            <w:pPr>
              <w:pStyle w:val="ListParagraph"/>
              <w:numPr>
                <w:ilvl w:val="0"/>
                <w:numId w:val="39"/>
              </w:numPr>
              <w:spacing w:after="0" w:line="240" w:lineRule="auto"/>
              <w:ind w:left="426"/>
              <w:rPr>
                <w:b/>
                <w:sz w:val="16"/>
                <w:szCs w:val="16"/>
              </w:rPr>
            </w:pPr>
            <w:r>
              <w:rPr>
                <w:sz w:val="16"/>
                <w:szCs w:val="16"/>
              </w:rPr>
              <w:t>Non-g</w:t>
            </w:r>
            <w:r w:rsidR="00343036" w:rsidRPr="009C368A">
              <w:rPr>
                <w:sz w:val="16"/>
                <w:szCs w:val="16"/>
              </w:rPr>
              <w:t xml:space="preserve">overnment schools and </w:t>
            </w:r>
            <w:r w:rsidR="004442B9">
              <w:rPr>
                <w:sz w:val="16"/>
                <w:szCs w:val="16"/>
              </w:rPr>
              <w:t xml:space="preserve">relevant </w:t>
            </w:r>
            <w:r w:rsidR="00343036" w:rsidRPr="009C368A">
              <w:rPr>
                <w:sz w:val="16"/>
                <w:szCs w:val="16"/>
              </w:rPr>
              <w:t>system bodies</w:t>
            </w:r>
          </w:p>
          <w:p w:rsidR="00343036" w:rsidRPr="00BF6CD8" w:rsidRDefault="00343036" w:rsidP="00BF6CD8">
            <w:pPr>
              <w:pStyle w:val="ListParagraph"/>
              <w:numPr>
                <w:ilvl w:val="0"/>
                <w:numId w:val="39"/>
              </w:numPr>
              <w:spacing w:after="0" w:line="240" w:lineRule="auto"/>
              <w:ind w:left="426"/>
              <w:rPr>
                <w:b/>
                <w:sz w:val="16"/>
                <w:szCs w:val="16"/>
              </w:rPr>
            </w:pPr>
            <w:r w:rsidRPr="009C368A">
              <w:rPr>
                <w:sz w:val="16"/>
                <w:szCs w:val="16"/>
              </w:rPr>
              <w:t>Out</w:t>
            </w:r>
            <w:r w:rsidR="004173F9">
              <w:rPr>
                <w:sz w:val="16"/>
                <w:szCs w:val="16"/>
              </w:rPr>
              <w:t>side school hours c</w:t>
            </w:r>
            <w:r w:rsidRPr="009C368A">
              <w:rPr>
                <w:sz w:val="16"/>
                <w:szCs w:val="16"/>
              </w:rPr>
              <w:t>are</w:t>
            </w:r>
          </w:p>
          <w:p w:rsidR="00343036" w:rsidRPr="009C368A" w:rsidRDefault="00343036" w:rsidP="00A76FAF">
            <w:pPr>
              <w:pStyle w:val="ListParagraph"/>
              <w:numPr>
                <w:ilvl w:val="0"/>
                <w:numId w:val="39"/>
              </w:numPr>
              <w:spacing w:after="0" w:line="240" w:lineRule="auto"/>
              <w:ind w:left="426"/>
              <w:rPr>
                <w:b/>
                <w:sz w:val="16"/>
                <w:szCs w:val="16"/>
              </w:rPr>
            </w:pPr>
            <w:r w:rsidRPr="009C368A">
              <w:rPr>
                <w:sz w:val="16"/>
                <w:szCs w:val="16"/>
              </w:rPr>
              <w:t xml:space="preserve">Student disengagement and </w:t>
            </w:r>
            <w:r w:rsidR="004173F9">
              <w:rPr>
                <w:sz w:val="16"/>
                <w:szCs w:val="16"/>
              </w:rPr>
              <w:t xml:space="preserve">child </w:t>
            </w:r>
            <w:r w:rsidRPr="009C368A">
              <w:rPr>
                <w:sz w:val="16"/>
                <w:szCs w:val="16"/>
              </w:rPr>
              <w:t>wellbeing services</w:t>
            </w:r>
            <w:r w:rsidR="004173F9">
              <w:rPr>
                <w:sz w:val="16"/>
                <w:szCs w:val="16"/>
              </w:rPr>
              <w:t>/</w:t>
            </w:r>
            <w:r w:rsidRPr="009C368A">
              <w:rPr>
                <w:sz w:val="16"/>
                <w:szCs w:val="16"/>
              </w:rPr>
              <w:t xml:space="preserve"> programs funded</w:t>
            </w:r>
            <w:r w:rsidR="004173F9">
              <w:rPr>
                <w:sz w:val="16"/>
                <w:szCs w:val="16"/>
              </w:rPr>
              <w:t>/delivered</w:t>
            </w:r>
            <w:r w:rsidRPr="009C368A">
              <w:rPr>
                <w:sz w:val="16"/>
                <w:szCs w:val="16"/>
              </w:rPr>
              <w:t xml:space="preserve"> by DET</w:t>
            </w:r>
          </w:p>
          <w:p w:rsidR="00343036" w:rsidRPr="009C368A" w:rsidRDefault="00343036" w:rsidP="00A76FAF">
            <w:pPr>
              <w:pStyle w:val="ListParagraph"/>
              <w:numPr>
                <w:ilvl w:val="0"/>
                <w:numId w:val="39"/>
              </w:numPr>
              <w:spacing w:after="0" w:line="240" w:lineRule="auto"/>
              <w:ind w:left="426"/>
              <w:rPr>
                <w:b/>
                <w:sz w:val="16"/>
                <w:szCs w:val="16"/>
              </w:rPr>
            </w:pPr>
            <w:r w:rsidRPr="009C368A">
              <w:rPr>
                <w:sz w:val="16"/>
                <w:szCs w:val="16"/>
              </w:rPr>
              <w:t>Victorian Curriculum and Assessment Authority (VCAA)</w:t>
            </w:r>
          </w:p>
          <w:p w:rsidR="00343036" w:rsidRPr="009C368A" w:rsidRDefault="00343036" w:rsidP="00A76FAF">
            <w:pPr>
              <w:pStyle w:val="ListParagraph"/>
              <w:numPr>
                <w:ilvl w:val="0"/>
                <w:numId w:val="39"/>
              </w:numPr>
              <w:spacing w:after="0" w:line="240" w:lineRule="auto"/>
              <w:ind w:left="426"/>
              <w:rPr>
                <w:b/>
                <w:sz w:val="16"/>
                <w:szCs w:val="16"/>
              </w:rPr>
            </w:pPr>
            <w:r w:rsidRPr="009C368A">
              <w:rPr>
                <w:sz w:val="16"/>
                <w:szCs w:val="16"/>
              </w:rPr>
              <w:t>Victorian Institute of Teaching (VIT)</w:t>
            </w:r>
          </w:p>
          <w:p w:rsidR="00343036" w:rsidRPr="00BD6142" w:rsidRDefault="00343036" w:rsidP="00A76FAF">
            <w:pPr>
              <w:pStyle w:val="ListParagraph"/>
              <w:numPr>
                <w:ilvl w:val="0"/>
                <w:numId w:val="39"/>
              </w:numPr>
              <w:spacing w:after="0" w:line="240" w:lineRule="auto"/>
              <w:ind w:left="426"/>
              <w:rPr>
                <w:b/>
                <w:sz w:val="16"/>
                <w:szCs w:val="16"/>
              </w:rPr>
            </w:pPr>
            <w:r w:rsidRPr="009C368A">
              <w:rPr>
                <w:sz w:val="16"/>
                <w:szCs w:val="16"/>
              </w:rPr>
              <w:t>Victorian Registration and Qualification</w:t>
            </w:r>
            <w:r w:rsidR="00CD74D5">
              <w:rPr>
                <w:sz w:val="16"/>
                <w:szCs w:val="16"/>
              </w:rPr>
              <w:t>s</w:t>
            </w:r>
            <w:r w:rsidRPr="009C368A">
              <w:rPr>
                <w:sz w:val="16"/>
                <w:szCs w:val="16"/>
              </w:rPr>
              <w:t xml:space="preserve"> Authority (VRQA)</w:t>
            </w:r>
          </w:p>
          <w:p w:rsidR="00BD6142" w:rsidRPr="009C368A" w:rsidRDefault="00BD6142" w:rsidP="00A76FAF">
            <w:pPr>
              <w:pStyle w:val="ListParagraph"/>
              <w:numPr>
                <w:ilvl w:val="0"/>
                <w:numId w:val="39"/>
              </w:numPr>
              <w:spacing w:after="0" w:line="240" w:lineRule="auto"/>
              <w:ind w:left="426"/>
              <w:rPr>
                <w:b/>
                <w:sz w:val="16"/>
                <w:szCs w:val="16"/>
              </w:rPr>
            </w:pPr>
            <w:r>
              <w:rPr>
                <w:sz w:val="16"/>
                <w:szCs w:val="16"/>
              </w:rPr>
              <w:t>Quality and Regulation Division (QARD) of DET</w:t>
            </w:r>
          </w:p>
        </w:tc>
        <w:tc>
          <w:tcPr>
            <w:tcW w:w="6451" w:type="dxa"/>
          </w:tcPr>
          <w:p w:rsidR="00343036" w:rsidRDefault="00DF4480" w:rsidP="001647DF">
            <w:pPr>
              <w:rPr>
                <w:rFonts w:ascii="Verdana" w:hAnsi="Verdana"/>
                <w:sz w:val="16"/>
                <w:szCs w:val="16"/>
              </w:rPr>
            </w:pPr>
            <w:r w:rsidRPr="009C368A">
              <w:rPr>
                <w:rFonts w:ascii="Verdana" w:hAnsi="Verdana"/>
                <w:sz w:val="16"/>
                <w:szCs w:val="16"/>
              </w:rPr>
              <w:t>Due to the</w:t>
            </w:r>
            <w:r w:rsidR="00343036" w:rsidRPr="009C368A">
              <w:rPr>
                <w:rFonts w:ascii="Verdana" w:hAnsi="Verdana"/>
                <w:sz w:val="16"/>
                <w:szCs w:val="16"/>
              </w:rPr>
              <w:t xml:space="preserve"> </w:t>
            </w:r>
            <w:r w:rsidRPr="009C368A">
              <w:rPr>
                <w:rFonts w:ascii="Verdana" w:hAnsi="Verdana"/>
                <w:sz w:val="16"/>
                <w:szCs w:val="16"/>
              </w:rPr>
              <w:t>wide range of wellbeing and safety issues</w:t>
            </w:r>
            <w:r w:rsidR="00343036" w:rsidRPr="009C368A">
              <w:rPr>
                <w:rFonts w:ascii="Verdana" w:hAnsi="Verdana"/>
                <w:sz w:val="16"/>
                <w:szCs w:val="16"/>
              </w:rPr>
              <w:t xml:space="preserve"> that</w:t>
            </w:r>
            <w:r w:rsidR="00F12B03">
              <w:rPr>
                <w:rFonts w:ascii="Verdana" w:hAnsi="Verdana"/>
                <w:sz w:val="16"/>
                <w:szCs w:val="16"/>
              </w:rPr>
              <w:t xml:space="preserve"> present in their environment, e</w:t>
            </w:r>
            <w:r w:rsidR="00343036" w:rsidRPr="009C368A">
              <w:rPr>
                <w:rFonts w:ascii="Verdana" w:hAnsi="Verdana"/>
                <w:sz w:val="16"/>
                <w:szCs w:val="16"/>
              </w:rPr>
              <w:t xml:space="preserve">ducation entities stated that </w:t>
            </w:r>
            <w:r w:rsidR="00A95F05">
              <w:rPr>
                <w:rFonts w:ascii="Verdana" w:hAnsi="Verdana"/>
                <w:sz w:val="16"/>
                <w:szCs w:val="16"/>
              </w:rPr>
              <w:t xml:space="preserve">under CIS </w:t>
            </w:r>
            <w:r w:rsidR="00343036" w:rsidRPr="009C368A">
              <w:rPr>
                <w:rFonts w:ascii="Verdana" w:hAnsi="Verdana"/>
                <w:sz w:val="16"/>
                <w:szCs w:val="16"/>
              </w:rPr>
              <w:t xml:space="preserve">requests </w:t>
            </w:r>
            <w:r w:rsidR="00A95F05">
              <w:rPr>
                <w:rFonts w:ascii="Verdana" w:hAnsi="Verdana"/>
                <w:sz w:val="16"/>
                <w:szCs w:val="16"/>
              </w:rPr>
              <w:t>would</w:t>
            </w:r>
            <w:r w:rsidR="00343036" w:rsidRPr="009C368A">
              <w:rPr>
                <w:rFonts w:ascii="Verdana" w:hAnsi="Verdana"/>
                <w:sz w:val="16"/>
                <w:szCs w:val="16"/>
              </w:rPr>
              <w:t xml:space="preserve"> be made to </w:t>
            </w:r>
            <w:r w:rsidRPr="009C368A">
              <w:rPr>
                <w:rFonts w:ascii="Verdana" w:hAnsi="Verdana"/>
                <w:sz w:val="16"/>
                <w:szCs w:val="16"/>
              </w:rPr>
              <w:t xml:space="preserve">most </w:t>
            </w:r>
            <w:r w:rsidR="00343036" w:rsidRPr="009C368A">
              <w:rPr>
                <w:rFonts w:ascii="Verdana" w:hAnsi="Verdana"/>
                <w:sz w:val="16"/>
                <w:szCs w:val="16"/>
              </w:rPr>
              <w:t xml:space="preserve">other prescribed entities. </w:t>
            </w:r>
          </w:p>
          <w:p w:rsidR="00F12B03" w:rsidRPr="009C368A" w:rsidRDefault="00F12B03" w:rsidP="001647DF">
            <w:pPr>
              <w:rPr>
                <w:rFonts w:ascii="Verdana" w:hAnsi="Verdana"/>
                <w:sz w:val="16"/>
                <w:szCs w:val="16"/>
              </w:rPr>
            </w:pPr>
          </w:p>
          <w:p w:rsidR="00BB6374" w:rsidRDefault="00DF4480" w:rsidP="001647DF">
            <w:pPr>
              <w:rPr>
                <w:rFonts w:ascii="Verdana" w:hAnsi="Verdana"/>
                <w:sz w:val="16"/>
                <w:szCs w:val="16"/>
              </w:rPr>
            </w:pPr>
            <w:r w:rsidRPr="009C368A">
              <w:rPr>
                <w:rFonts w:ascii="Verdana" w:hAnsi="Verdana"/>
                <w:sz w:val="16"/>
                <w:szCs w:val="16"/>
              </w:rPr>
              <w:t>O</w:t>
            </w:r>
            <w:r w:rsidR="00343036" w:rsidRPr="009C368A">
              <w:rPr>
                <w:rFonts w:ascii="Verdana" w:hAnsi="Verdana"/>
                <w:sz w:val="16"/>
                <w:szCs w:val="16"/>
              </w:rPr>
              <w:t>ther education providers</w:t>
            </w:r>
            <w:r w:rsidRPr="009C368A">
              <w:rPr>
                <w:rFonts w:ascii="Verdana" w:hAnsi="Verdana"/>
                <w:sz w:val="16"/>
                <w:szCs w:val="16"/>
              </w:rPr>
              <w:t xml:space="preserve"> represent a key source of information</w:t>
            </w:r>
            <w:r w:rsidR="00343036" w:rsidRPr="009C368A">
              <w:rPr>
                <w:rFonts w:ascii="Verdana" w:hAnsi="Verdana"/>
                <w:sz w:val="16"/>
                <w:szCs w:val="16"/>
              </w:rPr>
              <w:t>, mainly to ensure a child/student can transition to a new educational environment with a continuum of care.</w:t>
            </w:r>
          </w:p>
          <w:p w:rsidR="00F12B03" w:rsidRPr="009C368A" w:rsidRDefault="00F12B03" w:rsidP="001647DF">
            <w:pPr>
              <w:rPr>
                <w:rFonts w:ascii="Verdana" w:hAnsi="Verdana"/>
                <w:sz w:val="16"/>
                <w:szCs w:val="16"/>
              </w:rPr>
            </w:pPr>
          </w:p>
          <w:p w:rsidR="00343036" w:rsidRPr="009C368A" w:rsidRDefault="00343036" w:rsidP="00C8281E">
            <w:pPr>
              <w:rPr>
                <w:rFonts w:ascii="Verdana" w:hAnsi="Verdana"/>
                <w:sz w:val="16"/>
                <w:szCs w:val="16"/>
              </w:rPr>
            </w:pPr>
            <w:r w:rsidRPr="009C368A">
              <w:rPr>
                <w:rFonts w:ascii="Verdana" w:hAnsi="Verdana"/>
                <w:sz w:val="16"/>
                <w:szCs w:val="16"/>
              </w:rPr>
              <w:t xml:space="preserve">Other </w:t>
            </w:r>
            <w:r w:rsidR="00DF4480" w:rsidRPr="009C368A">
              <w:rPr>
                <w:rFonts w:ascii="Verdana" w:hAnsi="Verdana"/>
                <w:sz w:val="16"/>
                <w:szCs w:val="16"/>
              </w:rPr>
              <w:t xml:space="preserve">ISEs that hold information </w:t>
            </w:r>
            <w:r w:rsidR="00480076" w:rsidRPr="009C368A">
              <w:rPr>
                <w:rFonts w:ascii="Verdana" w:hAnsi="Verdana"/>
                <w:sz w:val="16"/>
                <w:szCs w:val="16"/>
              </w:rPr>
              <w:t xml:space="preserve">of particular relevance include </w:t>
            </w:r>
            <w:r w:rsidR="00F12B03">
              <w:rPr>
                <w:rFonts w:ascii="Verdana" w:hAnsi="Verdana"/>
                <w:sz w:val="16"/>
                <w:szCs w:val="16"/>
              </w:rPr>
              <w:t>acute health entities (h</w:t>
            </w:r>
            <w:r w:rsidRPr="009C368A">
              <w:rPr>
                <w:rFonts w:ascii="Verdana" w:hAnsi="Verdana"/>
                <w:sz w:val="16"/>
                <w:szCs w:val="16"/>
              </w:rPr>
              <w:t xml:space="preserve">ospitals and GPs), Victoria Police and child protection. Education entities stated that </w:t>
            </w:r>
            <w:r w:rsidR="00480076" w:rsidRPr="009C368A">
              <w:rPr>
                <w:rFonts w:ascii="Verdana" w:hAnsi="Verdana"/>
                <w:sz w:val="16"/>
                <w:szCs w:val="16"/>
              </w:rPr>
              <w:t>there was great potential for improvement in we</w:t>
            </w:r>
            <w:r w:rsidR="00C8281E">
              <w:rPr>
                <w:rFonts w:ascii="Verdana" w:hAnsi="Verdana"/>
                <w:sz w:val="16"/>
                <w:szCs w:val="16"/>
              </w:rPr>
              <w:t>l</w:t>
            </w:r>
            <w:r w:rsidR="00480076" w:rsidRPr="009C368A">
              <w:rPr>
                <w:rFonts w:ascii="Verdana" w:hAnsi="Verdana"/>
                <w:sz w:val="16"/>
                <w:szCs w:val="16"/>
              </w:rPr>
              <w:t>l</w:t>
            </w:r>
            <w:r w:rsidR="00C8281E">
              <w:rPr>
                <w:rFonts w:ascii="Verdana" w:hAnsi="Verdana"/>
                <w:sz w:val="16"/>
                <w:szCs w:val="16"/>
              </w:rPr>
              <w:t>being</w:t>
            </w:r>
            <w:r w:rsidR="00480076" w:rsidRPr="009C368A">
              <w:rPr>
                <w:rFonts w:ascii="Verdana" w:hAnsi="Verdana"/>
                <w:sz w:val="16"/>
                <w:szCs w:val="16"/>
              </w:rPr>
              <w:t xml:space="preserve"> services delivery </w:t>
            </w:r>
            <w:r w:rsidRPr="009C368A">
              <w:rPr>
                <w:rFonts w:ascii="Verdana" w:hAnsi="Verdana"/>
                <w:sz w:val="16"/>
                <w:szCs w:val="16"/>
              </w:rPr>
              <w:t xml:space="preserve">to children/students </w:t>
            </w:r>
            <w:r w:rsidR="00480076" w:rsidRPr="009C368A">
              <w:rPr>
                <w:rFonts w:ascii="Verdana" w:hAnsi="Verdana"/>
                <w:sz w:val="16"/>
                <w:szCs w:val="16"/>
              </w:rPr>
              <w:t xml:space="preserve">once </w:t>
            </w:r>
            <w:r w:rsidRPr="009C368A">
              <w:rPr>
                <w:rFonts w:ascii="Verdana" w:hAnsi="Verdana"/>
                <w:sz w:val="16"/>
                <w:szCs w:val="16"/>
              </w:rPr>
              <w:t xml:space="preserve">information </w:t>
            </w:r>
            <w:r w:rsidR="00480076" w:rsidRPr="009C368A">
              <w:rPr>
                <w:rFonts w:ascii="Verdana" w:hAnsi="Verdana"/>
                <w:sz w:val="16"/>
                <w:szCs w:val="16"/>
              </w:rPr>
              <w:t>can b</w:t>
            </w:r>
            <w:r w:rsidR="00F12B03">
              <w:rPr>
                <w:rFonts w:ascii="Verdana" w:hAnsi="Verdana"/>
                <w:sz w:val="16"/>
                <w:szCs w:val="16"/>
              </w:rPr>
              <w:t>e shared by acute services and C</w:t>
            </w:r>
            <w:r w:rsidR="00480076" w:rsidRPr="009C368A">
              <w:rPr>
                <w:rFonts w:ascii="Verdana" w:hAnsi="Verdana"/>
                <w:sz w:val="16"/>
                <w:szCs w:val="16"/>
              </w:rPr>
              <w:t>hild</w:t>
            </w:r>
            <w:r w:rsidR="00F12B03">
              <w:rPr>
                <w:rFonts w:ascii="Verdana" w:hAnsi="Verdana"/>
                <w:sz w:val="16"/>
                <w:szCs w:val="16"/>
              </w:rPr>
              <w:t xml:space="preserve"> P</w:t>
            </w:r>
            <w:r w:rsidR="00480076" w:rsidRPr="009C368A">
              <w:rPr>
                <w:rFonts w:ascii="Verdana" w:hAnsi="Verdana"/>
                <w:sz w:val="16"/>
                <w:szCs w:val="16"/>
              </w:rPr>
              <w:t>rotection</w:t>
            </w:r>
            <w:r w:rsidRPr="009C368A">
              <w:rPr>
                <w:rFonts w:ascii="Verdana" w:hAnsi="Verdana"/>
                <w:sz w:val="16"/>
                <w:szCs w:val="16"/>
              </w:rPr>
              <w:t>.</w:t>
            </w:r>
          </w:p>
        </w:tc>
        <w:tc>
          <w:tcPr>
            <w:tcW w:w="4961" w:type="dxa"/>
          </w:tcPr>
          <w:p w:rsidR="00582456" w:rsidRDefault="00A95F05" w:rsidP="009931ED">
            <w:pPr>
              <w:rPr>
                <w:rFonts w:ascii="Verdana" w:hAnsi="Verdana"/>
                <w:sz w:val="16"/>
                <w:szCs w:val="16"/>
              </w:rPr>
            </w:pPr>
            <w:r>
              <w:rPr>
                <w:rFonts w:ascii="Verdana" w:hAnsi="Verdana"/>
                <w:sz w:val="16"/>
                <w:szCs w:val="16"/>
              </w:rPr>
              <w:t>Education entities reported that their</w:t>
            </w:r>
            <w:r w:rsidR="003A5AF6">
              <w:rPr>
                <w:rFonts w:ascii="Verdana" w:hAnsi="Verdana"/>
                <w:sz w:val="16"/>
                <w:szCs w:val="16"/>
              </w:rPr>
              <w:t xml:space="preserve"> </w:t>
            </w:r>
            <w:r>
              <w:rPr>
                <w:rFonts w:ascii="Verdana" w:hAnsi="Verdana"/>
                <w:sz w:val="16"/>
                <w:szCs w:val="16"/>
              </w:rPr>
              <w:t>e</w:t>
            </w:r>
            <w:r w:rsidR="009931ED" w:rsidRPr="009C368A">
              <w:rPr>
                <w:rFonts w:ascii="Verdana" w:hAnsi="Verdana"/>
                <w:sz w:val="16"/>
                <w:szCs w:val="16"/>
              </w:rPr>
              <w:t>xisting record keeping systems</w:t>
            </w:r>
            <w:r>
              <w:rPr>
                <w:rFonts w:ascii="Verdana" w:hAnsi="Verdana"/>
                <w:sz w:val="16"/>
                <w:szCs w:val="16"/>
              </w:rPr>
              <w:t xml:space="preserve"> will require updating</w:t>
            </w:r>
            <w:r w:rsidR="009931ED" w:rsidRPr="009C368A">
              <w:rPr>
                <w:rFonts w:ascii="Verdana" w:hAnsi="Verdana"/>
                <w:sz w:val="16"/>
                <w:szCs w:val="16"/>
              </w:rPr>
              <w:t>, and a majority of ISEs indicated that these changes would be of modest scope.</w:t>
            </w:r>
          </w:p>
          <w:p w:rsidR="00582456" w:rsidRDefault="00582456" w:rsidP="009931ED">
            <w:pPr>
              <w:rPr>
                <w:rFonts w:ascii="Verdana" w:hAnsi="Verdana"/>
                <w:sz w:val="16"/>
                <w:szCs w:val="16"/>
              </w:rPr>
            </w:pPr>
          </w:p>
          <w:p w:rsidR="00462F86" w:rsidRPr="009C368A" w:rsidRDefault="00582456" w:rsidP="004A792B">
            <w:pPr>
              <w:rPr>
                <w:rFonts w:ascii="Verdana" w:hAnsi="Verdana"/>
                <w:sz w:val="16"/>
                <w:szCs w:val="16"/>
              </w:rPr>
            </w:pPr>
            <w:r>
              <w:rPr>
                <w:rFonts w:ascii="Verdana" w:hAnsi="Verdana"/>
                <w:sz w:val="16"/>
                <w:szCs w:val="16"/>
              </w:rPr>
              <w:t xml:space="preserve">Some larger organisations, including service providers that operate at a number of locations across the State expect processes for updating systems and processes to be centralised. Other organisations that typically operate in one location, such as schools, expect </w:t>
            </w:r>
            <w:r w:rsidR="00BB3CBB">
              <w:rPr>
                <w:rFonts w:ascii="Verdana" w:hAnsi="Verdana"/>
                <w:sz w:val="16"/>
                <w:szCs w:val="16"/>
              </w:rPr>
              <w:t>to manage these tasks</w:t>
            </w:r>
            <w:r>
              <w:rPr>
                <w:rFonts w:ascii="Verdana" w:hAnsi="Verdana"/>
                <w:sz w:val="16"/>
                <w:szCs w:val="16"/>
              </w:rPr>
              <w:t xml:space="preserve"> locally within the organisation.</w:t>
            </w:r>
          </w:p>
        </w:tc>
      </w:tr>
      <w:tr w:rsidR="00343036" w:rsidRPr="00937249" w:rsidTr="001647DF">
        <w:tc>
          <w:tcPr>
            <w:tcW w:w="3047" w:type="dxa"/>
          </w:tcPr>
          <w:p w:rsidR="00343036" w:rsidRPr="009C368A" w:rsidRDefault="00343036" w:rsidP="001647DF">
            <w:pPr>
              <w:rPr>
                <w:rFonts w:ascii="Verdana" w:hAnsi="Verdana"/>
                <w:b/>
                <w:sz w:val="16"/>
                <w:szCs w:val="16"/>
              </w:rPr>
            </w:pPr>
            <w:r w:rsidRPr="009C368A">
              <w:rPr>
                <w:rFonts w:ascii="Verdana" w:hAnsi="Verdana"/>
                <w:b/>
                <w:sz w:val="16"/>
                <w:szCs w:val="16"/>
              </w:rPr>
              <w:t xml:space="preserve">Health </w:t>
            </w:r>
          </w:p>
          <w:p w:rsidR="00343036" w:rsidRPr="008465E4" w:rsidRDefault="00343036" w:rsidP="00A76FAF">
            <w:pPr>
              <w:pStyle w:val="ListParagraph"/>
              <w:numPr>
                <w:ilvl w:val="0"/>
                <w:numId w:val="37"/>
              </w:numPr>
              <w:spacing w:after="0" w:line="240" w:lineRule="auto"/>
              <w:rPr>
                <w:sz w:val="16"/>
                <w:szCs w:val="16"/>
              </w:rPr>
            </w:pPr>
            <w:r w:rsidRPr="009C368A">
              <w:rPr>
                <w:sz w:val="16"/>
                <w:szCs w:val="16"/>
              </w:rPr>
              <w:t>Ambulance Victor</w:t>
            </w:r>
            <w:r w:rsidRPr="00CD3DB7">
              <w:rPr>
                <w:sz w:val="16"/>
                <w:szCs w:val="16"/>
              </w:rPr>
              <w:t>ia</w:t>
            </w:r>
          </w:p>
          <w:p w:rsidR="00343036" w:rsidRPr="00C704A4" w:rsidRDefault="00343036" w:rsidP="00A76FAF">
            <w:pPr>
              <w:pStyle w:val="ListParagraph"/>
              <w:numPr>
                <w:ilvl w:val="0"/>
                <w:numId w:val="37"/>
              </w:numPr>
              <w:spacing w:after="0" w:line="240" w:lineRule="auto"/>
              <w:rPr>
                <w:sz w:val="16"/>
                <w:szCs w:val="16"/>
              </w:rPr>
            </w:pPr>
            <w:r w:rsidRPr="00C704A4">
              <w:rPr>
                <w:sz w:val="16"/>
                <w:szCs w:val="16"/>
              </w:rPr>
              <w:t>Community health services</w:t>
            </w:r>
          </w:p>
          <w:p w:rsidR="00343036" w:rsidRPr="00C704A4" w:rsidRDefault="00BF6CD8" w:rsidP="00A76FAF">
            <w:pPr>
              <w:pStyle w:val="ListParagraph"/>
              <w:numPr>
                <w:ilvl w:val="0"/>
                <w:numId w:val="37"/>
              </w:numPr>
              <w:spacing w:after="0" w:line="240" w:lineRule="auto"/>
              <w:rPr>
                <w:sz w:val="16"/>
                <w:szCs w:val="16"/>
              </w:rPr>
            </w:pPr>
            <w:r>
              <w:rPr>
                <w:sz w:val="16"/>
                <w:szCs w:val="16"/>
              </w:rPr>
              <w:t>H</w:t>
            </w:r>
            <w:r w:rsidR="00343036" w:rsidRPr="00C704A4">
              <w:rPr>
                <w:sz w:val="16"/>
                <w:szCs w:val="16"/>
              </w:rPr>
              <w:t xml:space="preserve">ousing </w:t>
            </w:r>
            <w:r>
              <w:rPr>
                <w:sz w:val="16"/>
                <w:szCs w:val="16"/>
              </w:rPr>
              <w:t>services</w:t>
            </w:r>
          </w:p>
          <w:p w:rsidR="00343036" w:rsidRPr="00C704A4" w:rsidRDefault="00BF6CD8" w:rsidP="00A76FAF">
            <w:pPr>
              <w:pStyle w:val="ListParagraph"/>
              <w:numPr>
                <w:ilvl w:val="0"/>
                <w:numId w:val="37"/>
              </w:numPr>
              <w:spacing w:after="0" w:line="240" w:lineRule="auto"/>
              <w:rPr>
                <w:sz w:val="16"/>
                <w:szCs w:val="16"/>
              </w:rPr>
            </w:pPr>
            <w:r>
              <w:rPr>
                <w:sz w:val="16"/>
                <w:szCs w:val="16"/>
              </w:rPr>
              <w:t>M</w:t>
            </w:r>
            <w:r w:rsidR="00343036" w:rsidRPr="00C704A4">
              <w:rPr>
                <w:sz w:val="16"/>
                <w:szCs w:val="16"/>
              </w:rPr>
              <w:t>ental health services</w:t>
            </w:r>
          </w:p>
          <w:p w:rsidR="00343036" w:rsidRPr="00C704A4" w:rsidRDefault="00343036" w:rsidP="00A76FAF">
            <w:pPr>
              <w:pStyle w:val="ListParagraph"/>
              <w:numPr>
                <w:ilvl w:val="0"/>
                <w:numId w:val="37"/>
              </w:numPr>
              <w:spacing w:after="0" w:line="240" w:lineRule="auto"/>
              <w:rPr>
                <w:sz w:val="16"/>
                <w:szCs w:val="16"/>
              </w:rPr>
            </w:pPr>
            <w:r w:rsidRPr="00C704A4">
              <w:rPr>
                <w:sz w:val="16"/>
                <w:szCs w:val="16"/>
              </w:rPr>
              <w:t>Forensic disability</w:t>
            </w:r>
          </w:p>
          <w:p w:rsidR="00343036" w:rsidRPr="00C704A4" w:rsidRDefault="00343036" w:rsidP="00A76FAF">
            <w:pPr>
              <w:pStyle w:val="ListParagraph"/>
              <w:numPr>
                <w:ilvl w:val="0"/>
                <w:numId w:val="37"/>
              </w:numPr>
              <w:spacing w:after="0" w:line="240" w:lineRule="auto"/>
              <w:rPr>
                <w:sz w:val="16"/>
                <w:szCs w:val="16"/>
              </w:rPr>
            </w:pPr>
            <w:r w:rsidRPr="00C704A4">
              <w:rPr>
                <w:sz w:val="16"/>
                <w:szCs w:val="16"/>
              </w:rPr>
              <w:t>General Practice</w:t>
            </w:r>
          </w:p>
          <w:p w:rsidR="00343036" w:rsidRPr="00C704A4" w:rsidRDefault="00343036" w:rsidP="00A76FAF">
            <w:pPr>
              <w:pStyle w:val="ListParagraph"/>
              <w:numPr>
                <w:ilvl w:val="0"/>
                <w:numId w:val="37"/>
              </w:numPr>
              <w:spacing w:after="0" w:line="240" w:lineRule="auto"/>
              <w:rPr>
                <w:sz w:val="16"/>
                <w:szCs w:val="16"/>
              </w:rPr>
            </w:pPr>
            <w:r w:rsidRPr="00C704A4">
              <w:rPr>
                <w:sz w:val="16"/>
                <w:szCs w:val="16"/>
              </w:rPr>
              <w:t>Homelessness</w:t>
            </w:r>
            <w:r w:rsidR="00BD6142">
              <w:rPr>
                <w:sz w:val="16"/>
                <w:szCs w:val="16"/>
              </w:rPr>
              <w:t xml:space="preserve"> services</w:t>
            </w:r>
          </w:p>
          <w:p w:rsidR="00A47B81" w:rsidRDefault="00A47B81" w:rsidP="00A76FAF">
            <w:pPr>
              <w:pStyle w:val="ListParagraph"/>
              <w:numPr>
                <w:ilvl w:val="0"/>
                <w:numId w:val="37"/>
              </w:numPr>
              <w:spacing w:after="0" w:line="240" w:lineRule="auto"/>
              <w:rPr>
                <w:sz w:val="16"/>
                <w:szCs w:val="16"/>
              </w:rPr>
            </w:pPr>
            <w:r>
              <w:rPr>
                <w:sz w:val="16"/>
                <w:szCs w:val="16"/>
              </w:rPr>
              <w:t>Public hospitals</w:t>
            </w:r>
          </w:p>
          <w:p w:rsidR="00C704A4" w:rsidRDefault="00C704A4" w:rsidP="00A76FAF">
            <w:pPr>
              <w:pStyle w:val="ListParagraph"/>
              <w:numPr>
                <w:ilvl w:val="0"/>
                <w:numId w:val="37"/>
              </w:numPr>
              <w:spacing w:after="0" w:line="240" w:lineRule="auto"/>
              <w:rPr>
                <w:sz w:val="16"/>
                <w:szCs w:val="16"/>
              </w:rPr>
            </w:pPr>
            <w:r>
              <w:rPr>
                <w:sz w:val="16"/>
                <w:szCs w:val="16"/>
              </w:rPr>
              <w:t>Multiple complex needs</w:t>
            </w:r>
          </w:p>
          <w:p w:rsidR="00343036" w:rsidRDefault="00343036" w:rsidP="00A76FAF">
            <w:pPr>
              <w:pStyle w:val="ListParagraph"/>
              <w:numPr>
                <w:ilvl w:val="0"/>
                <w:numId w:val="37"/>
              </w:numPr>
              <w:spacing w:after="0" w:line="240" w:lineRule="auto"/>
              <w:rPr>
                <w:sz w:val="16"/>
                <w:szCs w:val="16"/>
              </w:rPr>
            </w:pPr>
            <w:r w:rsidRPr="009C368A">
              <w:rPr>
                <w:sz w:val="16"/>
                <w:szCs w:val="16"/>
              </w:rPr>
              <w:t>State funded aged care services</w:t>
            </w:r>
          </w:p>
          <w:p w:rsidR="00BD6142" w:rsidRDefault="00BD6142" w:rsidP="00A76FAF">
            <w:pPr>
              <w:pStyle w:val="ListParagraph"/>
              <w:numPr>
                <w:ilvl w:val="0"/>
                <w:numId w:val="37"/>
              </w:numPr>
              <w:spacing w:after="0" w:line="240" w:lineRule="auto"/>
              <w:rPr>
                <w:sz w:val="16"/>
                <w:szCs w:val="16"/>
              </w:rPr>
            </w:pPr>
            <w:r>
              <w:rPr>
                <w:sz w:val="16"/>
                <w:szCs w:val="16"/>
              </w:rPr>
              <w:t>Early parenting centres</w:t>
            </w:r>
          </w:p>
          <w:p w:rsidR="00C704A4" w:rsidRPr="009C368A" w:rsidRDefault="00C704A4" w:rsidP="00A76FAF">
            <w:pPr>
              <w:pStyle w:val="ListParagraph"/>
              <w:numPr>
                <w:ilvl w:val="0"/>
                <w:numId w:val="37"/>
              </w:numPr>
              <w:spacing w:after="0" w:line="240" w:lineRule="auto"/>
              <w:rPr>
                <w:sz w:val="16"/>
                <w:szCs w:val="16"/>
              </w:rPr>
            </w:pPr>
            <w:r>
              <w:rPr>
                <w:sz w:val="16"/>
                <w:szCs w:val="16"/>
              </w:rPr>
              <w:lastRenderedPageBreak/>
              <w:t>Migrant and refugee services</w:t>
            </w:r>
          </w:p>
          <w:p w:rsidR="00343036" w:rsidRPr="009C368A" w:rsidRDefault="00343036" w:rsidP="00A76FAF">
            <w:pPr>
              <w:pStyle w:val="ListParagraph"/>
              <w:numPr>
                <w:ilvl w:val="0"/>
                <w:numId w:val="37"/>
              </w:numPr>
              <w:spacing w:after="0" w:line="240" w:lineRule="auto"/>
              <w:rPr>
                <w:sz w:val="16"/>
                <w:szCs w:val="16"/>
              </w:rPr>
            </w:pPr>
            <w:r w:rsidRPr="009C368A">
              <w:rPr>
                <w:sz w:val="16"/>
                <w:szCs w:val="16"/>
              </w:rPr>
              <w:t>Supported Playgroups</w:t>
            </w:r>
          </w:p>
          <w:p w:rsidR="00343036" w:rsidRPr="009C368A" w:rsidRDefault="00343036" w:rsidP="001647DF">
            <w:pPr>
              <w:pStyle w:val="ListParagraph"/>
              <w:spacing w:after="0" w:line="240" w:lineRule="auto"/>
              <w:ind w:left="360"/>
              <w:rPr>
                <w:color w:val="FF0000"/>
                <w:sz w:val="16"/>
                <w:szCs w:val="16"/>
              </w:rPr>
            </w:pPr>
          </w:p>
        </w:tc>
        <w:tc>
          <w:tcPr>
            <w:tcW w:w="6451" w:type="dxa"/>
          </w:tcPr>
          <w:p w:rsidR="00343036" w:rsidRPr="009C368A" w:rsidRDefault="00343036" w:rsidP="001647DF">
            <w:pPr>
              <w:rPr>
                <w:rFonts w:ascii="Verdana" w:hAnsi="Verdana"/>
                <w:color w:val="FF0000"/>
                <w:sz w:val="16"/>
                <w:szCs w:val="16"/>
              </w:rPr>
            </w:pPr>
          </w:p>
          <w:p w:rsidR="00343036" w:rsidRPr="009C368A" w:rsidRDefault="00480076" w:rsidP="001647DF">
            <w:pPr>
              <w:rPr>
                <w:rFonts w:ascii="Verdana" w:hAnsi="Verdana"/>
                <w:sz w:val="16"/>
                <w:szCs w:val="16"/>
              </w:rPr>
            </w:pPr>
            <w:r w:rsidRPr="009C368A">
              <w:rPr>
                <w:rFonts w:ascii="Verdana" w:hAnsi="Verdana"/>
                <w:sz w:val="16"/>
                <w:szCs w:val="16"/>
              </w:rPr>
              <w:t>Health entities expect t</w:t>
            </w:r>
            <w:r w:rsidR="00343036" w:rsidRPr="009C368A">
              <w:rPr>
                <w:rFonts w:ascii="Verdana" w:hAnsi="Verdana"/>
                <w:sz w:val="16"/>
                <w:szCs w:val="16"/>
              </w:rPr>
              <w:t xml:space="preserve">he number of </w:t>
            </w:r>
            <w:r w:rsidR="00081C0B" w:rsidRPr="009C368A">
              <w:rPr>
                <w:rFonts w:ascii="Verdana" w:hAnsi="Verdana"/>
                <w:sz w:val="16"/>
                <w:szCs w:val="16"/>
              </w:rPr>
              <w:t xml:space="preserve">incoming </w:t>
            </w:r>
            <w:r w:rsidR="00343036" w:rsidRPr="009C368A">
              <w:rPr>
                <w:rFonts w:ascii="Verdana" w:hAnsi="Verdana"/>
                <w:sz w:val="16"/>
                <w:szCs w:val="16"/>
              </w:rPr>
              <w:t xml:space="preserve">requests for </w:t>
            </w:r>
            <w:r w:rsidR="00081C0B" w:rsidRPr="009C368A">
              <w:rPr>
                <w:rFonts w:ascii="Verdana" w:hAnsi="Verdana"/>
                <w:sz w:val="16"/>
                <w:szCs w:val="16"/>
              </w:rPr>
              <w:t>information</w:t>
            </w:r>
            <w:r w:rsidRPr="009C368A">
              <w:rPr>
                <w:rFonts w:ascii="Verdana" w:hAnsi="Verdana"/>
                <w:sz w:val="16"/>
                <w:szCs w:val="16"/>
              </w:rPr>
              <w:t xml:space="preserve"> </w:t>
            </w:r>
            <w:r w:rsidR="00343036" w:rsidRPr="009C368A">
              <w:rPr>
                <w:rFonts w:ascii="Verdana" w:hAnsi="Verdana"/>
                <w:sz w:val="16"/>
                <w:szCs w:val="16"/>
              </w:rPr>
              <w:t xml:space="preserve">to increase significantly as education entities </w:t>
            </w:r>
            <w:r w:rsidR="00A95F05">
              <w:rPr>
                <w:rFonts w:ascii="Verdana" w:hAnsi="Verdana"/>
                <w:sz w:val="16"/>
                <w:szCs w:val="16"/>
              </w:rPr>
              <w:t>will be</w:t>
            </w:r>
            <w:r w:rsidR="00343036" w:rsidRPr="009C368A">
              <w:rPr>
                <w:rFonts w:ascii="Verdana" w:hAnsi="Verdana"/>
                <w:sz w:val="16"/>
                <w:szCs w:val="16"/>
              </w:rPr>
              <w:t xml:space="preserve"> able to request information</w:t>
            </w:r>
            <w:r w:rsidR="00A95F05">
              <w:rPr>
                <w:rFonts w:ascii="Verdana" w:hAnsi="Verdana"/>
                <w:sz w:val="16"/>
                <w:szCs w:val="16"/>
              </w:rPr>
              <w:t xml:space="preserve"> from health entities</w:t>
            </w:r>
            <w:r w:rsidR="00343036" w:rsidRPr="009C368A">
              <w:rPr>
                <w:rFonts w:ascii="Verdana" w:hAnsi="Verdana"/>
                <w:sz w:val="16"/>
                <w:szCs w:val="16"/>
              </w:rPr>
              <w:t xml:space="preserve">.  </w:t>
            </w:r>
          </w:p>
          <w:p w:rsidR="00BB6374" w:rsidRPr="009C368A" w:rsidRDefault="00BB6374" w:rsidP="001647DF">
            <w:pPr>
              <w:rPr>
                <w:rFonts w:ascii="Verdana" w:hAnsi="Verdana"/>
                <w:sz w:val="16"/>
                <w:szCs w:val="16"/>
              </w:rPr>
            </w:pPr>
          </w:p>
          <w:p w:rsidR="009931ED" w:rsidRPr="009C368A" w:rsidRDefault="009931ED" w:rsidP="009931ED">
            <w:pPr>
              <w:rPr>
                <w:rFonts w:ascii="Verdana" w:hAnsi="Verdana"/>
                <w:sz w:val="16"/>
                <w:szCs w:val="16"/>
              </w:rPr>
            </w:pPr>
            <w:r w:rsidRPr="009C368A">
              <w:rPr>
                <w:rFonts w:ascii="Verdana" w:hAnsi="Verdana"/>
                <w:sz w:val="16"/>
                <w:szCs w:val="16"/>
              </w:rPr>
              <w:t>Information sharing across health entities is also expected to increase, often in relation to children at higher risk.</w:t>
            </w:r>
          </w:p>
          <w:p w:rsidR="009931ED" w:rsidRPr="009C368A" w:rsidRDefault="009931ED" w:rsidP="009931ED">
            <w:pPr>
              <w:rPr>
                <w:rFonts w:ascii="Verdana" w:hAnsi="Verdana"/>
                <w:sz w:val="16"/>
                <w:szCs w:val="16"/>
              </w:rPr>
            </w:pPr>
          </w:p>
          <w:p w:rsidR="009931ED" w:rsidRPr="009C368A" w:rsidRDefault="00343036" w:rsidP="009931ED">
            <w:pPr>
              <w:rPr>
                <w:rFonts w:ascii="Verdana" w:hAnsi="Verdana"/>
                <w:sz w:val="16"/>
                <w:szCs w:val="16"/>
              </w:rPr>
            </w:pPr>
            <w:r w:rsidRPr="009C368A">
              <w:rPr>
                <w:rFonts w:ascii="Verdana" w:hAnsi="Verdana"/>
                <w:sz w:val="16"/>
                <w:szCs w:val="16"/>
              </w:rPr>
              <w:t xml:space="preserve">The greatest </w:t>
            </w:r>
            <w:r w:rsidR="00480076" w:rsidRPr="009C368A">
              <w:rPr>
                <w:rFonts w:ascii="Verdana" w:hAnsi="Verdana"/>
                <w:sz w:val="16"/>
                <w:szCs w:val="16"/>
              </w:rPr>
              <w:t xml:space="preserve">impact </w:t>
            </w:r>
            <w:r w:rsidR="009931ED" w:rsidRPr="009C368A">
              <w:rPr>
                <w:rFonts w:ascii="Verdana" w:hAnsi="Verdana"/>
                <w:sz w:val="16"/>
                <w:szCs w:val="16"/>
              </w:rPr>
              <w:t>is expected to be</w:t>
            </w:r>
            <w:r w:rsidRPr="009C368A">
              <w:rPr>
                <w:rFonts w:ascii="Verdana" w:hAnsi="Verdana"/>
                <w:sz w:val="16"/>
                <w:szCs w:val="16"/>
              </w:rPr>
              <w:t xml:space="preserve"> </w:t>
            </w:r>
            <w:r w:rsidR="00480076" w:rsidRPr="009C368A">
              <w:rPr>
                <w:rFonts w:ascii="Verdana" w:hAnsi="Verdana"/>
                <w:sz w:val="16"/>
                <w:szCs w:val="16"/>
              </w:rPr>
              <w:t xml:space="preserve">on </w:t>
            </w:r>
            <w:r w:rsidRPr="009C368A">
              <w:rPr>
                <w:rFonts w:ascii="Verdana" w:hAnsi="Verdana"/>
                <w:sz w:val="16"/>
                <w:szCs w:val="16"/>
              </w:rPr>
              <w:t>hospitals</w:t>
            </w:r>
            <w:r w:rsidR="009931ED" w:rsidRPr="009C368A">
              <w:rPr>
                <w:rFonts w:ascii="Verdana" w:hAnsi="Verdana"/>
                <w:sz w:val="16"/>
                <w:szCs w:val="16"/>
              </w:rPr>
              <w:t xml:space="preserve">. While hospitals and other </w:t>
            </w:r>
            <w:r w:rsidR="009931ED" w:rsidRPr="009C368A">
              <w:rPr>
                <w:rFonts w:ascii="Verdana" w:hAnsi="Verdana"/>
                <w:sz w:val="16"/>
                <w:szCs w:val="16"/>
              </w:rPr>
              <w:lastRenderedPageBreak/>
              <w:t>health entities have good record keeping policies and procedures, the increase in volume of requests will represent an administrative burden to these workforces due to the large number of “clients” that use the services.</w:t>
            </w:r>
          </w:p>
          <w:p w:rsidR="009931ED" w:rsidRPr="009C368A" w:rsidRDefault="009931ED" w:rsidP="001647DF">
            <w:pPr>
              <w:rPr>
                <w:rFonts w:ascii="Verdana" w:hAnsi="Verdana"/>
                <w:sz w:val="16"/>
                <w:szCs w:val="16"/>
              </w:rPr>
            </w:pPr>
          </w:p>
          <w:p w:rsidR="00BB6374" w:rsidRPr="009C368A" w:rsidRDefault="00BB6374" w:rsidP="001647DF">
            <w:pPr>
              <w:rPr>
                <w:rFonts w:ascii="Verdana" w:hAnsi="Verdana"/>
                <w:sz w:val="16"/>
                <w:szCs w:val="16"/>
              </w:rPr>
            </w:pPr>
          </w:p>
          <w:p w:rsidR="00343036" w:rsidRPr="009C368A" w:rsidRDefault="00343036" w:rsidP="009931ED">
            <w:pPr>
              <w:rPr>
                <w:rFonts w:ascii="Verdana" w:hAnsi="Verdana"/>
                <w:color w:val="FF0000"/>
                <w:sz w:val="16"/>
                <w:szCs w:val="16"/>
              </w:rPr>
            </w:pPr>
          </w:p>
        </w:tc>
        <w:tc>
          <w:tcPr>
            <w:tcW w:w="4961" w:type="dxa"/>
          </w:tcPr>
          <w:p w:rsidR="00343036" w:rsidRPr="009C368A" w:rsidRDefault="00343036" w:rsidP="001647DF">
            <w:pPr>
              <w:rPr>
                <w:rFonts w:ascii="Verdana" w:hAnsi="Verdana"/>
                <w:color w:val="FF0000"/>
                <w:sz w:val="16"/>
                <w:szCs w:val="16"/>
              </w:rPr>
            </w:pPr>
          </w:p>
          <w:p w:rsidR="00343036" w:rsidRPr="009C368A" w:rsidRDefault="00480076" w:rsidP="001647DF">
            <w:pPr>
              <w:rPr>
                <w:rFonts w:ascii="Verdana" w:hAnsi="Verdana"/>
                <w:sz w:val="16"/>
                <w:szCs w:val="16"/>
              </w:rPr>
            </w:pPr>
            <w:r w:rsidRPr="009C368A">
              <w:rPr>
                <w:rFonts w:ascii="Verdana" w:hAnsi="Verdana"/>
                <w:sz w:val="16"/>
                <w:szCs w:val="16"/>
              </w:rPr>
              <w:t>Record</w:t>
            </w:r>
            <w:r w:rsidR="00343036" w:rsidRPr="009C368A">
              <w:rPr>
                <w:rFonts w:ascii="Verdana" w:hAnsi="Verdana"/>
                <w:sz w:val="16"/>
                <w:szCs w:val="16"/>
              </w:rPr>
              <w:t xml:space="preserve"> keeping is predominantly incorpo</w:t>
            </w:r>
            <w:r w:rsidR="00551BB6" w:rsidRPr="009C368A">
              <w:rPr>
                <w:rFonts w:ascii="Verdana" w:hAnsi="Verdana"/>
                <w:sz w:val="16"/>
                <w:szCs w:val="16"/>
              </w:rPr>
              <w:t xml:space="preserve">rated into case/patient notes. </w:t>
            </w:r>
            <w:r w:rsidR="00343036" w:rsidRPr="009C368A">
              <w:rPr>
                <w:rFonts w:ascii="Verdana" w:hAnsi="Verdana"/>
                <w:sz w:val="16"/>
                <w:szCs w:val="16"/>
              </w:rPr>
              <w:t>The additional content requirements may require system upgrades in order to systematically record the necessary information.</w:t>
            </w:r>
          </w:p>
          <w:p w:rsidR="00BB6374" w:rsidRPr="009C368A" w:rsidRDefault="00BB6374" w:rsidP="001647DF">
            <w:pPr>
              <w:rPr>
                <w:rFonts w:ascii="Verdana" w:hAnsi="Verdana"/>
                <w:sz w:val="16"/>
                <w:szCs w:val="16"/>
              </w:rPr>
            </w:pPr>
          </w:p>
          <w:p w:rsidR="00343036" w:rsidRDefault="00343036" w:rsidP="001647DF">
            <w:pPr>
              <w:rPr>
                <w:rFonts w:ascii="Verdana" w:hAnsi="Verdana"/>
                <w:sz w:val="16"/>
                <w:szCs w:val="16"/>
              </w:rPr>
            </w:pPr>
            <w:r w:rsidRPr="009C368A">
              <w:rPr>
                <w:rFonts w:ascii="Verdana" w:hAnsi="Verdana"/>
                <w:sz w:val="16"/>
                <w:szCs w:val="16"/>
              </w:rPr>
              <w:t>Certain entities, such as Ambulance Victoria, will need a greater review of their record keeping systems to ensure information sharing request</w:t>
            </w:r>
            <w:r w:rsidR="00551BB6" w:rsidRPr="009C368A">
              <w:rPr>
                <w:rFonts w:ascii="Verdana" w:hAnsi="Verdana"/>
                <w:sz w:val="16"/>
                <w:szCs w:val="16"/>
              </w:rPr>
              <w:t>s</w:t>
            </w:r>
            <w:r w:rsidR="00F12B03">
              <w:rPr>
                <w:rFonts w:ascii="Verdana" w:hAnsi="Verdana"/>
                <w:sz w:val="16"/>
                <w:szCs w:val="16"/>
              </w:rPr>
              <w:t xml:space="preserve"> can be responded to.</w:t>
            </w:r>
          </w:p>
          <w:p w:rsidR="00343036" w:rsidRPr="009C368A" w:rsidRDefault="00343036" w:rsidP="001647DF">
            <w:pPr>
              <w:rPr>
                <w:rFonts w:ascii="Verdana" w:hAnsi="Verdana"/>
                <w:sz w:val="16"/>
                <w:szCs w:val="16"/>
              </w:rPr>
            </w:pPr>
            <w:r w:rsidRPr="009C368A">
              <w:rPr>
                <w:rFonts w:ascii="Verdana" w:hAnsi="Verdana"/>
                <w:sz w:val="16"/>
                <w:szCs w:val="16"/>
              </w:rPr>
              <w:lastRenderedPageBreak/>
              <w:t>A number of the organisations, such as hospitals and</w:t>
            </w:r>
            <w:r w:rsidR="00551BB6" w:rsidRPr="009C368A">
              <w:rPr>
                <w:rFonts w:ascii="Verdana" w:hAnsi="Verdana"/>
                <w:sz w:val="16"/>
                <w:szCs w:val="16"/>
              </w:rPr>
              <w:t xml:space="preserve"> community health organisations</w:t>
            </w:r>
            <w:r w:rsidRPr="009C368A">
              <w:rPr>
                <w:rFonts w:ascii="Verdana" w:hAnsi="Verdana"/>
                <w:sz w:val="16"/>
                <w:szCs w:val="16"/>
              </w:rPr>
              <w:t xml:space="preserve"> are an amalgamation of a number of services.  These services may have different operating models and different record keeping systems</w:t>
            </w:r>
            <w:r w:rsidR="00551BB6" w:rsidRPr="009C368A">
              <w:rPr>
                <w:rFonts w:ascii="Verdana" w:hAnsi="Verdana"/>
                <w:sz w:val="16"/>
                <w:szCs w:val="16"/>
              </w:rPr>
              <w:t xml:space="preserve">, therefore requiring updates to a </w:t>
            </w:r>
            <w:r w:rsidRPr="009C368A">
              <w:rPr>
                <w:rFonts w:ascii="Verdana" w:hAnsi="Verdana"/>
                <w:sz w:val="16"/>
                <w:szCs w:val="16"/>
              </w:rPr>
              <w:t>number of different systems.</w:t>
            </w:r>
          </w:p>
          <w:p w:rsidR="00551BB6" w:rsidRPr="009C368A" w:rsidRDefault="00551BB6" w:rsidP="001647DF">
            <w:pPr>
              <w:rPr>
                <w:rFonts w:ascii="Verdana" w:hAnsi="Verdana"/>
                <w:sz w:val="16"/>
                <w:szCs w:val="16"/>
              </w:rPr>
            </w:pPr>
          </w:p>
          <w:p w:rsidR="00343036" w:rsidRDefault="00551BB6" w:rsidP="00551BB6">
            <w:pPr>
              <w:rPr>
                <w:rFonts w:ascii="Verdana" w:hAnsi="Verdana"/>
                <w:sz w:val="16"/>
                <w:szCs w:val="16"/>
              </w:rPr>
            </w:pPr>
            <w:r w:rsidRPr="009C368A">
              <w:rPr>
                <w:rFonts w:ascii="Verdana" w:hAnsi="Verdana"/>
                <w:sz w:val="16"/>
                <w:szCs w:val="16"/>
              </w:rPr>
              <w:t>Some hospitals are in the process of standardising record keeping systems within the institution hospital precinct. Such projects have the potential to simplify information sharing and record keeping in the sector over time.</w:t>
            </w:r>
          </w:p>
          <w:p w:rsidR="00BB3CBB" w:rsidRDefault="00BB3CBB" w:rsidP="00551BB6">
            <w:pPr>
              <w:rPr>
                <w:rFonts w:ascii="Verdana" w:hAnsi="Verdana"/>
                <w:sz w:val="16"/>
                <w:szCs w:val="16"/>
              </w:rPr>
            </w:pPr>
          </w:p>
          <w:p w:rsidR="00BB3CBB" w:rsidRPr="009C368A" w:rsidRDefault="00BB3CBB" w:rsidP="00551BB6">
            <w:pPr>
              <w:rPr>
                <w:rFonts w:ascii="Verdana" w:hAnsi="Verdana"/>
                <w:color w:val="FF0000"/>
                <w:sz w:val="16"/>
                <w:szCs w:val="16"/>
              </w:rPr>
            </w:pPr>
          </w:p>
        </w:tc>
      </w:tr>
      <w:tr w:rsidR="00343036" w:rsidRPr="00937249" w:rsidTr="001647DF">
        <w:tc>
          <w:tcPr>
            <w:tcW w:w="3047" w:type="dxa"/>
          </w:tcPr>
          <w:p w:rsidR="00343036" w:rsidRPr="009C368A" w:rsidRDefault="00343036" w:rsidP="001647DF">
            <w:pPr>
              <w:rPr>
                <w:rFonts w:ascii="Verdana" w:hAnsi="Verdana"/>
                <w:b/>
                <w:sz w:val="16"/>
                <w:szCs w:val="16"/>
              </w:rPr>
            </w:pPr>
            <w:r w:rsidRPr="009C368A">
              <w:rPr>
                <w:rFonts w:ascii="Verdana" w:hAnsi="Verdana"/>
                <w:b/>
                <w:sz w:val="16"/>
                <w:szCs w:val="16"/>
              </w:rPr>
              <w:lastRenderedPageBreak/>
              <w:t>Justice</w:t>
            </w:r>
          </w:p>
          <w:p w:rsidR="00343036" w:rsidRPr="00CD3DB7" w:rsidRDefault="00343036" w:rsidP="00A76FAF">
            <w:pPr>
              <w:pStyle w:val="ListParagraph"/>
              <w:numPr>
                <w:ilvl w:val="0"/>
                <w:numId w:val="38"/>
              </w:numPr>
              <w:spacing w:after="0" w:line="240" w:lineRule="auto"/>
              <w:rPr>
                <w:sz w:val="16"/>
                <w:szCs w:val="16"/>
              </w:rPr>
            </w:pPr>
            <w:r w:rsidRPr="009C368A">
              <w:rPr>
                <w:sz w:val="16"/>
                <w:szCs w:val="16"/>
              </w:rPr>
              <w:t xml:space="preserve">Dispute Settlement Centre of Victoria </w:t>
            </w:r>
            <w:r w:rsidR="0024743E">
              <w:rPr>
                <w:sz w:val="16"/>
                <w:szCs w:val="16"/>
              </w:rPr>
              <w:t>(DSCV)</w:t>
            </w:r>
          </w:p>
        </w:tc>
        <w:tc>
          <w:tcPr>
            <w:tcW w:w="6451" w:type="dxa"/>
          </w:tcPr>
          <w:p w:rsidR="00343036" w:rsidRPr="009C368A" w:rsidRDefault="0024743E" w:rsidP="0024743E">
            <w:pPr>
              <w:rPr>
                <w:rFonts w:ascii="Verdana" w:hAnsi="Verdana"/>
                <w:sz w:val="16"/>
                <w:szCs w:val="16"/>
              </w:rPr>
            </w:pPr>
            <w:r>
              <w:rPr>
                <w:rFonts w:ascii="Verdana" w:hAnsi="Verdana"/>
                <w:sz w:val="16"/>
                <w:szCs w:val="16"/>
              </w:rPr>
              <w:t>DSCV expects prescription under the CIS Scheme to lead to a moderate increase in information sharing activity</w:t>
            </w:r>
            <w:r w:rsidR="002741C7">
              <w:rPr>
                <w:rFonts w:ascii="Verdana" w:hAnsi="Verdana"/>
                <w:sz w:val="16"/>
                <w:szCs w:val="16"/>
              </w:rPr>
              <w:t>.</w:t>
            </w:r>
          </w:p>
        </w:tc>
        <w:tc>
          <w:tcPr>
            <w:tcW w:w="4961" w:type="dxa"/>
          </w:tcPr>
          <w:p w:rsidR="00343036" w:rsidRPr="009C368A" w:rsidRDefault="00F12B03" w:rsidP="00C34C90">
            <w:pPr>
              <w:rPr>
                <w:rFonts w:ascii="Verdana" w:hAnsi="Verdana"/>
                <w:sz w:val="16"/>
                <w:szCs w:val="16"/>
              </w:rPr>
            </w:pPr>
            <w:r>
              <w:rPr>
                <w:rFonts w:ascii="Verdana" w:hAnsi="Verdana"/>
                <w:sz w:val="16"/>
                <w:szCs w:val="16"/>
              </w:rPr>
              <w:t>DSCV</w:t>
            </w:r>
            <w:r w:rsidR="00551BB6" w:rsidRPr="009C368A">
              <w:rPr>
                <w:rFonts w:ascii="Verdana" w:hAnsi="Verdana"/>
                <w:sz w:val="16"/>
                <w:szCs w:val="16"/>
              </w:rPr>
              <w:t xml:space="preserve"> has good record keeping policies and procedures in place, and these </w:t>
            </w:r>
            <w:r w:rsidR="00C34C90" w:rsidRPr="00CD3DB7">
              <w:rPr>
                <w:rFonts w:ascii="Verdana" w:hAnsi="Verdana"/>
                <w:sz w:val="16"/>
                <w:szCs w:val="16"/>
              </w:rPr>
              <w:t>must</w:t>
            </w:r>
            <w:r w:rsidR="00551BB6" w:rsidRPr="008465E4">
              <w:rPr>
                <w:rFonts w:ascii="Verdana" w:hAnsi="Verdana"/>
                <w:sz w:val="16"/>
                <w:szCs w:val="16"/>
              </w:rPr>
              <w:t xml:space="preserve"> be adapted to information sh</w:t>
            </w:r>
            <w:r w:rsidR="00804743">
              <w:rPr>
                <w:rFonts w:ascii="Verdana" w:hAnsi="Verdana"/>
                <w:sz w:val="16"/>
                <w:szCs w:val="16"/>
              </w:rPr>
              <w:t>a</w:t>
            </w:r>
            <w:r w:rsidR="00551BB6" w:rsidRPr="008465E4">
              <w:rPr>
                <w:rFonts w:ascii="Verdana" w:hAnsi="Verdana"/>
                <w:sz w:val="16"/>
                <w:szCs w:val="16"/>
              </w:rPr>
              <w:t>ring under the CIS Scheme</w:t>
            </w:r>
            <w:r w:rsidR="00C34C90" w:rsidRPr="00FE6EA6">
              <w:rPr>
                <w:rFonts w:ascii="Verdana" w:hAnsi="Verdana"/>
                <w:sz w:val="16"/>
                <w:szCs w:val="16"/>
              </w:rPr>
              <w:t xml:space="preserve"> (currently, </w:t>
            </w:r>
            <w:r w:rsidR="00551BB6" w:rsidRPr="00FE6EA6">
              <w:rPr>
                <w:rFonts w:ascii="Verdana" w:hAnsi="Verdana"/>
                <w:sz w:val="16"/>
                <w:szCs w:val="16"/>
              </w:rPr>
              <w:t xml:space="preserve">most of their records </w:t>
            </w:r>
            <w:r w:rsidR="00C34C90" w:rsidRPr="005950D4">
              <w:rPr>
                <w:rFonts w:ascii="Verdana" w:hAnsi="Verdana"/>
                <w:sz w:val="16"/>
                <w:szCs w:val="16"/>
              </w:rPr>
              <w:t>are not</w:t>
            </w:r>
            <w:r w:rsidR="00551BB6" w:rsidRPr="00283DC8">
              <w:rPr>
                <w:rFonts w:ascii="Verdana" w:hAnsi="Verdana"/>
                <w:sz w:val="16"/>
                <w:szCs w:val="16"/>
              </w:rPr>
              <w:t xml:space="preserve"> shared due to privacy</w:t>
            </w:r>
            <w:r w:rsidR="00C34C90" w:rsidRPr="00043242">
              <w:rPr>
                <w:rFonts w:ascii="Verdana" w:hAnsi="Verdana"/>
                <w:sz w:val="16"/>
                <w:szCs w:val="16"/>
              </w:rPr>
              <w:t xml:space="preserve"> considerations)</w:t>
            </w:r>
            <w:r w:rsidR="00551BB6" w:rsidRPr="009C368A">
              <w:rPr>
                <w:rFonts w:ascii="Verdana" w:hAnsi="Verdana"/>
                <w:sz w:val="16"/>
                <w:szCs w:val="16"/>
              </w:rPr>
              <w:t xml:space="preserve">. </w:t>
            </w:r>
          </w:p>
        </w:tc>
      </w:tr>
      <w:tr w:rsidR="00343036" w:rsidRPr="00937249" w:rsidTr="001647DF">
        <w:tc>
          <w:tcPr>
            <w:tcW w:w="3047" w:type="dxa"/>
          </w:tcPr>
          <w:p w:rsidR="00343036" w:rsidRPr="00937249" w:rsidRDefault="00343036" w:rsidP="001647DF">
            <w:pPr>
              <w:rPr>
                <w:rFonts w:ascii="Verdana" w:hAnsi="Verdana"/>
                <w:b/>
                <w:sz w:val="16"/>
                <w:szCs w:val="16"/>
              </w:rPr>
            </w:pPr>
          </w:p>
        </w:tc>
        <w:tc>
          <w:tcPr>
            <w:tcW w:w="6451" w:type="dxa"/>
          </w:tcPr>
          <w:p w:rsidR="00343036" w:rsidRPr="00937249" w:rsidRDefault="00343036" w:rsidP="001647DF">
            <w:pPr>
              <w:rPr>
                <w:rFonts w:ascii="Verdana" w:hAnsi="Verdana"/>
                <w:color w:val="FF0000"/>
                <w:sz w:val="16"/>
                <w:szCs w:val="16"/>
              </w:rPr>
            </w:pPr>
          </w:p>
        </w:tc>
        <w:tc>
          <w:tcPr>
            <w:tcW w:w="4961" w:type="dxa"/>
          </w:tcPr>
          <w:p w:rsidR="00343036" w:rsidRPr="00937249" w:rsidRDefault="00343036" w:rsidP="001647DF">
            <w:pPr>
              <w:rPr>
                <w:rFonts w:ascii="Verdana" w:hAnsi="Verdana"/>
                <w:color w:val="FF0000"/>
                <w:sz w:val="16"/>
                <w:szCs w:val="16"/>
              </w:rPr>
            </w:pPr>
          </w:p>
        </w:tc>
      </w:tr>
    </w:tbl>
    <w:p w:rsidR="000F6AD9" w:rsidRDefault="000F6AD9" w:rsidP="00954540">
      <w:pPr>
        <w:pStyle w:val="WOVGbody"/>
        <w:sectPr w:rsidR="000F6AD9" w:rsidSect="007228D3">
          <w:pgSz w:w="16838" w:h="11906" w:orient="landscape"/>
          <w:pgMar w:top="1304" w:right="1701" w:bottom="1304" w:left="1134" w:header="454" w:footer="510" w:gutter="0"/>
          <w:cols w:space="720"/>
          <w:docGrid w:linePitch="360"/>
        </w:sectPr>
      </w:pPr>
    </w:p>
    <w:p w:rsidR="00A95AA1" w:rsidRPr="00D94ADF" w:rsidRDefault="00DD74F9" w:rsidP="00E17645">
      <w:pPr>
        <w:pStyle w:val="Heading2"/>
        <w:rPr>
          <w:rFonts w:ascii="Verdana" w:hAnsi="Verdana"/>
        </w:rPr>
      </w:pPr>
      <w:bookmarkStart w:id="37" w:name="_Toc23510781"/>
      <w:r w:rsidRPr="00D94ADF">
        <w:rPr>
          <w:rFonts w:ascii="Verdana" w:hAnsi="Verdana"/>
        </w:rPr>
        <w:lastRenderedPageBreak/>
        <w:t xml:space="preserve">Direct </w:t>
      </w:r>
      <w:r w:rsidR="00BF143A" w:rsidRPr="00D94ADF">
        <w:rPr>
          <w:rFonts w:ascii="Verdana" w:hAnsi="Verdana"/>
        </w:rPr>
        <w:t xml:space="preserve">Costs to </w:t>
      </w:r>
      <w:r w:rsidR="00C8281E" w:rsidRPr="00D94ADF">
        <w:rPr>
          <w:rFonts w:ascii="Verdana" w:hAnsi="Verdana"/>
        </w:rPr>
        <w:t>G</w:t>
      </w:r>
      <w:r w:rsidR="00BF143A" w:rsidRPr="00D94ADF">
        <w:rPr>
          <w:rFonts w:ascii="Verdana" w:hAnsi="Verdana"/>
        </w:rPr>
        <w:t>overnment</w:t>
      </w:r>
      <w:bookmarkEnd w:id="37"/>
    </w:p>
    <w:p w:rsidR="000444D2" w:rsidRDefault="000444D2" w:rsidP="000444D2">
      <w:pPr>
        <w:pStyle w:val="WOVGbody"/>
        <w:rPr>
          <w:rFonts w:ascii="Verdana" w:hAnsi="Verdana"/>
        </w:rPr>
      </w:pPr>
      <w:r>
        <w:rPr>
          <w:rFonts w:ascii="Verdana" w:hAnsi="Verdana"/>
        </w:rPr>
        <w:t>The 2018-2022 State Budget allocated $42.9 million over four years, and ongoing funding of $5.2 million per year, to the implementation of the CIS Scheme. This funding was distributed to DET, DHHS, DJCS, FSV, Victoria Police and Court Service</w:t>
      </w:r>
      <w:r w:rsidR="00F12B03">
        <w:rPr>
          <w:rFonts w:ascii="Verdana" w:hAnsi="Verdana"/>
        </w:rPr>
        <w:t>s Victoria as the agencies and d</w:t>
      </w:r>
      <w:r>
        <w:rPr>
          <w:rFonts w:ascii="Verdana" w:hAnsi="Verdana"/>
        </w:rPr>
        <w:t>epartments responsible for Phase One and Phase Two implementation of the scheme.</w:t>
      </w:r>
    </w:p>
    <w:p w:rsidR="000444D2" w:rsidRDefault="000444D2" w:rsidP="000444D2">
      <w:pPr>
        <w:pStyle w:val="WOVGbody"/>
        <w:rPr>
          <w:rFonts w:ascii="Verdana" w:hAnsi="Verdana"/>
        </w:rPr>
      </w:pPr>
      <w:r>
        <w:rPr>
          <w:rFonts w:ascii="Verdana" w:hAnsi="Verdana"/>
        </w:rPr>
        <w:t>The direct</w:t>
      </w:r>
      <w:r w:rsidRPr="00A33DAC">
        <w:rPr>
          <w:rFonts w:ascii="Verdana" w:hAnsi="Verdana"/>
        </w:rPr>
        <w:t xml:space="preserve"> costs to government of implementing </w:t>
      </w:r>
      <w:r>
        <w:rPr>
          <w:rFonts w:ascii="Verdana" w:hAnsi="Verdana"/>
        </w:rPr>
        <w:t xml:space="preserve">Phase Two </w:t>
      </w:r>
      <w:r w:rsidR="00F12B03">
        <w:rPr>
          <w:rFonts w:ascii="Verdana" w:hAnsi="Verdana"/>
        </w:rPr>
        <w:t xml:space="preserve">of </w:t>
      </w:r>
      <w:r w:rsidRPr="00A33DAC">
        <w:rPr>
          <w:rFonts w:ascii="Verdana" w:hAnsi="Verdana"/>
        </w:rPr>
        <w:t xml:space="preserve">the CIS Scheme, as presented below, represent </w:t>
      </w:r>
      <w:r>
        <w:rPr>
          <w:rFonts w:ascii="Verdana" w:hAnsi="Verdana"/>
        </w:rPr>
        <w:t>direct government costs</w:t>
      </w:r>
      <w:r w:rsidRPr="00A33DAC">
        <w:rPr>
          <w:rFonts w:ascii="Verdana" w:hAnsi="Verdana"/>
        </w:rPr>
        <w:t xml:space="preserve"> </w:t>
      </w:r>
      <w:r>
        <w:rPr>
          <w:rFonts w:ascii="Verdana" w:hAnsi="Verdana"/>
        </w:rPr>
        <w:t xml:space="preserve">from the 2019-20 financial year (FY) onwards. Although some funding will be allocated to training and support of Phase One workforces in the period, the </w:t>
      </w:r>
      <w:r w:rsidR="00721757">
        <w:rPr>
          <w:rFonts w:ascii="Verdana" w:hAnsi="Verdana"/>
        </w:rPr>
        <w:t>larger part</w:t>
      </w:r>
      <w:r>
        <w:rPr>
          <w:rFonts w:ascii="Verdana" w:hAnsi="Verdana"/>
        </w:rPr>
        <w:t xml:space="preserve"> of costs incurred from 2019-20 FY onwards will be related to Phase Two implementation of the scheme</w:t>
      </w:r>
      <w:r w:rsidRPr="00A33DAC">
        <w:rPr>
          <w:rFonts w:ascii="Verdana" w:hAnsi="Verdana"/>
        </w:rPr>
        <w:t>.</w:t>
      </w:r>
    </w:p>
    <w:p w:rsidR="000444D2" w:rsidRDefault="000444D2" w:rsidP="000444D2">
      <w:pPr>
        <w:pStyle w:val="WOVGbody"/>
        <w:rPr>
          <w:rFonts w:ascii="Verdana" w:hAnsi="Verdana"/>
        </w:rPr>
      </w:pPr>
      <w:r>
        <w:rPr>
          <w:rFonts w:ascii="Verdana" w:hAnsi="Verdana"/>
        </w:rPr>
        <w:t>The costs presented below include funding allocated to DET, DHHS and</w:t>
      </w:r>
      <w:r w:rsidR="00F12B03">
        <w:rPr>
          <w:rFonts w:ascii="Verdana" w:hAnsi="Verdana"/>
        </w:rPr>
        <w:t xml:space="preserve"> DJCS as the d</w:t>
      </w:r>
      <w:r>
        <w:rPr>
          <w:rFonts w:ascii="Verdana" w:hAnsi="Verdana"/>
        </w:rPr>
        <w:t xml:space="preserve">epartments that represent workforces proposed for prescription in Phase Two of the CIS Scheme. In all, the </w:t>
      </w:r>
      <w:r w:rsidRPr="00A33DAC">
        <w:rPr>
          <w:rFonts w:ascii="Verdana" w:hAnsi="Verdana"/>
        </w:rPr>
        <w:t xml:space="preserve">Victorian Government </w:t>
      </w:r>
      <w:r>
        <w:rPr>
          <w:rFonts w:ascii="Verdana" w:hAnsi="Verdana"/>
        </w:rPr>
        <w:t>has a</w:t>
      </w:r>
      <w:r w:rsidRPr="00A33DAC">
        <w:rPr>
          <w:rFonts w:ascii="Verdana" w:hAnsi="Verdana"/>
        </w:rPr>
        <w:t xml:space="preserve">llocated </w:t>
      </w:r>
      <w:r>
        <w:rPr>
          <w:rFonts w:ascii="Verdana" w:hAnsi="Verdana"/>
        </w:rPr>
        <w:t>$21.8</w:t>
      </w:r>
      <w:r w:rsidRPr="00A33DAC">
        <w:rPr>
          <w:rFonts w:ascii="Verdana" w:hAnsi="Verdana"/>
        </w:rPr>
        <w:t xml:space="preserve"> </w:t>
      </w:r>
      <w:r>
        <w:rPr>
          <w:rFonts w:ascii="Verdana" w:hAnsi="Verdana"/>
        </w:rPr>
        <w:t>million over three</w:t>
      </w:r>
      <w:r w:rsidRPr="00A33DAC">
        <w:rPr>
          <w:rFonts w:ascii="Verdana" w:hAnsi="Verdana"/>
        </w:rPr>
        <w:t xml:space="preserve"> years,</w:t>
      </w:r>
      <w:r>
        <w:rPr>
          <w:rFonts w:ascii="Verdana" w:hAnsi="Verdana"/>
        </w:rPr>
        <w:t xml:space="preserve"> from FY 2019-20 and ongoing funding of $2.8</w:t>
      </w:r>
      <w:r w:rsidRPr="00A33DAC">
        <w:rPr>
          <w:rFonts w:ascii="Verdana" w:hAnsi="Verdana"/>
        </w:rPr>
        <w:t xml:space="preserve"> million per annum, to </w:t>
      </w:r>
      <w:r>
        <w:rPr>
          <w:rFonts w:ascii="Verdana" w:hAnsi="Verdana"/>
        </w:rPr>
        <w:t xml:space="preserve">support Phase Two </w:t>
      </w:r>
      <w:r w:rsidRPr="00A33DAC">
        <w:rPr>
          <w:rFonts w:ascii="Verdana" w:hAnsi="Verdana"/>
        </w:rPr>
        <w:t>implementation of the CIS scheme</w:t>
      </w:r>
      <w:r>
        <w:rPr>
          <w:rFonts w:ascii="Verdana" w:hAnsi="Verdana"/>
        </w:rPr>
        <w:t>.</w:t>
      </w:r>
    </w:p>
    <w:p w:rsidR="00907C97" w:rsidRPr="00D94ADF" w:rsidRDefault="00907C97" w:rsidP="00E17645">
      <w:pPr>
        <w:pStyle w:val="Heading3"/>
        <w:rPr>
          <w:rFonts w:ascii="Verdana" w:hAnsi="Verdana"/>
        </w:rPr>
      </w:pPr>
      <w:r w:rsidRPr="00D94ADF">
        <w:rPr>
          <w:rFonts w:ascii="Verdana" w:hAnsi="Verdana"/>
        </w:rPr>
        <w:t>Whole of government implementation</w:t>
      </w:r>
    </w:p>
    <w:p w:rsidR="00907C97" w:rsidRDefault="00907C97" w:rsidP="00907C97">
      <w:pPr>
        <w:pStyle w:val="WOVGbody"/>
        <w:rPr>
          <w:rFonts w:ascii="Verdana" w:hAnsi="Verdana"/>
        </w:rPr>
      </w:pPr>
      <w:r>
        <w:rPr>
          <w:rFonts w:ascii="Verdana" w:hAnsi="Verdana"/>
        </w:rPr>
        <w:t>In order t</w:t>
      </w:r>
      <w:r w:rsidR="00587EDD">
        <w:rPr>
          <w:rFonts w:ascii="Verdana" w:hAnsi="Verdana"/>
        </w:rPr>
        <w:t xml:space="preserve">o ensure effective </w:t>
      </w:r>
      <w:r w:rsidRPr="00907C97">
        <w:rPr>
          <w:rFonts w:ascii="Verdana" w:hAnsi="Verdana"/>
        </w:rPr>
        <w:t>implementation of the CIS Scheme, funding has been allocated to support a whole of Victorian Government unit that provide</w:t>
      </w:r>
      <w:r w:rsidR="00C8281E">
        <w:rPr>
          <w:rFonts w:ascii="Verdana" w:hAnsi="Verdana"/>
        </w:rPr>
        <w:t>s</w:t>
      </w:r>
      <w:r w:rsidRPr="00907C97">
        <w:rPr>
          <w:rFonts w:ascii="Verdana" w:hAnsi="Verdana"/>
        </w:rPr>
        <w:t xml:space="preserve"> overarching policy </w:t>
      </w:r>
      <w:r w:rsidR="00587EDD">
        <w:rPr>
          <w:rFonts w:ascii="Verdana" w:hAnsi="Verdana"/>
        </w:rPr>
        <w:t>and governance support, lead</w:t>
      </w:r>
      <w:r w:rsidR="008549B5">
        <w:rPr>
          <w:rFonts w:ascii="Verdana" w:hAnsi="Verdana"/>
        </w:rPr>
        <w:t>s</w:t>
      </w:r>
      <w:r w:rsidRPr="00907C97">
        <w:rPr>
          <w:rFonts w:ascii="Verdana" w:hAnsi="Verdana"/>
        </w:rPr>
        <w:t xml:space="preserve"> development of guidelines and regulations, manage</w:t>
      </w:r>
      <w:r w:rsidR="008549B5">
        <w:rPr>
          <w:rFonts w:ascii="Verdana" w:hAnsi="Verdana"/>
        </w:rPr>
        <w:t>s</w:t>
      </w:r>
      <w:r w:rsidRPr="00907C97">
        <w:rPr>
          <w:rFonts w:ascii="Verdana" w:hAnsi="Verdana"/>
        </w:rPr>
        <w:t xml:space="preserve"> communications a</w:t>
      </w:r>
      <w:r w:rsidR="00587EDD">
        <w:rPr>
          <w:rFonts w:ascii="Verdana" w:hAnsi="Verdana"/>
        </w:rPr>
        <w:t>cross sectors and to the public</w:t>
      </w:r>
      <w:r w:rsidRPr="00907C97">
        <w:rPr>
          <w:rFonts w:ascii="Verdana" w:hAnsi="Verdana"/>
        </w:rPr>
        <w:t>, manage</w:t>
      </w:r>
      <w:r w:rsidR="008549B5">
        <w:rPr>
          <w:rFonts w:ascii="Verdana" w:hAnsi="Verdana"/>
        </w:rPr>
        <w:t>s</w:t>
      </w:r>
      <w:r w:rsidRPr="00907C97">
        <w:rPr>
          <w:rFonts w:ascii="Verdana" w:hAnsi="Verdana"/>
        </w:rPr>
        <w:t xml:space="preserve"> on</w:t>
      </w:r>
      <w:r w:rsidR="00587EDD">
        <w:rPr>
          <w:rFonts w:ascii="Verdana" w:hAnsi="Verdana"/>
        </w:rPr>
        <w:t>going stakeholder consultation and</w:t>
      </w:r>
      <w:r w:rsidRPr="00907C97">
        <w:rPr>
          <w:rFonts w:ascii="Verdana" w:hAnsi="Verdana"/>
        </w:rPr>
        <w:t xml:space="preserve"> key enabling projects. This unit also ensure</w:t>
      </w:r>
      <w:r w:rsidR="00C8281E">
        <w:rPr>
          <w:rFonts w:ascii="Verdana" w:hAnsi="Verdana"/>
        </w:rPr>
        <w:t>s</w:t>
      </w:r>
      <w:r w:rsidR="008549B5">
        <w:rPr>
          <w:rFonts w:ascii="Verdana" w:hAnsi="Verdana"/>
        </w:rPr>
        <w:t xml:space="preserve"> the independent two and five-</w:t>
      </w:r>
      <w:r w:rsidRPr="00907C97">
        <w:rPr>
          <w:rFonts w:ascii="Verdana" w:hAnsi="Verdana"/>
        </w:rPr>
        <w:t>year reviews of the CIS Scheme are undertaken to the highest standard.</w:t>
      </w:r>
    </w:p>
    <w:p w:rsidR="00907C97" w:rsidRPr="0063467C" w:rsidRDefault="001A0E9C" w:rsidP="00907C97">
      <w:pPr>
        <w:pStyle w:val="WOVGbody"/>
        <w:rPr>
          <w:rFonts w:ascii="Verdana" w:hAnsi="Verdana"/>
          <w:b/>
        </w:rPr>
      </w:pPr>
      <w:r>
        <w:rPr>
          <w:rFonts w:ascii="Verdana" w:hAnsi="Verdana"/>
          <w:b/>
        </w:rPr>
        <w:t>Table 6.10</w:t>
      </w:r>
      <w:r w:rsidR="006641FF" w:rsidRPr="0063467C">
        <w:rPr>
          <w:rFonts w:ascii="Verdana" w:hAnsi="Verdana"/>
          <w:b/>
        </w:rPr>
        <w:t xml:space="preserve"> </w:t>
      </w:r>
      <w:r w:rsidR="00907C97" w:rsidRPr="0063467C">
        <w:rPr>
          <w:rFonts w:ascii="Verdana" w:hAnsi="Verdana"/>
          <w:b/>
        </w:rPr>
        <w:t>Direct costs to government - Whole of government implementation</w:t>
      </w:r>
    </w:p>
    <w:tbl>
      <w:tblPr>
        <w:tblStyle w:val="TableGrid"/>
        <w:tblW w:w="9406" w:type="dxa"/>
        <w:tblLook w:val="06A0" w:firstRow="1" w:lastRow="0" w:firstColumn="1" w:lastColumn="0" w:noHBand="1" w:noVBand="1"/>
      </w:tblPr>
      <w:tblGrid>
        <w:gridCol w:w="2127"/>
        <w:gridCol w:w="1262"/>
        <w:gridCol w:w="2084"/>
        <w:gridCol w:w="2168"/>
        <w:gridCol w:w="1765"/>
      </w:tblGrid>
      <w:tr w:rsidR="00907C97" w:rsidRPr="00B309AB" w:rsidTr="008549B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rsidR="00907C97" w:rsidRPr="00B309AB" w:rsidRDefault="00907C97" w:rsidP="00303CED">
            <w:pPr>
              <w:pStyle w:val="WOVGtablecolhead"/>
              <w:rPr>
                <w:rFonts w:ascii="Verdana" w:hAnsi="Verdana"/>
              </w:rPr>
            </w:pPr>
          </w:p>
        </w:tc>
        <w:tc>
          <w:tcPr>
            <w:tcW w:w="1262" w:type="dxa"/>
          </w:tcPr>
          <w:p w:rsidR="00907C97" w:rsidRPr="004D1050"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2019/20</w:t>
            </w:r>
          </w:p>
        </w:tc>
        <w:tc>
          <w:tcPr>
            <w:tcW w:w="2084" w:type="dxa"/>
          </w:tcPr>
          <w:p w:rsidR="00907C97"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2020/21</w:t>
            </w:r>
          </w:p>
        </w:tc>
        <w:tc>
          <w:tcPr>
            <w:tcW w:w="2168" w:type="dxa"/>
          </w:tcPr>
          <w:p w:rsidR="00907C97"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2021/22</w:t>
            </w:r>
          </w:p>
        </w:tc>
        <w:tc>
          <w:tcPr>
            <w:tcW w:w="1765" w:type="dxa"/>
          </w:tcPr>
          <w:p w:rsidR="00907C97"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Ongoing</w:t>
            </w:r>
          </w:p>
        </w:tc>
      </w:tr>
      <w:tr w:rsidR="00907C97" w:rsidRPr="00B309AB" w:rsidTr="00756644">
        <w:trPr>
          <w:trHeight w:val="449"/>
        </w:trPr>
        <w:tc>
          <w:tcPr>
            <w:cnfStyle w:val="001000000000" w:firstRow="0" w:lastRow="0" w:firstColumn="1" w:lastColumn="0" w:oddVBand="0" w:evenVBand="0" w:oddHBand="0" w:evenHBand="0" w:firstRowFirstColumn="0" w:firstRowLastColumn="0" w:lastRowFirstColumn="0" w:lastRowLastColumn="0"/>
            <w:tcW w:w="2127" w:type="dxa"/>
            <w:hideMark/>
          </w:tcPr>
          <w:p w:rsidR="00756644" w:rsidRDefault="00756644" w:rsidP="00756644">
            <w:pPr>
              <w:pStyle w:val="WOVGtabletext"/>
              <w:rPr>
                <w:rFonts w:ascii="Verdana" w:hAnsi="Verdana"/>
              </w:rPr>
            </w:pPr>
          </w:p>
          <w:p w:rsidR="00907C97" w:rsidRPr="00B309AB" w:rsidRDefault="00907C97" w:rsidP="00756644">
            <w:pPr>
              <w:pStyle w:val="WOVGtabletext"/>
              <w:rPr>
                <w:rFonts w:ascii="Verdana" w:hAnsi="Verdana"/>
              </w:rPr>
            </w:pPr>
            <w:r>
              <w:rPr>
                <w:rFonts w:ascii="Verdana" w:hAnsi="Verdana"/>
              </w:rPr>
              <w:t xml:space="preserve">WoVG </w:t>
            </w:r>
            <w:r w:rsidR="00756644">
              <w:rPr>
                <w:rFonts w:ascii="Verdana" w:hAnsi="Verdana"/>
              </w:rPr>
              <w:t>costs</w:t>
            </w:r>
          </w:p>
        </w:tc>
        <w:tc>
          <w:tcPr>
            <w:tcW w:w="1262" w:type="dxa"/>
            <w:vAlign w:val="bottom"/>
            <w:hideMark/>
          </w:tcPr>
          <w:p w:rsidR="00907C97" w:rsidRPr="00B309AB" w:rsidRDefault="00907C97" w:rsidP="008549B5">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r w:rsidR="00C8281E">
              <w:rPr>
                <w:rFonts w:ascii="Verdana" w:hAnsi="Verdana"/>
              </w:rPr>
              <w:t>89</w:t>
            </w:r>
            <w:r>
              <w:rPr>
                <w:rFonts w:ascii="Verdana" w:hAnsi="Verdana"/>
              </w:rPr>
              <w:t>M</w:t>
            </w:r>
          </w:p>
        </w:tc>
        <w:tc>
          <w:tcPr>
            <w:tcW w:w="2084" w:type="dxa"/>
            <w:hideMark/>
          </w:tcPr>
          <w:p w:rsidR="00907C97" w:rsidRDefault="00907C97" w:rsidP="008549B5">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907C97" w:rsidRPr="00B309AB" w:rsidRDefault="00907C97" w:rsidP="008549B5">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r w:rsidR="00C8281E">
              <w:rPr>
                <w:rFonts w:ascii="Verdana" w:hAnsi="Verdana"/>
              </w:rPr>
              <w:t>26</w:t>
            </w:r>
            <w:r>
              <w:rPr>
                <w:rFonts w:ascii="Verdana" w:hAnsi="Verdana"/>
              </w:rPr>
              <w:t>M</w:t>
            </w:r>
          </w:p>
        </w:tc>
        <w:tc>
          <w:tcPr>
            <w:tcW w:w="2168" w:type="dxa"/>
            <w:hideMark/>
          </w:tcPr>
          <w:p w:rsidR="00907C97" w:rsidRDefault="00907C97" w:rsidP="008549B5">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907C97" w:rsidRPr="00B309AB" w:rsidRDefault="00907C97" w:rsidP="008549B5">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w:t>
            </w:r>
            <w:r w:rsidR="00C8281E">
              <w:rPr>
                <w:rFonts w:ascii="Verdana" w:hAnsi="Verdana"/>
              </w:rPr>
              <w:t>29</w:t>
            </w:r>
            <w:r>
              <w:rPr>
                <w:rFonts w:ascii="Verdana" w:hAnsi="Verdana"/>
              </w:rPr>
              <w:t>M</w:t>
            </w:r>
          </w:p>
        </w:tc>
        <w:tc>
          <w:tcPr>
            <w:tcW w:w="1765" w:type="dxa"/>
          </w:tcPr>
          <w:p w:rsidR="00907C97" w:rsidRDefault="00907C97" w:rsidP="008549B5">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907C97" w:rsidRPr="00B309AB" w:rsidRDefault="00907C97" w:rsidP="008549B5">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$0.2</w:t>
            </w:r>
            <w:r w:rsidR="00C8281E">
              <w:rPr>
                <w:rFonts w:ascii="Verdana" w:hAnsi="Verdana"/>
              </w:rPr>
              <w:t>3</w:t>
            </w:r>
            <w:r>
              <w:rPr>
                <w:rFonts w:ascii="Verdana" w:hAnsi="Verdana"/>
              </w:rPr>
              <w:t>M</w:t>
            </w:r>
          </w:p>
        </w:tc>
      </w:tr>
    </w:tbl>
    <w:p w:rsidR="00A33DAC" w:rsidRPr="00D94ADF" w:rsidRDefault="00907C97" w:rsidP="00E17645">
      <w:pPr>
        <w:pStyle w:val="Heading3"/>
        <w:rPr>
          <w:rFonts w:ascii="Verdana" w:hAnsi="Verdana"/>
        </w:rPr>
      </w:pPr>
      <w:r w:rsidRPr="00D94ADF">
        <w:rPr>
          <w:rFonts w:ascii="Verdana" w:hAnsi="Verdana"/>
        </w:rPr>
        <w:t>Sector support</w:t>
      </w:r>
    </w:p>
    <w:p w:rsidR="00907C97" w:rsidRPr="00907C97" w:rsidRDefault="00907C97" w:rsidP="00907C97">
      <w:pPr>
        <w:pStyle w:val="WOVGbody"/>
        <w:rPr>
          <w:rFonts w:ascii="Verdana" w:hAnsi="Verdana"/>
        </w:rPr>
      </w:pPr>
      <w:r w:rsidRPr="00907C97">
        <w:rPr>
          <w:rFonts w:ascii="Verdana" w:hAnsi="Verdana"/>
        </w:rPr>
        <w:t>In addition to the above</w:t>
      </w:r>
      <w:r w:rsidR="008549B5">
        <w:rPr>
          <w:rFonts w:ascii="Verdana" w:hAnsi="Verdana"/>
        </w:rPr>
        <w:t xml:space="preserve"> </w:t>
      </w:r>
      <w:r w:rsidRPr="00907C97">
        <w:rPr>
          <w:rFonts w:ascii="Verdana" w:hAnsi="Verdana"/>
        </w:rPr>
        <w:t xml:space="preserve">mentioned whole of government implementation activities, government </w:t>
      </w:r>
      <w:r w:rsidR="008549B5">
        <w:rPr>
          <w:rFonts w:ascii="Verdana" w:hAnsi="Verdana"/>
        </w:rPr>
        <w:t>d</w:t>
      </w:r>
      <w:r w:rsidR="00587EDD">
        <w:rPr>
          <w:rFonts w:ascii="Verdana" w:hAnsi="Verdana"/>
        </w:rPr>
        <w:t xml:space="preserve">epartments </w:t>
      </w:r>
      <w:r w:rsidRPr="00907C97">
        <w:rPr>
          <w:rFonts w:ascii="Verdana" w:hAnsi="Verdana"/>
        </w:rPr>
        <w:t>need to revi</w:t>
      </w:r>
      <w:r w:rsidR="008549B5">
        <w:rPr>
          <w:rFonts w:ascii="Verdana" w:hAnsi="Verdana"/>
        </w:rPr>
        <w:t>ew and amend contracts with ISE</w:t>
      </w:r>
      <w:r w:rsidRPr="00907C97">
        <w:rPr>
          <w:rFonts w:ascii="Verdana" w:hAnsi="Verdana"/>
        </w:rPr>
        <w:t xml:space="preserve">s within the CIS Scheme where appropriate, provide input to guidelines and regulations, tailor training resources and communications materials, and engage in capacity building programs. Change management resources are needed within DET, DHHS, </w:t>
      </w:r>
      <w:r w:rsidR="00587EDD">
        <w:rPr>
          <w:rFonts w:ascii="Verdana" w:hAnsi="Verdana"/>
        </w:rPr>
        <w:t>and DJCS</w:t>
      </w:r>
      <w:r w:rsidR="006C0219">
        <w:rPr>
          <w:rFonts w:ascii="Verdana" w:hAnsi="Verdana"/>
        </w:rPr>
        <w:t xml:space="preserve"> </w:t>
      </w:r>
      <w:r w:rsidRPr="00907C97">
        <w:rPr>
          <w:rFonts w:ascii="Verdana" w:hAnsi="Verdana"/>
        </w:rPr>
        <w:t>to provide support, training and advice to frontline staff and oversee the delivery of internal workforce training.</w:t>
      </w:r>
    </w:p>
    <w:p w:rsidR="00907C97" w:rsidRDefault="00907C97" w:rsidP="00907C97">
      <w:pPr>
        <w:pStyle w:val="WOVGbody"/>
        <w:rPr>
          <w:rFonts w:ascii="Verdana" w:hAnsi="Verdana"/>
        </w:rPr>
      </w:pPr>
      <w:r w:rsidRPr="00907C97">
        <w:rPr>
          <w:rFonts w:ascii="Verdana" w:hAnsi="Verdana"/>
        </w:rPr>
        <w:t>It should be noted that there will also be a p</w:t>
      </w:r>
      <w:r w:rsidR="004615F7">
        <w:rPr>
          <w:rFonts w:ascii="Verdana" w:hAnsi="Verdana"/>
        </w:rPr>
        <w:t>otential impact on independent g</w:t>
      </w:r>
      <w:r w:rsidRPr="00907C97">
        <w:rPr>
          <w:rFonts w:ascii="Verdana" w:hAnsi="Verdana"/>
        </w:rPr>
        <w:t xml:space="preserve">overnment authorities, such as the Office of the Health Complaints Commissioner and the Office of the Victorian Information Commissioner, although these impacts </w:t>
      </w:r>
      <w:r w:rsidR="00792DC3">
        <w:rPr>
          <w:rFonts w:ascii="Verdana" w:hAnsi="Verdana"/>
        </w:rPr>
        <w:t>are not</w:t>
      </w:r>
      <w:r w:rsidRPr="00907C97">
        <w:rPr>
          <w:rFonts w:ascii="Verdana" w:hAnsi="Verdana"/>
        </w:rPr>
        <w:t xml:space="preserve"> quantified in this RIS</w:t>
      </w:r>
      <w:r>
        <w:rPr>
          <w:rFonts w:ascii="Verdana" w:hAnsi="Verdana"/>
        </w:rPr>
        <w:t>.</w:t>
      </w:r>
    </w:p>
    <w:p w:rsidR="005F5A46" w:rsidRDefault="005F5A46" w:rsidP="00907C97">
      <w:pPr>
        <w:pStyle w:val="WOVGbody"/>
        <w:rPr>
          <w:rFonts w:ascii="Verdana" w:hAnsi="Verdana"/>
        </w:rPr>
      </w:pPr>
    </w:p>
    <w:p w:rsidR="005F5A46" w:rsidRDefault="005F5A46" w:rsidP="00907C97">
      <w:pPr>
        <w:pStyle w:val="WOVGbody"/>
        <w:rPr>
          <w:rFonts w:ascii="Verdana" w:hAnsi="Verdana"/>
        </w:rPr>
      </w:pPr>
    </w:p>
    <w:p w:rsidR="005F5A46" w:rsidRDefault="005F5A46" w:rsidP="00907C97">
      <w:pPr>
        <w:pStyle w:val="WOVGbody"/>
        <w:rPr>
          <w:rFonts w:ascii="Verdana" w:hAnsi="Verdana"/>
        </w:rPr>
      </w:pPr>
    </w:p>
    <w:p w:rsidR="00CC549C" w:rsidRDefault="00CC549C" w:rsidP="00907C97">
      <w:pPr>
        <w:pStyle w:val="WOVGbody"/>
        <w:rPr>
          <w:rFonts w:ascii="Verdana" w:hAnsi="Verdana"/>
        </w:rPr>
      </w:pPr>
    </w:p>
    <w:p w:rsidR="00907C97" w:rsidRPr="0063467C" w:rsidRDefault="001A0E9C" w:rsidP="00907C97">
      <w:pPr>
        <w:pStyle w:val="WOVGbody"/>
        <w:rPr>
          <w:rFonts w:ascii="Verdana" w:hAnsi="Verdana"/>
          <w:b/>
        </w:rPr>
      </w:pPr>
      <w:r>
        <w:rPr>
          <w:rFonts w:ascii="Verdana" w:hAnsi="Verdana"/>
          <w:b/>
        </w:rPr>
        <w:lastRenderedPageBreak/>
        <w:t>Table 6.11</w:t>
      </w:r>
      <w:r w:rsidR="006641FF" w:rsidRPr="0063467C">
        <w:rPr>
          <w:rFonts w:ascii="Verdana" w:hAnsi="Verdana"/>
          <w:b/>
        </w:rPr>
        <w:t xml:space="preserve"> </w:t>
      </w:r>
      <w:r w:rsidR="004615F7">
        <w:rPr>
          <w:rFonts w:ascii="Verdana" w:hAnsi="Verdana"/>
          <w:b/>
        </w:rPr>
        <w:t>Costs to g</w:t>
      </w:r>
      <w:r w:rsidR="00907C97" w:rsidRPr="0063467C">
        <w:rPr>
          <w:rFonts w:ascii="Verdana" w:hAnsi="Verdana"/>
          <w:b/>
        </w:rPr>
        <w:t>overnment – Sector support</w:t>
      </w:r>
    </w:p>
    <w:tbl>
      <w:tblPr>
        <w:tblStyle w:val="TableGrid"/>
        <w:tblW w:w="9406" w:type="dxa"/>
        <w:tblLook w:val="06A0" w:firstRow="1" w:lastRow="0" w:firstColumn="1" w:lastColumn="0" w:noHBand="1" w:noVBand="1"/>
      </w:tblPr>
      <w:tblGrid>
        <w:gridCol w:w="1818"/>
        <w:gridCol w:w="1571"/>
        <w:gridCol w:w="2084"/>
        <w:gridCol w:w="2168"/>
        <w:gridCol w:w="1765"/>
      </w:tblGrid>
      <w:tr w:rsidR="00907C97" w:rsidRPr="00B309AB" w:rsidTr="00303C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8" w:type="dxa"/>
          </w:tcPr>
          <w:p w:rsidR="00907C97" w:rsidRPr="00B309AB" w:rsidRDefault="00907C97" w:rsidP="00303CED">
            <w:pPr>
              <w:pStyle w:val="WOVGtablecolhead"/>
              <w:rPr>
                <w:rFonts w:ascii="Verdana" w:hAnsi="Verdana"/>
              </w:rPr>
            </w:pPr>
          </w:p>
        </w:tc>
        <w:tc>
          <w:tcPr>
            <w:tcW w:w="1571" w:type="dxa"/>
          </w:tcPr>
          <w:p w:rsidR="00907C97" w:rsidRPr="004D1050"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2019/20</w:t>
            </w:r>
          </w:p>
        </w:tc>
        <w:tc>
          <w:tcPr>
            <w:tcW w:w="2084" w:type="dxa"/>
          </w:tcPr>
          <w:p w:rsidR="00907C97"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2020/21</w:t>
            </w:r>
          </w:p>
        </w:tc>
        <w:tc>
          <w:tcPr>
            <w:tcW w:w="2168" w:type="dxa"/>
          </w:tcPr>
          <w:p w:rsidR="00907C97"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2021/22</w:t>
            </w:r>
          </w:p>
        </w:tc>
        <w:tc>
          <w:tcPr>
            <w:tcW w:w="1765" w:type="dxa"/>
          </w:tcPr>
          <w:p w:rsidR="00907C97" w:rsidRDefault="00907C97"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Ongoing</w:t>
            </w:r>
          </w:p>
        </w:tc>
      </w:tr>
      <w:tr w:rsidR="00907C97" w:rsidRPr="00B309AB" w:rsidTr="008549B5">
        <w:trPr>
          <w:trHeight w:val="346"/>
        </w:trPr>
        <w:tc>
          <w:tcPr>
            <w:cnfStyle w:val="001000000000" w:firstRow="0" w:lastRow="0" w:firstColumn="1" w:lastColumn="0" w:oddVBand="0" w:evenVBand="0" w:oddHBand="0" w:evenHBand="0" w:firstRowFirstColumn="0" w:firstRowLastColumn="0" w:lastRowFirstColumn="0" w:lastRowLastColumn="0"/>
            <w:tcW w:w="1818" w:type="dxa"/>
            <w:hideMark/>
          </w:tcPr>
          <w:p w:rsidR="008549B5" w:rsidRDefault="008549B5" w:rsidP="00303CED">
            <w:pPr>
              <w:pStyle w:val="WOVGtabletext"/>
              <w:rPr>
                <w:rFonts w:ascii="Verdana" w:hAnsi="Verdana"/>
              </w:rPr>
            </w:pPr>
          </w:p>
          <w:p w:rsidR="00907C97" w:rsidRPr="00B309AB" w:rsidRDefault="00907C97" w:rsidP="00303CED">
            <w:pPr>
              <w:pStyle w:val="WOVGtabletext"/>
              <w:rPr>
                <w:rFonts w:ascii="Verdana" w:hAnsi="Verdana"/>
              </w:rPr>
            </w:pPr>
            <w:r>
              <w:rPr>
                <w:rFonts w:ascii="Verdana" w:hAnsi="Verdana"/>
              </w:rPr>
              <w:t>Sector support</w:t>
            </w:r>
          </w:p>
        </w:tc>
        <w:tc>
          <w:tcPr>
            <w:tcW w:w="1571" w:type="dxa"/>
            <w:vAlign w:val="bottom"/>
            <w:hideMark/>
          </w:tcPr>
          <w:p w:rsidR="00907C97" w:rsidRPr="00B309AB" w:rsidRDefault="00907C97" w:rsidP="008549B5">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w:t>
            </w:r>
            <w:r w:rsidR="00E30F62">
              <w:rPr>
                <w:rFonts w:ascii="Verdana" w:hAnsi="Verdana"/>
              </w:rPr>
              <w:t>2.42</w:t>
            </w:r>
            <w:r>
              <w:rPr>
                <w:rFonts w:ascii="Verdana" w:hAnsi="Verdana"/>
              </w:rPr>
              <w:t>M</w:t>
            </w:r>
          </w:p>
        </w:tc>
        <w:tc>
          <w:tcPr>
            <w:tcW w:w="2084" w:type="dxa"/>
            <w:hideMark/>
          </w:tcPr>
          <w:p w:rsidR="00907C97" w:rsidRDefault="00907C97" w:rsidP="00303CED">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907C97" w:rsidRPr="00B309AB" w:rsidRDefault="00907C97" w:rsidP="00907C97">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w:t>
            </w:r>
            <w:r w:rsidR="00E30F62">
              <w:rPr>
                <w:rFonts w:ascii="Verdana" w:hAnsi="Verdana"/>
              </w:rPr>
              <w:t>2.35</w:t>
            </w:r>
            <w:r>
              <w:rPr>
                <w:rFonts w:ascii="Verdana" w:hAnsi="Verdana"/>
              </w:rPr>
              <w:t>M</w:t>
            </w:r>
          </w:p>
        </w:tc>
        <w:tc>
          <w:tcPr>
            <w:tcW w:w="2168" w:type="dxa"/>
            <w:hideMark/>
          </w:tcPr>
          <w:p w:rsidR="00907C97" w:rsidRDefault="00907C97" w:rsidP="00303CED">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907C97" w:rsidRPr="00B309AB" w:rsidRDefault="00907C97" w:rsidP="00907C97">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w:t>
            </w:r>
            <w:r w:rsidR="00E30F62">
              <w:rPr>
                <w:rFonts w:ascii="Verdana" w:hAnsi="Verdana"/>
              </w:rPr>
              <w:t>0.56</w:t>
            </w:r>
            <w:r>
              <w:rPr>
                <w:rFonts w:ascii="Verdana" w:hAnsi="Verdana"/>
              </w:rPr>
              <w:t>M</w:t>
            </w:r>
          </w:p>
        </w:tc>
        <w:tc>
          <w:tcPr>
            <w:tcW w:w="1765" w:type="dxa"/>
          </w:tcPr>
          <w:p w:rsidR="00907C97" w:rsidRDefault="00907C97" w:rsidP="00303CED">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907C97" w:rsidRPr="00B309AB" w:rsidRDefault="00E30F62" w:rsidP="00303CED">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$0.00</w:t>
            </w:r>
            <w:r w:rsidR="00907C97">
              <w:rPr>
                <w:rFonts w:ascii="Verdana" w:hAnsi="Verdana"/>
              </w:rPr>
              <w:t>M</w:t>
            </w:r>
          </w:p>
        </w:tc>
      </w:tr>
    </w:tbl>
    <w:p w:rsidR="003D40AB" w:rsidRPr="00D94ADF" w:rsidRDefault="003D40AB" w:rsidP="00E17645">
      <w:pPr>
        <w:pStyle w:val="Heading3"/>
        <w:rPr>
          <w:rFonts w:ascii="Verdana" w:hAnsi="Verdana"/>
        </w:rPr>
      </w:pPr>
      <w:r w:rsidRPr="00D94ADF">
        <w:rPr>
          <w:rFonts w:ascii="Verdana" w:hAnsi="Verdana"/>
        </w:rPr>
        <w:t>Training</w:t>
      </w:r>
    </w:p>
    <w:p w:rsidR="00E30F62" w:rsidRPr="00E30F62" w:rsidRDefault="00E30F62" w:rsidP="00E30F62">
      <w:pPr>
        <w:pStyle w:val="WOVGbody"/>
        <w:rPr>
          <w:rFonts w:ascii="Verdana" w:hAnsi="Verdana"/>
        </w:rPr>
      </w:pPr>
      <w:r w:rsidRPr="00E30F62">
        <w:rPr>
          <w:rFonts w:ascii="Verdana" w:hAnsi="Verdana"/>
        </w:rPr>
        <w:t xml:space="preserve">Each government agency will be responsible for implementing workforce training programs, and in some cases for establishing units that will support industry in facilitating information sharing. For example, DHHS </w:t>
      </w:r>
      <w:r w:rsidR="00C8281E">
        <w:rPr>
          <w:rFonts w:ascii="Verdana" w:hAnsi="Verdana"/>
        </w:rPr>
        <w:t xml:space="preserve">has set up </w:t>
      </w:r>
      <w:r w:rsidRPr="00E30F62">
        <w:rPr>
          <w:rFonts w:ascii="Verdana" w:hAnsi="Verdana"/>
        </w:rPr>
        <w:t xml:space="preserve">a new ongoing dedicated </w:t>
      </w:r>
      <w:r w:rsidR="00C8281E">
        <w:rPr>
          <w:rFonts w:ascii="Verdana" w:hAnsi="Verdana"/>
        </w:rPr>
        <w:t xml:space="preserve">service </w:t>
      </w:r>
      <w:r w:rsidRPr="00E30F62">
        <w:rPr>
          <w:rFonts w:ascii="Verdana" w:hAnsi="Verdana"/>
        </w:rPr>
        <w:t>unit, called the DHHS Child Wellbeing Information Exchange Unit, to coordinate information sharing for its directly employed workforces.</w:t>
      </w:r>
    </w:p>
    <w:p w:rsidR="00E30F62" w:rsidRPr="00E30F62" w:rsidRDefault="00E30F62" w:rsidP="00E30F62">
      <w:pPr>
        <w:pStyle w:val="WOVGbody"/>
        <w:rPr>
          <w:rFonts w:ascii="Verdana" w:hAnsi="Verdana"/>
        </w:rPr>
      </w:pPr>
      <w:r w:rsidRPr="00651C77">
        <w:rPr>
          <w:rFonts w:ascii="Verdana" w:hAnsi="Verdana"/>
        </w:rPr>
        <w:t xml:space="preserve">Training </w:t>
      </w:r>
      <w:r w:rsidR="006D040A">
        <w:rPr>
          <w:rFonts w:ascii="Verdana" w:hAnsi="Verdana"/>
        </w:rPr>
        <w:t>will be</w:t>
      </w:r>
      <w:r w:rsidRPr="00651C77">
        <w:rPr>
          <w:rFonts w:ascii="Verdana" w:hAnsi="Verdana"/>
        </w:rPr>
        <w:t xml:space="preserve"> delivered </w:t>
      </w:r>
      <w:r w:rsidR="00587EDD" w:rsidRPr="00651C77">
        <w:rPr>
          <w:rFonts w:ascii="Verdana" w:hAnsi="Verdana"/>
        </w:rPr>
        <w:t xml:space="preserve">in both </w:t>
      </w:r>
      <w:r w:rsidR="00651C77">
        <w:rPr>
          <w:rFonts w:ascii="Verdana" w:hAnsi="Verdana"/>
        </w:rPr>
        <w:t>face-to-face and online modes, w</w:t>
      </w:r>
      <w:r w:rsidR="006D040A">
        <w:rPr>
          <w:rFonts w:ascii="Verdana" w:hAnsi="Verdana"/>
        </w:rPr>
        <w:t xml:space="preserve">ith face-to-face training </w:t>
      </w:r>
      <w:r w:rsidR="00651C77">
        <w:rPr>
          <w:rFonts w:ascii="Verdana" w:hAnsi="Verdana"/>
        </w:rPr>
        <w:t xml:space="preserve">made available to </w:t>
      </w:r>
      <w:r w:rsidR="00651C77" w:rsidRPr="00651C77">
        <w:rPr>
          <w:rFonts w:ascii="Verdana" w:hAnsi="Verdana"/>
        </w:rPr>
        <w:t xml:space="preserve">information sharers and leaders </w:t>
      </w:r>
      <w:r w:rsidR="00651C77">
        <w:rPr>
          <w:rFonts w:ascii="Verdana" w:hAnsi="Verdana"/>
        </w:rPr>
        <w:t xml:space="preserve">within an organisation. It is important to note that </w:t>
      </w:r>
      <w:r w:rsidRPr="00651C77">
        <w:rPr>
          <w:rFonts w:ascii="Verdana" w:hAnsi="Verdana"/>
        </w:rPr>
        <w:t>online training will be made available to all workers.</w:t>
      </w:r>
    </w:p>
    <w:p w:rsidR="00E30F62" w:rsidRDefault="00E30F62" w:rsidP="00E30F62">
      <w:pPr>
        <w:pStyle w:val="WOVGbody"/>
        <w:rPr>
          <w:rFonts w:ascii="Verdana" w:hAnsi="Verdana"/>
        </w:rPr>
      </w:pPr>
      <w:r w:rsidRPr="00E30F62">
        <w:rPr>
          <w:rFonts w:ascii="Verdana" w:hAnsi="Verdana"/>
        </w:rPr>
        <w:t>The resources required to perform these functions vary dependent on the size and composition of the relevant workforces, as well as agency specific approaches such as the establishment of information exchange functions.</w:t>
      </w:r>
    </w:p>
    <w:p w:rsidR="006641FF" w:rsidRPr="0063467C" w:rsidRDefault="00FB4855" w:rsidP="00E30F62">
      <w:pPr>
        <w:pStyle w:val="WOVGbody"/>
        <w:rPr>
          <w:rFonts w:ascii="Verdana" w:hAnsi="Verdana"/>
          <w:b/>
        </w:rPr>
      </w:pPr>
      <w:r>
        <w:rPr>
          <w:rFonts w:ascii="Verdana" w:hAnsi="Verdana"/>
          <w:b/>
        </w:rPr>
        <w:t>Tabl</w:t>
      </w:r>
      <w:r w:rsidR="001A0E9C">
        <w:rPr>
          <w:rFonts w:ascii="Verdana" w:hAnsi="Verdana"/>
          <w:b/>
        </w:rPr>
        <w:t>e 6.12</w:t>
      </w:r>
      <w:r w:rsidR="006641FF">
        <w:rPr>
          <w:rFonts w:ascii="Verdana" w:hAnsi="Verdana"/>
          <w:b/>
        </w:rPr>
        <w:t xml:space="preserve"> Costs to government – Workforce training</w:t>
      </w:r>
    </w:p>
    <w:tbl>
      <w:tblPr>
        <w:tblStyle w:val="TableGrid"/>
        <w:tblW w:w="9406" w:type="dxa"/>
        <w:tblLook w:val="06A0" w:firstRow="1" w:lastRow="0" w:firstColumn="1" w:lastColumn="0" w:noHBand="1" w:noVBand="1"/>
      </w:tblPr>
      <w:tblGrid>
        <w:gridCol w:w="2127"/>
        <w:gridCol w:w="1262"/>
        <w:gridCol w:w="2084"/>
        <w:gridCol w:w="2168"/>
        <w:gridCol w:w="1765"/>
      </w:tblGrid>
      <w:tr w:rsidR="00E30F62" w:rsidRPr="00B309AB" w:rsidTr="008549B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rsidR="00E30F62" w:rsidRPr="00B309AB" w:rsidRDefault="00E30F62" w:rsidP="00303CED">
            <w:pPr>
              <w:pStyle w:val="WOVGtablecolhead"/>
              <w:rPr>
                <w:rFonts w:ascii="Verdana" w:hAnsi="Verdana"/>
              </w:rPr>
            </w:pPr>
          </w:p>
        </w:tc>
        <w:tc>
          <w:tcPr>
            <w:tcW w:w="1262" w:type="dxa"/>
          </w:tcPr>
          <w:p w:rsidR="00E30F62" w:rsidRPr="004D1050" w:rsidRDefault="00E30F62"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2019/20</w:t>
            </w:r>
          </w:p>
        </w:tc>
        <w:tc>
          <w:tcPr>
            <w:tcW w:w="2084" w:type="dxa"/>
          </w:tcPr>
          <w:p w:rsidR="00E30F62" w:rsidRDefault="00E30F62"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2020/21</w:t>
            </w:r>
          </w:p>
        </w:tc>
        <w:tc>
          <w:tcPr>
            <w:tcW w:w="2168" w:type="dxa"/>
          </w:tcPr>
          <w:p w:rsidR="00E30F62" w:rsidRDefault="00E30F62"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2021/22</w:t>
            </w:r>
          </w:p>
        </w:tc>
        <w:tc>
          <w:tcPr>
            <w:tcW w:w="1765" w:type="dxa"/>
          </w:tcPr>
          <w:p w:rsidR="00E30F62" w:rsidRDefault="00E30F62" w:rsidP="00303CED">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Ongoing</w:t>
            </w:r>
          </w:p>
        </w:tc>
      </w:tr>
      <w:tr w:rsidR="00E30F62" w:rsidRPr="00B309AB" w:rsidTr="008549B5">
        <w:trPr>
          <w:trHeight w:val="340"/>
        </w:trPr>
        <w:tc>
          <w:tcPr>
            <w:cnfStyle w:val="001000000000" w:firstRow="0" w:lastRow="0" w:firstColumn="1" w:lastColumn="0" w:oddVBand="0" w:evenVBand="0" w:oddHBand="0" w:evenHBand="0" w:firstRowFirstColumn="0" w:firstRowLastColumn="0" w:lastRowFirstColumn="0" w:lastRowLastColumn="0"/>
            <w:tcW w:w="2127" w:type="dxa"/>
            <w:hideMark/>
          </w:tcPr>
          <w:p w:rsidR="008549B5" w:rsidRDefault="008549B5" w:rsidP="00303CED">
            <w:pPr>
              <w:pStyle w:val="WOVGtabletext"/>
              <w:rPr>
                <w:rFonts w:ascii="Verdana" w:hAnsi="Verdana"/>
              </w:rPr>
            </w:pPr>
          </w:p>
          <w:p w:rsidR="00E30F62" w:rsidRPr="00B309AB" w:rsidRDefault="00E30F62" w:rsidP="00303CED">
            <w:pPr>
              <w:pStyle w:val="WOVGtabletext"/>
              <w:rPr>
                <w:rFonts w:ascii="Verdana" w:hAnsi="Verdana"/>
              </w:rPr>
            </w:pPr>
            <w:r>
              <w:rPr>
                <w:rFonts w:ascii="Verdana" w:hAnsi="Verdana"/>
              </w:rPr>
              <w:t>Workforce training</w:t>
            </w:r>
          </w:p>
        </w:tc>
        <w:tc>
          <w:tcPr>
            <w:tcW w:w="1262" w:type="dxa"/>
            <w:vAlign w:val="bottom"/>
            <w:hideMark/>
          </w:tcPr>
          <w:p w:rsidR="00E30F62" w:rsidRPr="00B309AB" w:rsidRDefault="00537932" w:rsidP="00273AFA">
            <w:pPr>
              <w:pStyle w:val="WOVGtabletext"/>
              <w:spacing w:before="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$7.40M</w:t>
            </w:r>
          </w:p>
        </w:tc>
        <w:tc>
          <w:tcPr>
            <w:tcW w:w="2084" w:type="dxa"/>
            <w:hideMark/>
          </w:tcPr>
          <w:p w:rsidR="008549B5" w:rsidRDefault="008549B5" w:rsidP="00303CED">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E30F62" w:rsidRPr="00B309AB" w:rsidRDefault="00E30F62" w:rsidP="00303CED">
            <w:pPr>
              <w:pStyle w:val="WOVGtablebullet2"/>
              <w:numPr>
                <w:ilvl w:val="0"/>
                <w:numId w:val="0"/>
              </w:numPr>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$2.05M</w:t>
            </w:r>
          </w:p>
        </w:tc>
        <w:tc>
          <w:tcPr>
            <w:tcW w:w="2168" w:type="dxa"/>
            <w:hideMark/>
          </w:tcPr>
          <w:p w:rsidR="008549B5" w:rsidRDefault="008549B5" w:rsidP="00303CED">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E30F62" w:rsidRPr="00B309AB" w:rsidRDefault="00E30F62" w:rsidP="00303CED">
            <w:pPr>
              <w:pStyle w:val="WOVGtablebullet2"/>
              <w:numPr>
                <w:ilvl w:val="0"/>
                <w:numId w:val="0"/>
              </w:numPr>
              <w:ind w:left="454"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$2.54M</w:t>
            </w:r>
          </w:p>
        </w:tc>
        <w:tc>
          <w:tcPr>
            <w:tcW w:w="1765" w:type="dxa"/>
          </w:tcPr>
          <w:p w:rsidR="008549B5" w:rsidRDefault="008549B5" w:rsidP="00303CED">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p>
          <w:p w:rsidR="00E30F62" w:rsidRPr="00B309AB" w:rsidRDefault="00E30F62" w:rsidP="00303CED">
            <w:pPr>
              <w:pStyle w:val="WOVGtablebullet1"/>
              <w:numPr>
                <w:ilvl w:val="0"/>
                <w:numId w:val="0"/>
              </w:numPr>
              <w:ind w:left="227" w:hanging="227"/>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$2.58M</w:t>
            </w:r>
          </w:p>
        </w:tc>
      </w:tr>
    </w:tbl>
    <w:p w:rsidR="00D272DA" w:rsidRDefault="00D272DA" w:rsidP="00D272DA">
      <w:pPr>
        <w:pStyle w:val="Heading1"/>
        <w:numPr>
          <w:ilvl w:val="0"/>
          <w:numId w:val="0"/>
        </w:numPr>
        <w:rPr>
          <w:rFonts w:ascii="Verdana" w:hAnsi="Verdana"/>
        </w:rPr>
      </w:pPr>
    </w:p>
    <w:p w:rsidR="00D272DA" w:rsidRDefault="00D272DA">
      <w:pPr>
        <w:rPr>
          <w:rFonts w:ascii="Verdana" w:hAnsi="Verdana"/>
          <w:bCs/>
          <w:color w:val="53565A" w:themeColor="accent1"/>
          <w:sz w:val="44"/>
          <w:szCs w:val="44"/>
        </w:rPr>
      </w:pPr>
      <w:r>
        <w:rPr>
          <w:rFonts w:ascii="Verdana" w:hAnsi="Verdana"/>
        </w:rPr>
        <w:br w:type="page"/>
      </w:r>
    </w:p>
    <w:p w:rsidR="0002215E" w:rsidRPr="00D75B5B" w:rsidRDefault="00D41835" w:rsidP="00FE48EB">
      <w:pPr>
        <w:pStyle w:val="Heading1"/>
        <w:ind w:left="284"/>
        <w:rPr>
          <w:rFonts w:ascii="Verdana" w:hAnsi="Verdana"/>
        </w:rPr>
      </w:pPr>
      <w:bookmarkStart w:id="38" w:name="_Toc23510782"/>
      <w:r>
        <w:rPr>
          <w:rFonts w:ascii="Verdana" w:hAnsi="Verdana"/>
        </w:rPr>
        <w:lastRenderedPageBreak/>
        <w:t>Expected</w:t>
      </w:r>
      <w:r w:rsidR="0002215E" w:rsidRPr="00D75B5B">
        <w:rPr>
          <w:rFonts w:ascii="Verdana" w:hAnsi="Verdana"/>
        </w:rPr>
        <w:t xml:space="preserve"> benefits </w:t>
      </w:r>
      <w:r w:rsidR="00CE2915">
        <w:rPr>
          <w:rFonts w:ascii="Verdana" w:hAnsi="Verdana"/>
        </w:rPr>
        <w:t xml:space="preserve">of the </w:t>
      </w:r>
      <w:r w:rsidR="0002215E" w:rsidRPr="00D75B5B">
        <w:rPr>
          <w:rFonts w:ascii="Verdana" w:hAnsi="Verdana"/>
        </w:rPr>
        <w:t xml:space="preserve">CIS </w:t>
      </w:r>
      <w:r w:rsidR="00CE2915">
        <w:rPr>
          <w:rFonts w:ascii="Verdana" w:hAnsi="Verdana"/>
        </w:rPr>
        <w:t>Scheme</w:t>
      </w:r>
      <w:bookmarkEnd w:id="38"/>
    </w:p>
    <w:p w:rsidR="0099205D" w:rsidRDefault="0074137E" w:rsidP="005A0662">
      <w:pPr>
        <w:pStyle w:val="WOVGbody"/>
        <w:rPr>
          <w:rFonts w:ascii="Verdana" w:hAnsi="Verdana"/>
        </w:rPr>
      </w:pPr>
      <w:r>
        <w:rPr>
          <w:rFonts w:ascii="Verdana" w:hAnsi="Verdana"/>
        </w:rPr>
        <w:t>This RIS does</w:t>
      </w:r>
      <w:r w:rsidR="000D12D9">
        <w:rPr>
          <w:rFonts w:ascii="Verdana" w:hAnsi="Verdana"/>
        </w:rPr>
        <w:t xml:space="preserve"> not</w:t>
      </w:r>
      <w:r>
        <w:rPr>
          <w:rFonts w:ascii="Verdana" w:hAnsi="Verdana"/>
        </w:rPr>
        <w:t xml:space="preserve"> aim to estimate the monetary value</w:t>
      </w:r>
      <w:r w:rsidR="0049118E">
        <w:rPr>
          <w:rFonts w:ascii="Verdana" w:hAnsi="Verdana"/>
        </w:rPr>
        <w:t xml:space="preserve"> </w:t>
      </w:r>
      <w:r>
        <w:rPr>
          <w:rFonts w:ascii="Verdana" w:hAnsi="Verdana"/>
        </w:rPr>
        <w:t>of</w:t>
      </w:r>
      <w:r w:rsidR="001552A8">
        <w:rPr>
          <w:rFonts w:ascii="Verdana" w:hAnsi="Verdana"/>
        </w:rPr>
        <w:t xml:space="preserve"> the </w:t>
      </w:r>
      <w:r w:rsidR="00CE2915">
        <w:rPr>
          <w:rFonts w:ascii="Verdana" w:hAnsi="Verdana"/>
        </w:rPr>
        <w:t xml:space="preserve">totality </w:t>
      </w:r>
      <w:r>
        <w:rPr>
          <w:rFonts w:ascii="Verdana" w:hAnsi="Verdana"/>
        </w:rPr>
        <w:t xml:space="preserve">of </w:t>
      </w:r>
      <w:r w:rsidR="001552A8">
        <w:rPr>
          <w:rFonts w:ascii="Verdana" w:hAnsi="Verdana"/>
        </w:rPr>
        <w:t>benefits to child wellbei</w:t>
      </w:r>
      <w:r w:rsidR="00E6750E">
        <w:rPr>
          <w:rFonts w:ascii="Verdana" w:hAnsi="Verdana"/>
        </w:rPr>
        <w:t>ng and</w:t>
      </w:r>
      <w:r w:rsidR="001552A8">
        <w:rPr>
          <w:rFonts w:ascii="Verdana" w:hAnsi="Verdana"/>
        </w:rPr>
        <w:t xml:space="preserve"> safety expected to follow </w:t>
      </w:r>
      <w:r w:rsidR="00E6750E">
        <w:rPr>
          <w:rFonts w:ascii="Verdana" w:hAnsi="Verdana"/>
        </w:rPr>
        <w:t xml:space="preserve">from </w:t>
      </w:r>
      <w:r w:rsidR="00CE2915">
        <w:rPr>
          <w:rFonts w:ascii="Verdana" w:hAnsi="Verdana"/>
        </w:rPr>
        <w:t>Phase Two</w:t>
      </w:r>
      <w:r w:rsidR="001552A8">
        <w:rPr>
          <w:rFonts w:ascii="Verdana" w:hAnsi="Verdana"/>
        </w:rPr>
        <w:t xml:space="preserve"> implementation of the CIS Scheme. </w:t>
      </w:r>
      <w:r w:rsidR="00D531DB">
        <w:rPr>
          <w:rFonts w:ascii="Verdana" w:hAnsi="Verdana"/>
        </w:rPr>
        <w:t>This is in part due</w:t>
      </w:r>
      <w:r w:rsidR="001552A8">
        <w:rPr>
          <w:rFonts w:ascii="Verdana" w:hAnsi="Verdana"/>
        </w:rPr>
        <w:t xml:space="preserve"> to the </w:t>
      </w:r>
      <w:r w:rsidR="0099205D">
        <w:rPr>
          <w:rFonts w:ascii="Verdana" w:hAnsi="Verdana"/>
        </w:rPr>
        <w:t xml:space="preserve">general </w:t>
      </w:r>
      <w:r>
        <w:rPr>
          <w:rFonts w:ascii="Verdana" w:hAnsi="Verdana"/>
        </w:rPr>
        <w:t xml:space="preserve">nature </w:t>
      </w:r>
      <w:r w:rsidR="0099205D">
        <w:rPr>
          <w:rFonts w:ascii="Verdana" w:hAnsi="Verdana"/>
        </w:rPr>
        <w:t xml:space="preserve">of the concepts of ‘wellbeing’ </w:t>
      </w:r>
      <w:r w:rsidR="00015E75">
        <w:rPr>
          <w:rFonts w:ascii="Verdana" w:hAnsi="Verdana"/>
        </w:rPr>
        <w:t xml:space="preserve">and </w:t>
      </w:r>
      <w:r w:rsidR="0099205D">
        <w:rPr>
          <w:rFonts w:ascii="Verdana" w:hAnsi="Verdana"/>
        </w:rPr>
        <w:t xml:space="preserve">‘safety’ and the </w:t>
      </w:r>
      <w:r w:rsidR="0049118E">
        <w:rPr>
          <w:rFonts w:ascii="Verdana" w:hAnsi="Verdana"/>
        </w:rPr>
        <w:t xml:space="preserve">complexities </w:t>
      </w:r>
      <w:r w:rsidR="0099205D">
        <w:rPr>
          <w:rFonts w:ascii="Verdana" w:hAnsi="Verdana"/>
        </w:rPr>
        <w:t xml:space="preserve">of </w:t>
      </w:r>
      <w:r w:rsidR="00015E75">
        <w:rPr>
          <w:rFonts w:ascii="Verdana" w:hAnsi="Verdana"/>
        </w:rPr>
        <w:t>assigning</w:t>
      </w:r>
      <w:r w:rsidR="00CE2915">
        <w:rPr>
          <w:rFonts w:ascii="Verdana" w:hAnsi="Verdana"/>
        </w:rPr>
        <w:t xml:space="preserve"> value to</w:t>
      </w:r>
      <w:r w:rsidR="0099205D">
        <w:rPr>
          <w:rFonts w:ascii="Verdana" w:hAnsi="Verdana"/>
        </w:rPr>
        <w:t xml:space="preserve"> human life or improved health and wellbeing outcomes. </w:t>
      </w:r>
      <w:r w:rsidR="00D531DB">
        <w:rPr>
          <w:rFonts w:ascii="Verdana" w:hAnsi="Verdana"/>
        </w:rPr>
        <w:t xml:space="preserve">Acknowledging that the CIS Scheme forms part of a greater reform </w:t>
      </w:r>
      <w:r w:rsidR="00C650B2">
        <w:rPr>
          <w:rFonts w:ascii="Verdana" w:hAnsi="Verdana"/>
        </w:rPr>
        <w:t>agenda, as outlined in Chapter 1</w:t>
      </w:r>
      <w:r w:rsidR="00D531DB">
        <w:rPr>
          <w:rFonts w:ascii="Verdana" w:hAnsi="Verdana"/>
        </w:rPr>
        <w:t xml:space="preserve">, it is also difficult to isolate </w:t>
      </w:r>
      <w:r w:rsidR="0099205D">
        <w:rPr>
          <w:rFonts w:ascii="Verdana" w:hAnsi="Verdana"/>
        </w:rPr>
        <w:t xml:space="preserve">the effects of the CIS Scheme from </w:t>
      </w:r>
      <w:r w:rsidR="00E6750E">
        <w:rPr>
          <w:rFonts w:ascii="Verdana" w:hAnsi="Verdana"/>
        </w:rPr>
        <w:t xml:space="preserve">general </w:t>
      </w:r>
      <w:r w:rsidR="00015E75">
        <w:rPr>
          <w:rFonts w:ascii="Verdana" w:hAnsi="Verdana"/>
        </w:rPr>
        <w:t xml:space="preserve">societal developments as well as </w:t>
      </w:r>
      <w:r w:rsidR="0099205D">
        <w:rPr>
          <w:rFonts w:ascii="Verdana" w:hAnsi="Verdana"/>
        </w:rPr>
        <w:t>other reform efforts</w:t>
      </w:r>
      <w:r w:rsidR="00D531DB">
        <w:rPr>
          <w:rFonts w:ascii="Verdana" w:hAnsi="Verdana"/>
        </w:rPr>
        <w:t>.</w:t>
      </w:r>
      <w:r w:rsidR="0099205D">
        <w:rPr>
          <w:rFonts w:ascii="Verdana" w:hAnsi="Verdana"/>
        </w:rPr>
        <w:t xml:space="preserve"> Finally, the actual effects of increases in information sharing </w:t>
      </w:r>
      <w:r w:rsidR="00687364">
        <w:rPr>
          <w:rFonts w:ascii="Verdana" w:hAnsi="Verdana"/>
        </w:rPr>
        <w:t xml:space="preserve">under the CIS Scheme </w:t>
      </w:r>
      <w:r w:rsidR="0099205D">
        <w:rPr>
          <w:rFonts w:ascii="Verdana" w:hAnsi="Verdana"/>
        </w:rPr>
        <w:t xml:space="preserve">will </w:t>
      </w:r>
      <w:r w:rsidR="00687364">
        <w:rPr>
          <w:rFonts w:ascii="Verdana" w:hAnsi="Verdana"/>
        </w:rPr>
        <w:t>only become measurable</w:t>
      </w:r>
      <w:r w:rsidR="0099205D">
        <w:rPr>
          <w:rFonts w:ascii="Verdana" w:hAnsi="Verdana"/>
        </w:rPr>
        <w:t xml:space="preserve"> in years to come through </w:t>
      </w:r>
      <w:r w:rsidR="00D531DB">
        <w:rPr>
          <w:rFonts w:ascii="Verdana" w:hAnsi="Verdana"/>
        </w:rPr>
        <w:t xml:space="preserve">formal </w:t>
      </w:r>
      <w:r w:rsidR="0099205D">
        <w:rPr>
          <w:rFonts w:ascii="Verdana" w:hAnsi="Verdana"/>
        </w:rPr>
        <w:t xml:space="preserve">review processes and </w:t>
      </w:r>
      <w:r w:rsidR="0049118E">
        <w:rPr>
          <w:rFonts w:ascii="Verdana" w:hAnsi="Verdana"/>
        </w:rPr>
        <w:t xml:space="preserve">associated </w:t>
      </w:r>
      <w:r w:rsidR="0099205D">
        <w:rPr>
          <w:rFonts w:ascii="Verdana" w:hAnsi="Verdana"/>
        </w:rPr>
        <w:t>research.</w:t>
      </w:r>
    </w:p>
    <w:p w:rsidR="00D41835" w:rsidRDefault="00F2140B" w:rsidP="005A0662">
      <w:pPr>
        <w:pStyle w:val="WOVGbody"/>
        <w:rPr>
          <w:rFonts w:ascii="Verdana" w:hAnsi="Verdana"/>
        </w:rPr>
      </w:pPr>
      <w:r>
        <w:rPr>
          <w:rFonts w:ascii="Verdana" w:hAnsi="Verdana"/>
        </w:rPr>
        <w:t>In line with the Problem A</w:t>
      </w:r>
      <w:r w:rsidR="00C650B2">
        <w:rPr>
          <w:rFonts w:ascii="Verdana" w:hAnsi="Verdana"/>
        </w:rPr>
        <w:t>nalysis presented in Chapter 2</w:t>
      </w:r>
      <w:r w:rsidR="008549B5">
        <w:rPr>
          <w:rFonts w:ascii="Verdana" w:hAnsi="Verdana"/>
        </w:rPr>
        <w:t xml:space="preserve">, </w:t>
      </w:r>
      <w:r>
        <w:rPr>
          <w:rFonts w:ascii="Verdana" w:hAnsi="Verdana"/>
        </w:rPr>
        <w:t xml:space="preserve">the </w:t>
      </w:r>
      <w:r w:rsidR="00D41835">
        <w:rPr>
          <w:rFonts w:ascii="Verdana" w:hAnsi="Verdana"/>
        </w:rPr>
        <w:t xml:space="preserve">expected benefits of </w:t>
      </w:r>
      <w:r w:rsidR="0049118E">
        <w:rPr>
          <w:rFonts w:ascii="Verdana" w:hAnsi="Verdana"/>
        </w:rPr>
        <w:t xml:space="preserve">the CIS Scheme </w:t>
      </w:r>
      <w:r>
        <w:rPr>
          <w:rFonts w:ascii="Verdana" w:hAnsi="Verdana"/>
        </w:rPr>
        <w:t>are</w:t>
      </w:r>
      <w:r w:rsidR="00D41835">
        <w:rPr>
          <w:rFonts w:ascii="Verdana" w:hAnsi="Verdana"/>
        </w:rPr>
        <w:t>:</w:t>
      </w:r>
    </w:p>
    <w:p w:rsidR="001552A8" w:rsidRDefault="008549B5" w:rsidP="00A76FAF">
      <w:pPr>
        <w:pStyle w:val="WOVGbody"/>
        <w:numPr>
          <w:ilvl w:val="0"/>
          <w:numId w:val="33"/>
        </w:numPr>
        <w:ind w:left="426"/>
        <w:rPr>
          <w:rFonts w:ascii="Verdana" w:hAnsi="Verdana"/>
        </w:rPr>
      </w:pPr>
      <w:r>
        <w:rPr>
          <w:rFonts w:ascii="Verdana" w:hAnsi="Verdana"/>
        </w:rPr>
        <w:t>i</w:t>
      </w:r>
      <w:r w:rsidR="00F2140B">
        <w:rPr>
          <w:rFonts w:ascii="Verdana" w:hAnsi="Verdana"/>
        </w:rPr>
        <w:t xml:space="preserve">nformation sharing will </w:t>
      </w:r>
      <w:r w:rsidR="00D531DB">
        <w:rPr>
          <w:rFonts w:ascii="Verdana" w:hAnsi="Verdana"/>
        </w:rPr>
        <w:t xml:space="preserve">improve early intervention and prevention, thereby </w:t>
      </w:r>
      <w:r w:rsidR="0099205D">
        <w:rPr>
          <w:rFonts w:ascii="Verdana" w:hAnsi="Verdana"/>
        </w:rPr>
        <w:t>reduc</w:t>
      </w:r>
      <w:r w:rsidR="00D531DB">
        <w:rPr>
          <w:rFonts w:ascii="Verdana" w:hAnsi="Verdana"/>
        </w:rPr>
        <w:t xml:space="preserve">ing the current heavy reliance </w:t>
      </w:r>
      <w:r w:rsidR="0099205D">
        <w:rPr>
          <w:rFonts w:ascii="Verdana" w:hAnsi="Verdana"/>
        </w:rPr>
        <w:t xml:space="preserve">on </w:t>
      </w:r>
      <w:r w:rsidR="00E6750E">
        <w:rPr>
          <w:rFonts w:ascii="Verdana" w:hAnsi="Verdana"/>
        </w:rPr>
        <w:t>acute and statutory services</w:t>
      </w:r>
    </w:p>
    <w:p w:rsidR="0099205D" w:rsidRPr="0049118E" w:rsidRDefault="008549B5" w:rsidP="00A76FAF">
      <w:pPr>
        <w:pStyle w:val="WOVGbody"/>
        <w:numPr>
          <w:ilvl w:val="0"/>
          <w:numId w:val="33"/>
        </w:numPr>
        <w:ind w:left="426"/>
        <w:rPr>
          <w:rFonts w:ascii="Verdana" w:hAnsi="Verdana"/>
        </w:rPr>
      </w:pPr>
      <w:r>
        <w:rPr>
          <w:rFonts w:ascii="Verdana" w:hAnsi="Verdana"/>
        </w:rPr>
        <w:t>i</w:t>
      </w:r>
      <w:r w:rsidR="00F2140B">
        <w:rPr>
          <w:rFonts w:ascii="Verdana" w:hAnsi="Verdana"/>
        </w:rPr>
        <w:t>nformation sharing will lead to i</w:t>
      </w:r>
      <w:r w:rsidR="001552A8">
        <w:rPr>
          <w:rFonts w:ascii="Verdana" w:hAnsi="Verdana"/>
        </w:rPr>
        <w:t>mprovements in health and wellbeing outcomes for Victorian children</w:t>
      </w:r>
      <w:r>
        <w:rPr>
          <w:rFonts w:ascii="Verdana" w:hAnsi="Verdana"/>
        </w:rPr>
        <w:t>.</w:t>
      </w:r>
    </w:p>
    <w:p w:rsidR="0049118E" w:rsidRDefault="00015E75" w:rsidP="001552A8">
      <w:pPr>
        <w:pStyle w:val="WOVGbody"/>
        <w:rPr>
          <w:rFonts w:ascii="Verdana" w:hAnsi="Verdana"/>
        </w:rPr>
      </w:pPr>
      <w:r w:rsidRPr="002A1901">
        <w:rPr>
          <w:rFonts w:ascii="Verdana" w:hAnsi="Verdana"/>
        </w:rPr>
        <w:t>The</w:t>
      </w:r>
      <w:r w:rsidR="00F2140B" w:rsidRPr="002A1901">
        <w:rPr>
          <w:rFonts w:ascii="Verdana" w:hAnsi="Verdana"/>
        </w:rPr>
        <w:t xml:space="preserve">se </w:t>
      </w:r>
      <w:r w:rsidR="00E6750E" w:rsidRPr="002A1901">
        <w:rPr>
          <w:rFonts w:ascii="Verdana" w:hAnsi="Verdana"/>
        </w:rPr>
        <w:t xml:space="preserve">expected benefits </w:t>
      </w:r>
      <w:r w:rsidR="0049118E" w:rsidRPr="002A1901">
        <w:rPr>
          <w:rFonts w:ascii="Verdana" w:hAnsi="Verdana"/>
        </w:rPr>
        <w:t xml:space="preserve">are discussed in further detail </w:t>
      </w:r>
      <w:r w:rsidRPr="002A1901">
        <w:rPr>
          <w:rFonts w:ascii="Verdana" w:hAnsi="Verdana"/>
        </w:rPr>
        <w:t>below</w:t>
      </w:r>
      <w:r w:rsidR="00687364">
        <w:rPr>
          <w:rFonts w:ascii="Verdana" w:hAnsi="Verdana"/>
        </w:rPr>
        <w:t>.</w:t>
      </w:r>
    </w:p>
    <w:p w:rsidR="0049118E" w:rsidRPr="00D94ADF" w:rsidRDefault="00D531DB" w:rsidP="0049118E">
      <w:pPr>
        <w:pStyle w:val="Heading2"/>
        <w:rPr>
          <w:rFonts w:ascii="Verdana" w:hAnsi="Verdana"/>
        </w:rPr>
      </w:pPr>
      <w:bookmarkStart w:id="39" w:name="_Toc23510783"/>
      <w:r w:rsidRPr="00D94ADF">
        <w:rPr>
          <w:rFonts w:ascii="Verdana" w:hAnsi="Verdana"/>
        </w:rPr>
        <w:t>Reduced</w:t>
      </w:r>
      <w:r w:rsidR="00687364" w:rsidRPr="00D94ADF">
        <w:rPr>
          <w:rFonts w:ascii="Verdana" w:hAnsi="Verdana"/>
        </w:rPr>
        <w:t xml:space="preserve"> over-reliance</w:t>
      </w:r>
      <w:r w:rsidR="0049118E" w:rsidRPr="00D94ADF">
        <w:rPr>
          <w:rFonts w:ascii="Verdana" w:hAnsi="Verdana"/>
        </w:rPr>
        <w:t xml:space="preserve"> on</w:t>
      </w:r>
      <w:r w:rsidR="00E6750E" w:rsidRPr="00D94ADF">
        <w:rPr>
          <w:rFonts w:ascii="Verdana" w:hAnsi="Verdana"/>
        </w:rPr>
        <w:t xml:space="preserve"> acute and statutory services</w:t>
      </w:r>
      <w:bookmarkEnd w:id="39"/>
      <w:r w:rsidR="0049118E" w:rsidRPr="00D94ADF">
        <w:rPr>
          <w:rFonts w:ascii="Verdana" w:hAnsi="Verdana"/>
        </w:rPr>
        <w:t xml:space="preserve"> </w:t>
      </w:r>
    </w:p>
    <w:p w:rsidR="00D024BC" w:rsidRDefault="00E6750E" w:rsidP="00D024BC">
      <w:pPr>
        <w:pStyle w:val="WOVGbody"/>
        <w:rPr>
          <w:rFonts w:ascii="Verdana" w:hAnsi="Verdana"/>
        </w:rPr>
      </w:pPr>
      <w:r w:rsidRPr="00C3536B">
        <w:rPr>
          <w:rFonts w:ascii="Verdana" w:hAnsi="Verdana"/>
        </w:rPr>
        <w:t xml:space="preserve">Under current laws, organisations </w:t>
      </w:r>
      <w:r>
        <w:rPr>
          <w:rFonts w:ascii="Verdana" w:hAnsi="Verdana"/>
        </w:rPr>
        <w:t xml:space="preserve">may find it difficult or impossible to </w:t>
      </w:r>
      <w:r w:rsidRPr="00C3536B">
        <w:rPr>
          <w:rFonts w:ascii="Verdana" w:hAnsi="Verdana"/>
        </w:rPr>
        <w:t xml:space="preserve">share information lawfully unless it is necessary to prevent a serious threat to a person’s life or safety. </w:t>
      </w:r>
      <w:r w:rsidR="00687364">
        <w:rPr>
          <w:rFonts w:ascii="Verdana" w:hAnsi="Verdana"/>
        </w:rPr>
        <w:t>For this reason</w:t>
      </w:r>
      <w:r w:rsidRPr="00C3536B">
        <w:rPr>
          <w:rFonts w:ascii="Verdana" w:hAnsi="Verdana"/>
        </w:rPr>
        <w:t xml:space="preserve">, information is often shared when harm has already occurred or when the risk of harm is </w:t>
      </w:r>
      <w:r>
        <w:rPr>
          <w:rFonts w:ascii="Verdana" w:hAnsi="Verdana"/>
        </w:rPr>
        <w:t xml:space="preserve">considered </w:t>
      </w:r>
      <w:r w:rsidR="00D531DB">
        <w:rPr>
          <w:rFonts w:ascii="Verdana" w:hAnsi="Verdana"/>
        </w:rPr>
        <w:t>serious</w:t>
      </w:r>
      <w:r w:rsidRPr="00C3536B">
        <w:rPr>
          <w:rFonts w:ascii="Verdana" w:hAnsi="Verdana"/>
        </w:rPr>
        <w:t xml:space="preserve">. Information is less likely to be shared before </w:t>
      </w:r>
      <w:r>
        <w:rPr>
          <w:rFonts w:ascii="Verdana" w:hAnsi="Verdana"/>
        </w:rPr>
        <w:t xml:space="preserve">the risk of harm becomes acute. Even in cases where information is shared before the risk of harm becomes acute, it is likely to be shared through the provisions of existing legislation and with services that are not equipped to provide early intervention and support. </w:t>
      </w:r>
      <w:r w:rsidRPr="00C3536B">
        <w:rPr>
          <w:rFonts w:ascii="Verdana" w:hAnsi="Verdana"/>
        </w:rPr>
        <w:t>This adds pressure to Child Protection and Child FIRST systems.</w:t>
      </w:r>
    </w:p>
    <w:p w:rsidR="00031BAF" w:rsidRDefault="00031BAF" w:rsidP="00031BAF">
      <w:pPr>
        <w:rPr>
          <w:rFonts w:ascii="Verdana" w:eastAsia="Times" w:hAnsi="Verdana"/>
        </w:rPr>
      </w:pPr>
      <w:r>
        <w:rPr>
          <w:rFonts w:ascii="Verdana" w:eastAsia="Times" w:hAnsi="Verdana"/>
        </w:rPr>
        <w:t>According to the DHHS</w:t>
      </w:r>
      <w:r w:rsidRPr="00031BAF">
        <w:rPr>
          <w:rFonts w:ascii="Verdana" w:eastAsia="Times" w:hAnsi="Verdana"/>
        </w:rPr>
        <w:t xml:space="preserve"> Child Protection and Family Services Additional Service Delivery Data </w:t>
      </w:r>
      <w:r>
        <w:rPr>
          <w:rFonts w:ascii="Verdana" w:eastAsia="Times" w:hAnsi="Verdana"/>
        </w:rPr>
        <w:t xml:space="preserve">report </w:t>
      </w:r>
      <w:r w:rsidRPr="00031BAF">
        <w:rPr>
          <w:rFonts w:ascii="Verdana" w:eastAsia="Times" w:hAnsi="Verdana"/>
        </w:rPr>
        <w:t>2017-18</w:t>
      </w:r>
      <w:r w:rsidRPr="00D91D4C">
        <w:rPr>
          <w:rStyle w:val="FootnoteReference"/>
          <w:rFonts w:ascii="Arial" w:eastAsia="MS Gothic" w:hAnsi="Arial" w:cs="Arial"/>
          <w:sz w:val="16"/>
          <w:szCs w:val="16"/>
        </w:rPr>
        <w:footnoteReference w:id="27"/>
      </w:r>
      <w:r>
        <w:rPr>
          <w:rFonts w:ascii="Verdana" w:eastAsia="Times" w:hAnsi="Verdana"/>
        </w:rPr>
        <w:t xml:space="preserve">, </w:t>
      </w:r>
      <w:r w:rsidRPr="00031BAF">
        <w:rPr>
          <w:rFonts w:ascii="Verdana" w:eastAsia="Times" w:hAnsi="Verdana"/>
        </w:rPr>
        <w:t xml:space="preserve">there </w:t>
      </w:r>
      <w:r>
        <w:rPr>
          <w:rFonts w:ascii="Verdana" w:eastAsia="Times" w:hAnsi="Verdana"/>
        </w:rPr>
        <w:t>were 115,641 Child Protection r</w:t>
      </w:r>
      <w:r w:rsidRPr="00031BAF">
        <w:rPr>
          <w:rFonts w:ascii="Verdana" w:eastAsia="Times" w:hAnsi="Verdana"/>
        </w:rPr>
        <w:t>eports</w:t>
      </w:r>
      <w:r>
        <w:rPr>
          <w:rFonts w:ascii="Verdana" w:eastAsia="Times" w:hAnsi="Verdana"/>
        </w:rPr>
        <w:t xml:space="preserve"> in that year</w:t>
      </w:r>
      <w:r w:rsidRPr="00031BAF">
        <w:rPr>
          <w:rFonts w:ascii="Verdana" w:eastAsia="Times" w:hAnsi="Verdana"/>
        </w:rPr>
        <w:t>. After triage of the reports</w:t>
      </w:r>
      <w:r w:rsidR="00A262A0">
        <w:rPr>
          <w:rFonts w:ascii="Verdana" w:eastAsia="Times" w:hAnsi="Verdana"/>
        </w:rPr>
        <w:t>,</w:t>
      </w:r>
      <w:r w:rsidRPr="00031BAF">
        <w:rPr>
          <w:rFonts w:ascii="Verdana" w:eastAsia="Times" w:hAnsi="Verdana"/>
        </w:rPr>
        <w:t xml:space="preserve"> 33,763 were investigated and </w:t>
      </w:r>
      <w:r w:rsidR="00687364">
        <w:rPr>
          <w:rFonts w:ascii="Verdana" w:eastAsia="Times" w:hAnsi="Verdana"/>
        </w:rPr>
        <w:t xml:space="preserve">of these </w:t>
      </w:r>
      <w:r w:rsidRPr="00031BAF">
        <w:rPr>
          <w:rFonts w:ascii="Verdana" w:eastAsia="Times" w:hAnsi="Verdana"/>
        </w:rPr>
        <w:t>18,621 were substantiated.</w:t>
      </w:r>
      <w:r>
        <w:rPr>
          <w:rFonts w:ascii="Verdana" w:eastAsia="Times" w:hAnsi="Verdana"/>
        </w:rPr>
        <w:t xml:space="preserve"> This data does not necessarily show</w:t>
      </w:r>
      <w:r w:rsidR="00CB4D94">
        <w:rPr>
          <w:rFonts w:ascii="Verdana" w:eastAsia="Times" w:hAnsi="Verdana"/>
        </w:rPr>
        <w:t xml:space="preserve"> excessive reporting to Child Protection</w:t>
      </w:r>
      <w:r w:rsidR="002A1901">
        <w:rPr>
          <w:rFonts w:ascii="Verdana" w:eastAsia="Times" w:hAnsi="Verdana"/>
        </w:rPr>
        <w:t xml:space="preserve"> given the current legislative parameters</w:t>
      </w:r>
      <w:r w:rsidR="00687364">
        <w:rPr>
          <w:rFonts w:ascii="Verdana" w:eastAsia="Times" w:hAnsi="Verdana"/>
        </w:rPr>
        <w:t xml:space="preserve"> for information sharing</w:t>
      </w:r>
      <w:r w:rsidR="00CB4D94">
        <w:rPr>
          <w:rFonts w:ascii="Verdana" w:eastAsia="Times" w:hAnsi="Verdana"/>
        </w:rPr>
        <w:t xml:space="preserve">, but it does suggest </w:t>
      </w:r>
      <w:r w:rsidR="003D5075">
        <w:rPr>
          <w:rFonts w:ascii="Verdana" w:eastAsia="Times" w:hAnsi="Verdana"/>
        </w:rPr>
        <w:t>that a large proportion o</w:t>
      </w:r>
      <w:r w:rsidR="002A1901">
        <w:rPr>
          <w:rFonts w:ascii="Verdana" w:eastAsia="Times" w:hAnsi="Verdana"/>
        </w:rPr>
        <w:t xml:space="preserve">f mandatory reporting to </w:t>
      </w:r>
      <w:r w:rsidR="003D5075">
        <w:rPr>
          <w:rFonts w:ascii="Verdana" w:eastAsia="Times" w:hAnsi="Verdana"/>
        </w:rPr>
        <w:t>Child</w:t>
      </w:r>
      <w:r w:rsidR="002A1901">
        <w:rPr>
          <w:rFonts w:ascii="Verdana" w:eastAsia="Times" w:hAnsi="Verdana"/>
        </w:rPr>
        <w:t xml:space="preserve"> Protection is not substantiated. With improved information sharing under the CIS Scheme it may be possible for mandatory reporting to be better informed and </w:t>
      </w:r>
      <w:r w:rsidR="00687364">
        <w:rPr>
          <w:rFonts w:ascii="Verdana" w:eastAsia="Times" w:hAnsi="Verdana"/>
        </w:rPr>
        <w:t>for s</w:t>
      </w:r>
      <w:r w:rsidR="00AE1542">
        <w:rPr>
          <w:rFonts w:ascii="Verdana" w:eastAsia="Times" w:hAnsi="Verdana"/>
        </w:rPr>
        <w:t>ome of the information currently reported to Child Protection</w:t>
      </w:r>
      <w:r w:rsidR="00687364">
        <w:rPr>
          <w:rFonts w:ascii="Verdana" w:eastAsia="Times" w:hAnsi="Verdana"/>
        </w:rPr>
        <w:t xml:space="preserve"> to be </w:t>
      </w:r>
      <w:r w:rsidR="00AE1542">
        <w:rPr>
          <w:rFonts w:ascii="Verdana" w:eastAsia="Times" w:hAnsi="Verdana"/>
        </w:rPr>
        <w:t xml:space="preserve">more appropriately </w:t>
      </w:r>
      <w:r w:rsidR="005C79CE">
        <w:rPr>
          <w:rFonts w:ascii="Verdana" w:eastAsia="Times" w:hAnsi="Verdana"/>
        </w:rPr>
        <w:t xml:space="preserve">shared </w:t>
      </w:r>
      <w:r w:rsidR="00CB4D94">
        <w:rPr>
          <w:rFonts w:ascii="Verdana" w:eastAsia="Times" w:hAnsi="Verdana"/>
        </w:rPr>
        <w:t>wi</w:t>
      </w:r>
      <w:r w:rsidR="00687364">
        <w:rPr>
          <w:rFonts w:ascii="Verdana" w:eastAsia="Times" w:hAnsi="Verdana"/>
        </w:rPr>
        <w:t xml:space="preserve">th other service providers, creating </w:t>
      </w:r>
      <w:r w:rsidR="00AE1542">
        <w:rPr>
          <w:rFonts w:ascii="Verdana" w:eastAsia="Times" w:hAnsi="Verdana"/>
        </w:rPr>
        <w:t xml:space="preserve">opportunities for early intervention and </w:t>
      </w:r>
      <w:r w:rsidR="00CB4D94">
        <w:rPr>
          <w:rFonts w:ascii="Verdana" w:eastAsia="Times" w:hAnsi="Verdana"/>
        </w:rPr>
        <w:t xml:space="preserve">tailoring </w:t>
      </w:r>
      <w:r w:rsidR="00AE1542">
        <w:rPr>
          <w:rFonts w:ascii="Verdana" w:eastAsia="Times" w:hAnsi="Verdana"/>
        </w:rPr>
        <w:t xml:space="preserve">of </w:t>
      </w:r>
      <w:r w:rsidR="00CB4D94">
        <w:rPr>
          <w:rFonts w:ascii="Verdana" w:eastAsia="Times" w:hAnsi="Verdana"/>
        </w:rPr>
        <w:t>service delivery to the needs of children</w:t>
      </w:r>
      <w:r w:rsidR="00AE1542">
        <w:rPr>
          <w:rFonts w:ascii="Verdana" w:eastAsia="Times" w:hAnsi="Verdana"/>
        </w:rPr>
        <w:t xml:space="preserve"> and their families</w:t>
      </w:r>
      <w:r w:rsidR="00CB4D94">
        <w:rPr>
          <w:rFonts w:ascii="Verdana" w:eastAsia="Times" w:hAnsi="Verdana"/>
        </w:rPr>
        <w:t xml:space="preserve">. </w:t>
      </w:r>
    </w:p>
    <w:p w:rsidR="00031BAF" w:rsidRDefault="00031BAF" w:rsidP="00031BAF">
      <w:pPr>
        <w:rPr>
          <w:rFonts w:ascii="Verdana" w:eastAsia="Times" w:hAnsi="Verdana"/>
        </w:rPr>
      </w:pPr>
    </w:p>
    <w:p w:rsidR="00031BAF" w:rsidRDefault="00031BAF" w:rsidP="00031BAF">
      <w:pPr>
        <w:rPr>
          <w:rFonts w:ascii="Verdana" w:eastAsia="Times" w:hAnsi="Verdana"/>
        </w:rPr>
      </w:pPr>
      <w:r>
        <w:rPr>
          <w:rFonts w:ascii="Verdana" w:eastAsia="Times" w:hAnsi="Verdana"/>
        </w:rPr>
        <w:t xml:space="preserve">Stakeholder consultations for this RIS </w:t>
      </w:r>
      <w:r w:rsidR="00D531DB">
        <w:rPr>
          <w:rFonts w:ascii="Verdana" w:eastAsia="Times" w:hAnsi="Verdana"/>
        </w:rPr>
        <w:t xml:space="preserve">have </w:t>
      </w:r>
      <w:r>
        <w:rPr>
          <w:rFonts w:ascii="Verdana" w:eastAsia="Times" w:hAnsi="Verdana"/>
        </w:rPr>
        <w:t>confirmed</w:t>
      </w:r>
      <w:r w:rsidR="00A262A0">
        <w:rPr>
          <w:rFonts w:ascii="Verdana" w:eastAsia="Times" w:hAnsi="Verdana"/>
        </w:rPr>
        <w:t xml:space="preserve"> that some stakeholders report</w:t>
      </w:r>
      <w:r>
        <w:rPr>
          <w:rFonts w:ascii="Verdana" w:eastAsia="Times" w:hAnsi="Verdana"/>
        </w:rPr>
        <w:t xml:space="preserve"> to Child P</w:t>
      </w:r>
      <w:r w:rsidR="00A262A0">
        <w:rPr>
          <w:rFonts w:ascii="Verdana" w:eastAsia="Times" w:hAnsi="Verdana"/>
        </w:rPr>
        <w:t>rotection in cases when they feel they have</w:t>
      </w:r>
      <w:r w:rsidRPr="00031BAF">
        <w:rPr>
          <w:rFonts w:ascii="Verdana" w:eastAsia="Times" w:hAnsi="Verdana"/>
        </w:rPr>
        <w:t xml:space="preserve"> nowhere else to </w:t>
      </w:r>
      <w:r w:rsidR="00A262A0">
        <w:rPr>
          <w:rFonts w:ascii="Verdana" w:eastAsia="Times" w:hAnsi="Verdana"/>
        </w:rPr>
        <w:t>share</w:t>
      </w:r>
      <w:r>
        <w:rPr>
          <w:rFonts w:ascii="Verdana" w:eastAsia="Times" w:hAnsi="Verdana"/>
        </w:rPr>
        <w:t xml:space="preserve"> information</w:t>
      </w:r>
      <w:r w:rsidR="00CB4D94">
        <w:rPr>
          <w:rFonts w:ascii="Verdana" w:eastAsia="Times" w:hAnsi="Verdana"/>
        </w:rPr>
        <w:t xml:space="preserve">. Although the stakeholders </w:t>
      </w:r>
      <w:r>
        <w:rPr>
          <w:rFonts w:ascii="Verdana" w:eastAsia="Times" w:hAnsi="Verdana"/>
        </w:rPr>
        <w:t xml:space="preserve">acknowledged </w:t>
      </w:r>
      <w:r w:rsidR="00CB4D94">
        <w:rPr>
          <w:rFonts w:ascii="Verdana" w:eastAsia="Times" w:hAnsi="Verdana"/>
        </w:rPr>
        <w:t xml:space="preserve">that </w:t>
      </w:r>
      <w:r w:rsidRPr="00031BAF">
        <w:rPr>
          <w:rFonts w:ascii="Verdana" w:eastAsia="Times" w:hAnsi="Verdana"/>
        </w:rPr>
        <w:t>info</w:t>
      </w:r>
      <w:r w:rsidR="00CB4D94">
        <w:rPr>
          <w:rFonts w:ascii="Verdana" w:eastAsia="Times" w:hAnsi="Verdana"/>
        </w:rPr>
        <w:t>rmation provided</w:t>
      </w:r>
      <w:r w:rsidRPr="00031BAF">
        <w:rPr>
          <w:rFonts w:ascii="Verdana" w:eastAsia="Times" w:hAnsi="Verdana"/>
        </w:rPr>
        <w:t xml:space="preserve"> </w:t>
      </w:r>
      <w:r w:rsidR="00CB4D94">
        <w:rPr>
          <w:rFonts w:ascii="Verdana" w:eastAsia="Times" w:hAnsi="Verdana"/>
        </w:rPr>
        <w:t xml:space="preserve">to Child Protection did not </w:t>
      </w:r>
      <w:r w:rsidR="00A262A0">
        <w:rPr>
          <w:rFonts w:ascii="Verdana" w:eastAsia="Times" w:hAnsi="Verdana"/>
        </w:rPr>
        <w:t xml:space="preserve">always </w:t>
      </w:r>
      <w:r>
        <w:rPr>
          <w:rFonts w:ascii="Verdana" w:eastAsia="Times" w:hAnsi="Verdana"/>
        </w:rPr>
        <w:t>me</w:t>
      </w:r>
      <w:r w:rsidR="00CB4D94">
        <w:rPr>
          <w:rFonts w:ascii="Verdana" w:eastAsia="Times" w:hAnsi="Verdana"/>
        </w:rPr>
        <w:t>e</w:t>
      </w:r>
      <w:r>
        <w:rPr>
          <w:rFonts w:ascii="Verdana" w:eastAsia="Times" w:hAnsi="Verdana"/>
        </w:rPr>
        <w:t xml:space="preserve">t the </w:t>
      </w:r>
      <w:r w:rsidRPr="00031BAF">
        <w:rPr>
          <w:rFonts w:ascii="Verdana" w:eastAsia="Times" w:hAnsi="Verdana"/>
        </w:rPr>
        <w:t xml:space="preserve">requirements for </w:t>
      </w:r>
      <w:r w:rsidR="00A262A0">
        <w:rPr>
          <w:rFonts w:ascii="Verdana" w:eastAsia="Times" w:hAnsi="Verdana"/>
        </w:rPr>
        <w:t xml:space="preserve">reporting, the stakeholders </w:t>
      </w:r>
      <w:r w:rsidR="00CB4D94">
        <w:rPr>
          <w:rFonts w:ascii="Verdana" w:eastAsia="Times" w:hAnsi="Verdana"/>
        </w:rPr>
        <w:t xml:space="preserve">felt </w:t>
      </w:r>
      <w:r w:rsidR="00A262A0">
        <w:rPr>
          <w:rFonts w:ascii="Verdana" w:eastAsia="Times" w:hAnsi="Verdana"/>
        </w:rPr>
        <w:t xml:space="preserve">it was </w:t>
      </w:r>
      <w:r w:rsidR="00D91D4C">
        <w:rPr>
          <w:rFonts w:ascii="Verdana" w:eastAsia="Times" w:hAnsi="Verdana"/>
        </w:rPr>
        <w:t xml:space="preserve">a </w:t>
      </w:r>
      <w:r w:rsidR="00A262A0">
        <w:rPr>
          <w:rFonts w:ascii="Verdana" w:eastAsia="Times" w:hAnsi="Verdana"/>
        </w:rPr>
        <w:t xml:space="preserve">better </w:t>
      </w:r>
      <w:r w:rsidR="00D91D4C">
        <w:rPr>
          <w:rFonts w:ascii="Verdana" w:eastAsia="Times" w:hAnsi="Verdana"/>
        </w:rPr>
        <w:t xml:space="preserve">course of action </w:t>
      </w:r>
      <w:r w:rsidR="00A262A0">
        <w:rPr>
          <w:rFonts w:ascii="Verdana" w:eastAsia="Times" w:hAnsi="Verdana"/>
        </w:rPr>
        <w:t>than not sharing the information at all</w:t>
      </w:r>
      <w:r>
        <w:rPr>
          <w:rFonts w:ascii="Verdana" w:eastAsia="Times" w:hAnsi="Verdana"/>
        </w:rPr>
        <w:t>.</w:t>
      </w:r>
    </w:p>
    <w:p w:rsidR="00031BAF" w:rsidRDefault="00031BAF" w:rsidP="00031BAF">
      <w:pPr>
        <w:rPr>
          <w:rFonts w:ascii="Verdana" w:eastAsia="Times" w:hAnsi="Verdana"/>
        </w:rPr>
      </w:pPr>
    </w:p>
    <w:p w:rsidR="005C79CE" w:rsidRDefault="00AB0228" w:rsidP="00031BAF">
      <w:pPr>
        <w:rPr>
          <w:rFonts w:ascii="Verdana" w:eastAsia="Times" w:hAnsi="Verdana"/>
        </w:rPr>
      </w:pPr>
      <w:r>
        <w:rPr>
          <w:rFonts w:ascii="Verdana" w:eastAsia="Times" w:hAnsi="Verdana"/>
        </w:rPr>
        <w:lastRenderedPageBreak/>
        <w:t xml:space="preserve">The majority of </w:t>
      </w:r>
      <w:r w:rsidR="00CB4D94">
        <w:rPr>
          <w:rFonts w:ascii="Verdana" w:eastAsia="Times" w:hAnsi="Verdana"/>
        </w:rPr>
        <w:t>stakeholders also</w:t>
      </w:r>
      <w:r w:rsidR="00031BAF" w:rsidRPr="00031BAF">
        <w:rPr>
          <w:rFonts w:ascii="Verdana" w:eastAsia="Times" w:hAnsi="Verdana"/>
        </w:rPr>
        <w:t xml:space="preserve"> advised </w:t>
      </w:r>
      <w:r w:rsidR="00CB4D94">
        <w:rPr>
          <w:rFonts w:ascii="Verdana" w:eastAsia="Times" w:hAnsi="Verdana"/>
        </w:rPr>
        <w:t xml:space="preserve">that </w:t>
      </w:r>
      <w:r w:rsidR="00031BAF" w:rsidRPr="00031BAF">
        <w:rPr>
          <w:rFonts w:ascii="Verdana" w:eastAsia="Times" w:hAnsi="Verdana"/>
        </w:rPr>
        <w:t xml:space="preserve">they would </w:t>
      </w:r>
      <w:r w:rsidR="00CB4D94">
        <w:rPr>
          <w:rFonts w:ascii="Verdana" w:eastAsia="Times" w:hAnsi="Verdana"/>
        </w:rPr>
        <w:t xml:space="preserve">use the opportunity to share information under the CIS Scheme </w:t>
      </w:r>
      <w:r w:rsidR="00031BAF" w:rsidRPr="00031BAF">
        <w:rPr>
          <w:rFonts w:ascii="Verdana" w:eastAsia="Times" w:hAnsi="Verdana"/>
        </w:rPr>
        <w:t xml:space="preserve">as a preventative measure, </w:t>
      </w:r>
      <w:r w:rsidR="00CB4D94">
        <w:rPr>
          <w:rFonts w:ascii="Verdana" w:eastAsia="Times" w:hAnsi="Verdana"/>
        </w:rPr>
        <w:t xml:space="preserve">including in cases that they would otherwise have reported </w:t>
      </w:r>
      <w:r>
        <w:rPr>
          <w:rFonts w:ascii="Verdana" w:eastAsia="Times" w:hAnsi="Verdana"/>
        </w:rPr>
        <w:t xml:space="preserve">directly </w:t>
      </w:r>
      <w:r w:rsidR="00CB4D94">
        <w:rPr>
          <w:rFonts w:ascii="Verdana" w:eastAsia="Times" w:hAnsi="Verdana"/>
        </w:rPr>
        <w:t>to Child Protection</w:t>
      </w:r>
      <w:r>
        <w:rPr>
          <w:rFonts w:ascii="Verdana" w:eastAsia="Times" w:hAnsi="Verdana"/>
        </w:rPr>
        <w:t>, noting that reporting to Child Protection may still be necessary in these cases</w:t>
      </w:r>
      <w:r w:rsidR="00CB4D94">
        <w:rPr>
          <w:rFonts w:ascii="Verdana" w:eastAsia="Times" w:hAnsi="Verdana"/>
        </w:rPr>
        <w:t>. It is likely that, over time, such preventative action will lead t</w:t>
      </w:r>
      <w:r w:rsidR="00A262A0">
        <w:rPr>
          <w:rFonts w:ascii="Verdana" w:eastAsia="Times" w:hAnsi="Verdana"/>
        </w:rPr>
        <w:t>o a reduction in pressure on Chi</w:t>
      </w:r>
      <w:r w:rsidR="00CB4D94">
        <w:rPr>
          <w:rFonts w:ascii="Verdana" w:eastAsia="Times" w:hAnsi="Verdana"/>
        </w:rPr>
        <w:t>ld Protection and Child FIRST systems.</w:t>
      </w:r>
    </w:p>
    <w:p w:rsidR="005C79CE" w:rsidRDefault="005C79CE" w:rsidP="00031BAF">
      <w:pPr>
        <w:rPr>
          <w:rFonts w:ascii="Verdana" w:eastAsia="Times" w:hAnsi="Verdana"/>
        </w:rPr>
      </w:pPr>
    </w:p>
    <w:p w:rsidR="00031BAF" w:rsidRPr="00031BAF" w:rsidRDefault="005C79CE" w:rsidP="00031BAF">
      <w:pPr>
        <w:rPr>
          <w:rFonts w:ascii="Verdana" w:eastAsia="Times" w:hAnsi="Verdana"/>
        </w:rPr>
      </w:pPr>
      <w:r>
        <w:rPr>
          <w:rFonts w:ascii="Verdana" w:eastAsia="Times" w:hAnsi="Verdana"/>
        </w:rPr>
        <w:t>Beyond the likel</w:t>
      </w:r>
      <w:r w:rsidR="00A262A0">
        <w:rPr>
          <w:rFonts w:ascii="Verdana" w:eastAsia="Times" w:hAnsi="Verdana"/>
        </w:rPr>
        <w:t>y reduction in workload, these attitudes demonstrate</w:t>
      </w:r>
      <w:r>
        <w:rPr>
          <w:rFonts w:ascii="Verdana" w:eastAsia="Times" w:hAnsi="Verdana"/>
        </w:rPr>
        <w:t xml:space="preserve"> a commitment to early intervention</w:t>
      </w:r>
      <w:r w:rsidR="00A262A0">
        <w:rPr>
          <w:rFonts w:ascii="Verdana" w:eastAsia="Times" w:hAnsi="Verdana"/>
        </w:rPr>
        <w:t xml:space="preserve"> amongst workforces proposed for prescription of Phase Two of the CIS Scheme</w:t>
      </w:r>
      <w:r>
        <w:rPr>
          <w:rFonts w:ascii="Verdana" w:eastAsia="Times" w:hAnsi="Verdana"/>
        </w:rPr>
        <w:t xml:space="preserve">, </w:t>
      </w:r>
      <w:r w:rsidR="00A262A0">
        <w:rPr>
          <w:rFonts w:ascii="Verdana" w:eastAsia="Times" w:hAnsi="Verdana"/>
        </w:rPr>
        <w:t>a commitment which</w:t>
      </w:r>
      <w:r>
        <w:rPr>
          <w:rFonts w:ascii="Verdana" w:eastAsia="Times" w:hAnsi="Verdana"/>
        </w:rPr>
        <w:t xml:space="preserve"> </w:t>
      </w:r>
      <w:r w:rsidR="00D531DB">
        <w:rPr>
          <w:rFonts w:ascii="Verdana" w:eastAsia="Times" w:hAnsi="Verdana"/>
        </w:rPr>
        <w:t>can be expected to</w:t>
      </w:r>
      <w:r>
        <w:rPr>
          <w:rFonts w:ascii="Verdana" w:eastAsia="Times" w:hAnsi="Verdana"/>
        </w:rPr>
        <w:t xml:space="preserve"> have pos</w:t>
      </w:r>
      <w:r w:rsidR="00A0551F">
        <w:rPr>
          <w:rFonts w:ascii="Verdana" w:eastAsia="Times" w:hAnsi="Verdana"/>
        </w:rPr>
        <w:t xml:space="preserve">itive consequences for child </w:t>
      </w:r>
      <w:r w:rsidR="00A262A0">
        <w:rPr>
          <w:rFonts w:ascii="Verdana" w:eastAsia="Times" w:hAnsi="Verdana"/>
        </w:rPr>
        <w:t xml:space="preserve">wellbeing and safety </w:t>
      </w:r>
      <w:r w:rsidR="00A0551F">
        <w:rPr>
          <w:rFonts w:ascii="Verdana" w:eastAsia="Times" w:hAnsi="Verdana"/>
        </w:rPr>
        <w:t>over time</w:t>
      </w:r>
      <w:r>
        <w:rPr>
          <w:rFonts w:ascii="Verdana" w:eastAsia="Times" w:hAnsi="Verdana"/>
        </w:rPr>
        <w:t>.</w:t>
      </w:r>
    </w:p>
    <w:p w:rsidR="0049118E" w:rsidRPr="00D94ADF" w:rsidRDefault="0049118E" w:rsidP="0049118E">
      <w:pPr>
        <w:pStyle w:val="Heading2"/>
        <w:rPr>
          <w:rFonts w:ascii="Verdana" w:hAnsi="Verdana"/>
        </w:rPr>
      </w:pPr>
      <w:bookmarkStart w:id="40" w:name="_Toc23510784"/>
      <w:r w:rsidRPr="00D94ADF">
        <w:rPr>
          <w:rFonts w:ascii="Verdana" w:hAnsi="Verdana"/>
        </w:rPr>
        <w:t>Improvements in health and wellbeing outcomes for Victorian children</w:t>
      </w:r>
      <w:bookmarkEnd w:id="40"/>
    </w:p>
    <w:p w:rsidR="00942D1E" w:rsidRDefault="00C11E14" w:rsidP="0024000A">
      <w:pPr>
        <w:pStyle w:val="WOVGbody"/>
        <w:rPr>
          <w:rFonts w:ascii="Verdana" w:hAnsi="Verdana"/>
        </w:rPr>
      </w:pPr>
      <w:r>
        <w:rPr>
          <w:rFonts w:ascii="Verdana" w:hAnsi="Verdana"/>
        </w:rPr>
        <w:t xml:space="preserve">Information sharing under the CIS Scheme will have the potential to improve service delivery and the health and wellbeing outcomes of all </w:t>
      </w:r>
      <w:r w:rsidR="00A0551F" w:rsidRPr="0024000A">
        <w:rPr>
          <w:rFonts w:ascii="Verdana" w:hAnsi="Verdana"/>
        </w:rPr>
        <w:t xml:space="preserve">Victorian </w:t>
      </w:r>
      <w:r w:rsidR="0024000A" w:rsidRPr="0024000A">
        <w:rPr>
          <w:rFonts w:ascii="Verdana" w:hAnsi="Verdana"/>
        </w:rPr>
        <w:t>children</w:t>
      </w:r>
      <w:r w:rsidR="00AE1542">
        <w:rPr>
          <w:rFonts w:ascii="Verdana" w:hAnsi="Verdana"/>
        </w:rPr>
        <w:t xml:space="preserve">, not least because Phase Two of the CIS Scheme will prescribe large universal services that interact </w:t>
      </w:r>
      <w:r w:rsidR="00D91D4C">
        <w:rPr>
          <w:rFonts w:ascii="Verdana" w:hAnsi="Verdana"/>
        </w:rPr>
        <w:t xml:space="preserve">with </w:t>
      </w:r>
      <w:r w:rsidR="00AE1542">
        <w:rPr>
          <w:rFonts w:ascii="Verdana" w:hAnsi="Verdana"/>
        </w:rPr>
        <w:t>and support nearly all Victorian children and their families.</w:t>
      </w:r>
      <w:r w:rsidR="00942D1E">
        <w:rPr>
          <w:rFonts w:ascii="Verdana" w:hAnsi="Verdana"/>
        </w:rPr>
        <w:t xml:space="preserve"> Improvements to health </w:t>
      </w:r>
      <w:r w:rsidR="00AB0228">
        <w:rPr>
          <w:rFonts w:ascii="Verdana" w:hAnsi="Verdana"/>
        </w:rPr>
        <w:t>and wellbeing outcomes may range</w:t>
      </w:r>
      <w:r w:rsidR="00942D1E">
        <w:rPr>
          <w:rFonts w:ascii="Verdana" w:hAnsi="Verdana"/>
        </w:rPr>
        <w:t xml:space="preserve"> from improved access to academic support or improved transition</w:t>
      </w:r>
      <w:r w:rsidR="00D91D4C">
        <w:rPr>
          <w:rFonts w:ascii="Verdana" w:hAnsi="Verdana"/>
        </w:rPr>
        <w:t>ing</w:t>
      </w:r>
      <w:r w:rsidR="00942D1E">
        <w:rPr>
          <w:rFonts w:ascii="Verdana" w:hAnsi="Verdana"/>
        </w:rPr>
        <w:t xml:space="preserve"> between education or health services, to avoidance of significant risk to the health of a child.</w:t>
      </w:r>
    </w:p>
    <w:p w:rsidR="00942D1E" w:rsidRDefault="00C11E14" w:rsidP="00301504">
      <w:pPr>
        <w:pStyle w:val="WOVGbody"/>
        <w:rPr>
          <w:rFonts w:ascii="Verdana" w:hAnsi="Verdana"/>
        </w:rPr>
      </w:pPr>
      <w:r>
        <w:rPr>
          <w:rFonts w:ascii="Verdana" w:hAnsi="Verdana"/>
        </w:rPr>
        <w:t xml:space="preserve">In order to demonstrate </w:t>
      </w:r>
      <w:r w:rsidR="00AF4ADD">
        <w:rPr>
          <w:rFonts w:ascii="Verdana" w:hAnsi="Verdana"/>
        </w:rPr>
        <w:t xml:space="preserve">any potential positive cost impacts of the </w:t>
      </w:r>
      <w:r w:rsidR="00AE1542">
        <w:rPr>
          <w:rFonts w:ascii="Verdana" w:hAnsi="Verdana"/>
        </w:rPr>
        <w:t xml:space="preserve">implementation of the </w:t>
      </w:r>
      <w:r w:rsidR="00AF4ADD">
        <w:rPr>
          <w:rFonts w:ascii="Verdana" w:hAnsi="Verdana"/>
        </w:rPr>
        <w:t xml:space="preserve">CIS Scheme, </w:t>
      </w:r>
      <w:r>
        <w:rPr>
          <w:rFonts w:ascii="Verdana" w:hAnsi="Verdana"/>
        </w:rPr>
        <w:t>this RIS has rel</w:t>
      </w:r>
      <w:r w:rsidR="00C8281E">
        <w:rPr>
          <w:rFonts w:ascii="Verdana" w:hAnsi="Verdana"/>
        </w:rPr>
        <w:t>ied</w:t>
      </w:r>
      <w:r>
        <w:rPr>
          <w:rFonts w:ascii="Verdana" w:hAnsi="Verdana"/>
        </w:rPr>
        <w:t xml:space="preserve"> on data </w:t>
      </w:r>
      <w:r w:rsidR="00AE1542">
        <w:rPr>
          <w:rFonts w:ascii="Verdana" w:hAnsi="Verdana"/>
        </w:rPr>
        <w:t>illustrating the cost</w:t>
      </w:r>
      <w:r>
        <w:rPr>
          <w:rFonts w:ascii="Verdana" w:hAnsi="Verdana"/>
        </w:rPr>
        <w:t xml:space="preserve"> impacts </w:t>
      </w:r>
      <w:r w:rsidR="00AE1542">
        <w:rPr>
          <w:rFonts w:ascii="Verdana" w:hAnsi="Verdana"/>
        </w:rPr>
        <w:t xml:space="preserve">related </w:t>
      </w:r>
      <w:r w:rsidR="00AE1542" w:rsidRPr="00942D1E">
        <w:rPr>
          <w:rFonts w:ascii="Verdana" w:hAnsi="Verdana"/>
        </w:rPr>
        <w:t xml:space="preserve">to </w:t>
      </w:r>
      <w:r w:rsidR="0024000A" w:rsidRPr="00942D1E">
        <w:rPr>
          <w:rFonts w:ascii="Verdana" w:hAnsi="Verdana"/>
        </w:rPr>
        <w:t xml:space="preserve">high risk </w:t>
      </w:r>
      <w:r w:rsidR="00942D1E" w:rsidRPr="00942D1E">
        <w:rPr>
          <w:rFonts w:ascii="Verdana" w:hAnsi="Verdana"/>
        </w:rPr>
        <w:t xml:space="preserve">cases where children </w:t>
      </w:r>
      <w:r w:rsidR="00AB0228">
        <w:rPr>
          <w:rFonts w:ascii="Verdana" w:hAnsi="Verdana"/>
        </w:rPr>
        <w:t xml:space="preserve">are already </w:t>
      </w:r>
      <w:r w:rsidR="00942D1E" w:rsidRPr="00942D1E">
        <w:rPr>
          <w:rFonts w:ascii="Verdana" w:hAnsi="Verdana"/>
        </w:rPr>
        <w:t xml:space="preserve">receiving support from secondary and tertiary services. </w:t>
      </w:r>
      <w:r w:rsidR="00942D1E">
        <w:rPr>
          <w:rFonts w:ascii="Verdana" w:hAnsi="Verdana"/>
        </w:rPr>
        <w:t>This approach cannot demonstrate the full potential positive impact of the CIS Scheme</w:t>
      </w:r>
      <w:r w:rsidR="00D531DB">
        <w:rPr>
          <w:rFonts w:ascii="Verdana" w:hAnsi="Verdana"/>
        </w:rPr>
        <w:t>,</w:t>
      </w:r>
      <w:r w:rsidR="00942D1E">
        <w:rPr>
          <w:rFonts w:ascii="Verdana" w:hAnsi="Verdana"/>
        </w:rPr>
        <w:t xml:space="preserve"> but it illustrates that even a limited impact on the </w:t>
      </w:r>
      <w:r w:rsidR="00AB0228">
        <w:rPr>
          <w:rFonts w:ascii="Verdana" w:hAnsi="Verdana"/>
        </w:rPr>
        <w:t xml:space="preserve">number and seriousness of </w:t>
      </w:r>
      <w:r w:rsidR="00942D1E">
        <w:rPr>
          <w:rFonts w:ascii="Verdana" w:hAnsi="Verdana"/>
        </w:rPr>
        <w:t xml:space="preserve">high risk cases will </w:t>
      </w:r>
      <w:r w:rsidR="00AB0228">
        <w:rPr>
          <w:rFonts w:ascii="Verdana" w:hAnsi="Verdana"/>
        </w:rPr>
        <w:t>represent significant value from a humanitarian as well as economic perspective.</w:t>
      </w:r>
    </w:p>
    <w:p w:rsidR="00FE1517" w:rsidRPr="00D94ADF" w:rsidRDefault="00FE1517" w:rsidP="00FE1517">
      <w:pPr>
        <w:pStyle w:val="Heading3"/>
        <w:rPr>
          <w:rFonts w:ascii="Verdana" w:hAnsi="Verdana"/>
        </w:rPr>
      </w:pPr>
      <w:r w:rsidRPr="00D94ADF">
        <w:rPr>
          <w:rFonts w:ascii="Verdana" w:hAnsi="Verdana"/>
        </w:rPr>
        <w:t>The costs of child abuse and neglect</w:t>
      </w:r>
    </w:p>
    <w:p w:rsidR="00AF4ADD" w:rsidRPr="00301504" w:rsidRDefault="00FE1517" w:rsidP="00FE1517">
      <w:pPr>
        <w:pStyle w:val="WOVGbody"/>
        <w:rPr>
          <w:rFonts w:ascii="Verdana" w:hAnsi="Verdana"/>
        </w:rPr>
      </w:pPr>
      <w:r>
        <w:rPr>
          <w:rFonts w:ascii="Verdana" w:hAnsi="Verdana"/>
        </w:rPr>
        <w:t xml:space="preserve">The direct costs </w:t>
      </w:r>
      <w:r w:rsidR="008549B5">
        <w:rPr>
          <w:rFonts w:ascii="Verdana" w:hAnsi="Verdana"/>
        </w:rPr>
        <w:t>associated with</w:t>
      </w:r>
      <w:r w:rsidR="004374CE">
        <w:rPr>
          <w:rFonts w:ascii="Verdana" w:hAnsi="Verdana"/>
        </w:rPr>
        <w:t xml:space="preserve"> the provision of</w:t>
      </w:r>
      <w:r w:rsidR="008549B5">
        <w:rPr>
          <w:rFonts w:ascii="Verdana" w:hAnsi="Verdana"/>
        </w:rPr>
        <w:t xml:space="preserve"> Child P</w:t>
      </w:r>
      <w:r w:rsidR="00AF4ADD" w:rsidRPr="00D91F28">
        <w:rPr>
          <w:rFonts w:ascii="Verdana" w:hAnsi="Verdana"/>
        </w:rPr>
        <w:t>rotection</w:t>
      </w:r>
      <w:r w:rsidR="004374CE">
        <w:rPr>
          <w:rFonts w:ascii="Verdana" w:hAnsi="Verdana"/>
        </w:rPr>
        <w:t xml:space="preserve"> services</w:t>
      </w:r>
      <w:r w:rsidR="00AF4ADD" w:rsidRPr="00D91F28">
        <w:rPr>
          <w:rFonts w:ascii="Verdana" w:hAnsi="Verdana"/>
        </w:rPr>
        <w:t xml:space="preserve">, out-of-home care (OOHC) and related </w:t>
      </w:r>
      <w:r w:rsidR="00AF4ADD" w:rsidRPr="00301504">
        <w:rPr>
          <w:rFonts w:ascii="Verdana" w:hAnsi="Verdana"/>
        </w:rPr>
        <w:t xml:space="preserve">family support services </w:t>
      </w:r>
      <w:r>
        <w:rPr>
          <w:rFonts w:ascii="Verdana" w:hAnsi="Verdana"/>
        </w:rPr>
        <w:t>can be determined and are stated</w:t>
      </w:r>
      <w:r w:rsidR="00AF4ADD" w:rsidRPr="00301504">
        <w:rPr>
          <w:rFonts w:ascii="Verdana" w:hAnsi="Verdana"/>
        </w:rPr>
        <w:t xml:space="preserve"> in the Productivity Commission’s </w:t>
      </w:r>
      <w:r w:rsidR="00AF4ADD" w:rsidRPr="00D91F28">
        <w:rPr>
          <w:rFonts w:ascii="Verdana" w:hAnsi="Verdana"/>
        </w:rPr>
        <w:t>Report on Government Services.</w:t>
      </w:r>
      <w:r w:rsidR="00B018BF">
        <w:rPr>
          <w:rStyle w:val="FootnoteReference"/>
          <w:rFonts w:ascii="Verdana" w:hAnsi="Verdana"/>
        </w:rPr>
        <w:footnoteReference w:id="28"/>
      </w:r>
      <w:r w:rsidR="00AF4ADD" w:rsidRPr="00D91F28">
        <w:rPr>
          <w:rFonts w:ascii="Verdana" w:hAnsi="Verdana"/>
        </w:rPr>
        <w:t xml:space="preserve"> </w:t>
      </w:r>
      <w:r w:rsidR="00AF4ADD" w:rsidRPr="00301504">
        <w:rPr>
          <w:rFonts w:ascii="Verdana" w:hAnsi="Verdana"/>
        </w:rPr>
        <w:t>The longer-term and indirect costs of child abuse and neglect are far more dif</w:t>
      </w:r>
      <w:r>
        <w:rPr>
          <w:rFonts w:ascii="Verdana" w:hAnsi="Verdana"/>
        </w:rPr>
        <w:t xml:space="preserve">ficult to determine, but we know that </w:t>
      </w:r>
      <w:r w:rsidR="00AF4ADD" w:rsidRPr="00301504">
        <w:rPr>
          <w:rFonts w:ascii="Verdana" w:hAnsi="Verdana"/>
        </w:rPr>
        <w:t>child abuse and neglect can increase the n</w:t>
      </w:r>
      <w:r w:rsidR="00EE4D4E">
        <w:rPr>
          <w:rFonts w:ascii="Verdana" w:hAnsi="Verdana"/>
        </w:rPr>
        <w:t xml:space="preserve">eed for specialist services </w:t>
      </w:r>
      <w:r w:rsidR="00AF4ADD" w:rsidRPr="00301504">
        <w:rPr>
          <w:rFonts w:ascii="Verdana" w:hAnsi="Verdana"/>
        </w:rPr>
        <w:t>wh</w:t>
      </w:r>
      <w:r>
        <w:rPr>
          <w:rFonts w:ascii="Verdana" w:hAnsi="Verdana"/>
        </w:rPr>
        <w:t>en those children become adults</w:t>
      </w:r>
      <w:r w:rsidR="005B4D34">
        <w:rPr>
          <w:rFonts w:ascii="Verdana" w:hAnsi="Verdana"/>
        </w:rPr>
        <w:t>.</w:t>
      </w:r>
      <w:r>
        <w:rPr>
          <w:rStyle w:val="FootnoteReference"/>
          <w:rFonts w:ascii="Verdana" w:hAnsi="Verdana"/>
        </w:rPr>
        <w:footnoteReference w:id="29"/>
      </w:r>
      <w:r w:rsidR="00EE4D4E">
        <w:rPr>
          <w:rFonts w:ascii="Verdana" w:hAnsi="Verdana"/>
        </w:rPr>
        <w:t xml:space="preserve"> These service</w:t>
      </w:r>
      <w:r w:rsidR="00C8281E">
        <w:rPr>
          <w:rFonts w:ascii="Verdana" w:hAnsi="Verdana"/>
        </w:rPr>
        <w:t xml:space="preserve"> needs </w:t>
      </w:r>
      <w:r w:rsidR="00A437F1">
        <w:rPr>
          <w:rFonts w:ascii="Verdana" w:hAnsi="Verdana"/>
        </w:rPr>
        <w:t>may include and relate to</w:t>
      </w:r>
      <w:r w:rsidR="00AF4ADD" w:rsidRPr="00301504">
        <w:rPr>
          <w:rFonts w:ascii="Verdana" w:hAnsi="Verdana"/>
        </w:rPr>
        <w:t>:</w:t>
      </w:r>
    </w:p>
    <w:p w:rsidR="00AF4ADD" w:rsidRPr="00301504" w:rsidRDefault="008549B5" w:rsidP="00A76FAF">
      <w:pPr>
        <w:pStyle w:val="WOVGbody"/>
        <w:numPr>
          <w:ilvl w:val="0"/>
          <w:numId w:val="34"/>
        </w:numPr>
        <w:ind w:left="426"/>
        <w:rPr>
          <w:rFonts w:ascii="Verdana" w:hAnsi="Verdana"/>
        </w:rPr>
      </w:pPr>
      <w:r>
        <w:rPr>
          <w:rFonts w:ascii="Verdana" w:hAnsi="Verdana"/>
        </w:rPr>
        <w:t>h</w:t>
      </w:r>
      <w:r w:rsidR="00AF4ADD" w:rsidRPr="00301504">
        <w:rPr>
          <w:rFonts w:ascii="Verdana" w:hAnsi="Verdana"/>
        </w:rPr>
        <w:t>omelessness and housing</w:t>
      </w:r>
      <w:r w:rsidR="00A437F1">
        <w:rPr>
          <w:rFonts w:ascii="Verdana" w:hAnsi="Verdana"/>
        </w:rPr>
        <w:t xml:space="preserve"> related</w:t>
      </w:r>
      <w:r w:rsidR="00AF4ADD" w:rsidRPr="00301504">
        <w:rPr>
          <w:rFonts w:ascii="Verdana" w:hAnsi="Verdana"/>
        </w:rPr>
        <w:t xml:space="preserve"> problems</w:t>
      </w:r>
    </w:p>
    <w:p w:rsidR="00AF4ADD" w:rsidRPr="00301504" w:rsidRDefault="008549B5" w:rsidP="00A76FAF">
      <w:pPr>
        <w:pStyle w:val="WOVGbody"/>
        <w:numPr>
          <w:ilvl w:val="0"/>
          <w:numId w:val="34"/>
        </w:numPr>
        <w:ind w:left="426"/>
        <w:rPr>
          <w:rFonts w:ascii="Verdana" w:hAnsi="Verdana"/>
        </w:rPr>
      </w:pPr>
      <w:r>
        <w:rPr>
          <w:rFonts w:ascii="Verdana" w:hAnsi="Verdana"/>
        </w:rPr>
        <w:t>a</w:t>
      </w:r>
      <w:r w:rsidR="00AB0228">
        <w:rPr>
          <w:rFonts w:ascii="Verdana" w:hAnsi="Verdana"/>
        </w:rPr>
        <w:t xml:space="preserve">lcohol and other drug </w:t>
      </w:r>
      <w:r w:rsidR="00AF4ADD" w:rsidRPr="00301504">
        <w:rPr>
          <w:rFonts w:ascii="Verdana" w:hAnsi="Verdana"/>
        </w:rPr>
        <w:t>issues</w:t>
      </w:r>
    </w:p>
    <w:p w:rsidR="00AF4ADD" w:rsidRPr="00301504" w:rsidRDefault="008549B5" w:rsidP="00A76FAF">
      <w:pPr>
        <w:pStyle w:val="WOVGbody"/>
        <w:numPr>
          <w:ilvl w:val="0"/>
          <w:numId w:val="34"/>
        </w:numPr>
        <w:ind w:left="426"/>
        <w:rPr>
          <w:rFonts w:ascii="Verdana" w:hAnsi="Verdana"/>
        </w:rPr>
      </w:pPr>
      <w:r>
        <w:rPr>
          <w:rFonts w:ascii="Verdana" w:hAnsi="Verdana"/>
        </w:rPr>
        <w:t>m</w:t>
      </w:r>
      <w:r w:rsidR="00AF4ADD" w:rsidRPr="00301504">
        <w:rPr>
          <w:rFonts w:ascii="Verdana" w:hAnsi="Verdana"/>
        </w:rPr>
        <w:t>ental illness</w:t>
      </w:r>
    </w:p>
    <w:p w:rsidR="00AF4ADD" w:rsidRPr="00301504" w:rsidRDefault="008549B5" w:rsidP="00A76FAF">
      <w:pPr>
        <w:pStyle w:val="WOVGbody"/>
        <w:numPr>
          <w:ilvl w:val="0"/>
          <w:numId w:val="34"/>
        </w:numPr>
        <w:ind w:left="426"/>
        <w:rPr>
          <w:rFonts w:ascii="Verdana" w:hAnsi="Verdana"/>
        </w:rPr>
      </w:pPr>
      <w:r>
        <w:rPr>
          <w:rFonts w:ascii="Verdana" w:hAnsi="Verdana"/>
        </w:rPr>
        <w:t>c</w:t>
      </w:r>
      <w:r w:rsidR="00AF4ADD" w:rsidRPr="00301504">
        <w:rPr>
          <w:rFonts w:ascii="Verdana" w:hAnsi="Verdana"/>
        </w:rPr>
        <w:t xml:space="preserve">riminality </w:t>
      </w:r>
    </w:p>
    <w:p w:rsidR="00AF4ADD" w:rsidRPr="00301504" w:rsidRDefault="008549B5" w:rsidP="00A76FAF">
      <w:pPr>
        <w:pStyle w:val="WOVGbody"/>
        <w:numPr>
          <w:ilvl w:val="0"/>
          <w:numId w:val="34"/>
        </w:numPr>
        <w:ind w:left="426"/>
        <w:rPr>
          <w:rFonts w:ascii="Verdana" w:hAnsi="Verdana"/>
        </w:rPr>
      </w:pPr>
      <w:r>
        <w:rPr>
          <w:rFonts w:ascii="Verdana" w:hAnsi="Verdana"/>
        </w:rPr>
        <w:t>p</w:t>
      </w:r>
      <w:r w:rsidR="00AB0228">
        <w:rPr>
          <w:rFonts w:ascii="Verdana" w:hAnsi="Verdana"/>
        </w:rPr>
        <w:t>oor physical health</w:t>
      </w:r>
    </w:p>
    <w:p w:rsidR="00EE4D4E" w:rsidRDefault="00EE4D4E" w:rsidP="00301504">
      <w:pPr>
        <w:pStyle w:val="WOVGbody"/>
        <w:rPr>
          <w:rFonts w:ascii="Verdana" w:hAnsi="Verdana"/>
        </w:rPr>
      </w:pPr>
      <w:r>
        <w:rPr>
          <w:rFonts w:ascii="Verdana" w:hAnsi="Verdana" w:cstheme="minorHAnsi"/>
          <w:lang w:val="en"/>
        </w:rPr>
        <w:t>In support of these findings, a</w:t>
      </w:r>
      <w:r w:rsidRPr="00301504">
        <w:rPr>
          <w:rFonts w:ascii="Verdana" w:hAnsi="Verdana" w:cstheme="minorHAnsi"/>
          <w:lang w:val="en"/>
        </w:rPr>
        <w:t xml:space="preserve"> recent </w:t>
      </w:r>
      <w:r>
        <w:rPr>
          <w:rFonts w:ascii="Verdana" w:hAnsi="Verdana" w:cstheme="minorHAnsi"/>
          <w:lang w:val="en"/>
        </w:rPr>
        <w:t xml:space="preserve">Victorian Government inquiry into </w:t>
      </w:r>
      <w:r w:rsidR="008549B5">
        <w:rPr>
          <w:rFonts w:ascii="Verdana" w:hAnsi="Verdana" w:cstheme="minorHAnsi"/>
          <w:lang w:val="en"/>
        </w:rPr>
        <w:t>y</w:t>
      </w:r>
      <w:r>
        <w:rPr>
          <w:rFonts w:ascii="Verdana" w:hAnsi="Verdana" w:cstheme="minorHAnsi"/>
          <w:lang w:val="en"/>
        </w:rPr>
        <w:t>outh</w:t>
      </w:r>
      <w:r w:rsidR="008549B5">
        <w:rPr>
          <w:rFonts w:ascii="Verdana" w:hAnsi="Verdana" w:cstheme="minorHAnsi"/>
          <w:lang w:val="en"/>
        </w:rPr>
        <w:t xml:space="preserve"> justice centre</w:t>
      </w:r>
      <w:r>
        <w:rPr>
          <w:rFonts w:ascii="Verdana" w:hAnsi="Verdana" w:cstheme="minorHAnsi"/>
          <w:lang w:val="en"/>
        </w:rPr>
        <w:t xml:space="preserve">s </w:t>
      </w:r>
      <w:r w:rsidRPr="00301504">
        <w:rPr>
          <w:rFonts w:ascii="Verdana" w:hAnsi="Verdana" w:cstheme="minorHAnsi"/>
          <w:lang w:val="en"/>
        </w:rPr>
        <w:t>found</w:t>
      </w:r>
      <w:r>
        <w:rPr>
          <w:rFonts w:ascii="Verdana" w:hAnsi="Verdana" w:cstheme="minorHAnsi"/>
          <w:lang w:val="en"/>
        </w:rPr>
        <w:t xml:space="preserve"> an over-representation </w:t>
      </w:r>
      <w:r w:rsidRPr="00301504">
        <w:rPr>
          <w:rFonts w:ascii="Verdana" w:hAnsi="Verdana" w:cstheme="minorHAnsi"/>
          <w:lang w:val="en"/>
        </w:rPr>
        <w:t>in youth justice systems</w:t>
      </w:r>
      <w:r>
        <w:rPr>
          <w:rFonts w:ascii="Verdana" w:hAnsi="Verdana" w:cstheme="minorHAnsi"/>
          <w:lang w:val="en"/>
        </w:rPr>
        <w:t xml:space="preserve"> of</w:t>
      </w:r>
      <w:r w:rsidRPr="00301504">
        <w:rPr>
          <w:rFonts w:ascii="Verdana" w:hAnsi="Verdana" w:cstheme="minorHAnsi"/>
          <w:lang w:val="en"/>
        </w:rPr>
        <w:t xml:space="preserve"> children and young people </w:t>
      </w:r>
      <w:r w:rsidRPr="00301504">
        <w:rPr>
          <w:rFonts w:ascii="Verdana" w:hAnsi="Verdana" w:cstheme="minorHAnsi"/>
          <w:lang w:val="en"/>
        </w:rPr>
        <w:lastRenderedPageBreak/>
        <w:t xml:space="preserve">who </w:t>
      </w:r>
      <w:r>
        <w:rPr>
          <w:rFonts w:ascii="Verdana" w:hAnsi="Verdana" w:cstheme="minorHAnsi"/>
          <w:lang w:val="en"/>
        </w:rPr>
        <w:t xml:space="preserve">had </w:t>
      </w:r>
      <w:r w:rsidRPr="00301504">
        <w:rPr>
          <w:rFonts w:ascii="Verdana" w:hAnsi="Verdana" w:cstheme="minorHAnsi"/>
          <w:lang w:val="en"/>
        </w:rPr>
        <w:t>suffer</w:t>
      </w:r>
      <w:r>
        <w:rPr>
          <w:rFonts w:ascii="Verdana" w:hAnsi="Verdana" w:cstheme="minorHAnsi"/>
          <w:lang w:val="en"/>
        </w:rPr>
        <w:t>ed</w:t>
      </w:r>
      <w:r w:rsidRPr="00301504">
        <w:rPr>
          <w:rFonts w:ascii="Verdana" w:hAnsi="Verdana" w:cstheme="minorHAnsi"/>
          <w:lang w:val="en"/>
        </w:rPr>
        <w:t xml:space="preserve"> child abuse and </w:t>
      </w:r>
      <w:r>
        <w:rPr>
          <w:rFonts w:ascii="Verdana" w:hAnsi="Verdana" w:cstheme="minorHAnsi"/>
          <w:lang w:val="en"/>
        </w:rPr>
        <w:t>neglect</w:t>
      </w:r>
      <w:r w:rsidR="005B4D34">
        <w:rPr>
          <w:rFonts w:ascii="Verdana" w:hAnsi="Verdana" w:cstheme="minorHAnsi"/>
          <w:lang w:val="en"/>
        </w:rPr>
        <w:t>.</w:t>
      </w:r>
      <w:r>
        <w:rPr>
          <w:rStyle w:val="FootnoteReference"/>
          <w:rFonts w:ascii="Verdana" w:hAnsi="Verdana" w:cstheme="minorHAnsi"/>
          <w:lang w:val="en"/>
        </w:rPr>
        <w:footnoteReference w:id="30"/>
      </w:r>
      <w:r w:rsidRPr="00301504">
        <w:rPr>
          <w:rFonts w:ascii="Verdana" w:hAnsi="Verdana" w:cstheme="minorHAnsi"/>
          <w:lang w:val="en"/>
        </w:rPr>
        <w:t xml:space="preserve"> The report found that of the children and young people sentenced or on remand in 2015/16, 45</w:t>
      </w:r>
      <w:r w:rsidR="008549B5">
        <w:rPr>
          <w:rFonts w:ascii="Verdana" w:hAnsi="Verdana" w:cstheme="minorHAnsi"/>
          <w:lang w:val="en"/>
        </w:rPr>
        <w:t xml:space="preserve"> per cent</w:t>
      </w:r>
      <w:r w:rsidRPr="00301504">
        <w:rPr>
          <w:rFonts w:ascii="Verdana" w:hAnsi="Verdana" w:cstheme="minorHAnsi"/>
          <w:lang w:val="en"/>
        </w:rPr>
        <w:t xml:space="preserve"> had been subject to a previous</w:t>
      </w:r>
      <w:r w:rsidR="008549B5">
        <w:rPr>
          <w:rFonts w:ascii="Verdana" w:hAnsi="Verdana" w:cstheme="minorHAnsi"/>
          <w:lang w:val="en"/>
        </w:rPr>
        <w:t xml:space="preserve"> child protection order, and 19 per cent</w:t>
      </w:r>
      <w:r w:rsidRPr="00301504">
        <w:rPr>
          <w:rFonts w:ascii="Verdana" w:hAnsi="Verdana" w:cstheme="minorHAnsi"/>
          <w:lang w:val="en"/>
        </w:rPr>
        <w:t xml:space="preserve"> were subject</w:t>
      </w:r>
      <w:r>
        <w:rPr>
          <w:rFonts w:ascii="Verdana" w:hAnsi="Verdana" w:cstheme="minorHAnsi"/>
          <w:lang w:val="en"/>
        </w:rPr>
        <w:t xml:space="preserve"> to a current protection order.</w:t>
      </w:r>
    </w:p>
    <w:p w:rsidR="00AF4ADD" w:rsidRPr="00301504" w:rsidRDefault="00AF4ADD" w:rsidP="00301504">
      <w:pPr>
        <w:pStyle w:val="WOVGbody"/>
        <w:rPr>
          <w:rFonts w:ascii="Verdana" w:hAnsi="Verdana"/>
        </w:rPr>
      </w:pPr>
      <w:r w:rsidRPr="00301504">
        <w:rPr>
          <w:rFonts w:ascii="Verdana" w:hAnsi="Verdana"/>
        </w:rPr>
        <w:t xml:space="preserve">In 2016/2017 Victoria </w:t>
      </w:r>
      <w:r w:rsidR="00FE1517">
        <w:rPr>
          <w:rFonts w:ascii="Verdana" w:hAnsi="Verdana"/>
        </w:rPr>
        <w:t>accounted for</w:t>
      </w:r>
      <w:r w:rsidRPr="00301504">
        <w:rPr>
          <w:rFonts w:ascii="Verdana" w:hAnsi="Verdana"/>
        </w:rPr>
        <w:t xml:space="preserve"> </w:t>
      </w:r>
      <w:r w:rsidR="00FE1517">
        <w:rPr>
          <w:rFonts w:ascii="Verdana" w:hAnsi="Verdana"/>
        </w:rPr>
        <w:t xml:space="preserve">approximately </w:t>
      </w:r>
      <w:r w:rsidR="00AE6996">
        <w:rPr>
          <w:rFonts w:ascii="Verdana" w:hAnsi="Verdana"/>
        </w:rPr>
        <w:t>20 per cent</w:t>
      </w:r>
      <w:r w:rsidRPr="00301504">
        <w:rPr>
          <w:rFonts w:ascii="Verdana" w:hAnsi="Verdana"/>
        </w:rPr>
        <w:t xml:space="preserve"> of the national expenditure on Child Protection, OOHC, inten</w:t>
      </w:r>
      <w:r w:rsidR="00D531DB">
        <w:rPr>
          <w:rFonts w:ascii="Verdana" w:hAnsi="Verdana"/>
        </w:rPr>
        <w:t>sive family support and family support s</w:t>
      </w:r>
      <w:r w:rsidRPr="00301504">
        <w:rPr>
          <w:rFonts w:ascii="Verdana" w:hAnsi="Verdana"/>
        </w:rPr>
        <w:t>ervices</w:t>
      </w:r>
      <w:r w:rsidR="005B4D34">
        <w:rPr>
          <w:rFonts w:ascii="Verdana" w:hAnsi="Verdana"/>
        </w:rPr>
        <w:t>.</w:t>
      </w:r>
      <w:r w:rsidR="00FE1517">
        <w:rPr>
          <w:rStyle w:val="FootnoteReference"/>
          <w:rFonts w:ascii="Verdana" w:hAnsi="Verdana"/>
        </w:rPr>
        <w:footnoteReference w:id="31"/>
      </w:r>
      <w:r w:rsidRPr="00301504">
        <w:rPr>
          <w:rFonts w:ascii="Verdana" w:hAnsi="Verdana"/>
        </w:rPr>
        <w:t xml:space="preserve"> In 2008, it was calculated that the annual cost </w:t>
      </w:r>
      <w:r w:rsidR="00D37A53">
        <w:rPr>
          <w:rFonts w:ascii="Verdana" w:hAnsi="Verdana"/>
        </w:rPr>
        <w:t>to society of child abuse in Australia</w:t>
      </w:r>
      <w:r w:rsidRPr="00301504">
        <w:rPr>
          <w:rFonts w:ascii="Verdana" w:hAnsi="Verdana"/>
        </w:rPr>
        <w:t xml:space="preserve"> was $4 </w:t>
      </w:r>
      <w:r w:rsidR="008549B5">
        <w:rPr>
          <w:rFonts w:ascii="Verdana" w:hAnsi="Verdana"/>
        </w:rPr>
        <w:t>b</w:t>
      </w:r>
      <w:r w:rsidRPr="00301504">
        <w:rPr>
          <w:rFonts w:ascii="Verdana" w:hAnsi="Verdana"/>
        </w:rPr>
        <w:t xml:space="preserve">illion, while the value of </w:t>
      </w:r>
      <w:r w:rsidR="005618B4">
        <w:rPr>
          <w:rFonts w:ascii="Verdana" w:hAnsi="Verdana"/>
        </w:rPr>
        <w:t xml:space="preserve">the </w:t>
      </w:r>
      <w:r w:rsidR="009C30A9">
        <w:rPr>
          <w:rFonts w:ascii="Verdana" w:hAnsi="Verdana"/>
        </w:rPr>
        <w:t xml:space="preserve">related </w:t>
      </w:r>
      <w:r w:rsidRPr="00301504">
        <w:rPr>
          <w:rFonts w:ascii="Verdana" w:hAnsi="Verdana"/>
        </w:rPr>
        <w:t>burden</w:t>
      </w:r>
      <w:r w:rsidR="008549B5">
        <w:rPr>
          <w:rFonts w:ascii="Verdana" w:hAnsi="Verdana"/>
        </w:rPr>
        <w:t xml:space="preserve"> of disease was a further $6.7 b</w:t>
      </w:r>
      <w:r w:rsidRPr="00301504">
        <w:rPr>
          <w:rFonts w:ascii="Verdana" w:hAnsi="Verdana"/>
        </w:rPr>
        <w:t>illio</w:t>
      </w:r>
      <w:r w:rsidR="00C80965">
        <w:rPr>
          <w:rFonts w:ascii="Verdana" w:hAnsi="Verdana"/>
        </w:rPr>
        <w:t>n</w:t>
      </w:r>
      <w:r w:rsidR="005B4D34">
        <w:rPr>
          <w:rFonts w:ascii="Verdana" w:hAnsi="Verdana"/>
        </w:rPr>
        <w:t>.</w:t>
      </w:r>
      <w:r w:rsidR="00D37A53">
        <w:rPr>
          <w:rStyle w:val="FootnoteReference"/>
          <w:rFonts w:ascii="Verdana" w:hAnsi="Verdana"/>
        </w:rPr>
        <w:footnoteReference w:id="32"/>
      </w:r>
      <w:r w:rsidRPr="00301504">
        <w:rPr>
          <w:rFonts w:ascii="Verdana" w:hAnsi="Verdana"/>
        </w:rPr>
        <w:t xml:space="preserve">  </w:t>
      </w:r>
      <w:r w:rsidR="005618B4">
        <w:rPr>
          <w:rFonts w:ascii="Verdana" w:hAnsi="Verdana"/>
        </w:rPr>
        <w:t xml:space="preserve">Assuming that the relevant </w:t>
      </w:r>
      <w:r w:rsidRPr="00301504">
        <w:rPr>
          <w:rFonts w:ascii="Verdana" w:hAnsi="Verdana"/>
        </w:rPr>
        <w:t xml:space="preserve">cost for Victoria </w:t>
      </w:r>
      <w:r w:rsidR="00D531DB">
        <w:rPr>
          <w:rFonts w:ascii="Verdana" w:hAnsi="Verdana"/>
        </w:rPr>
        <w:t>remains at</w:t>
      </w:r>
      <w:r w:rsidR="008549B5">
        <w:rPr>
          <w:rFonts w:ascii="Verdana" w:hAnsi="Verdana"/>
        </w:rPr>
        <w:t xml:space="preserve"> 20 per cent</w:t>
      </w:r>
      <w:r w:rsidRPr="00301504">
        <w:rPr>
          <w:rFonts w:ascii="Verdana" w:hAnsi="Verdana"/>
        </w:rPr>
        <w:t xml:space="preserve"> of the national expenditure, the costs for Victoria</w:t>
      </w:r>
      <w:r w:rsidR="005618B4">
        <w:rPr>
          <w:rFonts w:ascii="Verdana" w:hAnsi="Verdana"/>
        </w:rPr>
        <w:t xml:space="preserve"> related to child abuse and associated disease</w:t>
      </w:r>
      <w:r w:rsidRPr="00301504">
        <w:rPr>
          <w:rFonts w:ascii="Verdana" w:hAnsi="Verdana"/>
        </w:rPr>
        <w:t xml:space="preserve"> would be $2.64 billion in 2018</w:t>
      </w:r>
      <w:r w:rsidR="005B4D34">
        <w:rPr>
          <w:rFonts w:ascii="Verdana" w:hAnsi="Verdana"/>
        </w:rPr>
        <w:t>.</w:t>
      </w:r>
      <w:r w:rsidR="00D37A53">
        <w:rPr>
          <w:rStyle w:val="FootnoteReference"/>
          <w:rFonts w:ascii="Verdana" w:hAnsi="Verdana"/>
        </w:rPr>
        <w:footnoteReference w:id="33"/>
      </w:r>
    </w:p>
    <w:p w:rsidR="00AF4ADD" w:rsidRDefault="00EE4D4E" w:rsidP="00301504">
      <w:pPr>
        <w:pStyle w:val="WOVGbody"/>
        <w:rPr>
          <w:rFonts w:ascii="Verdana" w:hAnsi="Verdana"/>
        </w:rPr>
      </w:pPr>
      <w:r>
        <w:rPr>
          <w:rFonts w:ascii="Verdana" w:hAnsi="Verdana"/>
        </w:rPr>
        <w:t xml:space="preserve">The </w:t>
      </w:r>
      <w:r w:rsidR="00AF4ADD" w:rsidRPr="00301504">
        <w:rPr>
          <w:rFonts w:ascii="Verdana" w:hAnsi="Verdana"/>
        </w:rPr>
        <w:t>cost of unresolved childhood trauma</w:t>
      </w:r>
      <w:r w:rsidR="005618B4">
        <w:rPr>
          <w:rFonts w:ascii="Verdana" w:hAnsi="Verdana"/>
        </w:rPr>
        <w:t>,</w:t>
      </w:r>
      <w:r w:rsidR="00AF4ADD" w:rsidRPr="00301504">
        <w:rPr>
          <w:rFonts w:ascii="Verdana" w:hAnsi="Verdana"/>
        </w:rPr>
        <w:t xml:space="preserve"> such as child sexual, emotional and physical abuse</w:t>
      </w:r>
      <w:r w:rsidR="005618B4">
        <w:rPr>
          <w:rFonts w:ascii="Verdana" w:hAnsi="Verdana"/>
        </w:rPr>
        <w:t>,</w:t>
      </w:r>
      <w:r w:rsidR="00AF4ADD" w:rsidRPr="00301504">
        <w:rPr>
          <w:rFonts w:ascii="Verdana" w:hAnsi="Verdana"/>
        </w:rPr>
        <w:t xml:space="preserve"> </w:t>
      </w:r>
      <w:r w:rsidR="005618B4">
        <w:rPr>
          <w:rFonts w:ascii="Verdana" w:hAnsi="Verdana"/>
        </w:rPr>
        <w:t xml:space="preserve">was </w:t>
      </w:r>
      <w:r>
        <w:rPr>
          <w:rFonts w:ascii="Verdana" w:hAnsi="Verdana"/>
        </w:rPr>
        <w:t xml:space="preserve">estimated </w:t>
      </w:r>
      <w:r w:rsidR="00D37A53">
        <w:rPr>
          <w:rFonts w:ascii="Verdana" w:hAnsi="Verdana"/>
        </w:rPr>
        <w:t>at $6.8 billion per year</w:t>
      </w:r>
      <w:r w:rsidR="005618B4">
        <w:rPr>
          <w:rFonts w:ascii="Verdana" w:hAnsi="Verdana"/>
        </w:rPr>
        <w:t xml:space="preserve"> in 2015</w:t>
      </w:r>
      <w:r w:rsidR="005B4D34">
        <w:rPr>
          <w:rFonts w:ascii="Verdana" w:hAnsi="Verdana"/>
        </w:rPr>
        <w:t>.</w:t>
      </w:r>
      <w:r>
        <w:rPr>
          <w:rStyle w:val="FootnoteReference"/>
          <w:rFonts w:ascii="Verdana" w:hAnsi="Verdana"/>
        </w:rPr>
        <w:footnoteReference w:id="34"/>
      </w:r>
      <w:r w:rsidR="00D37A53">
        <w:rPr>
          <w:rFonts w:ascii="Verdana" w:hAnsi="Verdana"/>
        </w:rPr>
        <w:t xml:space="preserve"> </w:t>
      </w:r>
      <w:r w:rsidR="00AF4ADD" w:rsidRPr="00301504">
        <w:rPr>
          <w:rFonts w:ascii="Verdana" w:hAnsi="Verdana"/>
        </w:rPr>
        <w:t>If a broader definition of childhood trauma is applied</w:t>
      </w:r>
      <w:r w:rsidR="002D0752">
        <w:rPr>
          <w:rFonts w:ascii="Verdana" w:hAnsi="Verdana"/>
        </w:rPr>
        <w:t>,</w:t>
      </w:r>
      <w:r w:rsidR="00AF4ADD" w:rsidRPr="00301504">
        <w:rPr>
          <w:rFonts w:ascii="Verdana" w:hAnsi="Verdana"/>
        </w:rPr>
        <w:t xml:space="preserve"> the costs</w:t>
      </w:r>
      <w:r w:rsidR="005B2B24">
        <w:rPr>
          <w:rFonts w:ascii="Verdana" w:hAnsi="Verdana"/>
        </w:rPr>
        <w:t xml:space="preserve"> increase to a minimum of $9.1 b</w:t>
      </w:r>
      <w:r w:rsidR="00AF4ADD" w:rsidRPr="00301504">
        <w:rPr>
          <w:rFonts w:ascii="Verdana" w:hAnsi="Verdana"/>
        </w:rPr>
        <w:t>illion</w:t>
      </w:r>
      <w:r w:rsidR="005B2B24">
        <w:rPr>
          <w:rFonts w:ascii="Verdana" w:hAnsi="Verdana"/>
        </w:rPr>
        <w:t xml:space="preserve"> per year</w:t>
      </w:r>
      <w:r w:rsidR="002D0752">
        <w:rPr>
          <w:rFonts w:ascii="Verdana" w:hAnsi="Verdana"/>
        </w:rPr>
        <w:t xml:space="preserve"> in 2015</w:t>
      </w:r>
      <w:r w:rsidR="00AF4ADD" w:rsidRPr="00301504">
        <w:rPr>
          <w:rFonts w:ascii="Verdana" w:hAnsi="Verdana"/>
        </w:rPr>
        <w:t xml:space="preserve">.  </w:t>
      </w:r>
      <w:r w:rsidR="00D37A53">
        <w:rPr>
          <w:rFonts w:ascii="Verdana" w:hAnsi="Verdana"/>
        </w:rPr>
        <w:t>Assumin</w:t>
      </w:r>
      <w:r w:rsidR="008549B5">
        <w:rPr>
          <w:rFonts w:ascii="Verdana" w:hAnsi="Verdana"/>
        </w:rPr>
        <w:t>g that Victoria accounts for 20 per cent</w:t>
      </w:r>
      <w:r w:rsidR="00D37A53">
        <w:rPr>
          <w:rFonts w:ascii="Verdana" w:hAnsi="Verdana"/>
        </w:rPr>
        <w:t xml:space="preserve"> of the national </w:t>
      </w:r>
      <w:r>
        <w:rPr>
          <w:rFonts w:ascii="Verdana" w:hAnsi="Verdana"/>
        </w:rPr>
        <w:t>cost</w:t>
      </w:r>
      <w:r w:rsidR="00D37A53">
        <w:rPr>
          <w:rFonts w:ascii="Verdana" w:hAnsi="Verdana"/>
        </w:rPr>
        <w:t>, t</w:t>
      </w:r>
      <w:r w:rsidR="00AF4ADD" w:rsidRPr="00301504">
        <w:rPr>
          <w:rFonts w:ascii="Verdana" w:hAnsi="Verdana"/>
        </w:rPr>
        <w:t xml:space="preserve">he </w:t>
      </w:r>
      <w:r w:rsidR="005618B4">
        <w:rPr>
          <w:rFonts w:ascii="Verdana" w:hAnsi="Verdana"/>
        </w:rPr>
        <w:t>total cost to</w:t>
      </w:r>
      <w:r w:rsidR="00D37A53">
        <w:rPr>
          <w:rFonts w:ascii="Verdana" w:hAnsi="Verdana"/>
        </w:rPr>
        <w:t xml:space="preserve"> Victoria in 2018 would be $1.94</w:t>
      </w:r>
      <w:r w:rsidR="00AF4ADD" w:rsidRPr="00301504">
        <w:rPr>
          <w:rFonts w:ascii="Verdana" w:hAnsi="Verdana"/>
        </w:rPr>
        <w:t xml:space="preserve"> </w:t>
      </w:r>
      <w:r w:rsidR="00D37A53">
        <w:rPr>
          <w:rFonts w:ascii="Verdana" w:hAnsi="Verdana"/>
        </w:rPr>
        <w:t>billion</w:t>
      </w:r>
      <w:r w:rsidR="005B4D34">
        <w:rPr>
          <w:rFonts w:ascii="Verdana" w:hAnsi="Verdana"/>
        </w:rPr>
        <w:t>.</w:t>
      </w:r>
      <w:r w:rsidR="00687D8C">
        <w:rPr>
          <w:rStyle w:val="FootnoteReference"/>
          <w:rFonts w:ascii="Verdana" w:hAnsi="Verdana"/>
        </w:rPr>
        <w:footnoteReference w:id="35"/>
      </w:r>
    </w:p>
    <w:p w:rsidR="00CE2915" w:rsidRPr="00D94ADF" w:rsidRDefault="00CE2915" w:rsidP="00623590">
      <w:pPr>
        <w:pStyle w:val="Heading2"/>
        <w:rPr>
          <w:rFonts w:ascii="Verdana" w:hAnsi="Verdana"/>
        </w:rPr>
      </w:pPr>
      <w:bookmarkStart w:id="41" w:name="_Toc23510785"/>
      <w:r w:rsidRPr="00D94ADF">
        <w:rPr>
          <w:rFonts w:ascii="Verdana" w:hAnsi="Verdana"/>
        </w:rPr>
        <w:t>The CIS Scheme</w:t>
      </w:r>
      <w:r w:rsidR="005B2B24" w:rsidRPr="00D94ADF">
        <w:rPr>
          <w:rFonts w:ascii="Verdana" w:hAnsi="Verdana"/>
        </w:rPr>
        <w:t xml:space="preserve"> costs versus benefits</w:t>
      </w:r>
      <w:bookmarkEnd w:id="41"/>
    </w:p>
    <w:p w:rsidR="00AF4ADD" w:rsidRDefault="00687D8C" w:rsidP="0024000A">
      <w:pPr>
        <w:pStyle w:val="WOVGbody"/>
        <w:rPr>
          <w:rFonts w:ascii="Verdana" w:hAnsi="Verdana"/>
        </w:rPr>
      </w:pPr>
      <w:r>
        <w:rPr>
          <w:rFonts w:ascii="Verdana" w:hAnsi="Verdana"/>
        </w:rPr>
        <w:t>The statistical data presented above provides some</w:t>
      </w:r>
      <w:r w:rsidR="005B2B24">
        <w:rPr>
          <w:rFonts w:ascii="Verdana" w:hAnsi="Verdana"/>
        </w:rPr>
        <w:t xml:space="preserve"> level </w:t>
      </w:r>
      <w:r>
        <w:rPr>
          <w:rFonts w:ascii="Verdana" w:hAnsi="Verdana"/>
        </w:rPr>
        <w:t>of insight into the tremendous human cost, and significant negative economic impact</w:t>
      </w:r>
      <w:r w:rsidR="00EE4D4E">
        <w:rPr>
          <w:rFonts w:ascii="Verdana" w:hAnsi="Verdana"/>
        </w:rPr>
        <w:t>,</w:t>
      </w:r>
      <w:r>
        <w:rPr>
          <w:rFonts w:ascii="Verdana" w:hAnsi="Verdana"/>
        </w:rPr>
        <w:t xml:space="preserve"> of </w:t>
      </w:r>
      <w:r w:rsidR="00FC2F79">
        <w:rPr>
          <w:rFonts w:ascii="Verdana" w:hAnsi="Verdana"/>
        </w:rPr>
        <w:t>child abuse and neglect. If one conservatively assumes that the CIS Scheme will over tim</w:t>
      </w:r>
      <w:r w:rsidR="008549B5">
        <w:rPr>
          <w:rFonts w:ascii="Verdana" w:hAnsi="Verdana"/>
        </w:rPr>
        <w:t>e reduce the above impact by 10 per cent</w:t>
      </w:r>
      <w:r w:rsidR="00FC2F79">
        <w:rPr>
          <w:rFonts w:ascii="Verdana" w:hAnsi="Verdana"/>
        </w:rPr>
        <w:t xml:space="preserve"> this alone would represent a</w:t>
      </w:r>
      <w:r w:rsidR="005B2B24">
        <w:rPr>
          <w:rFonts w:ascii="Verdana" w:hAnsi="Verdana"/>
        </w:rPr>
        <w:t>n annual</w:t>
      </w:r>
      <w:r w:rsidR="00FC2F79">
        <w:rPr>
          <w:rFonts w:ascii="Verdana" w:hAnsi="Verdana"/>
        </w:rPr>
        <w:t xml:space="preserve"> cost saving that far exceeds the </w:t>
      </w:r>
      <w:r w:rsidR="005B2B24">
        <w:rPr>
          <w:rFonts w:ascii="Verdana" w:hAnsi="Verdana"/>
        </w:rPr>
        <w:t xml:space="preserve">10-year </w:t>
      </w:r>
      <w:r w:rsidR="00FC2F79">
        <w:rPr>
          <w:rFonts w:ascii="Verdana" w:hAnsi="Verdana"/>
        </w:rPr>
        <w:t>implementation costs as detailed in this RIS. Again, it is noted</w:t>
      </w:r>
      <w:r w:rsidR="005B2B24">
        <w:rPr>
          <w:rFonts w:ascii="Verdana" w:hAnsi="Verdana"/>
        </w:rPr>
        <w:t xml:space="preserve"> that </w:t>
      </w:r>
      <w:r w:rsidR="00FC2F79">
        <w:rPr>
          <w:rFonts w:ascii="Verdana" w:hAnsi="Verdana"/>
        </w:rPr>
        <w:t>this RIS does not</w:t>
      </w:r>
      <w:r w:rsidR="00FC2F79" w:rsidRPr="00FC2F79">
        <w:rPr>
          <w:rFonts w:ascii="Verdana" w:hAnsi="Verdana"/>
        </w:rPr>
        <w:t xml:space="preserve"> </w:t>
      </w:r>
      <w:r w:rsidR="00FC2F79">
        <w:rPr>
          <w:rFonts w:ascii="Verdana" w:hAnsi="Verdana"/>
        </w:rPr>
        <w:t xml:space="preserve">aim to estimate the monetary value of the sum of benefits to child wellbeing and safety expected to follow from the implementation of the CIS Scheme, </w:t>
      </w:r>
      <w:r w:rsidR="005B2B24">
        <w:rPr>
          <w:rFonts w:ascii="Verdana" w:hAnsi="Verdana"/>
        </w:rPr>
        <w:t xml:space="preserve">and these benefits are </w:t>
      </w:r>
      <w:r w:rsidR="00FC2F79">
        <w:rPr>
          <w:rFonts w:ascii="Verdana" w:hAnsi="Verdana"/>
        </w:rPr>
        <w:t>expected to positively impact the health and wellbeing of children and their families across a very broad range of circumstances.</w:t>
      </w:r>
    </w:p>
    <w:p w:rsidR="00D272DA" w:rsidRDefault="00565474" w:rsidP="0024000A">
      <w:pPr>
        <w:pStyle w:val="WOVGbody"/>
        <w:rPr>
          <w:rFonts w:ascii="Verdana" w:hAnsi="Verdana"/>
        </w:rPr>
      </w:pPr>
      <w:r>
        <w:rPr>
          <w:rFonts w:ascii="Verdana" w:hAnsi="Verdana"/>
        </w:rPr>
        <w:t>DET</w:t>
      </w:r>
      <w:r w:rsidR="005618B4">
        <w:rPr>
          <w:rFonts w:ascii="Verdana" w:hAnsi="Verdana"/>
        </w:rPr>
        <w:t xml:space="preserve"> </w:t>
      </w:r>
      <w:r>
        <w:rPr>
          <w:rFonts w:ascii="Verdana" w:hAnsi="Verdana"/>
        </w:rPr>
        <w:t>therefore anticipates</w:t>
      </w:r>
      <w:r w:rsidR="00051F6A" w:rsidRPr="0024000A">
        <w:rPr>
          <w:rFonts w:ascii="Verdana" w:hAnsi="Verdana"/>
        </w:rPr>
        <w:t xml:space="preserve"> that the benefits of the CIS </w:t>
      </w:r>
      <w:r w:rsidR="00B12BD4">
        <w:rPr>
          <w:rFonts w:ascii="Verdana" w:hAnsi="Verdana"/>
        </w:rPr>
        <w:t>S</w:t>
      </w:r>
      <w:r w:rsidR="00051F6A" w:rsidRPr="0024000A">
        <w:rPr>
          <w:rFonts w:ascii="Verdana" w:hAnsi="Verdana"/>
        </w:rPr>
        <w:t xml:space="preserve">cheme will </w:t>
      </w:r>
      <w:r w:rsidR="00D024BC" w:rsidRPr="0024000A">
        <w:rPr>
          <w:rFonts w:ascii="Verdana" w:hAnsi="Verdana"/>
        </w:rPr>
        <w:t xml:space="preserve">far </w:t>
      </w:r>
      <w:r w:rsidR="00051F6A" w:rsidRPr="0024000A">
        <w:rPr>
          <w:rFonts w:ascii="Verdana" w:hAnsi="Verdana"/>
        </w:rPr>
        <w:t xml:space="preserve">outweigh the associated costs. The CIS Scheme </w:t>
      </w:r>
      <w:r w:rsidR="00015E75" w:rsidRPr="0024000A">
        <w:rPr>
          <w:rFonts w:ascii="Verdana" w:hAnsi="Verdana"/>
        </w:rPr>
        <w:t xml:space="preserve">will increase the flow and quality of information to support child wellbeing and safety, allowing for </w:t>
      </w:r>
      <w:r w:rsidR="00051F6A" w:rsidRPr="0024000A">
        <w:rPr>
          <w:rFonts w:ascii="Verdana" w:hAnsi="Verdana"/>
        </w:rPr>
        <w:t xml:space="preserve">early and preventative intervention </w:t>
      </w:r>
      <w:r w:rsidR="00015E75" w:rsidRPr="0024000A">
        <w:rPr>
          <w:rFonts w:ascii="Verdana" w:hAnsi="Verdana"/>
        </w:rPr>
        <w:t xml:space="preserve">and improved coordination of services. </w:t>
      </w:r>
      <w:r w:rsidR="00D024BC" w:rsidRPr="0024000A">
        <w:rPr>
          <w:rFonts w:ascii="Verdana" w:hAnsi="Verdana"/>
        </w:rPr>
        <w:t>As demonstrated above, even assuming a very small impact of the CIS Scheme on child wellbeing and safety will hold s</w:t>
      </w:r>
      <w:r w:rsidR="00051F6A" w:rsidRPr="0024000A">
        <w:rPr>
          <w:rFonts w:ascii="Verdana" w:hAnsi="Verdana"/>
        </w:rPr>
        <w:t xml:space="preserve">ignificant benefits </w:t>
      </w:r>
      <w:r w:rsidR="00D024BC" w:rsidRPr="0024000A">
        <w:rPr>
          <w:rFonts w:ascii="Verdana" w:hAnsi="Verdana"/>
        </w:rPr>
        <w:t xml:space="preserve">in relation to </w:t>
      </w:r>
      <w:r w:rsidR="00051F6A" w:rsidRPr="0024000A">
        <w:rPr>
          <w:rFonts w:ascii="Verdana" w:hAnsi="Verdana"/>
        </w:rPr>
        <w:t xml:space="preserve">health and </w:t>
      </w:r>
      <w:r w:rsidR="00D024BC" w:rsidRPr="0024000A">
        <w:rPr>
          <w:rFonts w:ascii="Verdana" w:hAnsi="Verdana"/>
        </w:rPr>
        <w:t xml:space="preserve">wellbeing </w:t>
      </w:r>
      <w:r w:rsidR="00051F6A" w:rsidRPr="0024000A">
        <w:rPr>
          <w:rFonts w:ascii="Verdana" w:hAnsi="Verdana"/>
        </w:rPr>
        <w:t>outcomes for</w:t>
      </w:r>
      <w:r w:rsidR="005B2B24">
        <w:rPr>
          <w:rFonts w:ascii="Verdana" w:hAnsi="Verdana"/>
        </w:rPr>
        <w:t xml:space="preserve"> Victorian children</w:t>
      </w:r>
      <w:r w:rsidR="005618B4">
        <w:rPr>
          <w:rFonts w:ascii="Verdana" w:hAnsi="Verdana"/>
        </w:rPr>
        <w:t>, as well as in reduced costs to government and to society in general</w:t>
      </w:r>
      <w:r w:rsidR="005B2B24">
        <w:rPr>
          <w:rFonts w:ascii="Verdana" w:hAnsi="Verdana"/>
        </w:rPr>
        <w:t>.</w:t>
      </w:r>
    </w:p>
    <w:p w:rsidR="00D272DA" w:rsidRDefault="00D272DA">
      <w:pPr>
        <w:rPr>
          <w:rFonts w:ascii="Verdana" w:eastAsia="Times" w:hAnsi="Verdana"/>
        </w:rPr>
      </w:pPr>
      <w:r>
        <w:rPr>
          <w:rFonts w:ascii="Verdana" w:hAnsi="Verdana"/>
        </w:rPr>
        <w:br w:type="page"/>
      </w:r>
    </w:p>
    <w:p w:rsidR="005A0662" w:rsidRPr="00D75B5B" w:rsidRDefault="005A0662" w:rsidP="00FE48EB">
      <w:pPr>
        <w:pStyle w:val="Heading1"/>
        <w:ind w:left="426"/>
        <w:rPr>
          <w:rFonts w:ascii="Verdana" w:hAnsi="Verdana"/>
        </w:rPr>
      </w:pPr>
      <w:bookmarkStart w:id="42" w:name="_Toc23510786"/>
      <w:r w:rsidRPr="00D75B5B">
        <w:rPr>
          <w:rFonts w:ascii="Verdana" w:hAnsi="Verdana"/>
        </w:rPr>
        <w:lastRenderedPageBreak/>
        <w:t>Implementation of the CIS Scheme</w:t>
      </w:r>
      <w:bookmarkEnd w:id="42"/>
    </w:p>
    <w:p w:rsidR="005A0662" w:rsidRPr="00D75B5B" w:rsidRDefault="009878DF" w:rsidP="009878DF">
      <w:pPr>
        <w:pStyle w:val="Heading2"/>
        <w:rPr>
          <w:rFonts w:ascii="Verdana" w:hAnsi="Verdana"/>
        </w:rPr>
      </w:pPr>
      <w:bookmarkStart w:id="43" w:name="_Toc23510787"/>
      <w:r w:rsidRPr="00D75B5B">
        <w:rPr>
          <w:rFonts w:ascii="Verdana" w:hAnsi="Verdana"/>
        </w:rPr>
        <w:t xml:space="preserve">Approach to </w:t>
      </w:r>
      <w:r w:rsidR="004F7217">
        <w:rPr>
          <w:rFonts w:ascii="Verdana" w:hAnsi="Verdana"/>
        </w:rPr>
        <w:t>implementation</w:t>
      </w:r>
      <w:r w:rsidRPr="00D75B5B">
        <w:rPr>
          <w:rFonts w:ascii="Verdana" w:hAnsi="Verdana"/>
        </w:rPr>
        <w:t xml:space="preserve"> of the CIS Scheme</w:t>
      </w:r>
      <w:bookmarkEnd w:id="43"/>
    </w:p>
    <w:p w:rsidR="00D75B5B" w:rsidRDefault="009878DF" w:rsidP="005A0662">
      <w:pPr>
        <w:pStyle w:val="WOVGbody"/>
        <w:rPr>
          <w:rFonts w:ascii="Verdana" w:hAnsi="Verdana"/>
        </w:rPr>
      </w:pPr>
      <w:r w:rsidRPr="00D75B5B">
        <w:rPr>
          <w:rFonts w:ascii="Verdana" w:hAnsi="Verdana"/>
        </w:rPr>
        <w:t xml:space="preserve">In order to ensure workforce readiness and </w:t>
      </w:r>
      <w:r w:rsidR="00D75B5B" w:rsidRPr="00D75B5B">
        <w:rPr>
          <w:rFonts w:ascii="Verdana" w:hAnsi="Verdana"/>
        </w:rPr>
        <w:t xml:space="preserve">sector capacity though appropriate training and support, </w:t>
      </w:r>
      <w:r w:rsidR="00D75B5B">
        <w:rPr>
          <w:rFonts w:ascii="Verdana" w:hAnsi="Verdana"/>
        </w:rPr>
        <w:t xml:space="preserve">the CIS Scheme is rolled </w:t>
      </w:r>
      <w:r w:rsidR="00D75B5B" w:rsidRPr="006E5157">
        <w:rPr>
          <w:rFonts w:ascii="Verdana" w:hAnsi="Verdana"/>
        </w:rPr>
        <w:t xml:space="preserve">out to </w:t>
      </w:r>
      <w:r w:rsidR="00D75B5B">
        <w:rPr>
          <w:rFonts w:ascii="Verdana" w:hAnsi="Verdana"/>
        </w:rPr>
        <w:t>workforces in a phased approach according to the following timelines:</w:t>
      </w:r>
    </w:p>
    <w:p w:rsidR="00D75B5B" w:rsidRPr="00D75B5B" w:rsidRDefault="00D75B5B" w:rsidP="00A76FAF">
      <w:pPr>
        <w:pStyle w:val="WOVGbody"/>
        <w:numPr>
          <w:ilvl w:val="0"/>
          <w:numId w:val="31"/>
        </w:numPr>
        <w:ind w:left="426"/>
        <w:rPr>
          <w:rFonts w:ascii="Verdana" w:hAnsi="Verdana"/>
        </w:rPr>
      </w:pPr>
      <w:r w:rsidRPr="00D75B5B">
        <w:rPr>
          <w:rFonts w:ascii="Verdana" w:hAnsi="Verdana"/>
        </w:rPr>
        <w:t>Phase One</w:t>
      </w:r>
      <w:r w:rsidR="004F7217">
        <w:rPr>
          <w:rFonts w:ascii="Verdana" w:hAnsi="Verdana"/>
        </w:rPr>
        <w:t xml:space="preserve"> </w:t>
      </w:r>
      <w:r w:rsidR="00107F6F">
        <w:rPr>
          <w:rFonts w:ascii="Verdana" w:hAnsi="Verdana"/>
        </w:rPr>
        <w:t xml:space="preserve">commenced </w:t>
      </w:r>
      <w:r w:rsidRPr="00D75B5B">
        <w:rPr>
          <w:rFonts w:ascii="Verdana" w:hAnsi="Verdana"/>
        </w:rPr>
        <w:t xml:space="preserve">in </w:t>
      </w:r>
      <w:r w:rsidR="00107F6F">
        <w:rPr>
          <w:rFonts w:ascii="Verdana" w:hAnsi="Verdana"/>
        </w:rPr>
        <w:t>September 2018</w:t>
      </w:r>
      <w:r w:rsidR="004F7217">
        <w:rPr>
          <w:rFonts w:ascii="Verdana" w:hAnsi="Verdana"/>
        </w:rPr>
        <w:t>, pr</w:t>
      </w:r>
      <w:r w:rsidRPr="00D75B5B">
        <w:rPr>
          <w:rFonts w:ascii="Verdana" w:hAnsi="Verdana"/>
        </w:rPr>
        <w:t xml:space="preserve">escribing ISEs </w:t>
      </w:r>
      <w:r w:rsidR="004F7217">
        <w:rPr>
          <w:rFonts w:ascii="Verdana" w:hAnsi="Verdana"/>
        </w:rPr>
        <w:t xml:space="preserve">primarily within </w:t>
      </w:r>
      <w:r w:rsidR="00107F6F">
        <w:rPr>
          <w:rFonts w:ascii="Verdana" w:hAnsi="Verdana"/>
        </w:rPr>
        <w:t xml:space="preserve">secondary </w:t>
      </w:r>
      <w:r w:rsidR="004F7217">
        <w:rPr>
          <w:rFonts w:ascii="Verdana" w:hAnsi="Verdana"/>
        </w:rPr>
        <w:t xml:space="preserve">and tertiary </w:t>
      </w:r>
      <w:r w:rsidR="00107F6F">
        <w:rPr>
          <w:rFonts w:ascii="Verdana" w:hAnsi="Verdana"/>
        </w:rPr>
        <w:t>services</w:t>
      </w:r>
      <w:r w:rsidR="004F7217">
        <w:rPr>
          <w:rFonts w:ascii="Verdana" w:hAnsi="Verdana"/>
        </w:rPr>
        <w:t>. The entities’ relati</w:t>
      </w:r>
      <w:r w:rsidRPr="00D75B5B">
        <w:rPr>
          <w:rFonts w:ascii="Verdana" w:hAnsi="Verdana"/>
        </w:rPr>
        <w:t xml:space="preserve">vely small workforces (with the exception of Victoria Police) and existing capability in formal risk assessment and management as well as complementary service functions </w:t>
      </w:r>
      <w:r w:rsidR="00107F6F">
        <w:rPr>
          <w:rFonts w:ascii="Verdana" w:hAnsi="Verdana"/>
        </w:rPr>
        <w:t>allow</w:t>
      </w:r>
      <w:r w:rsidRPr="00D75B5B">
        <w:rPr>
          <w:rFonts w:ascii="Verdana" w:hAnsi="Verdana"/>
        </w:rPr>
        <w:t xml:space="preserve"> for effective </w:t>
      </w:r>
      <w:r w:rsidR="00E32AD2">
        <w:rPr>
          <w:rFonts w:ascii="Verdana" w:hAnsi="Verdana"/>
        </w:rPr>
        <w:t>scheme implementation</w:t>
      </w:r>
      <w:r w:rsidRPr="00D75B5B">
        <w:rPr>
          <w:rFonts w:ascii="Verdana" w:hAnsi="Verdana"/>
        </w:rPr>
        <w:t>. Trai</w:t>
      </w:r>
      <w:r w:rsidR="00107F6F">
        <w:rPr>
          <w:rFonts w:ascii="Verdana" w:hAnsi="Verdana"/>
        </w:rPr>
        <w:t>ning delivery for Phase One workforces</w:t>
      </w:r>
      <w:r w:rsidRPr="00D75B5B">
        <w:rPr>
          <w:rFonts w:ascii="Verdana" w:hAnsi="Verdana"/>
        </w:rPr>
        <w:t xml:space="preserve"> </w:t>
      </w:r>
      <w:r w:rsidR="00107F6F">
        <w:rPr>
          <w:rFonts w:ascii="Verdana" w:hAnsi="Verdana"/>
        </w:rPr>
        <w:t xml:space="preserve">commenced </w:t>
      </w:r>
      <w:r w:rsidRPr="00D75B5B">
        <w:rPr>
          <w:rFonts w:ascii="Verdana" w:hAnsi="Verdana"/>
        </w:rPr>
        <w:t>in the second half of 2018</w:t>
      </w:r>
      <w:r w:rsidR="00107F6F">
        <w:rPr>
          <w:rFonts w:ascii="Verdana" w:hAnsi="Verdana"/>
        </w:rPr>
        <w:t>,</w:t>
      </w:r>
      <w:r w:rsidRPr="00D75B5B">
        <w:rPr>
          <w:rFonts w:ascii="Verdana" w:hAnsi="Verdana"/>
        </w:rPr>
        <w:t xml:space="preserve"> and</w:t>
      </w:r>
      <w:r w:rsidR="00107F6F">
        <w:rPr>
          <w:rFonts w:ascii="Verdana" w:hAnsi="Verdana"/>
        </w:rPr>
        <w:t xml:space="preserve"> continues</w:t>
      </w:r>
      <w:r w:rsidRPr="00D75B5B">
        <w:rPr>
          <w:rFonts w:ascii="Verdana" w:hAnsi="Verdana"/>
        </w:rPr>
        <w:t xml:space="preserve"> in 2019.</w:t>
      </w:r>
    </w:p>
    <w:p w:rsidR="00D75B5B" w:rsidRPr="00D75B5B" w:rsidRDefault="00D75B5B" w:rsidP="00A76FAF">
      <w:pPr>
        <w:pStyle w:val="WOVGbody"/>
        <w:numPr>
          <w:ilvl w:val="0"/>
          <w:numId w:val="31"/>
        </w:numPr>
        <w:ind w:left="426"/>
        <w:rPr>
          <w:rFonts w:ascii="Verdana" w:hAnsi="Verdana"/>
        </w:rPr>
      </w:pPr>
      <w:r w:rsidRPr="00D75B5B">
        <w:rPr>
          <w:rFonts w:ascii="Verdana" w:hAnsi="Verdana"/>
        </w:rPr>
        <w:t xml:space="preserve">Phase Two, commencing in </w:t>
      </w:r>
      <w:r w:rsidR="00107F6F">
        <w:rPr>
          <w:rFonts w:ascii="Verdana" w:hAnsi="Verdana"/>
        </w:rPr>
        <w:t xml:space="preserve">the second half of </w:t>
      </w:r>
      <w:r w:rsidR="004F7217">
        <w:rPr>
          <w:rFonts w:ascii="Verdana" w:hAnsi="Verdana"/>
        </w:rPr>
        <w:t>2020, p</w:t>
      </w:r>
      <w:r w:rsidRPr="00D75B5B">
        <w:rPr>
          <w:rFonts w:ascii="Verdana" w:hAnsi="Verdana"/>
        </w:rPr>
        <w:t xml:space="preserve">rescribing ISEs </w:t>
      </w:r>
      <w:r w:rsidR="00E32AD2">
        <w:rPr>
          <w:rFonts w:ascii="Verdana" w:hAnsi="Verdana"/>
        </w:rPr>
        <w:t xml:space="preserve">in </w:t>
      </w:r>
      <w:r w:rsidRPr="00D75B5B">
        <w:rPr>
          <w:rFonts w:ascii="Verdana" w:hAnsi="Verdana"/>
        </w:rPr>
        <w:t xml:space="preserve">primary and </w:t>
      </w:r>
      <w:r w:rsidR="00107F6F">
        <w:rPr>
          <w:rFonts w:ascii="Verdana" w:hAnsi="Verdana"/>
        </w:rPr>
        <w:t>key universal services across the education, health and justice portfolios</w:t>
      </w:r>
      <w:r w:rsidRPr="00D75B5B">
        <w:rPr>
          <w:rFonts w:ascii="Verdana" w:hAnsi="Verdana"/>
        </w:rPr>
        <w:t xml:space="preserve">, </w:t>
      </w:r>
      <w:r w:rsidR="00107F6F" w:rsidRPr="00D75B5B">
        <w:rPr>
          <w:rFonts w:ascii="Verdana" w:hAnsi="Verdana"/>
        </w:rPr>
        <w:t>according to the preferred option identified in this RIS</w:t>
      </w:r>
      <w:r w:rsidR="00F12DB1">
        <w:rPr>
          <w:rFonts w:ascii="Verdana" w:hAnsi="Verdana"/>
        </w:rPr>
        <w:t>. Training for Phase Two workforces</w:t>
      </w:r>
      <w:r w:rsidR="00F94514">
        <w:rPr>
          <w:rFonts w:ascii="Verdana" w:hAnsi="Verdana"/>
        </w:rPr>
        <w:t xml:space="preserve"> is proposed to commence</w:t>
      </w:r>
      <w:r>
        <w:rPr>
          <w:rFonts w:ascii="Verdana" w:hAnsi="Verdana"/>
        </w:rPr>
        <w:t xml:space="preserve"> in</w:t>
      </w:r>
      <w:r w:rsidR="00107F6F">
        <w:rPr>
          <w:rFonts w:ascii="Verdana" w:hAnsi="Verdana"/>
        </w:rPr>
        <w:t xml:space="preserve"> the first half of</w:t>
      </w:r>
      <w:r w:rsidR="00E32AD2">
        <w:rPr>
          <w:rFonts w:ascii="Verdana" w:hAnsi="Verdana"/>
        </w:rPr>
        <w:t xml:space="preserve"> 2020</w:t>
      </w:r>
      <w:r>
        <w:rPr>
          <w:rFonts w:ascii="Verdana" w:hAnsi="Verdana"/>
        </w:rPr>
        <w:t>.</w:t>
      </w:r>
    </w:p>
    <w:p w:rsidR="00D75B5B" w:rsidRDefault="00D75B5B" w:rsidP="00107F6F">
      <w:pPr>
        <w:pStyle w:val="ListBullet"/>
        <w:numPr>
          <w:ilvl w:val="0"/>
          <w:numId w:val="0"/>
        </w:numPr>
        <w:rPr>
          <w:rFonts w:eastAsia="Times" w:cs="Times New Roman"/>
          <w:sz w:val="20"/>
          <w:szCs w:val="20"/>
        </w:rPr>
      </w:pPr>
      <w:r w:rsidRPr="00D75B5B">
        <w:rPr>
          <w:rFonts w:eastAsia="Times" w:cs="Times New Roman"/>
          <w:sz w:val="20"/>
          <w:szCs w:val="20"/>
        </w:rPr>
        <w:t xml:space="preserve">This phased approach is in line with the recommendations of the McClellan Royal Commission, </w:t>
      </w:r>
      <w:r w:rsidR="00F12DB1">
        <w:rPr>
          <w:rFonts w:eastAsia="Times" w:cs="Times New Roman"/>
          <w:sz w:val="20"/>
          <w:szCs w:val="20"/>
        </w:rPr>
        <w:t>and allows for a careful approach to reform implementation</w:t>
      </w:r>
      <w:r w:rsidR="003D6BE9">
        <w:rPr>
          <w:rFonts w:eastAsia="Times" w:cs="Times New Roman"/>
          <w:sz w:val="20"/>
          <w:szCs w:val="20"/>
        </w:rPr>
        <w:t xml:space="preserve"> including government support and training</w:t>
      </w:r>
      <w:r w:rsidR="00E32AD2">
        <w:rPr>
          <w:rFonts w:eastAsia="Times" w:cs="Times New Roman"/>
          <w:sz w:val="20"/>
          <w:szCs w:val="20"/>
        </w:rPr>
        <w:t>,</w:t>
      </w:r>
      <w:r w:rsidR="003D6BE9">
        <w:rPr>
          <w:rFonts w:eastAsia="Times" w:cs="Times New Roman"/>
          <w:sz w:val="20"/>
          <w:szCs w:val="20"/>
        </w:rPr>
        <w:t xml:space="preserve"> significantly reducing the risk of </w:t>
      </w:r>
      <w:r w:rsidRPr="003D6BE9">
        <w:rPr>
          <w:rFonts w:eastAsia="Times" w:cs="Times New Roman"/>
          <w:sz w:val="20"/>
          <w:szCs w:val="20"/>
        </w:rPr>
        <w:t xml:space="preserve">administrative </w:t>
      </w:r>
      <w:r w:rsidR="007666F2">
        <w:rPr>
          <w:rFonts w:eastAsia="Times" w:cs="Times New Roman"/>
          <w:sz w:val="20"/>
          <w:szCs w:val="20"/>
        </w:rPr>
        <w:t>overload</w:t>
      </w:r>
      <w:r w:rsidRPr="003D6BE9">
        <w:rPr>
          <w:rFonts w:eastAsia="Times" w:cs="Times New Roman"/>
          <w:sz w:val="20"/>
          <w:szCs w:val="20"/>
        </w:rPr>
        <w:t>, the application of poor risk assessment processes, and inappropriate sharing of information.</w:t>
      </w:r>
    </w:p>
    <w:p w:rsidR="00747982" w:rsidRPr="00964789" w:rsidRDefault="00747982" w:rsidP="00747982">
      <w:pPr>
        <w:pStyle w:val="Heading2"/>
        <w:rPr>
          <w:rFonts w:ascii="Verdana" w:hAnsi="Verdana"/>
        </w:rPr>
      </w:pPr>
      <w:bookmarkStart w:id="44" w:name="_Toc23510788"/>
      <w:r w:rsidRPr="00964789">
        <w:rPr>
          <w:rFonts w:ascii="Verdana" w:hAnsi="Verdana"/>
        </w:rPr>
        <w:t>Training and change management</w:t>
      </w:r>
      <w:bookmarkEnd w:id="44"/>
    </w:p>
    <w:p w:rsidR="00747982" w:rsidRPr="00964789" w:rsidRDefault="00747982" w:rsidP="00747982">
      <w:pPr>
        <w:pStyle w:val="WOVGbody"/>
        <w:rPr>
          <w:rFonts w:ascii="Verdana" w:hAnsi="Verdana"/>
        </w:rPr>
      </w:pPr>
      <w:r>
        <w:rPr>
          <w:rFonts w:ascii="Verdana" w:hAnsi="Verdana"/>
        </w:rPr>
        <w:t xml:space="preserve">Support offered to ISEs as part of scheme implementation </w:t>
      </w:r>
      <w:r w:rsidRPr="00964789">
        <w:rPr>
          <w:rFonts w:ascii="Verdana" w:hAnsi="Verdana"/>
        </w:rPr>
        <w:t>include:</w:t>
      </w:r>
    </w:p>
    <w:p w:rsidR="00AE74C2" w:rsidRDefault="00747982" w:rsidP="00A76FAF">
      <w:pPr>
        <w:pStyle w:val="WOVGbody"/>
        <w:numPr>
          <w:ilvl w:val="0"/>
          <w:numId w:val="32"/>
        </w:numPr>
        <w:ind w:left="426"/>
        <w:rPr>
          <w:rFonts w:ascii="Verdana" w:hAnsi="Verdana"/>
        </w:rPr>
      </w:pPr>
      <w:r>
        <w:rPr>
          <w:rFonts w:ascii="Verdana" w:hAnsi="Verdana"/>
        </w:rPr>
        <w:t>integrated</w:t>
      </w:r>
      <w:r w:rsidRPr="00964789">
        <w:rPr>
          <w:rFonts w:ascii="Verdana" w:hAnsi="Verdana"/>
        </w:rPr>
        <w:t xml:space="preserve"> communication and key</w:t>
      </w:r>
      <w:r>
        <w:rPr>
          <w:rFonts w:ascii="Verdana" w:hAnsi="Verdana"/>
        </w:rPr>
        <w:t xml:space="preserve"> messaging on the rollout of</w:t>
      </w:r>
      <w:r w:rsidRPr="00964789">
        <w:rPr>
          <w:rFonts w:ascii="Verdana" w:hAnsi="Verdana"/>
        </w:rPr>
        <w:t xml:space="preserve"> </w:t>
      </w:r>
      <w:r>
        <w:rPr>
          <w:rFonts w:ascii="Verdana" w:hAnsi="Verdana"/>
        </w:rPr>
        <w:t xml:space="preserve">the </w:t>
      </w:r>
      <w:r w:rsidR="00AE74C2">
        <w:rPr>
          <w:rFonts w:ascii="Verdana" w:hAnsi="Verdana"/>
        </w:rPr>
        <w:t xml:space="preserve">CIS and FVIS </w:t>
      </w:r>
      <w:r>
        <w:rPr>
          <w:rFonts w:ascii="Verdana" w:hAnsi="Verdana"/>
        </w:rPr>
        <w:t>schemes</w:t>
      </w:r>
      <w:r w:rsidR="00AE74C2">
        <w:rPr>
          <w:rFonts w:ascii="Verdana" w:hAnsi="Verdana"/>
        </w:rPr>
        <w:t xml:space="preserve"> and MARAM</w:t>
      </w:r>
    </w:p>
    <w:p w:rsidR="00747982" w:rsidRPr="00AE74C2" w:rsidRDefault="00747982" w:rsidP="00A76FAF">
      <w:pPr>
        <w:pStyle w:val="WOVGbody"/>
        <w:numPr>
          <w:ilvl w:val="0"/>
          <w:numId w:val="32"/>
        </w:numPr>
        <w:ind w:left="426"/>
        <w:rPr>
          <w:rFonts w:ascii="Verdana" w:hAnsi="Verdana"/>
        </w:rPr>
      </w:pPr>
      <w:r w:rsidRPr="00AE74C2">
        <w:rPr>
          <w:rFonts w:ascii="Verdana" w:hAnsi="Verdana"/>
        </w:rPr>
        <w:t>a cross-sector change management strategy, and tailored, workforce-specific implementation approaches</w:t>
      </w:r>
    </w:p>
    <w:p w:rsidR="00747982" w:rsidRDefault="00747982" w:rsidP="00A76FAF">
      <w:pPr>
        <w:pStyle w:val="WOVGbody"/>
        <w:numPr>
          <w:ilvl w:val="0"/>
          <w:numId w:val="32"/>
        </w:numPr>
        <w:ind w:left="426"/>
        <w:rPr>
          <w:rFonts w:ascii="Verdana" w:hAnsi="Verdana"/>
        </w:rPr>
      </w:pPr>
      <w:r>
        <w:rPr>
          <w:rFonts w:ascii="Verdana" w:hAnsi="Verdana"/>
        </w:rPr>
        <w:t>training across the schemes and MARAM</w:t>
      </w:r>
      <w:r w:rsidRPr="00964789">
        <w:rPr>
          <w:rFonts w:ascii="Verdana" w:hAnsi="Verdana"/>
        </w:rPr>
        <w:t xml:space="preserve">, including face-to-face training </w:t>
      </w:r>
      <w:r w:rsidR="009213AE">
        <w:rPr>
          <w:rFonts w:ascii="Verdana" w:hAnsi="Verdana"/>
        </w:rPr>
        <w:t>delivery and e-learning modules</w:t>
      </w:r>
    </w:p>
    <w:p w:rsidR="009213AE" w:rsidRPr="00964789" w:rsidRDefault="009213AE" w:rsidP="00A76FAF">
      <w:pPr>
        <w:pStyle w:val="WOVGbody"/>
        <w:numPr>
          <w:ilvl w:val="0"/>
          <w:numId w:val="32"/>
        </w:numPr>
        <w:ind w:left="426"/>
        <w:rPr>
          <w:rFonts w:ascii="Verdana" w:hAnsi="Verdana"/>
        </w:rPr>
      </w:pPr>
      <w:r>
        <w:rPr>
          <w:rFonts w:ascii="Verdana" w:hAnsi="Verdana"/>
        </w:rPr>
        <w:t>help desk service</w:t>
      </w:r>
    </w:p>
    <w:p w:rsidR="00747982" w:rsidRPr="00964789" w:rsidRDefault="00747982" w:rsidP="00A76FAF">
      <w:pPr>
        <w:pStyle w:val="WOVGbody"/>
        <w:numPr>
          <w:ilvl w:val="0"/>
          <w:numId w:val="32"/>
        </w:numPr>
        <w:ind w:left="426"/>
        <w:rPr>
          <w:rFonts w:ascii="Verdana" w:hAnsi="Verdana"/>
        </w:rPr>
      </w:pPr>
      <w:r w:rsidRPr="00964789">
        <w:rPr>
          <w:rFonts w:ascii="Verdana" w:hAnsi="Verdana"/>
        </w:rPr>
        <w:t>pr</w:t>
      </w:r>
      <w:r>
        <w:rPr>
          <w:rFonts w:ascii="Verdana" w:hAnsi="Verdana"/>
        </w:rPr>
        <w:t>actice guidance</w:t>
      </w:r>
    </w:p>
    <w:p w:rsidR="00747982" w:rsidRDefault="00747982" w:rsidP="00A76FAF">
      <w:pPr>
        <w:pStyle w:val="WOVGbody"/>
        <w:numPr>
          <w:ilvl w:val="0"/>
          <w:numId w:val="32"/>
        </w:numPr>
        <w:ind w:left="426"/>
        <w:rPr>
          <w:rFonts w:ascii="Verdana" w:hAnsi="Verdana"/>
        </w:rPr>
      </w:pPr>
      <w:r w:rsidRPr="00964789">
        <w:rPr>
          <w:rFonts w:ascii="Verdana" w:hAnsi="Verdana"/>
        </w:rPr>
        <w:t xml:space="preserve">factsheets, checklists and other materials to support the implementation of </w:t>
      </w:r>
      <w:r>
        <w:rPr>
          <w:rFonts w:ascii="Verdana" w:hAnsi="Verdana"/>
        </w:rPr>
        <w:t>reforms, including materials tailored for specific workforces</w:t>
      </w:r>
    </w:p>
    <w:p w:rsidR="00747982" w:rsidRPr="00747982" w:rsidRDefault="00747982" w:rsidP="00A76FAF">
      <w:pPr>
        <w:pStyle w:val="WOVGbody"/>
        <w:numPr>
          <w:ilvl w:val="0"/>
          <w:numId w:val="32"/>
        </w:numPr>
        <w:ind w:left="426"/>
        <w:rPr>
          <w:rFonts w:ascii="Verdana" w:hAnsi="Verdana"/>
        </w:rPr>
      </w:pPr>
      <w:r>
        <w:rPr>
          <w:rFonts w:ascii="Verdana" w:hAnsi="Verdana"/>
        </w:rPr>
        <w:t>policy templates and further guidance materials to support organisations to identify and update relevant policies and procedures.</w:t>
      </w:r>
    </w:p>
    <w:p w:rsidR="00D75B5B" w:rsidRPr="006815B0" w:rsidRDefault="00107F6F" w:rsidP="00107F6F">
      <w:pPr>
        <w:pStyle w:val="Heading2"/>
        <w:rPr>
          <w:rFonts w:ascii="Verdana" w:hAnsi="Verdana"/>
        </w:rPr>
      </w:pPr>
      <w:bookmarkStart w:id="45" w:name="_Toc23510789"/>
      <w:r w:rsidRPr="006815B0">
        <w:rPr>
          <w:rFonts w:ascii="Verdana" w:hAnsi="Verdana"/>
        </w:rPr>
        <w:t>Alignment with the FVIS Scheme</w:t>
      </w:r>
      <w:bookmarkEnd w:id="45"/>
    </w:p>
    <w:p w:rsidR="00107F6F" w:rsidRPr="00107F6F" w:rsidRDefault="00107F6F" w:rsidP="002E2ABA">
      <w:pPr>
        <w:pStyle w:val="WOVGbody"/>
        <w:rPr>
          <w:rFonts w:ascii="Verdana" w:hAnsi="Verdana"/>
        </w:rPr>
      </w:pPr>
      <w:r w:rsidRPr="00107F6F">
        <w:rPr>
          <w:rFonts w:ascii="Verdana" w:hAnsi="Verdana"/>
        </w:rPr>
        <w:t xml:space="preserve">During consultations on the CIS and FVIS schemes, stakeholders have highlighted that aligned implementation </w:t>
      </w:r>
      <w:r>
        <w:rPr>
          <w:rFonts w:ascii="Verdana" w:hAnsi="Verdana"/>
        </w:rPr>
        <w:t xml:space="preserve">of the </w:t>
      </w:r>
      <w:r w:rsidR="00D03476">
        <w:rPr>
          <w:rFonts w:ascii="Verdana" w:hAnsi="Verdana"/>
        </w:rPr>
        <w:t xml:space="preserve">schemes </w:t>
      </w:r>
      <w:r w:rsidR="002E2ABA">
        <w:rPr>
          <w:rFonts w:ascii="Verdana" w:hAnsi="Verdana"/>
        </w:rPr>
        <w:t>presents the following key advantages</w:t>
      </w:r>
      <w:r w:rsidRPr="00107F6F">
        <w:rPr>
          <w:rFonts w:ascii="Verdana" w:hAnsi="Verdana"/>
        </w:rPr>
        <w:t xml:space="preserve">: </w:t>
      </w:r>
    </w:p>
    <w:p w:rsidR="00107F6F" w:rsidRPr="00107F6F" w:rsidRDefault="008549B5" w:rsidP="00A76FAF">
      <w:pPr>
        <w:pStyle w:val="WOVGbody"/>
        <w:numPr>
          <w:ilvl w:val="0"/>
          <w:numId w:val="32"/>
        </w:numPr>
        <w:ind w:left="426"/>
        <w:rPr>
          <w:rFonts w:ascii="Verdana" w:hAnsi="Verdana"/>
        </w:rPr>
      </w:pPr>
      <w:r>
        <w:rPr>
          <w:rFonts w:ascii="Verdana" w:hAnsi="Verdana"/>
        </w:rPr>
        <w:t>i</w:t>
      </w:r>
      <w:r w:rsidR="002E2ABA">
        <w:rPr>
          <w:rFonts w:ascii="Verdana" w:hAnsi="Verdana"/>
        </w:rPr>
        <w:t xml:space="preserve">t </w:t>
      </w:r>
      <w:r w:rsidR="00107F6F" w:rsidRPr="00107F6F">
        <w:rPr>
          <w:rFonts w:ascii="Verdana" w:hAnsi="Verdana"/>
        </w:rPr>
        <w:t xml:space="preserve">mitigates the risk of confusion about workforce obligations and overlap of schemes </w:t>
      </w:r>
    </w:p>
    <w:p w:rsidR="00107F6F" w:rsidRPr="00107F6F" w:rsidRDefault="008549B5" w:rsidP="00A76FAF">
      <w:pPr>
        <w:pStyle w:val="WOVGbody"/>
        <w:numPr>
          <w:ilvl w:val="0"/>
          <w:numId w:val="32"/>
        </w:numPr>
        <w:ind w:left="426"/>
        <w:rPr>
          <w:rFonts w:ascii="Verdana" w:hAnsi="Verdana"/>
        </w:rPr>
      </w:pPr>
      <w:r>
        <w:rPr>
          <w:rFonts w:ascii="Verdana" w:hAnsi="Verdana"/>
        </w:rPr>
        <w:t>i</w:t>
      </w:r>
      <w:r w:rsidR="002E2ABA">
        <w:rPr>
          <w:rFonts w:ascii="Verdana" w:hAnsi="Verdana"/>
        </w:rPr>
        <w:t>t r</w:t>
      </w:r>
      <w:r w:rsidR="00107F6F" w:rsidRPr="00107F6F">
        <w:rPr>
          <w:rFonts w:ascii="Verdana" w:hAnsi="Verdana"/>
        </w:rPr>
        <w:t xml:space="preserve">educes change fatigue </w:t>
      </w:r>
    </w:p>
    <w:p w:rsidR="0057500E" w:rsidRPr="007644FC" w:rsidRDefault="008549B5" w:rsidP="00A76FAF">
      <w:pPr>
        <w:pStyle w:val="WOVGbody"/>
        <w:numPr>
          <w:ilvl w:val="0"/>
          <w:numId w:val="32"/>
        </w:numPr>
        <w:ind w:left="426"/>
        <w:rPr>
          <w:rFonts w:ascii="Verdana" w:hAnsi="Verdana"/>
        </w:rPr>
      </w:pPr>
      <w:r>
        <w:rPr>
          <w:rFonts w:ascii="Verdana" w:hAnsi="Verdana"/>
        </w:rPr>
        <w:t>i</w:t>
      </w:r>
      <w:r w:rsidR="002E2ABA">
        <w:rPr>
          <w:rFonts w:ascii="Verdana" w:hAnsi="Verdana"/>
        </w:rPr>
        <w:t>t a</w:t>
      </w:r>
      <w:r w:rsidR="00107F6F" w:rsidRPr="00107F6F">
        <w:rPr>
          <w:rFonts w:ascii="Verdana" w:hAnsi="Verdana"/>
        </w:rPr>
        <w:t xml:space="preserve">llows for efficiencies and cost savings by aligning </w:t>
      </w:r>
      <w:r w:rsidR="00107F6F">
        <w:rPr>
          <w:rFonts w:ascii="Verdana" w:hAnsi="Verdana"/>
        </w:rPr>
        <w:t xml:space="preserve">workforce implementation activities, </w:t>
      </w:r>
      <w:r w:rsidR="00107F6F" w:rsidRPr="00107F6F">
        <w:rPr>
          <w:rFonts w:ascii="Verdana" w:hAnsi="Verdana"/>
        </w:rPr>
        <w:t xml:space="preserve">communications, </w:t>
      </w:r>
      <w:r w:rsidR="00107F6F">
        <w:rPr>
          <w:rFonts w:ascii="Verdana" w:hAnsi="Verdana"/>
        </w:rPr>
        <w:t xml:space="preserve">and </w:t>
      </w:r>
      <w:r w:rsidR="00107F6F" w:rsidRPr="00107F6F">
        <w:rPr>
          <w:rFonts w:ascii="Verdana" w:hAnsi="Verdana"/>
        </w:rPr>
        <w:t>change man</w:t>
      </w:r>
      <w:r w:rsidR="0057500E">
        <w:rPr>
          <w:rFonts w:ascii="Verdana" w:hAnsi="Verdana"/>
        </w:rPr>
        <w:t>agement and training activities</w:t>
      </w:r>
      <w:r w:rsidR="0057500E" w:rsidRPr="007644FC">
        <w:rPr>
          <w:rFonts w:ascii="Verdana" w:hAnsi="Verdana"/>
        </w:rPr>
        <w:t>.</w:t>
      </w:r>
    </w:p>
    <w:p w:rsidR="00107F6F" w:rsidRDefault="00F94514" w:rsidP="00107F6F">
      <w:pPr>
        <w:pStyle w:val="WOVGbody"/>
        <w:rPr>
          <w:rFonts w:ascii="Verdana" w:hAnsi="Verdana"/>
        </w:rPr>
      </w:pPr>
      <w:r w:rsidRPr="00F94514">
        <w:rPr>
          <w:rFonts w:ascii="Verdana" w:hAnsi="Verdana"/>
        </w:rPr>
        <w:lastRenderedPageBreak/>
        <w:t>The ISEs p</w:t>
      </w:r>
      <w:r>
        <w:rPr>
          <w:rFonts w:ascii="Verdana" w:hAnsi="Verdana"/>
        </w:rPr>
        <w:t>roposed for inclusion in Phase Two</w:t>
      </w:r>
      <w:r w:rsidRPr="00F94514">
        <w:rPr>
          <w:rFonts w:ascii="Verdana" w:hAnsi="Verdana"/>
        </w:rPr>
        <w:t xml:space="preserve"> of the CIS Scheme are the s</w:t>
      </w:r>
      <w:r>
        <w:rPr>
          <w:rFonts w:ascii="Verdana" w:hAnsi="Verdana"/>
        </w:rPr>
        <w:t>ame as those proposed for Phase Two</w:t>
      </w:r>
      <w:r w:rsidRPr="00F94514">
        <w:rPr>
          <w:rFonts w:ascii="Verdana" w:hAnsi="Verdana"/>
        </w:rPr>
        <w:t xml:space="preserve"> of the FVIS Scheme, discussed in the Regulatory Impact Statement for the proposed Family Violence Protection (Infor</w:t>
      </w:r>
      <w:r>
        <w:rPr>
          <w:rFonts w:ascii="Verdana" w:hAnsi="Verdana"/>
        </w:rPr>
        <w:t>mation Sharing and Risk Management) Amendment Regulations 2020</w:t>
      </w:r>
      <w:r w:rsidR="000F2133">
        <w:rPr>
          <w:rFonts w:ascii="Verdana" w:hAnsi="Verdana"/>
        </w:rPr>
        <w:t>.</w:t>
      </w:r>
      <w:r w:rsidR="002E2ABA">
        <w:rPr>
          <w:rFonts w:ascii="Verdana" w:hAnsi="Verdana"/>
        </w:rPr>
        <w:t xml:space="preserve"> Further a</w:t>
      </w:r>
      <w:r w:rsidR="00107F6F" w:rsidRPr="00107F6F">
        <w:rPr>
          <w:rFonts w:ascii="Verdana" w:hAnsi="Verdana"/>
        </w:rPr>
        <w:t xml:space="preserve">lignment of the </w:t>
      </w:r>
      <w:r w:rsidR="0057500E">
        <w:rPr>
          <w:rFonts w:ascii="Verdana" w:hAnsi="Verdana"/>
        </w:rPr>
        <w:t xml:space="preserve">implementation of the </w:t>
      </w:r>
      <w:r w:rsidR="00107F6F" w:rsidRPr="00107F6F">
        <w:rPr>
          <w:rFonts w:ascii="Verdana" w:hAnsi="Verdana"/>
        </w:rPr>
        <w:t>schemes will continue to be a high priority throughout the refinement of implementation planning</w:t>
      </w:r>
      <w:r w:rsidR="002E2ABA">
        <w:rPr>
          <w:rFonts w:ascii="Verdana" w:hAnsi="Verdana"/>
        </w:rPr>
        <w:t>.</w:t>
      </w:r>
    </w:p>
    <w:p w:rsidR="006815B0" w:rsidRPr="006815B0" w:rsidRDefault="006815B0" w:rsidP="006815B0">
      <w:pPr>
        <w:pStyle w:val="Heading2"/>
        <w:rPr>
          <w:rFonts w:ascii="Verdana" w:hAnsi="Verdana"/>
        </w:rPr>
      </w:pPr>
      <w:bookmarkStart w:id="46" w:name="_Toc23510790"/>
      <w:r w:rsidRPr="006815B0">
        <w:rPr>
          <w:rFonts w:ascii="Verdana" w:hAnsi="Verdana"/>
        </w:rPr>
        <w:t>A multi-agency approach</w:t>
      </w:r>
      <w:bookmarkEnd w:id="46"/>
    </w:p>
    <w:p w:rsidR="006815B0" w:rsidRPr="006815B0" w:rsidRDefault="00EA087C" w:rsidP="006815B0">
      <w:pPr>
        <w:pStyle w:val="WOVGbody"/>
        <w:rPr>
          <w:rFonts w:ascii="Verdana" w:hAnsi="Verdana"/>
        </w:rPr>
      </w:pPr>
      <w:r>
        <w:rPr>
          <w:rFonts w:ascii="Verdana" w:hAnsi="Verdana"/>
        </w:rPr>
        <w:t>Implementation of the CIS Scheme has</w:t>
      </w:r>
      <w:r w:rsidR="006815B0" w:rsidRPr="006815B0">
        <w:rPr>
          <w:rFonts w:ascii="Verdana" w:hAnsi="Verdana"/>
        </w:rPr>
        <w:t xml:space="preserve"> implications for a multitude of sectors across Victoria. It is therefore fundamental to successful implementation that all relevant agencies and sectors are engaged in </w:t>
      </w:r>
      <w:r>
        <w:rPr>
          <w:rFonts w:ascii="Verdana" w:hAnsi="Verdana"/>
        </w:rPr>
        <w:t>reform implementation</w:t>
      </w:r>
      <w:r w:rsidR="006815B0" w:rsidRPr="006815B0">
        <w:rPr>
          <w:rFonts w:ascii="Verdana" w:hAnsi="Verdana"/>
        </w:rPr>
        <w:t>.</w:t>
      </w:r>
    </w:p>
    <w:p w:rsidR="006815B0" w:rsidRDefault="006815B0" w:rsidP="006815B0">
      <w:pPr>
        <w:pStyle w:val="WOVGbody"/>
        <w:rPr>
          <w:rFonts w:ascii="Verdana" w:hAnsi="Verdana"/>
        </w:rPr>
      </w:pPr>
      <w:r w:rsidRPr="00506D96">
        <w:rPr>
          <w:rFonts w:ascii="Verdana" w:hAnsi="Verdana"/>
        </w:rPr>
        <w:t>The phased implementat</w:t>
      </w:r>
      <w:r>
        <w:rPr>
          <w:rFonts w:ascii="Verdana" w:hAnsi="Verdana"/>
        </w:rPr>
        <w:t xml:space="preserve">ion of the </w:t>
      </w:r>
      <w:r w:rsidR="00EA087C">
        <w:rPr>
          <w:rFonts w:ascii="Verdana" w:hAnsi="Verdana"/>
        </w:rPr>
        <w:t>CIS S</w:t>
      </w:r>
      <w:r>
        <w:rPr>
          <w:rFonts w:ascii="Verdana" w:hAnsi="Verdana"/>
        </w:rPr>
        <w:t>cheme is led by DET</w:t>
      </w:r>
      <w:r w:rsidRPr="00506D96">
        <w:rPr>
          <w:rFonts w:ascii="Verdana" w:hAnsi="Verdana"/>
        </w:rPr>
        <w:t xml:space="preserve"> as part of a Whole of Victorian Government </w:t>
      </w:r>
      <w:r>
        <w:rPr>
          <w:rFonts w:ascii="Verdana" w:hAnsi="Verdana"/>
        </w:rPr>
        <w:t xml:space="preserve">(WoVG) </w:t>
      </w:r>
      <w:r w:rsidRPr="00506D96">
        <w:rPr>
          <w:rFonts w:ascii="Verdana" w:hAnsi="Verdana"/>
        </w:rPr>
        <w:t xml:space="preserve">function, and </w:t>
      </w:r>
      <w:r>
        <w:rPr>
          <w:rFonts w:ascii="Verdana" w:hAnsi="Verdana"/>
        </w:rPr>
        <w:t xml:space="preserve">is </w:t>
      </w:r>
      <w:r w:rsidRPr="00506D96">
        <w:rPr>
          <w:rFonts w:ascii="Verdana" w:hAnsi="Verdana"/>
        </w:rPr>
        <w:t>undertaken in conj</w:t>
      </w:r>
      <w:r>
        <w:rPr>
          <w:rFonts w:ascii="Verdana" w:hAnsi="Verdana"/>
        </w:rPr>
        <w:t>unc</w:t>
      </w:r>
      <w:r w:rsidR="008A5D0D">
        <w:rPr>
          <w:rFonts w:ascii="Verdana" w:hAnsi="Verdana"/>
        </w:rPr>
        <w:t>tion with partner agencies and d</w:t>
      </w:r>
      <w:r>
        <w:rPr>
          <w:rFonts w:ascii="Verdana" w:hAnsi="Verdana"/>
        </w:rPr>
        <w:t>epartments: F</w:t>
      </w:r>
      <w:r w:rsidRPr="00506D96">
        <w:rPr>
          <w:rFonts w:ascii="Verdana" w:hAnsi="Verdana"/>
        </w:rPr>
        <w:t xml:space="preserve">SV, DHHS, </w:t>
      </w:r>
      <w:r>
        <w:rPr>
          <w:rFonts w:ascii="Verdana" w:hAnsi="Verdana"/>
        </w:rPr>
        <w:t>D</w:t>
      </w:r>
      <w:r w:rsidRPr="00506D96">
        <w:rPr>
          <w:rFonts w:ascii="Verdana" w:hAnsi="Verdana"/>
        </w:rPr>
        <w:t>JCS</w:t>
      </w:r>
      <w:r w:rsidR="00407492">
        <w:rPr>
          <w:rFonts w:ascii="Verdana" w:hAnsi="Verdana"/>
        </w:rPr>
        <w:t>, Court Services Victoria</w:t>
      </w:r>
      <w:r w:rsidRPr="00506D96">
        <w:rPr>
          <w:rFonts w:ascii="Verdana" w:hAnsi="Verdana"/>
        </w:rPr>
        <w:t xml:space="preserve"> and Victoria Police</w:t>
      </w:r>
      <w:r>
        <w:rPr>
          <w:rFonts w:ascii="Verdana" w:hAnsi="Verdana"/>
        </w:rPr>
        <w:t>.</w:t>
      </w:r>
    </w:p>
    <w:p w:rsidR="006815B0" w:rsidRDefault="006815B0" w:rsidP="006815B0">
      <w:pPr>
        <w:pStyle w:val="WOVGbody"/>
        <w:rPr>
          <w:rFonts w:ascii="Verdana" w:hAnsi="Verdana"/>
        </w:rPr>
      </w:pPr>
      <w:r w:rsidRPr="006815B0">
        <w:rPr>
          <w:rFonts w:ascii="Verdana" w:hAnsi="Verdana"/>
        </w:rPr>
        <w:t xml:space="preserve">Implementation of the </w:t>
      </w:r>
      <w:r w:rsidR="00EA087C">
        <w:rPr>
          <w:rFonts w:ascii="Verdana" w:hAnsi="Verdana"/>
        </w:rPr>
        <w:t>CIS and FVIS schemes and MARAM has</w:t>
      </w:r>
      <w:r w:rsidRPr="006815B0">
        <w:rPr>
          <w:rFonts w:ascii="Verdana" w:hAnsi="Verdana"/>
        </w:rPr>
        <w:t xml:space="preserve"> oversight and input from the Information Sharing </w:t>
      </w:r>
      <w:r w:rsidR="00E82A43">
        <w:rPr>
          <w:rFonts w:ascii="Verdana" w:hAnsi="Verdana"/>
        </w:rPr>
        <w:t xml:space="preserve">and </w:t>
      </w:r>
      <w:r w:rsidR="00875411">
        <w:rPr>
          <w:rFonts w:ascii="Verdana" w:hAnsi="Verdana"/>
        </w:rPr>
        <w:t xml:space="preserve">MARAM </w:t>
      </w:r>
      <w:r w:rsidR="00E82A43" w:rsidRPr="00683526">
        <w:rPr>
          <w:rFonts w:ascii="Verdana" w:hAnsi="Verdana"/>
        </w:rPr>
        <w:t>Framework</w:t>
      </w:r>
      <w:r w:rsidR="00E82A43">
        <w:rPr>
          <w:rFonts w:ascii="Verdana" w:hAnsi="Verdana"/>
        </w:rPr>
        <w:t xml:space="preserve"> (ISMARAM) </w:t>
      </w:r>
      <w:r w:rsidRPr="006815B0">
        <w:rPr>
          <w:rFonts w:ascii="Verdana" w:hAnsi="Verdana"/>
        </w:rPr>
        <w:t>Steering Commi</w:t>
      </w:r>
      <w:r w:rsidR="008A5D0D">
        <w:rPr>
          <w:rFonts w:ascii="Verdana" w:hAnsi="Verdana"/>
        </w:rPr>
        <w:t>ttee representing DET, DHHS, DJCS</w:t>
      </w:r>
      <w:r w:rsidRPr="006815B0">
        <w:rPr>
          <w:rFonts w:ascii="Verdana" w:hAnsi="Verdana"/>
        </w:rPr>
        <w:t xml:space="preserve">, Victoria Police, Department of Premier and Cabinet, </w:t>
      </w:r>
      <w:r w:rsidR="00E82A43">
        <w:rPr>
          <w:rFonts w:ascii="Verdana" w:hAnsi="Verdana"/>
        </w:rPr>
        <w:t xml:space="preserve">Court Services Victoria </w:t>
      </w:r>
      <w:r w:rsidRPr="006815B0">
        <w:rPr>
          <w:rFonts w:ascii="Verdana" w:hAnsi="Verdana"/>
        </w:rPr>
        <w:t>and FSV. A multi-agency approach to implementation is crucial to ensure that all affected e</w:t>
      </w:r>
      <w:r>
        <w:rPr>
          <w:rFonts w:ascii="Verdana" w:hAnsi="Verdana"/>
        </w:rPr>
        <w:t>ntities are represented and</w:t>
      </w:r>
      <w:r w:rsidRPr="006815B0">
        <w:rPr>
          <w:rFonts w:ascii="Verdana" w:hAnsi="Verdana"/>
        </w:rPr>
        <w:t xml:space="preserve"> </w:t>
      </w:r>
      <w:r w:rsidR="008A5D0D">
        <w:rPr>
          <w:rFonts w:ascii="Verdana" w:hAnsi="Verdana"/>
        </w:rPr>
        <w:t xml:space="preserve">that there is </w:t>
      </w:r>
      <w:r w:rsidRPr="006815B0">
        <w:rPr>
          <w:rFonts w:ascii="Verdana" w:hAnsi="Verdana"/>
        </w:rPr>
        <w:t>sufficient ability and insight to engage sectors and tailor implementation to me</w:t>
      </w:r>
      <w:r>
        <w:rPr>
          <w:rFonts w:ascii="Verdana" w:hAnsi="Verdana"/>
        </w:rPr>
        <w:t>et the needs of all workforces.</w:t>
      </w:r>
    </w:p>
    <w:p w:rsidR="006815B0" w:rsidRPr="0063467C" w:rsidRDefault="00537932" w:rsidP="006815B0">
      <w:pPr>
        <w:pStyle w:val="WOVGbody"/>
        <w:rPr>
          <w:rFonts w:ascii="Verdana" w:hAnsi="Verdana"/>
          <w:b/>
        </w:rPr>
      </w:pPr>
      <w:r w:rsidRPr="0063467C">
        <w:rPr>
          <w:rFonts w:ascii="Verdana" w:hAnsi="Verdana"/>
          <w:b/>
        </w:rPr>
        <w:t xml:space="preserve">Table 8.1 </w:t>
      </w:r>
      <w:r w:rsidR="008A5D0D">
        <w:rPr>
          <w:rFonts w:ascii="Verdana" w:hAnsi="Verdana"/>
          <w:b/>
        </w:rPr>
        <w:t>CIS, FVIS and MARAM g</w:t>
      </w:r>
      <w:r w:rsidR="004B7B13" w:rsidRPr="0063467C">
        <w:rPr>
          <w:rFonts w:ascii="Verdana" w:hAnsi="Verdana"/>
          <w:b/>
        </w:rPr>
        <w:t>overnance arrangements</w:t>
      </w:r>
    </w:p>
    <w:tbl>
      <w:tblPr>
        <w:tblStyle w:val="TableGrid2"/>
        <w:tblW w:w="0" w:type="auto"/>
        <w:tblInd w:w="113" w:type="dxa"/>
        <w:tblLook w:val="04A0" w:firstRow="1" w:lastRow="0" w:firstColumn="1" w:lastColumn="0" w:noHBand="0" w:noVBand="1"/>
      </w:tblPr>
      <w:tblGrid>
        <w:gridCol w:w="3005"/>
        <w:gridCol w:w="3005"/>
        <w:gridCol w:w="3199"/>
      </w:tblGrid>
      <w:tr w:rsidR="008B7F2E" w:rsidRPr="003076BB" w:rsidTr="007B75B1">
        <w:tc>
          <w:tcPr>
            <w:tcW w:w="3005" w:type="dxa"/>
            <w:shd w:val="clear" w:color="auto" w:fill="53565A" w:themeFill="accent1"/>
          </w:tcPr>
          <w:p w:rsidR="008B7F2E" w:rsidRPr="003076BB" w:rsidRDefault="008B7F2E" w:rsidP="003076BB">
            <w:pPr>
              <w:rPr>
                <w:rFonts w:ascii="Verdana" w:hAnsi="Verdana" w:cs="Arial"/>
                <w:sz w:val="20"/>
                <w:szCs w:val="20"/>
              </w:rPr>
            </w:pPr>
          </w:p>
        </w:tc>
        <w:tc>
          <w:tcPr>
            <w:tcW w:w="3005" w:type="dxa"/>
            <w:shd w:val="clear" w:color="auto" w:fill="53565A" w:themeFill="accent1"/>
          </w:tcPr>
          <w:p w:rsidR="008B7F2E" w:rsidRPr="003076BB" w:rsidRDefault="008B7F2E" w:rsidP="003076BB">
            <w:pPr>
              <w:jc w:val="center"/>
              <w:rPr>
                <w:rFonts w:ascii="Verdana" w:hAnsi="Verdana" w:cs="Arial"/>
                <w:b/>
                <w:color w:val="FFFFFF" w:themeColor="background1"/>
                <w:sz w:val="20"/>
                <w:szCs w:val="20"/>
              </w:rPr>
            </w:pPr>
          </w:p>
          <w:p w:rsidR="008B7F2E" w:rsidRPr="003076BB" w:rsidRDefault="008B7F2E" w:rsidP="003076BB">
            <w:pPr>
              <w:jc w:val="center"/>
              <w:rPr>
                <w:rFonts w:ascii="Verdana" w:hAnsi="Verdana" w:cs="Arial"/>
                <w:b/>
                <w:color w:val="FFFFFF" w:themeColor="background1"/>
                <w:sz w:val="20"/>
                <w:szCs w:val="20"/>
              </w:rPr>
            </w:pPr>
            <w:r w:rsidRPr="003076BB">
              <w:rPr>
                <w:rFonts w:ascii="Verdana" w:hAnsi="Verdana" w:cs="Arial"/>
                <w:b/>
                <w:color w:val="FFFFFF" w:themeColor="background1"/>
                <w:sz w:val="20"/>
                <w:szCs w:val="20"/>
              </w:rPr>
              <w:t>CIS</w:t>
            </w:r>
          </w:p>
          <w:p w:rsidR="008B7F2E" w:rsidRPr="003076BB" w:rsidRDefault="008B7F2E" w:rsidP="003076BB">
            <w:pPr>
              <w:jc w:val="center"/>
              <w:rPr>
                <w:rFonts w:ascii="Verdana" w:hAnsi="Verdana" w:cs="Arial"/>
                <w:b/>
                <w:color w:val="FFFFFF" w:themeColor="background1"/>
                <w:sz w:val="20"/>
                <w:szCs w:val="20"/>
              </w:rPr>
            </w:pPr>
          </w:p>
        </w:tc>
        <w:tc>
          <w:tcPr>
            <w:tcW w:w="3199" w:type="dxa"/>
            <w:shd w:val="clear" w:color="auto" w:fill="53565A" w:themeFill="accent1"/>
          </w:tcPr>
          <w:p w:rsidR="008B7F2E" w:rsidRPr="003076BB" w:rsidRDefault="008B7F2E" w:rsidP="003076BB">
            <w:pPr>
              <w:jc w:val="center"/>
              <w:rPr>
                <w:rFonts w:ascii="Verdana" w:hAnsi="Verdana" w:cs="Arial"/>
                <w:b/>
                <w:color w:val="FFFFFF" w:themeColor="background1"/>
                <w:sz w:val="20"/>
                <w:szCs w:val="20"/>
              </w:rPr>
            </w:pPr>
          </w:p>
          <w:p w:rsidR="008B7F2E" w:rsidRPr="003076BB" w:rsidRDefault="008B7F2E" w:rsidP="003076BB">
            <w:pPr>
              <w:jc w:val="center"/>
              <w:rPr>
                <w:rFonts w:ascii="Verdana" w:hAnsi="Verdana" w:cs="Arial"/>
                <w:b/>
                <w:color w:val="FFFFFF" w:themeColor="background1"/>
                <w:sz w:val="20"/>
                <w:szCs w:val="20"/>
              </w:rPr>
            </w:pPr>
            <w:r w:rsidRPr="003076BB">
              <w:rPr>
                <w:rFonts w:ascii="Verdana" w:hAnsi="Verdana" w:cs="Arial"/>
                <w:b/>
                <w:color w:val="FFFFFF" w:themeColor="background1"/>
                <w:sz w:val="20"/>
                <w:szCs w:val="20"/>
              </w:rPr>
              <w:t>FVIS and MARAM</w:t>
            </w:r>
          </w:p>
        </w:tc>
      </w:tr>
      <w:tr w:rsidR="008B7F2E" w:rsidRPr="003076BB" w:rsidTr="007B75B1">
        <w:tc>
          <w:tcPr>
            <w:tcW w:w="3005" w:type="dxa"/>
            <w:shd w:val="clear" w:color="auto" w:fill="DFE0DF" w:themeFill="accent4" w:themeFillTint="99"/>
          </w:tcPr>
          <w:p w:rsidR="008B7F2E" w:rsidRPr="003076BB" w:rsidRDefault="008B7F2E" w:rsidP="003076BB">
            <w:pPr>
              <w:rPr>
                <w:rFonts w:ascii="Verdana" w:hAnsi="Verdana" w:cs="Arial"/>
                <w:sz w:val="20"/>
                <w:szCs w:val="20"/>
              </w:rPr>
            </w:pPr>
            <w:r w:rsidRPr="003076BB">
              <w:rPr>
                <w:rFonts w:ascii="Verdana" w:hAnsi="Verdana" w:cs="Arial"/>
                <w:sz w:val="20"/>
                <w:szCs w:val="20"/>
              </w:rPr>
              <w:t>Secretary Level</w:t>
            </w:r>
          </w:p>
        </w:tc>
        <w:tc>
          <w:tcPr>
            <w:tcW w:w="3005" w:type="dxa"/>
            <w:shd w:val="clear" w:color="auto" w:fill="EAEAEA" w:themeFill="accent4" w:themeFillTint="66"/>
          </w:tcPr>
          <w:p w:rsidR="008B7F2E" w:rsidRPr="003076BB" w:rsidRDefault="008B7F2E" w:rsidP="003076BB">
            <w:pPr>
              <w:rPr>
                <w:rFonts w:ascii="Verdana" w:hAnsi="Verdana" w:cs="Arial"/>
                <w:sz w:val="20"/>
                <w:szCs w:val="20"/>
              </w:rPr>
            </w:pPr>
          </w:p>
          <w:p w:rsidR="008B7F2E" w:rsidRPr="003076BB" w:rsidRDefault="008B7F2E" w:rsidP="003076BB">
            <w:pPr>
              <w:rPr>
                <w:rFonts w:ascii="Verdana" w:hAnsi="Verdana" w:cs="Arial"/>
                <w:sz w:val="20"/>
                <w:szCs w:val="20"/>
              </w:rPr>
            </w:pPr>
            <w:r w:rsidRPr="003076BB">
              <w:rPr>
                <w:rFonts w:ascii="Verdana" w:hAnsi="Verdana" w:cs="Arial"/>
                <w:sz w:val="20"/>
                <w:szCs w:val="20"/>
              </w:rPr>
              <w:t>Children’s Services Coordination Board (CSCB)</w:t>
            </w:r>
          </w:p>
        </w:tc>
        <w:tc>
          <w:tcPr>
            <w:tcW w:w="3199" w:type="dxa"/>
            <w:shd w:val="clear" w:color="auto" w:fill="EAEAEA" w:themeFill="accent4" w:themeFillTint="66"/>
          </w:tcPr>
          <w:p w:rsidR="008B7F2E" w:rsidRPr="003076BB" w:rsidRDefault="008B7F2E" w:rsidP="003076BB">
            <w:pPr>
              <w:rPr>
                <w:rFonts w:ascii="Verdana" w:hAnsi="Verdana" w:cs="Arial"/>
                <w:sz w:val="20"/>
                <w:szCs w:val="20"/>
              </w:rPr>
            </w:pPr>
          </w:p>
          <w:p w:rsidR="008B7F2E" w:rsidRPr="003076BB" w:rsidRDefault="008B7F2E" w:rsidP="003076BB">
            <w:pPr>
              <w:rPr>
                <w:rFonts w:ascii="Verdana" w:hAnsi="Verdana" w:cs="Arial"/>
                <w:sz w:val="20"/>
                <w:szCs w:val="20"/>
              </w:rPr>
            </w:pPr>
            <w:r w:rsidRPr="003076BB">
              <w:rPr>
                <w:rFonts w:ascii="Verdana" w:hAnsi="Verdana" w:cs="Arial"/>
                <w:sz w:val="20"/>
                <w:szCs w:val="20"/>
              </w:rPr>
              <w:t xml:space="preserve">Victorian Secretaries Board sub-committee on Family Violence </w:t>
            </w:r>
          </w:p>
          <w:p w:rsidR="008B7F2E" w:rsidRPr="003076BB" w:rsidRDefault="008B7F2E" w:rsidP="003076BB">
            <w:pPr>
              <w:rPr>
                <w:rFonts w:ascii="Verdana" w:hAnsi="Verdana" w:cs="Arial"/>
                <w:sz w:val="20"/>
                <w:szCs w:val="20"/>
              </w:rPr>
            </w:pPr>
          </w:p>
        </w:tc>
      </w:tr>
      <w:tr w:rsidR="008B7F2E" w:rsidRPr="003076BB" w:rsidTr="007B75B1">
        <w:tc>
          <w:tcPr>
            <w:tcW w:w="3005" w:type="dxa"/>
            <w:shd w:val="clear" w:color="auto" w:fill="DFE0DF" w:themeFill="accent4" w:themeFillTint="99"/>
          </w:tcPr>
          <w:p w:rsidR="008B7F2E" w:rsidRPr="003076BB" w:rsidRDefault="008B7F2E" w:rsidP="003076BB">
            <w:pPr>
              <w:rPr>
                <w:rFonts w:ascii="Verdana" w:hAnsi="Verdana" w:cs="Arial"/>
                <w:sz w:val="20"/>
                <w:szCs w:val="20"/>
              </w:rPr>
            </w:pPr>
            <w:r w:rsidRPr="003076BB">
              <w:rPr>
                <w:rFonts w:ascii="Verdana" w:hAnsi="Verdana" w:cs="Arial"/>
                <w:sz w:val="20"/>
                <w:szCs w:val="20"/>
              </w:rPr>
              <w:t xml:space="preserve">Senior Executive Level </w:t>
            </w:r>
          </w:p>
        </w:tc>
        <w:tc>
          <w:tcPr>
            <w:tcW w:w="6204" w:type="dxa"/>
            <w:gridSpan w:val="2"/>
            <w:shd w:val="clear" w:color="auto" w:fill="EAEAEA" w:themeFill="accent4" w:themeFillTint="66"/>
          </w:tcPr>
          <w:p w:rsidR="008B7F2E" w:rsidRPr="003076BB" w:rsidRDefault="008B7F2E" w:rsidP="003076BB">
            <w:pPr>
              <w:jc w:val="center"/>
              <w:rPr>
                <w:rFonts w:ascii="Verdana" w:hAnsi="Verdana" w:cs="Arial"/>
                <w:sz w:val="20"/>
                <w:szCs w:val="20"/>
              </w:rPr>
            </w:pPr>
          </w:p>
          <w:p w:rsidR="008B7F2E" w:rsidRPr="003076BB" w:rsidRDefault="008B7F2E" w:rsidP="003076BB">
            <w:pPr>
              <w:jc w:val="center"/>
              <w:rPr>
                <w:rFonts w:ascii="Verdana" w:hAnsi="Verdana" w:cs="Arial"/>
                <w:sz w:val="20"/>
                <w:szCs w:val="20"/>
              </w:rPr>
            </w:pPr>
            <w:r w:rsidRPr="003076BB">
              <w:rPr>
                <w:rFonts w:ascii="Verdana" w:hAnsi="Verdana" w:cs="Arial"/>
                <w:sz w:val="20"/>
                <w:szCs w:val="20"/>
              </w:rPr>
              <w:t>ISMARAM Steering Committee</w:t>
            </w:r>
          </w:p>
          <w:p w:rsidR="008B7F2E" w:rsidRPr="003076BB" w:rsidRDefault="008B7F2E" w:rsidP="003076BB">
            <w:pPr>
              <w:jc w:val="center"/>
              <w:rPr>
                <w:rFonts w:ascii="Verdana" w:hAnsi="Verdana" w:cs="Arial"/>
                <w:sz w:val="20"/>
                <w:szCs w:val="20"/>
              </w:rPr>
            </w:pPr>
          </w:p>
        </w:tc>
      </w:tr>
      <w:tr w:rsidR="008B7F2E" w:rsidRPr="003076BB" w:rsidTr="007B75B1">
        <w:tc>
          <w:tcPr>
            <w:tcW w:w="3005" w:type="dxa"/>
            <w:shd w:val="clear" w:color="auto" w:fill="DFE0DF" w:themeFill="accent4" w:themeFillTint="99"/>
          </w:tcPr>
          <w:p w:rsidR="008B7F2E" w:rsidRPr="003076BB" w:rsidRDefault="008B7F2E" w:rsidP="003076BB">
            <w:pPr>
              <w:rPr>
                <w:rFonts w:ascii="Verdana" w:hAnsi="Verdana" w:cs="Arial"/>
                <w:sz w:val="20"/>
                <w:szCs w:val="20"/>
              </w:rPr>
            </w:pPr>
            <w:r w:rsidRPr="003076BB">
              <w:rPr>
                <w:rFonts w:ascii="Verdana" w:hAnsi="Verdana" w:cs="Arial"/>
                <w:sz w:val="20"/>
                <w:szCs w:val="20"/>
              </w:rPr>
              <w:t>Executive Level</w:t>
            </w:r>
          </w:p>
        </w:tc>
        <w:tc>
          <w:tcPr>
            <w:tcW w:w="6204" w:type="dxa"/>
            <w:gridSpan w:val="2"/>
            <w:shd w:val="clear" w:color="auto" w:fill="EAEAEA" w:themeFill="accent4" w:themeFillTint="66"/>
          </w:tcPr>
          <w:p w:rsidR="008B7F2E" w:rsidRPr="003076BB" w:rsidRDefault="008B7F2E" w:rsidP="003076BB">
            <w:pPr>
              <w:jc w:val="center"/>
              <w:rPr>
                <w:rFonts w:ascii="Verdana" w:hAnsi="Verdana" w:cs="Arial"/>
                <w:sz w:val="20"/>
                <w:szCs w:val="20"/>
              </w:rPr>
            </w:pPr>
          </w:p>
          <w:p w:rsidR="008B7F2E" w:rsidRPr="003076BB" w:rsidRDefault="008A5D0D" w:rsidP="003076BB">
            <w:pPr>
              <w:jc w:val="center"/>
              <w:rPr>
                <w:rFonts w:ascii="Verdana" w:hAnsi="Verdana" w:cs="Arial"/>
                <w:sz w:val="20"/>
                <w:szCs w:val="20"/>
              </w:rPr>
            </w:pPr>
            <w:r>
              <w:rPr>
                <w:rFonts w:ascii="Verdana" w:hAnsi="Verdana" w:cs="Arial"/>
                <w:sz w:val="20"/>
                <w:szCs w:val="20"/>
              </w:rPr>
              <w:t>ISMARAM</w:t>
            </w:r>
            <w:r w:rsidR="008B7F2E" w:rsidRPr="003076BB">
              <w:rPr>
                <w:rFonts w:ascii="Verdana" w:hAnsi="Verdana" w:cs="Arial"/>
                <w:sz w:val="20"/>
                <w:szCs w:val="20"/>
              </w:rPr>
              <w:t xml:space="preserve"> Interdepartmental Committee (IDC)</w:t>
            </w:r>
          </w:p>
          <w:p w:rsidR="008B7F2E" w:rsidRPr="003076BB" w:rsidRDefault="008B7F2E" w:rsidP="00DE44AA">
            <w:pPr>
              <w:jc w:val="center"/>
              <w:rPr>
                <w:rFonts w:ascii="Verdana" w:hAnsi="Verdana" w:cs="Arial"/>
                <w:i/>
                <w:sz w:val="20"/>
                <w:szCs w:val="20"/>
              </w:rPr>
            </w:pPr>
          </w:p>
        </w:tc>
      </w:tr>
      <w:tr w:rsidR="008B7F2E" w:rsidRPr="003076BB" w:rsidTr="007B75B1">
        <w:tc>
          <w:tcPr>
            <w:tcW w:w="3005" w:type="dxa"/>
            <w:shd w:val="clear" w:color="auto" w:fill="DFE0DF" w:themeFill="accent4" w:themeFillTint="99"/>
          </w:tcPr>
          <w:p w:rsidR="008B7F2E" w:rsidRPr="003076BB" w:rsidRDefault="008B7F2E" w:rsidP="003076BB">
            <w:pPr>
              <w:rPr>
                <w:rFonts w:ascii="Verdana" w:hAnsi="Verdana" w:cs="Arial"/>
                <w:sz w:val="20"/>
                <w:szCs w:val="20"/>
              </w:rPr>
            </w:pPr>
            <w:r w:rsidRPr="003076BB">
              <w:rPr>
                <w:rFonts w:ascii="Verdana" w:hAnsi="Verdana" w:cs="Arial"/>
                <w:sz w:val="20"/>
                <w:szCs w:val="20"/>
              </w:rPr>
              <w:t xml:space="preserve">Officer Level </w:t>
            </w:r>
          </w:p>
        </w:tc>
        <w:tc>
          <w:tcPr>
            <w:tcW w:w="6204" w:type="dxa"/>
            <w:gridSpan w:val="2"/>
            <w:shd w:val="clear" w:color="auto" w:fill="EAEAEA" w:themeFill="accent4" w:themeFillTint="66"/>
          </w:tcPr>
          <w:p w:rsidR="008B7F2E" w:rsidRPr="003076BB" w:rsidRDefault="008B7F2E" w:rsidP="003076BB">
            <w:pPr>
              <w:jc w:val="center"/>
              <w:rPr>
                <w:rFonts w:ascii="Verdana" w:hAnsi="Verdana" w:cs="Arial"/>
                <w:sz w:val="20"/>
                <w:szCs w:val="20"/>
              </w:rPr>
            </w:pPr>
          </w:p>
          <w:p w:rsidR="008B7F2E" w:rsidRPr="003076BB" w:rsidRDefault="008B7F2E" w:rsidP="003076BB">
            <w:pPr>
              <w:jc w:val="center"/>
              <w:rPr>
                <w:rFonts w:ascii="Verdana" w:hAnsi="Verdana" w:cs="Arial"/>
                <w:sz w:val="20"/>
                <w:szCs w:val="20"/>
              </w:rPr>
            </w:pPr>
            <w:r w:rsidRPr="003076BB">
              <w:rPr>
                <w:rFonts w:ascii="Verdana" w:hAnsi="Verdana" w:cs="Arial"/>
                <w:sz w:val="20"/>
                <w:szCs w:val="20"/>
              </w:rPr>
              <w:t>ISMARAM Working Group</w:t>
            </w:r>
          </w:p>
          <w:p w:rsidR="008B7F2E" w:rsidRPr="003076BB" w:rsidRDefault="008B7F2E" w:rsidP="003076BB">
            <w:pPr>
              <w:jc w:val="center"/>
              <w:rPr>
                <w:rFonts w:ascii="Verdana" w:hAnsi="Verdana" w:cs="Arial"/>
                <w:sz w:val="20"/>
                <w:szCs w:val="20"/>
              </w:rPr>
            </w:pPr>
          </w:p>
        </w:tc>
      </w:tr>
    </w:tbl>
    <w:p w:rsidR="00964789" w:rsidRPr="00964789" w:rsidRDefault="00964789" w:rsidP="00964789">
      <w:pPr>
        <w:pStyle w:val="Heading2"/>
        <w:rPr>
          <w:rFonts w:ascii="Verdana" w:hAnsi="Verdana"/>
        </w:rPr>
      </w:pPr>
      <w:bookmarkStart w:id="47" w:name="_Toc23510791"/>
      <w:r w:rsidRPr="00964789">
        <w:rPr>
          <w:rFonts w:ascii="Verdana" w:hAnsi="Verdana"/>
        </w:rPr>
        <w:t xml:space="preserve">Managing complaints under the </w:t>
      </w:r>
      <w:r w:rsidR="00302A25">
        <w:rPr>
          <w:rFonts w:ascii="Verdana" w:hAnsi="Verdana"/>
        </w:rPr>
        <w:t>CIS S</w:t>
      </w:r>
      <w:r w:rsidRPr="00964789">
        <w:rPr>
          <w:rFonts w:ascii="Verdana" w:hAnsi="Verdana"/>
        </w:rPr>
        <w:t>cheme</w:t>
      </w:r>
      <w:bookmarkEnd w:id="47"/>
    </w:p>
    <w:p w:rsidR="00AE74C2" w:rsidRDefault="00AE74C2" w:rsidP="00964789">
      <w:pPr>
        <w:pStyle w:val="WOVGbody"/>
        <w:rPr>
          <w:rFonts w:ascii="Verdana" w:hAnsi="Verdana"/>
        </w:rPr>
      </w:pPr>
      <w:r>
        <w:rPr>
          <w:rFonts w:ascii="Verdana" w:hAnsi="Verdana"/>
        </w:rPr>
        <w:t xml:space="preserve">Complaints in relation to the collection, use or disclosure of personal information by ISEs may be made to the </w:t>
      </w:r>
      <w:r w:rsidR="00964789" w:rsidRPr="00964789">
        <w:rPr>
          <w:rFonts w:ascii="Verdana" w:hAnsi="Verdana"/>
        </w:rPr>
        <w:t>Office of the Victorian</w:t>
      </w:r>
      <w:r>
        <w:rPr>
          <w:rFonts w:ascii="Verdana" w:hAnsi="Verdana"/>
        </w:rPr>
        <w:t xml:space="preserve"> Information Commissioner. Complaints in relation to the collection, use or disclosure of health information by ISEs (whether in the government or non-government sector) may be made to the Health Complaints Commissioner. If the </w:t>
      </w:r>
      <w:r w:rsidRPr="00AE74C2">
        <w:rPr>
          <w:rFonts w:ascii="Verdana" w:hAnsi="Verdana"/>
          <w:i/>
        </w:rPr>
        <w:t>Privacy Act</w:t>
      </w:r>
      <w:r w:rsidR="00EA087C">
        <w:rPr>
          <w:rFonts w:ascii="Verdana" w:hAnsi="Verdana"/>
          <w:i/>
        </w:rPr>
        <w:t xml:space="preserve"> 1988</w:t>
      </w:r>
      <w:r>
        <w:rPr>
          <w:rFonts w:ascii="Verdana" w:hAnsi="Verdana"/>
          <w:i/>
        </w:rPr>
        <w:t xml:space="preserve"> </w:t>
      </w:r>
      <w:r>
        <w:rPr>
          <w:rFonts w:ascii="Verdana" w:hAnsi="Verdana"/>
        </w:rPr>
        <w:t>applies, a complaint may be made to the Office of the Australian Information Commissioner.</w:t>
      </w:r>
    </w:p>
    <w:p w:rsidR="00AE74C2" w:rsidRPr="00AE74C2" w:rsidRDefault="00AE74C2" w:rsidP="00964789">
      <w:pPr>
        <w:pStyle w:val="WOVGbody"/>
        <w:rPr>
          <w:rFonts w:ascii="Verdana" w:hAnsi="Verdana"/>
        </w:rPr>
      </w:pPr>
      <w:r>
        <w:rPr>
          <w:rFonts w:ascii="Verdana" w:hAnsi="Verdana"/>
        </w:rPr>
        <w:t>ISEs should have procedures in place for dealing with complaints made in relation to the CIS Scheme, and should make these available.</w:t>
      </w:r>
    </w:p>
    <w:p w:rsidR="005A0662" w:rsidRPr="003D6BE9" w:rsidRDefault="005A0662" w:rsidP="00FE48EB">
      <w:pPr>
        <w:pStyle w:val="Heading1"/>
        <w:ind w:left="426"/>
        <w:rPr>
          <w:rFonts w:ascii="Verdana" w:hAnsi="Verdana"/>
        </w:rPr>
      </w:pPr>
      <w:bookmarkStart w:id="48" w:name="_Toc23510792"/>
      <w:r w:rsidRPr="003D6BE9">
        <w:rPr>
          <w:rFonts w:ascii="Verdana" w:hAnsi="Verdana"/>
        </w:rPr>
        <w:lastRenderedPageBreak/>
        <w:t>Review of the CIS Scheme</w:t>
      </w:r>
      <w:bookmarkEnd w:id="48"/>
    </w:p>
    <w:p w:rsidR="00976886" w:rsidRPr="00976886" w:rsidRDefault="00976886" w:rsidP="00976886">
      <w:pPr>
        <w:pStyle w:val="WOVGbody"/>
        <w:rPr>
          <w:rFonts w:ascii="Verdana" w:hAnsi="Verdana"/>
        </w:rPr>
      </w:pPr>
      <w:r w:rsidRPr="00976886">
        <w:rPr>
          <w:rFonts w:ascii="Verdana" w:hAnsi="Verdana"/>
        </w:rPr>
        <w:t>The</w:t>
      </w:r>
      <w:r w:rsidR="002C552F">
        <w:rPr>
          <w:rFonts w:ascii="Verdana" w:hAnsi="Verdana"/>
        </w:rPr>
        <w:t xml:space="preserve"> Act</w:t>
      </w:r>
      <w:r w:rsidRPr="00976886">
        <w:rPr>
          <w:rFonts w:ascii="Verdana" w:hAnsi="Verdana"/>
        </w:rPr>
        <w:t xml:space="preserve"> </w:t>
      </w:r>
      <w:r w:rsidR="002D7648">
        <w:rPr>
          <w:rFonts w:ascii="Verdana" w:hAnsi="Verdana"/>
        </w:rPr>
        <w:t>requires review of the</w:t>
      </w:r>
      <w:r w:rsidRPr="00976886">
        <w:rPr>
          <w:rFonts w:ascii="Verdana" w:hAnsi="Verdana"/>
        </w:rPr>
        <w:t xml:space="preserve"> operation of the </w:t>
      </w:r>
      <w:r w:rsidR="002D7648">
        <w:rPr>
          <w:rFonts w:ascii="Verdana" w:hAnsi="Verdana"/>
        </w:rPr>
        <w:t>CIS Scheme</w:t>
      </w:r>
      <w:r w:rsidR="002C552F">
        <w:rPr>
          <w:rFonts w:ascii="Verdana" w:hAnsi="Verdana"/>
        </w:rPr>
        <w:t xml:space="preserve"> </w:t>
      </w:r>
      <w:r w:rsidR="0095279E">
        <w:rPr>
          <w:rFonts w:ascii="Verdana" w:hAnsi="Verdana"/>
        </w:rPr>
        <w:t>within two</w:t>
      </w:r>
      <w:r w:rsidRPr="00976886">
        <w:rPr>
          <w:rFonts w:ascii="Verdana" w:hAnsi="Verdana"/>
        </w:rPr>
        <w:t xml:space="preserve"> </w:t>
      </w:r>
      <w:r w:rsidR="002C552F">
        <w:rPr>
          <w:rFonts w:ascii="Verdana" w:hAnsi="Verdana"/>
        </w:rPr>
        <w:t xml:space="preserve">and five years </w:t>
      </w:r>
      <w:r w:rsidRPr="00976886">
        <w:rPr>
          <w:rFonts w:ascii="Verdana" w:hAnsi="Verdana"/>
        </w:rPr>
        <w:t xml:space="preserve">of </w:t>
      </w:r>
      <w:r w:rsidR="002C552F">
        <w:rPr>
          <w:rFonts w:ascii="Verdana" w:hAnsi="Verdana"/>
        </w:rPr>
        <w:t>commencement</w:t>
      </w:r>
      <w:r w:rsidR="002D7648">
        <w:rPr>
          <w:rFonts w:ascii="Verdana" w:hAnsi="Verdana"/>
        </w:rPr>
        <w:t xml:space="preserve"> of the scheme, and </w:t>
      </w:r>
      <w:r w:rsidR="00D431DA">
        <w:rPr>
          <w:rFonts w:ascii="Verdana" w:hAnsi="Verdana"/>
        </w:rPr>
        <w:t xml:space="preserve">the tabling of </w:t>
      </w:r>
      <w:r w:rsidR="002D7648">
        <w:rPr>
          <w:rFonts w:ascii="Verdana" w:hAnsi="Verdana"/>
        </w:rPr>
        <w:t xml:space="preserve">a review report in both houses of Parliament </w:t>
      </w:r>
      <w:r w:rsidR="00D431DA">
        <w:rPr>
          <w:rFonts w:ascii="Verdana" w:hAnsi="Verdana"/>
        </w:rPr>
        <w:t>within six months of the end of the two-ye</w:t>
      </w:r>
      <w:r w:rsidR="00F94514">
        <w:rPr>
          <w:rFonts w:ascii="Verdana" w:hAnsi="Verdana"/>
        </w:rPr>
        <w:t>ar and five-year review periods</w:t>
      </w:r>
      <w:r w:rsidR="00D431DA">
        <w:rPr>
          <w:rFonts w:ascii="Verdana" w:hAnsi="Verdana"/>
        </w:rPr>
        <w:t xml:space="preserve">. </w:t>
      </w:r>
      <w:r w:rsidRPr="00976886">
        <w:rPr>
          <w:rFonts w:ascii="Verdana" w:hAnsi="Verdana"/>
        </w:rPr>
        <w:t xml:space="preserve">The </w:t>
      </w:r>
      <w:r w:rsidR="002C552F">
        <w:rPr>
          <w:rFonts w:ascii="Verdana" w:hAnsi="Verdana"/>
        </w:rPr>
        <w:t>Act</w:t>
      </w:r>
      <w:r w:rsidRPr="00976886">
        <w:rPr>
          <w:rFonts w:ascii="Verdana" w:hAnsi="Verdana"/>
        </w:rPr>
        <w:t xml:space="preserve"> further states that the review</w:t>
      </w:r>
      <w:r w:rsidR="002C552F">
        <w:rPr>
          <w:rFonts w:ascii="Verdana" w:hAnsi="Verdana"/>
        </w:rPr>
        <w:t>s</w:t>
      </w:r>
      <w:r w:rsidRPr="00976886">
        <w:rPr>
          <w:rFonts w:ascii="Verdana" w:hAnsi="Verdana"/>
        </w:rPr>
        <w:t xml:space="preserve"> must be independent and must consider any adverse impacts of the legislation.</w:t>
      </w:r>
      <w:r w:rsidR="002C552F">
        <w:rPr>
          <w:rFonts w:ascii="Verdana" w:hAnsi="Verdana"/>
        </w:rPr>
        <w:t xml:space="preserve"> The reviews </w:t>
      </w:r>
      <w:r w:rsidRPr="00976886">
        <w:rPr>
          <w:rFonts w:ascii="Verdana" w:hAnsi="Verdana"/>
        </w:rPr>
        <w:t xml:space="preserve">may also include recommendations on any </w:t>
      </w:r>
      <w:r w:rsidR="002D7648">
        <w:rPr>
          <w:rFonts w:ascii="Verdana" w:hAnsi="Verdana"/>
        </w:rPr>
        <w:t>matter addressed in the review.</w:t>
      </w:r>
    </w:p>
    <w:p w:rsidR="005A0662" w:rsidRDefault="00976886" w:rsidP="00976886">
      <w:pPr>
        <w:pStyle w:val="WOVGbody"/>
        <w:rPr>
          <w:rFonts w:ascii="Verdana" w:hAnsi="Verdana"/>
        </w:rPr>
      </w:pPr>
      <w:r w:rsidRPr="00976886">
        <w:rPr>
          <w:rFonts w:ascii="Verdana" w:hAnsi="Verdana"/>
        </w:rPr>
        <w:t xml:space="preserve">DET </w:t>
      </w:r>
      <w:r w:rsidR="002E5726">
        <w:rPr>
          <w:rFonts w:ascii="Verdana" w:hAnsi="Verdana"/>
        </w:rPr>
        <w:t>is</w:t>
      </w:r>
      <w:r w:rsidRPr="00976886">
        <w:rPr>
          <w:rFonts w:ascii="Verdana" w:hAnsi="Verdana"/>
        </w:rPr>
        <w:t xml:space="preserve"> responsible for the review process</w:t>
      </w:r>
      <w:r w:rsidR="002C552F">
        <w:rPr>
          <w:rFonts w:ascii="Verdana" w:hAnsi="Verdana"/>
        </w:rPr>
        <w:t>es</w:t>
      </w:r>
      <w:r w:rsidR="002D7648">
        <w:rPr>
          <w:rFonts w:ascii="Verdana" w:hAnsi="Verdana"/>
        </w:rPr>
        <w:t xml:space="preserve">. </w:t>
      </w:r>
      <w:r w:rsidRPr="00976886">
        <w:rPr>
          <w:rFonts w:ascii="Verdana" w:hAnsi="Verdana"/>
        </w:rPr>
        <w:t xml:space="preserve">To meet the legislative requirements as well as inform implementation of the scheme, the following approach to review </w:t>
      </w:r>
      <w:r w:rsidR="00EE48E7">
        <w:rPr>
          <w:rFonts w:ascii="Verdana" w:hAnsi="Verdana"/>
        </w:rPr>
        <w:t>is</w:t>
      </w:r>
      <w:r w:rsidRPr="00976886">
        <w:rPr>
          <w:rFonts w:ascii="Verdana" w:hAnsi="Verdana"/>
        </w:rPr>
        <w:t xml:space="preserve"> proposed</w:t>
      </w:r>
      <w:r w:rsidR="00DE073B">
        <w:rPr>
          <w:rFonts w:ascii="Verdana" w:hAnsi="Verdana"/>
        </w:rPr>
        <w:t>.</w:t>
      </w:r>
    </w:p>
    <w:p w:rsidR="00DE073B" w:rsidRPr="003D6BE9" w:rsidRDefault="00DE073B" w:rsidP="00DE073B">
      <w:pPr>
        <w:pStyle w:val="Heading2"/>
        <w:rPr>
          <w:rFonts w:ascii="Verdana" w:hAnsi="Verdana"/>
        </w:rPr>
      </w:pPr>
      <w:bookmarkStart w:id="49" w:name="_Toc23510793"/>
      <w:r w:rsidRPr="003D6BE9">
        <w:rPr>
          <w:rFonts w:ascii="Verdana" w:hAnsi="Verdana"/>
        </w:rPr>
        <w:t>Two-year and five year legislative reviews</w:t>
      </w:r>
      <w:bookmarkEnd w:id="49"/>
    </w:p>
    <w:p w:rsidR="006735DE" w:rsidRDefault="006735DE" w:rsidP="00DE073B">
      <w:pPr>
        <w:pStyle w:val="WOVGbody"/>
        <w:rPr>
          <w:rFonts w:ascii="Verdana" w:hAnsi="Verdana"/>
        </w:rPr>
      </w:pPr>
      <w:r>
        <w:rPr>
          <w:rFonts w:ascii="Verdana" w:hAnsi="Verdana"/>
        </w:rPr>
        <w:t xml:space="preserve">Both the two-year and the five-year reviews </w:t>
      </w:r>
      <w:r w:rsidR="002E5726">
        <w:rPr>
          <w:rFonts w:ascii="Verdana" w:hAnsi="Verdana"/>
        </w:rPr>
        <w:t xml:space="preserve">are to </w:t>
      </w:r>
      <w:r>
        <w:rPr>
          <w:rFonts w:ascii="Verdana" w:hAnsi="Verdana"/>
        </w:rPr>
        <w:t>be performed by independent suppli</w:t>
      </w:r>
      <w:r w:rsidR="00F366F5">
        <w:rPr>
          <w:rFonts w:ascii="Verdana" w:hAnsi="Verdana"/>
        </w:rPr>
        <w:t>ers with expertise in review</w:t>
      </w:r>
      <w:r>
        <w:rPr>
          <w:rFonts w:ascii="Verdana" w:hAnsi="Verdana"/>
        </w:rPr>
        <w:t xml:space="preserve"> of</w:t>
      </w:r>
      <w:r w:rsidR="004615F7">
        <w:rPr>
          <w:rFonts w:ascii="Verdana" w:hAnsi="Verdana"/>
        </w:rPr>
        <w:t xml:space="preserve"> g</w:t>
      </w:r>
      <w:r w:rsidR="00AD1643">
        <w:rPr>
          <w:rFonts w:ascii="Verdana" w:hAnsi="Verdana"/>
        </w:rPr>
        <w:t>overnment reforms and programs.</w:t>
      </w:r>
    </w:p>
    <w:p w:rsidR="00AD1643" w:rsidRPr="005F5DE1" w:rsidRDefault="006130FB" w:rsidP="00AD1643">
      <w:pPr>
        <w:pStyle w:val="WOVGbody"/>
        <w:rPr>
          <w:rFonts w:ascii="Verdana" w:hAnsi="Verdana"/>
        </w:rPr>
      </w:pPr>
      <w:r w:rsidRPr="006130FB">
        <w:rPr>
          <w:rFonts w:ascii="Verdana" w:hAnsi="Verdana"/>
        </w:rPr>
        <w:t>The effectiveness of these proposed regulations is to be considered as part of the CIS Scheme reviews</w:t>
      </w:r>
      <w:r>
        <w:rPr>
          <w:rFonts w:ascii="Verdana" w:hAnsi="Verdana"/>
        </w:rPr>
        <w:t>.</w:t>
      </w:r>
      <w:r w:rsidRPr="005F5DE1">
        <w:rPr>
          <w:rFonts w:ascii="Verdana" w:hAnsi="Verdana"/>
        </w:rPr>
        <w:t xml:space="preserve"> </w:t>
      </w:r>
      <w:r w:rsidR="00AD1643" w:rsidRPr="005F5DE1">
        <w:rPr>
          <w:rFonts w:ascii="Verdana" w:hAnsi="Verdana"/>
        </w:rPr>
        <w:t xml:space="preserve">The </w:t>
      </w:r>
      <w:r w:rsidR="00DF3765">
        <w:rPr>
          <w:rFonts w:ascii="Verdana" w:hAnsi="Verdana"/>
        </w:rPr>
        <w:t>overarching review questions</w:t>
      </w:r>
      <w:r w:rsidR="00AD1643">
        <w:rPr>
          <w:rFonts w:ascii="Verdana" w:hAnsi="Verdana"/>
        </w:rPr>
        <w:t xml:space="preserve"> include:</w:t>
      </w:r>
    </w:p>
    <w:p w:rsidR="00AD1643" w:rsidRPr="005F5DE1" w:rsidRDefault="0095279E" w:rsidP="00A76FAF">
      <w:pPr>
        <w:pStyle w:val="WOVGbody"/>
        <w:numPr>
          <w:ilvl w:val="0"/>
          <w:numId w:val="35"/>
        </w:numPr>
        <w:ind w:left="426"/>
        <w:rPr>
          <w:rFonts w:ascii="Verdana" w:hAnsi="Verdana"/>
        </w:rPr>
      </w:pPr>
      <w:r>
        <w:rPr>
          <w:rFonts w:ascii="Verdana" w:hAnsi="Verdana"/>
        </w:rPr>
        <w:t>i</w:t>
      </w:r>
      <w:r w:rsidR="00AD1643" w:rsidRPr="005F5DE1">
        <w:rPr>
          <w:rFonts w:ascii="Verdana" w:hAnsi="Verdana"/>
        </w:rPr>
        <w:t xml:space="preserve">dentify key enablers and barriers to </w:t>
      </w:r>
      <w:r w:rsidR="008823C4">
        <w:rPr>
          <w:rFonts w:ascii="Verdana" w:hAnsi="Verdana"/>
        </w:rPr>
        <w:t>operation of the CIS Scheme</w:t>
      </w:r>
      <w:r w:rsidR="00AD1643" w:rsidRPr="005F5DE1" w:rsidDel="00060F3B">
        <w:rPr>
          <w:rFonts w:ascii="Verdana" w:hAnsi="Verdana"/>
        </w:rPr>
        <w:t xml:space="preserve"> </w:t>
      </w:r>
    </w:p>
    <w:p w:rsidR="00AD1643" w:rsidRPr="005F5DE1" w:rsidRDefault="0095279E" w:rsidP="00A76FAF">
      <w:pPr>
        <w:pStyle w:val="WOVGbody"/>
        <w:numPr>
          <w:ilvl w:val="0"/>
          <w:numId w:val="35"/>
        </w:numPr>
        <w:ind w:left="426"/>
        <w:rPr>
          <w:rFonts w:ascii="Verdana" w:hAnsi="Verdana"/>
        </w:rPr>
      </w:pPr>
      <w:r>
        <w:rPr>
          <w:rFonts w:ascii="Verdana" w:hAnsi="Verdana"/>
        </w:rPr>
        <w:t>d</w:t>
      </w:r>
      <w:r w:rsidR="00AD1643" w:rsidRPr="005F5DE1">
        <w:rPr>
          <w:rFonts w:ascii="Verdana" w:hAnsi="Verdana"/>
        </w:rPr>
        <w:t>etermine to what extent the CIS Scheme is achieving its objectives</w:t>
      </w:r>
      <w:r w:rsidR="00AD1643">
        <w:rPr>
          <w:rStyle w:val="FootnoteReference"/>
          <w:rFonts w:ascii="Verdana" w:hAnsi="Verdana"/>
        </w:rPr>
        <w:footnoteReference w:id="36"/>
      </w:r>
    </w:p>
    <w:p w:rsidR="00AD1643" w:rsidRPr="005F5DE1" w:rsidRDefault="0095279E" w:rsidP="00A76FAF">
      <w:pPr>
        <w:pStyle w:val="WOVGbody"/>
        <w:numPr>
          <w:ilvl w:val="0"/>
          <w:numId w:val="35"/>
        </w:numPr>
        <w:ind w:left="426"/>
        <w:rPr>
          <w:rFonts w:ascii="Verdana" w:hAnsi="Verdana"/>
        </w:rPr>
      </w:pPr>
      <w:r>
        <w:rPr>
          <w:rFonts w:ascii="Verdana" w:hAnsi="Verdana"/>
        </w:rPr>
        <w:t>c</w:t>
      </w:r>
      <w:r w:rsidR="00AD1643" w:rsidRPr="005F5DE1">
        <w:rPr>
          <w:rFonts w:ascii="Verdana" w:hAnsi="Verdana"/>
        </w:rPr>
        <w:t>onsider and identify any adverse impacts of the CIS Scheme</w:t>
      </w:r>
    </w:p>
    <w:p w:rsidR="00AD1643" w:rsidRPr="005F5DE1" w:rsidRDefault="0095279E" w:rsidP="00A76FAF">
      <w:pPr>
        <w:pStyle w:val="WOVGbody"/>
        <w:numPr>
          <w:ilvl w:val="0"/>
          <w:numId w:val="35"/>
        </w:numPr>
        <w:ind w:left="426"/>
        <w:rPr>
          <w:rFonts w:ascii="Verdana" w:hAnsi="Verdana"/>
        </w:rPr>
      </w:pPr>
      <w:r>
        <w:rPr>
          <w:rFonts w:ascii="Verdana" w:hAnsi="Verdana"/>
        </w:rPr>
        <w:t>a</w:t>
      </w:r>
      <w:r w:rsidR="00AD1643" w:rsidRPr="005F5DE1">
        <w:rPr>
          <w:rFonts w:ascii="Verdana" w:hAnsi="Verdana"/>
        </w:rPr>
        <w:t>ssess success of prescription of ISEs</w:t>
      </w:r>
    </w:p>
    <w:p w:rsidR="00AD1643" w:rsidRPr="005F5DE1" w:rsidRDefault="0095279E" w:rsidP="00A76FAF">
      <w:pPr>
        <w:pStyle w:val="WOVGbody"/>
        <w:numPr>
          <w:ilvl w:val="0"/>
          <w:numId w:val="35"/>
        </w:numPr>
        <w:ind w:left="426"/>
        <w:rPr>
          <w:rFonts w:ascii="Verdana" w:hAnsi="Verdana"/>
        </w:rPr>
      </w:pPr>
      <w:r>
        <w:rPr>
          <w:rFonts w:ascii="Verdana" w:hAnsi="Verdana"/>
        </w:rPr>
        <w:t>a</w:t>
      </w:r>
      <w:r w:rsidR="00AD1643" w:rsidRPr="005F5DE1">
        <w:rPr>
          <w:rFonts w:ascii="Verdana" w:hAnsi="Verdana"/>
        </w:rPr>
        <w:t>ssess impacts on diverse and disadvantaged communities</w:t>
      </w:r>
    </w:p>
    <w:p w:rsidR="00AD1643" w:rsidRPr="005F5DE1" w:rsidRDefault="0095279E" w:rsidP="00A76FAF">
      <w:pPr>
        <w:pStyle w:val="WOVGbody"/>
        <w:numPr>
          <w:ilvl w:val="0"/>
          <w:numId w:val="35"/>
        </w:numPr>
        <w:ind w:left="426"/>
        <w:rPr>
          <w:rFonts w:ascii="Verdana" w:hAnsi="Verdana"/>
        </w:rPr>
      </w:pPr>
      <w:r>
        <w:rPr>
          <w:rFonts w:ascii="Verdana" w:hAnsi="Verdana"/>
        </w:rPr>
        <w:t>p</w:t>
      </w:r>
      <w:r w:rsidR="00AD1643" w:rsidRPr="005F5DE1">
        <w:rPr>
          <w:rFonts w:ascii="Verdana" w:hAnsi="Verdana"/>
        </w:rPr>
        <w:t>otentially include recommendations on any matter addressed</w:t>
      </w:r>
    </w:p>
    <w:p w:rsidR="00AD1643" w:rsidRDefault="0095279E" w:rsidP="00A76FAF">
      <w:pPr>
        <w:pStyle w:val="WOVGbody"/>
        <w:numPr>
          <w:ilvl w:val="0"/>
          <w:numId w:val="35"/>
        </w:numPr>
        <w:ind w:left="426"/>
        <w:rPr>
          <w:rFonts w:ascii="Verdana" w:hAnsi="Verdana"/>
        </w:rPr>
      </w:pPr>
      <w:r>
        <w:rPr>
          <w:rFonts w:ascii="Verdana" w:hAnsi="Verdana"/>
        </w:rPr>
        <w:t>c</w:t>
      </w:r>
      <w:r w:rsidR="00AD1643" w:rsidRPr="005F5DE1">
        <w:rPr>
          <w:rFonts w:ascii="Verdana" w:hAnsi="Verdana"/>
        </w:rPr>
        <w:t xml:space="preserve">ontribute to inform the roll-out of the CIS Scheme to Phase Two in 2020 </w:t>
      </w:r>
      <w:r w:rsidR="00AD1643">
        <w:rPr>
          <w:rFonts w:ascii="Verdana" w:hAnsi="Verdana"/>
        </w:rPr>
        <w:t>(two-year review only)</w:t>
      </w:r>
      <w:r>
        <w:rPr>
          <w:rFonts w:ascii="Verdana" w:hAnsi="Verdana"/>
        </w:rPr>
        <w:t>.</w:t>
      </w:r>
    </w:p>
    <w:p w:rsidR="004A1C5C" w:rsidRPr="004A1C5C" w:rsidRDefault="004A1C5C" w:rsidP="004A1C5C">
      <w:pPr>
        <w:pStyle w:val="WOVGbody"/>
        <w:rPr>
          <w:rFonts w:ascii="Verdana" w:hAnsi="Verdana"/>
        </w:rPr>
      </w:pPr>
      <w:r w:rsidRPr="006130FB">
        <w:rPr>
          <w:rFonts w:ascii="Verdana" w:hAnsi="Verdana"/>
        </w:rPr>
        <w:t>The two-year and five-year review development follows the timeline below</w:t>
      </w:r>
      <w:r w:rsidR="00DF3765" w:rsidRPr="006130FB">
        <w:rPr>
          <w:rFonts w:ascii="Verdana" w:hAnsi="Verdana"/>
        </w:rPr>
        <w:t>, noting that the timing of data gathering to support the five year review has yet to be determined</w:t>
      </w:r>
      <w:r w:rsidRPr="006130FB">
        <w:rPr>
          <w:rFonts w:ascii="Verdana" w:hAnsi="Verdana"/>
        </w:rPr>
        <w:t>:</w:t>
      </w:r>
    </w:p>
    <w:p w:rsidR="00187191" w:rsidRPr="0063467C" w:rsidRDefault="00537932" w:rsidP="00187191">
      <w:pPr>
        <w:pStyle w:val="WOVGbody"/>
        <w:rPr>
          <w:rFonts w:ascii="Verdana" w:hAnsi="Verdana"/>
          <w:b/>
        </w:rPr>
      </w:pPr>
      <w:r w:rsidRPr="0063467C">
        <w:rPr>
          <w:rFonts w:ascii="Verdana" w:hAnsi="Verdana"/>
          <w:b/>
        </w:rPr>
        <w:t xml:space="preserve">Table 9.1 </w:t>
      </w:r>
      <w:r w:rsidR="004A1C5C">
        <w:rPr>
          <w:rFonts w:ascii="Verdana" w:hAnsi="Verdana"/>
          <w:b/>
        </w:rPr>
        <w:t>Timeline for review of the CIS Scheme</w:t>
      </w:r>
    </w:p>
    <w:tbl>
      <w:tblPr>
        <w:tblStyle w:val="TableGrid"/>
        <w:tblW w:w="9214" w:type="dxa"/>
        <w:tblLook w:val="06A0" w:firstRow="1" w:lastRow="0" w:firstColumn="1" w:lastColumn="0" w:noHBand="1" w:noVBand="1"/>
      </w:tblPr>
      <w:tblGrid>
        <w:gridCol w:w="5216"/>
        <w:gridCol w:w="3998"/>
      </w:tblGrid>
      <w:tr w:rsidR="00187191" w:rsidRPr="00B309AB" w:rsidTr="007B75B1">
        <w:trPr>
          <w:cnfStyle w:val="100000000000" w:firstRow="1" w:lastRow="0" w:firstColumn="0" w:lastColumn="0" w:oddVBand="0" w:evenVBand="0" w:oddHBand="0" w:evenHBand="0" w:firstRowFirstColumn="0" w:firstRowLastColumn="0" w:lastRowFirstColumn="0" w:lastRowLastColumn="0"/>
          <w:trHeight w:val="371"/>
          <w:tblHeader/>
        </w:trPr>
        <w:tc>
          <w:tcPr>
            <w:cnfStyle w:val="001000000000" w:firstRow="0" w:lastRow="0" w:firstColumn="1" w:lastColumn="0" w:oddVBand="0" w:evenVBand="0" w:oddHBand="0" w:evenHBand="0" w:firstRowFirstColumn="0" w:firstRowLastColumn="0" w:lastRowFirstColumn="0" w:lastRowLastColumn="0"/>
            <w:tcW w:w="5216" w:type="dxa"/>
          </w:tcPr>
          <w:p w:rsidR="00187191" w:rsidRPr="00B309AB" w:rsidRDefault="00187191" w:rsidP="00187191">
            <w:pPr>
              <w:pStyle w:val="WOVGtablecolhead"/>
              <w:rPr>
                <w:rFonts w:ascii="Verdana" w:hAnsi="Verdana"/>
              </w:rPr>
            </w:pPr>
            <w:r>
              <w:rPr>
                <w:rFonts w:ascii="Verdana" w:hAnsi="Verdana"/>
              </w:rPr>
              <w:t xml:space="preserve">Activity </w:t>
            </w:r>
          </w:p>
        </w:tc>
        <w:tc>
          <w:tcPr>
            <w:tcW w:w="3998" w:type="dxa"/>
          </w:tcPr>
          <w:p w:rsidR="00187191" w:rsidRPr="004D1050" w:rsidRDefault="00187191" w:rsidP="00187191">
            <w:pPr>
              <w:pStyle w:val="WOVGtablecolhead"/>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Date</w:t>
            </w:r>
          </w:p>
        </w:tc>
      </w:tr>
      <w:tr w:rsidR="00187191"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hideMark/>
          </w:tcPr>
          <w:p w:rsidR="00187191" w:rsidRPr="00B309AB" w:rsidRDefault="0095279E" w:rsidP="00187191">
            <w:pPr>
              <w:pStyle w:val="WOVGtabletext"/>
              <w:rPr>
                <w:rFonts w:ascii="Verdana" w:hAnsi="Verdana"/>
              </w:rPr>
            </w:pPr>
            <w:r>
              <w:rPr>
                <w:rFonts w:ascii="Verdana" w:hAnsi="Verdana"/>
              </w:rPr>
              <w:t>Two</w:t>
            </w:r>
            <w:r w:rsidR="003D6756">
              <w:rPr>
                <w:rFonts w:ascii="Verdana" w:hAnsi="Verdana"/>
              </w:rPr>
              <w:t xml:space="preserve"> year review</w:t>
            </w:r>
            <w:r w:rsidR="00187191">
              <w:rPr>
                <w:rFonts w:ascii="Verdana" w:hAnsi="Verdana"/>
              </w:rPr>
              <w:t xml:space="preserve"> project plan</w:t>
            </w:r>
          </w:p>
        </w:tc>
        <w:tc>
          <w:tcPr>
            <w:tcW w:w="3998" w:type="dxa"/>
            <w:vAlign w:val="bottom"/>
            <w:hideMark/>
          </w:tcPr>
          <w:p w:rsidR="00187191" w:rsidRPr="00B309AB" w:rsidRDefault="00187191"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Q4 2018</w:t>
            </w:r>
          </w:p>
        </w:tc>
      </w:tr>
      <w:tr w:rsidR="00187191"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187191" w:rsidRDefault="0095279E" w:rsidP="003D6756">
            <w:pPr>
              <w:pStyle w:val="WOVGtabletext"/>
              <w:rPr>
                <w:rFonts w:ascii="Verdana" w:hAnsi="Verdana"/>
              </w:rPr>
            </w:pPr>
            <w:r>
              <w:rPr>
                <w:rFonts w:ascii="Verdana" w:hAnsi="Verdana"/>
              </w:rPr>
              <w:t>Two</w:t>
            </w:r>
            <w:r w:rsidR="003D6756">
              <w:rPr>
                <w:rFonts w:ascii="Verdana" w:hAnsi="Verdana"/>
              </w:rPr>
              <w:t xml:space="preserve"> year review f</w:t>
            </w:r>
            <w:r w:rsidR="00187191">
              <w:rPr>
                <w:rFonts w:ascii="Verdana" w:hAnsi="Verdana"/>
              </w:rPr>
              <w:t>ramework</w:t>
            </w:r>
          </w:p>
        </w:tc>
        <w:tc>
          <w:tcPr>
            <w:tcW w:w="3998" w:type="dxa"/>
            <w:vAlign w:val="bottom"/>
          </w:tcPr>
          <w:p w:rsidR="00187191" w:rsidRDefault="00187191"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Q1 2019</w:t>
            </w:r>
          </w:p>
        </w:tc>
      </w:tr>
      <w:tr w:rsidR="00187191"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187191" w:rsidRDefault="0095279E" w:rsidP="003D6756">
            <w:pPr>
              <w:pStyle w:val="WOVGtabletext"/>
              <w:rPr>
                <w:rFonts w:ascii="Verdana" w:hAnsi="Verdana"/>
              </w:rPr>
            </w:pPr>
            <w:r>
              <w:rPr>
                <w:rFonts w:ascii="Verdana" w:hAnsi="Verdana"/>
              </w:rPr>
              <w:t>Two</w:t>
            </w:r>
            <w:r w:rsidR="003D6756">
              <w:rPr>
                <w:rFonts w:ascii="Verdana" w:hAnsi="Verdana"/>
              </w:rPr>
              <w:t xml:space="preserve"> year review baseline data gathering</w:t>
            </w:r>
          </w:p>
        </w:tc>
        <w:tc>
          <w:tcPr>
            <w:tcW w:w="3998" w:type="dxa"/>
            <w:vAlign w:val="bottom"/>
          </w:tcPr>
          <w:p w:rsidR="00187191"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Q2/Q3 2019</w:t>
            </w:r>
          </w:p>
        </w:tc>
      </w:tr>
      <w:tr w:rsidR="00187191"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187191" w:rsidRDefault="0095279E" w:rsidP="00187191">
            <w:pPr>
              <w:pStyle w:val="WOVGtabletext"/>
              <w:rPr>
                <w:rFonts w:ascii="Verdana" w:hAnsi="Verdana"/>
              </w:rPr>
            </w:pPr>
            <w:r>
              <w:rPr>
                <w:rFonts w:ascii="Verdana" w:hAnsi="Verdana"/>
              </w:rPr>
              <w:t>Two</w:t>
            </w:r>
            <w:r w:rsidR="003D6756">
              <w:rPr>
                <w:rFonts w:ascii="Verdana" w:hAnsi="Verdana"/>
              </w:rPr>
              <w:t xml:space="preserve"> year review baseline report</w:t>
            </w:r>
          </w:p>
        </w:tc>
        <w:tc>
          <w:tcPr>
            <w:tcW w:w="3998" w:type="dxa"/>
            <w:vAlign w:val="bottom"/>
          </w:tcPr>
          <w:p w:rsidR="00187191"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Q4 2019</w:t>
            </w:r>
          </w:p>
        </w:tc>
      </w:tr>
      <w:tr w:rsidR="00187191"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187191" w:rsidRDefault="0095279E" w:rsidP="003D6756">
            <w:pPr>
              <w:pStyle w:val="WOVGtabletext"/>
              <w:rPr>
                <w:rFonts w:ascii="Verdana" w:hAnsi="Verdana"/>
              </w:rPr>
            </w:pPr>
            <w:r>
              <w:rPr>
                <w:rFonts w:ascii="Verdana" w:hAnsi="Verdana"/>
              </w:rPr>
              <w:t>Two</w:t>
            </w:r>
            <w:r w:rsidR="003D6756">
              <w:rPr>
                <w:rFonts w:ascii="Verdana" w:hAnsi="Verdana"/>
              </w:rPr>
              <w:t xml:space="preserve"> year review, data gathering for review</w:t>
            </w:r>
          </w:p>
        </w:tc>
        <w:tc>
          <w:tcPr>
            <w:tcW w:w="3998" w:type="dxa"/>
            <w:vAlign w:val="bottom"/>
          </w:tcPr>
          <w:p w:rsidR="00187191"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Q1/Q2 2020</w:t>
            </w:r>
          </w:p>
        </w:tc>
      </w:tr>
      <w:tr w:rsidR="00187191"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187191" w:rsidRDefault="0095279E" w:rsidP="003D6756">
            <w:pPr>
              <w:pStyle w:val="WOVGtabletext"/>
              <w:rPr>
                <w:rFonts w:ascii="Verdana" w:hAnsi="Verdana"/>
              </w:rPr>
            </w:pPr>
            <w:r>
              <w:rPr>
                <w:rFonts w:ascii="Verdana" w:hAnsi="Verdana"/>
              </w:rPr>
              <w:t>Two</w:t>
            </w:r>
            <w:r w:rsidR="003D6756">
              <w:rPr>
                <w:rFonts w:ascii="Verdana" w:hAnsi="Verdana"/>
              </w:rPr>
              <w:t xml:space="preserve"> year review final report</w:t>
            </w:r>
          </w:p>
        </w:tc>
        <w:tc>
          <w:tcPr>
            <w:tcW w:w="3998" w:type="dxa"/>
            <w:vAlign w:val="bottom"/>
          </w:tcPr>
          <w:p w:rsidR="00187191"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Q3 2020</w:t>
            </w:r>
          </w:p>
        </w:tc>
      </w:tr>
      <w:tr w:rsidR="003D6756"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3D6756" w:rsidRDefault="0095279E" w:rsidP="00187191">
            <w:pPr>
              <w:pStyle w:val="WOVGtabletext"/>
              <w:rPr>
                <w:rFonts w:ascii="Verdana" w:hAnsi="Verdana"/>
              </w:rPr>
            </w:pPr>
            <w:r>
              <w:rPr>
                <w:rFonts w:ascii="Verdana" w:hAnsi="Verdana"/>
              </w:rPr>
              <w:t>Two</w:t>
            </w:r>
            <w:r w:rsidR="003D6756">
              <w:rPr>
                <w:rFonts w:ascii="Verdana" w:hAnsi="Verdana"/>
              </w:rPr>
              <w:t xml:space="preserve"> year review report tabled in Parliament</w:t>
            </w:r>
          </w:p>
        </w:tc>
        <w:tc>
          <w:tcPr>
            <w:tcW w:w="3998" w:type="dxa"/>
            <w:vAlign w:val="bottom"/>
          </w:tcPr>
          <w:p w:rsidR="003D6756"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Q1 2021</w:t>
            </w:r>
          </w:p>
        </w:tc>
      </w:tr>
      <w:tr w:rsidR="003D6756"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3D6756" w:rsidRDefault="0095279E" w:rsidP="00187191">
            <w:pPr>
              <w:pStyle w:val="WOVGtabletext"/>
              <w:rPr>
                <w:rFonts w:ascii="Verdana" w:hAnsi="Verdana"/>
              </w:rPr>
            </w:pPr>
            <w:r>
              <w:rPr>
                <w:rFonts w:ascii="Verdana" w:hAnsi="Verdana"/>
              </w:rPr>
              <w:t>Five</w:t>
            </w:r>
            <w:r w:rsidR="003D6756">
              <w:rPr>
                <w:rFonts w:ascii="Verdana" w:hAnsi="Verdana"/>
              </w:rPr>
              <w:t xml:space="preserve"> year review report due </w:t>
            </w:r>
          </w:p>
        </w:tc>
        <w:tc>
          <w:tcPr>
            <w:tcW w:w="3998" w:type="dxa"/>
            <w:vAlign w:val="bottom"/>
          </w:tcPr>
          <w:p w:rsidR="003D6756"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Q3 2023</w:t>
            </w:r>
          </w:p>
        </w:tc>
      </w:tr>
      <w:tr w:rsidR="003D6756" w:rsidRPr="00B309AB" w:rsidTr="007B75B1">
        <w:trPr>
          <w:trHeight w:val="279"/>
        </w:trPr>
        <w:tc>
          <w:tcPr>
            <w:cnfStyle w:val="001000000000" w:firstRow="0" w:lastRow="0" w:firstColumn="1" w:lastColumn="0" w:oddVBand="0" w:evenVBand="0" w:oddHBand="0" w:evenHBand="0" w:firstRowFirstColumn="0" w:firstRowLastColumn="0" w:lastRowFirstColumn="0" w:lastRowLastColumn="0"/>
            <w:tcW w:w="5216" w:type="dxa"/>
          </w:tcPr>
          <w:p w:rsidR="003D6756" w:rsidRDefault="0095279E" w:rsidP="00187191">
            <w:pPr>
              <w:pStyle w:val="WOVGtabletext"/>
              <w:rPr>
                <w:rFonts w:ascii="Verdana" w:hAnsi="Verdana"/>
              </w:rPr>
            </w:pPr>
            <w:r>
              <w:rPr>
                <w:rFonts w:ascii="Verdana" w:hAnsi="Verdana"/>
              </w:rPr>
              <w:t>Five</w:t>
            </w:r>
            <w:r w:rsidR="003D6756">
              <w:rPr>
                <w:rFonts w:ascii="Verdana" w:hAnsi="Verdana"/>
              </w:rPr>
              <w:t xml:space="preserve"> year review report tabled in Parliament</w:t>
            </w:r>
          </w:p>
        </w:tc>
        <w:tc>
          <w:tcPr>
            <w:tcW w:w="3998" w:type="dxa"/>
            <w:vAlign w:val="bottom"/>
          </w:tcPr>
          <w:p w:rsidR="003D6756" w:rsidRDefault="003D6756" w:rsidP="00187191">
            <w:pPr>
              <w:pStyle w:val="WOVGtabletext"/>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Q1 2024</w:t>
            </w:r>
          </w:p>
        </w:tc>
      </w:tr>
    </w:tbl>
    <w:p w:rsidR="005D7FFA" w:rsidRPr="005F5DE1" w:rsidRDefault="005D7FFA" w:rsidP="005D7FFA">
      <w:pPr>
        <w:pStyle w:val="Heading3"/>
        <w:rPr>
          <w:rFonts w:ascii="Verdana" w:hAnsi="Verdana"/>
        </w:rPr>
      </w:pPr>
      <w:r>
        <w:rPr>
          <w:rFonts w:ascii="Verdana" w:hAnsi="Verdana"/>
        </w:rPr>
        <w:lastRenderedPageBreak/>
        <w:t>Independent review methodology</w:t>
      </w:r>
    </w:p>
    <w:p w:rsidR="00B61EFD" w:rsidRDefault="00B61EFD" w:rsidP="00B61EFD">
      <w:pPr>
        <w:pStyle w:val="WOVGbody"/>
        <w:rPr>
          <w:rFonts w:ascii="Verdana" w:hAnsi="Verdana"/>
        </w:rPr>
      </w:pPr>
      <w:r w:rsidRPr="00DE073B">
        <w:rPr>
          <w:rFonts w:ascii="Verdana" w:hAnsi="Verdana"/>
        </w:rPr>
        <w:t>Independent reviewer ACIL Allen Consulting</w:t>
      </w:r>
      <w:r w:rsidR="00DE44AA">
        <w:rPr>
          <w:rFonts w:ascii="Verdana" w:hAnsi="Verdana"/>
        </w:rPr>
        <w:t>, i</w:t>
      </w:r>
      <w:r w:rsidR="00A73D61">
        <w:rPr>
          <w:rFonts w:ascii="Verdana" w:hAnsi="Verdana"/>
        </w:rPr>
        <w:t>n partnership with Wallis Consulting, have</w:t>
      </w:r>
      <w:r>
        <w:rPr>
          <w:rFonts w:ascii="Verdana" w:hAnsi="Verdana"/>
        </w:rPr>
        <w:t xml:space="preserve"> been engaged to perf</w:t>
      </w:r>
      <w:r w:rsidR="00A73D61">
        <w:rPr>
          <w:rFonts w:ascii="Verdana" w:hAnsi="Verdana"/>
        </w:rPr>
        <w:t>orm the two-year review and has</w:t>
      </w:r>
      <w:r>
        <w:rPr>
          <w:rFonts w:ascii="Verdana" w:hAnsi="Verdana"/>
        </w:rPr>
        <w:t xml:space="preserve"> developed a review methodology that gather</w:t>
      </w:r>
      <w:r w:rsidR="00A73D61">
        <w:rPr>
          <w:rFonts w:ascii="Verdana" w:hAnsi="Verdana"/>
        </w:rPr>
        <w:t>s</w:t>
      </w:r>
      <w:r>
        <w:rPr>
          <w:rFonts w:ascii="Verdana" w:hAnsi="Verdana"/>
        </w:rPr>
        <w:t xml:space="preserve"> </w:t>
      </w:r>
      <w:r w:rsidR="00A73D61">
        <w:rPr>
          <w:rFonts w:ascii="Verdana" w:hAnsi="Verdana"/>
        </w:rPr>
        <w:t>i</w:t>
      </w:r>
      <w:r>
        <w:rPr>
          <w:rFonts w:ascii="Verdana" w:hAnsi="Verdana"/>
        </w:rPr>
        <w:t xml:space="preserve">nput </w:t>
      </w:r>
      <w:r w:rsidR="00A73D61">
        <w:rPr>
          <w:rFonts w:ascii="Verdana" w:hAnsi="Verdana"/>
        </w:rPr>
        <w:t xml:space="preserve">from </w:t>
      </w:r>
      <w:r>
        <w:rPr>
          <w:rFonts w:ascii="Verdana" w:hAnsi="Verdana"/>
        </w:rPr>
        <w:t>of a wide range of stakeholders through various consultations, including:</w:t>
      </w:r>
    </w:p>
    <w:p w:rsidR="00B61EFD" w:rsidRDefault="00B61EFD" w:rsidP="00A76FAF">
      <w:pPr>
        <w:pStyle w:val="WOVGbody"/>
        <w:numPr>
          <w:ilvl w:val="0"/>
          <w:numId w:val="35"/>
        </w:numPr>
        <w:ind w:left="426"/>
        <w:rPr>
          <w:rFonts w:ascii="Verdana" w:hAnsi="Verdana"/>
        </w:rPr>
      </w:pPr>
      <w:r>
        <w:rPr>
          <w:rFonts w:ascii="Verdana" w:hAnsi="Verdana"/>
        </w:rPr>
        <w:t>workforce surveys</w:t>
      </w:r>
    </w:p>
    <w:p w:rsidR="00B61EFD" w:rsidRDefault="00B61EFD" w:rsidP="00A76FAF">
      <w:pPr>
        <w:pStyle w:val="WOVGbody"/>
        <w:numPr>
          <w:ilvl w:val="0"/>
          <w:numId w:val="35"/>
        </w:numPr>
        <w:ind w:left="426"/>
        <w:rPr>
          <w:rFonts w:ascii="Verdana" w:hAnsi="Verdana"/>
        </w:rPr>
      </w:pPr>
      <w:r>
        <w:rPr>
          <w:rFonts w:ascii="Verdana" w:hAnsi="Verdana"/>
        </w:rPr>
        <w:t>in-depth interviews with workforce representatives</w:t>
      </w:r>
    </w:p>
    <w:p w:rsidR="00B61EFD" w:rsidRDefault="00A73D61" w:rsidP="00A76FAF">
      <w:pPr>
        <w:pStyle w:val="WOVGbody"/>
        <w:numPr>
          <w:ilvl w:val="0"/>
          <w:numId w:val="35"/>
        </w:numPr>
        <w:ind w:left="426"/>
        <w:rPr>
          <w:rFonts w:ascii="Verdana" w:hAnsi="Verdana"/>
        </w:rPr>
      </w:pPr>
      <w:r>
        <w:rPr>
          <w:rFonts w:ascii="Verdana" w:hAnsi="Verdana"/>
        </w:rPr>
        <w:t>interviews with p</w:t>
      </w:r>
      <w:r w:rsidR="00B61EFD">
        <w:rPr>
          <w:rFonts w:ascii="Verdana" w:hAnsi="Verdana"/>
        </w:rPr>
        <w:t>eak organisations</w:t>
      </w:r>
    </w:p>
    <w:p w:rsidR="00B61EFD" w:rsidRDefault="00B61EFD" w:rsidP="00A76FAF">
      <w:pPr>
        <w:pStyle w:val="WOVGbody"/>
        <w:numPr>
          <w:ilvl w:val="0"/>
          <w:numId w:val="35"/>
        </w:numPr>
        <w:ind w:left="426"/>
        <w:rPr>
          <w:rFonts w:ascii="Verdana" w:hAnsi="Verdana"/>
        </w:rPr>
      </w:pPr>
      <w:r>
        <w:rPr>
          <w:rFonts w:ascii="Verdana" w:hAnsi="Verdana"/>
        </w:rPr>
        <w:t>interviews with young persons affected by the CIS Scheme</w:t>
      </w:r>
    </w:p>
    <w:p w:rsidR="00B61EFD" w:rsidRDefault="00A73D61" w:rsidP="00A76FAF">
      <w:pPr>
        <w:pStyle w:val="WOVGbody"/>
        <w:numPr>
          <w:ilvl w:val="0"/>
          <w:numId w:val="35"/>
        </w:numPr>
        <w:ind w:left="426"/>
        <w:rPr>
          <w:rFonts w:ascii="Verdana" w:hAnsi="Verdana"/>
        </w:rPr>
      </w:pPr>
      <w:r>
        <w:rPr>
          <w:rFonts w:ascii="Verdana" w:hAnsi="Verdana"/>
        </w:rPr>
        <w:t>roundtable discussions</w:t>
      </w:r>
    </w:p>
    <w:p w:rsidR="00A73D61" w:rsidRPr="00B61EFD" w:rsidRDefault="00A73D61" w:rsidP="00A76FAF">
      <w:pPr>
        <w:pStyle w:val="WOVGbody"/>
        <w:numPr>
          <w:ilvl w:val="0"/>
          <w:numId w:val="35"/>
        </w:numPr>
        <w:ind w:left="426"/>
        <w:rPr>
          <w:rFonts w:ascii="Verdana" w:hAnsi="Verdana"/>
        </w:rPr>
      </w:pPr>
      <w:r>
        <w:rPr>
          <w:rFonts w:ascii="Verdana" w:hAnsi="Verdana"/>
        </w:rPr>
        <w:t>case studies.</w:t>
      </w:r>
    </w:p>
    <w:p w:rsidR="002774AA" w:rsidRPr="002774AA" w:rsidRDefault="00E31833" w:rsidP="002774AA">
      <w:pPr>
        <w:pStyle w:val="WOVGbody"/>
        <w:rPr>
          <w:rFonts w:ascii="Verdana" w:hAnsi="Verdana"/>
        </w:rPr>
      </w:pPr>
      <w:r>
        <w:rPr>
          <w:rFonts w:ascii="Verdana" w:hAnsi="Verdana"/>
        </w:rPr>
        <w:t>By measuring short-</w:t>
      </w:r>
      <w:r w:rsidR="002774AA" w:rsidRPr="002774AA">
        <w:rPr>
          <w:rFonts w:ascii="Verdana" w:hAnsi="Verdana"/>
        </w:rPr>
        <w:t>term outcom</w:t>
      </w:r>
      <w:r w:rsidR="002774AA">
        <w:rPr>
          <w:rFonts w:ascii="Verdana" w:hAnsi="Verdana"/>
        </w:rPr>
        <w:t xml:space="preserve">es, such as </w:t>
      </w:r>
      <w:r>
        <w:rPr>
          <w:rFonts w:ascii="Verdana" w:hAnsi="Verdana"/>
        </w:rPr>
        <w:t xml:space="preserve">workforce </w:t>
      </w:r>
      <w:r w:rsidRPr="002774AA">
        <w:rPr>
          <w:rFonts w:ascii="Verdana" w:hAnsi="Verdana"/>
        </w:rPr>
        <w:t>attitudes towards information sharing to support the wellbeing or safety of children</w:t>
      </w:r>
      <w:r>
        <w:rPr>
          <w:rFonts w:ascii="Verdana" w:hAnsi="Verdana"/>
        </w:rPr>
        <w:t>,</w:t>
      </w:r>
      <w:r w:rsidR="002774AA" w:rsidRPr="002774AA">
        <w:rPr>
          <w:rFonts w:ascii="Verdana" w:hAnsi="Verdana"/>
        </w:rPr>
        <w:t xml:space="preserve"> awareness </w:t>
      </w:r>
      <w:r>
        <w:rPr>
          <w:rFonts w:ascii="Verdana" w:hAnsi="Verdana"/>
        </w:rPr>
        <w:t xml:space="preserve">of and implementation </w:t>
      </w:r>
      <w:r w:rsidR="002774AA" w:rsidRPr="002774AA">
        <w:rPr>
          <w:rFonts w:ascii="Verdana" w:hAnsi="Verdana"/>
        </w:rPr>
        <w:t xml:space="preserve">of </w:t>
      </w:r>
      <w:r>
        <w:rPr>
          <w:rFonts w:ascii="Verdana" w:hAnsi="Verdana"/>
        </w:rPr>
        <w:t>the</w:t>
      </w:r>
      <w:r w:rsidR="002774AA" w:rsidRPr="002774AA">
        <w:rPr>
          <w:rFonts w:ascii="Verdana" w:hAnsi="Verdana"/>
        </w:rPr>
        <w:t xml:space="preserve"> CIS Scheme, </w:t>
      </w:r>
      <w:r>
        <w:rPr>
          <w:rFonts w:ascii="Verdana" w:hAnsi="Verdana"/>
        </w:rPr>
        <w:t xml:space="preserve">and </w:t>
      </w:r>
      <w:r w:rsidR="002774AA" w:rsidRPr="002774AA">
        <w:rPr>
          <w:rFonts w:ascii="Verdana" w:hAnsi="Verdana"/>
        </w:rPr>
        <w:t xml:space="preserve">ISE </w:t>
      </w:r>
      <w:r>
        <w:rPr>
          <w:rFonts w:ascii="Verdana" w:hAnsi="Verdana"/>
        </w:rPr>
        <w:t xml:space="preserve">information sharing activity and </w:t>
      </w:r>
      <w:r w:rsidR="002774AA" w:rsidRPr="002774AA">
        <w:rPr>
          <w:rFonts w:ascii="Verdana" w:hAnsi="Verdana"/>
        </w:rPr>
        <w:t>collaboration in/coordination of service delivery</w:t>
      </w:r>
      <w:r>
        <w:rPr>
          <w:rFonts w:ascii="Verdana" w:hAnsi="Verdana"/>
        </w:rPr>
        <w:t>,</w:t>
      </w:r>
      <w:r w:rsidR="002774AA" w:rsidRPr="002774AA">
        <w:rPr>
          <w:rFonts w:ascii="Verdana" w:hAnsi="Verdana"/>
        </w:rPr>
        <w:t xml:space="preserve"> the reviewers w</w:t>
      </w:r>
      <w:r w:rsidR="006130FB">
        <w:rPr>
          <w:rFonts w:ascii="Verdana" w:hAnsi="Verdana"/>
        </w:rPr>
        <w:t>ill assess the effectiveness of regulations</w:t>
      </w:r>
      <w:r w:rsidR="002774AA" w:rsidRPr="002774AA">
        <w:rPr>
          <w:rFonts w:ascii="Verdana" w:hAnsi="Verdana"/>
        </w:rPr>
        <w:t xml:space="preserve"> and assess to what extent the CIS Scheme is achieving its objectives.</w:t>
      </w:r>
    </w:p>
    <w:p w:rsidR="00D431DA" w:rsidRDefault="0095279E" w:rsidP="00AD1643">
      <w:pPr>
        <w:pStyle w:val="WOVGbody"/>
      </w:pPr>
      <w:r>
        <w:rPr>
          <w:rFonts w:ascii="Verdana" w:hAnsi="Verdana"/>
        </w:rPr>
        <w:t>T</w:t>
      </w:r>
      <w:r w:rsidR="00AD1643">
        <w:rPr>
          <w:rFonts w:ascii="Verdana" w:hAnsi="Verdana"/>
        </w:rPr>
        <w:t xml:space="preserve">he </w:t>
      </w:r>
      <w:r w:rsidR="00B61EFD">
        <w:rPr>
          <w:rFonts w:ascii="Verdana" w:hAnsi="Verdana"/>
        </w:rPr>
        <w:t>two-year review report, for the</w:t>
      </w:r>
      <w:r w:rsidR="00AD1643">
        <w:rPr>
          <w:rFonts w:ascii="Verdana" w:hAnsi="Verdana"/>
        </w:rPr>
        <w:t xml:space="preserve"> period September 2018 – September 2020</w:t>
      </w:r>
      <w:r w:rsidR="00B61EFD">
        <w:rPr>
          <w:rFonts w:ascii="Verdana" w:hAnsi="Verdana"/>
        </w:rPr>
        <w:t>,</w:t>
      </w:r>
      <w:r w:rsidR="00AD1643">
        <w:rPr>
          <w:rFonts w:ascii="Verdana" w:hAnsi="Verdana"/>
        </w:rPr>
        <w:t xml:space="preserve"> will be presented in Parliament by March 2021.</w:t>
      </w:r>
      <w:r w:rsidR="00D431DA" w:rsidRPr="005F5DE1">
        <w:rPr>
          <w:rFonts w:ascii="Verdana" w:hAnsi="Verdana"/>
        </w:rPr>
        <w:t xml:space="preserve"> Due to the phased implementation of the scheme, this review will only </w:t>
      </w:r>
      <w:r w:rsidR="005F5DE1" w:rsidRPr="005F5DE1">
        <w:rPr>
          <w:rFonts w:ascii="Verdana" w:hAnsi="Verdana"/>
        </w:rPr>
        <w:t xml:space="preserve">involve </w:t>
      </w:r>
      <w:r w:rsidR="00D431DA" w:rsidRPr="005F5DE1">
        <w:rPr>
          <w:rFonts w:ascii="Verdana" w:hAnsi="Verdana"/>
        </w:rPr>
        <w:t>Phase One workforces.</w:t>
      </w:r>
    </w:p>
    <w:p w:rsidR="00AD1643" w:rsidRPr="005601BC" w:rsidRDefault="00AD1643" w:rsidP="00AD1643">
      <w:pPr>
        <w:pStyle w:val="WOVGbody"/>
        <w:rPr>
          <w:rFonts w:ascii="Verdana" w:hAnsi="Verdana"/>
        </w:rPr>
      </w:pPr>
      <w:r w:rsidRPr="005601BC">
        <w:rPr>
          <w:rFonts w:ascii="Verdana" w:hAnsi="Verdana"/>
        </w:rPr>
        <w:t>The five-year review will be a comprehensive review invo</w:t>
      </w:r>
      <w:r w:rsidR="005601BC" w:rsidRPr="005601BC">
        <w:rPr>
          <w:rFonts w:ascii="Verdana" w:hAnsi="Verdana"/>
        </w:rPr>
        <w:t xml:space="preserve">lving all </w:t>
      </w:r>
      <w:r w:rsidR="0095279E">
        <w:rPr>
          <w:rFonts w:ascii="Verdana" w:hAnsi="Verdana"/>
        </w:rPr>
        <w:t>workforces prescribe</w:t>
      </w:r>
      <w:r w:rsidR="00187191">
        <w:rPr>
          <w:rFonts w:ascii="Verdana" w:hAnsi="Verdana"/>
        </w:rPr>
        <w:t>d</w:t>
      </w:r>
      <w:r w:rsidR="0095279E">
        <w:rPr>
          <w:rFonts w:ascii="Verdana" w:hAnsi="Verdana"/>
        </w:rPr>
        <w:t xml:space="preserve"> </w:t>
      </w:r>
      <w:r w:rsidR="00187191">
        <w:rPr>
          <w:rFonts w:ascii="Verdana" w:hAnsi="Verdana"/>
        </w:rPr>
        <w:t>in Phase One and Phase Two of the CIS Scheme, and t</w:t>
      </w:r>
      <w:r w:rsidR="005601BC" w:rsidRPr="005601BC">
        <w:rPr>
          <w:rFonts w:ascii="Verdana" w:hAnsi="Verdana"/>
        </w:rPr>
        <w:t xml:space="preserve">he </w:t>
      </w:r>
      <w:r w:rsidR="005601BC">
        <w:rPr>
          <w:rFonts w:ascii="Verdana" w:hAnsi="Verdana"/>
        </w:rPr>
        <w:t xml:space="preserve">review report for the review period September 2018 – September 2023 will be presented in Parliament by March 2024. </w:t>
      </w:r>
      <w:r w:rsidR="00E31833">
        <w:rPr>
          <w:rFonts w:ascii="Verdana" w:hAnsi="Verdana"/>
        </w:rPr>
        <w:t>The</w:t>
      </w:r>
      <w:r w:rsidR="005601BC" w:rsidRPr="005601BC">
        <w:rPr>
          <w:rFonts w:ascii="Verdana" w:hAnsi="Verdana"/>
        </w:rPr>
        <w:t xml:space="preserve"> </w:t>
      </w:r>
      <w:r w:rsidR="0095279E">
        <w:rPr>
          <w:rFonts w:ascii="Verdana" w:hAnsi="Verdana"/>
        </w:rPr>
        <w:t>r</w:t>
      </w:r>
      <w:r w:rsidRPr="005601BC">
        <w:rPr>
          <w:rFonts w:ascii="Verdana" w:hAnsi="Verdana"/>
        </w:rPr>
        <w:t xml:space="preserve">esearch methodology </w:t>
      </w:r>
      <w:r w:rsidR="00E31833">
        <w:rPr>
          <w:rFonts w:ascii="Verdana" w:hAnsi="Verdana"/>
        </w:rPr>
        <w:t xml:space="preserve">and review framework </w:t>
      </w:r>
      <w:r w:rsidRPr="005601BC">
        <w:rPr>
          <w:rFonts w:ascii="Verdana" w:hAnsi="Verdana"/>
        </w:rPr>
        <w:t>will be determined in consultation with the</w:t>
      </w:r>
      <w:r w:rsidR="00EE48E7">
        <w:rPr>
          <w:rFonts w:ascii="Verdana" w:hAnsi="Verdana"/>
        </w:rPr>
        <w:t xml:space="preserve"> (yet to be appointed)</w:t>
      </w:r>
      <w:r w:rsidR="005601BC" w:rsidRPr="005601BC">
        <w:rPr>
          <w:rFonts w:ascii="Verdana" w:hAnsi="Verdana"/>
        </w:rPr>
        <w:t xml:space="preserve"> independent </w:t>
      </w:r>
      <w:r w:rsidRPr="005601BC">
        <w:rPr>
          <w:rFonts w:ascii="Verdana" w:hAnsi="Verdana"/>
        </w:rPr>
        <w:t xml:space="preserve">reviewer, but </w:t>
      </w:r>
      <w:r w:rsidR="005601BC" w:rsidRPr="005601BC">
        <w:rPr>
          <w:rFonts w:ascii="Verdana" w:hAnsi="Verdana"/>
        </w:rPr>
        <w:t xml:space="preserve">like the two-year review will rely on </w:t>
      </w:r>
      <w:r w:rsidRPr="005601BC">
        <w:rPr>
          <w:rFonts w:ascii="Verdana" w:hAnsi="Verdana"/>
        </w:rPr>
        <w:t xml:space="preserve">both quantitative and qualitative data </w:t>
      </w:r>
      <w:r w:rsidR="00E31833">
        <w:rPr>
          <w:rFonts w:ascii="Verdana" w:hAnsi="Verdana"/>
        </w:rPr>
        <w:t>gathering techniques and will assess the effectiveness of regulations</w:t>
      </w:r>
      <w:r w:rsidR="00E31833" w:rsidRPr="002774AA">
        <w:rPr>
          <w:rFonts w:ascii="Verdana" w:hAnsi="Verdana"/>
        </w:rPr>
        <w:t xml:space="preserve"> and assess to what extent the CIS Scheme is achieving its objectives</w:t>
      </w:r>
      <w:r w:rsidR="00E31833">
        <w:rPr>
          <w:rFonts w:ascii="Verdana" w:hAnsi="Verdana"/>
        </w:rPr>
        <w:t>.</w:t>
      </w:r>
    </w:p>
    <w:p w:rsidR="00D272DA" w:rsidRDefault="00D272DA">
      <w:pPr>
        <w:rPr>
          <w:rFonts w:ascii="Verdana" w:hAnsi="Verdana"/>
          <w:bCs/>
          <w:color w:val="53565A" w:themeColor="accent1"/>
          <w:sz w:val="44"/>
          <w:szCs w:val="44"/>
        </w:rPr>
      </w:pPr>
      <w:r>
        <w:rPr>
          <w:rFonts w:ascii="Verdana" w:hAnsi="Verdana"/>
        </w:rPr>
        <w:br w:type="page"/>
      </w:r>
    </w:p>
    <w:p w:rsidR="005A0662" w:rsidRPr="003D6BE9" w:rsidRDefault="005A0662" w:rsidP="00FE48EB">
      <w:pPr>
        <w:pStyle w:val="Heading1"/>
        <w:ind w:left="426"/>
        <w:rPr>
          <w:rFonts w:ascii="Verdana" w:hAnsi="Verdana"/>
        </w:rPr>
      </w:pPr>
      <w:bookmarkStart w:id="50" w:name="_Toc23510794"/>
      <w:r w:rsidRPr="003D6BE9">
        <w:rPr>
          <w:rFonts w:ascii="Verdana" w:hAnsi="Verdana"/>
        </w:rPr>
        <w:lastRenderedPageBreak/>
        <w:t>Consultation</w:t>
      </w:r>
      <w:bookmarkEnd w:id="50"/>
    </w:p>
    <w:p w:rsidR="0008323E" w:rsidRDefault="00F262AA" w:rsidP="00B434A7">
      <w:pPr>
        <w:pStyle w:val="WOVGbody"/>
        <w:rPr>
          <w:rFonts w:ascii="Verdana" w:hAnsi="Verdana"/>
        </w:rPr>
      </w:pPr>
      <w:r>
        <w:rPr>
          <w:rFonts w:ascii="Verdana" w:hAnsi="Verdana"/>
        </w:rPr>
        <w:t>Extensive and t</w:t>
      </w:r>
      <w:r w:rsidR="00B434A7">
        <w:rPr>
          <w:rFonts w:ascii="Verdana" w:hAnsi="Verdana"/>
        </w:rPr>
        <w:t xml:space="preserve">argeted stakeholder consultations were conducted with the aim to involve all workforces proposed for Phase Two prescription under the CIS Scheme. </w:t>
      </w:r>
      <w:r w:rsidR="0008323E" w:rsidRPr="00D03975">
        <w:rPr>
          <w:rFonts w:ascii="Verdana" w:hAnsi="Verdana"/>
          <w:szCs w:val="18"/>
        </w:rPr>
        <w:t xml:space="preserve">Whilst consultation occurred with a range of both government and non-government </w:t>
      </w:r>
      <w:r w:rsidR="00F35DA4">
        <w:rPr>
          <w:rFonts w:ascii="Verdana" w:hAnsi="Verdana"/>
          <w:szCs w:val="18"/>
        </w:rPr>
        <w:t>organisations</w:t>
      </w:r>
      <w:r w:rsidR="0008323E" w:rsidRPr="00D03975">
        <w:rPr>
          <w:rFonts w:ascii="Verdana" w:hAnsi="Verdana"/>
          <w:szCs w:val="18"/>
        </w:rPr>
        <w:t xml:space="preserve">, including regional and metro </w:t>
      </w:r>
      <w:r w:rsidR="00F35DA4">
        <w:rPr>
          <w:rFonts w:ascii="Verdana" w:hAnsi="Verdana"/>
          <w:szCs w:val="18"/>
        </w:rPr>
        <w:t>locations</w:t>
      </w:r>
      <w:r w:rsidR="0008323E" w:rsidRPr="00D03975">
        <w:rPr>
          <w:rFonts w:ascii="Verdana" w:hAnsi="Verdana"/>
          <w:szCs w:val="18"/>
        </w:rPr>
        <w:t xml:space="preserve">, with workforces varying in size from thousands of employees to less than 30, it is acknowledged that only a small proportion of organisations </w:t>
      </w:r>
      <w:r w:rsidR="00123343">
        <w:rPr>
          <w:rFonts w:ascii="Verdana" w:hAnsi="Verdana"/>
          <w:szCs w:val="18"/>
        </w:rPr>
        <w:t xml:space="preserve">that will be prescribed under Phase Two of the </w:t>
      </w:r>
      <w:r w:rsidR="0008323E" w:rsidRPr="00D03975">
        <w:rPr>
          <w:rFonts w:ascii="Verdana" w:hAnsi="Verdana"/>
          <w:szCs w:val="18"/>
        </w:rPr>
        <w:t xml:space="preserve">CIS Scheme </w:t>
      </w:r>
      <w:r w:rsidR="00123343">
        <w:rPr>
          <w:rFonts w:ascii="Verdana" w:hAnsi="Verdana"/>
          <w:szCs w:val="18"/>
        </w:rPr>
        <w:t xml:space="preserve">could be </w:t>
      </w:r>
      <w:r w:rsidR="0008323E" w:rsidRPr="00D03975">
        <w:rPr>
          <w:rFonts w:ascii="Verdana" w:hAnsi="Verdana"/>
          <w:szCs w:val="18"/>
        </w:rPr>
        <w:t xml:space="preserve">engaged </w:t>
      </w:r>
      <w:r w:rsidR="00123343">
        <w:rPr>
          <w:rFonts w:ascii="Verdana" w:hAnsi="Verdana"/>
          <w:szCs w:val="18"/>
        </w:rPr>
        <w:t xml:space="preserve">with </w:t>
      </w:r>
      <w:r w:rsidR="0008323E" w:rsidRPr="00D03975">
        <w:rPr>
          <w:rFonts w:ascii="Verdana" w:hAnsi="Verdana"/>
          <w:szCs w:val="18"/>
        </w:rPr>
        <w:t>thro</w:t>
      </w:r>
      <w:r w:rsidR="000445EB">
        <w:rPr>
          <w:rFonts w:ascii="Verdana" w:hAnsi="Verdana"/>
          <w:szCs w:val="18"/>
        </w:rPr>
        <w:t>ugh the consultation process</w:t>
      </w:r>
      <w:r w:rsidR="00F35DA4">
        <w:rPr>
          <w:rFonts w:ascii="Verdana" w:hAnsi="Verdana"/>
          <w:szCs w:val="18"/>
        </w:rPr>
        <w:t>.</w:t>
      </w:r>
    </w:p>
    <w:p w:rsidR="0008323E" w:rsidRPr="00D94ADF" w:rsidRDefault="0008323E" w:rsidP="0008323E">
      <w:pPr>
        <w:pStyle w:val="Heading2"/>
        <w:rPr>
          <w:rFonts w:ascii="Verdana" w:hAnsi="Verdana"/>
        </w:rPr>
      </w:pPr>
      <w:bookmarkStart w:id="51" w:name="_Toc23510795"/>
      <w:r w:rsidRPr="00D94ADF">
        <w:rPr>
          <w:rFonts w:ascii="Verdana" w:hAnsi="Verdana"/>
        </w:rPr>
        <w:t>Objectives of consultation</w:t>
      </w:r>
      <w:bookmarkEnd w:id="51"/>
    </w:p>
    <w:p w:rsidR="00D03975" w:rsidRPr="00D03975" w:rsidRDefault="00B434A7" w:rsidP="00B434A7">
      <w:pPr>
        <w:pStyle w:val="WOVGbody"/>
        <w:rPr>
          <w:rFonts w:ascii="Verdana" w:hAnsi="Verdana"/>
        </w:rPr>
      </w:pPr>
      <w:r>
        <w:rPr>
          <w:rFonts w:ascii="Verdana" w:hAnsi="Verdana"/>
        </w:rPr>
        <w:t>The four objectives of the consultations were to</w:t>
      </w:r>
      <w:r w:rsidR="00D03975" w:rsidRPr="00D03975">
        <w:rPr>
          <w:rFonts w:ascii="Verdana" w:hAnsi="Verdana"/>
        </w:rPr>
        <w:t>:</w:t>
      </w:r>
    </w:p>
    <w:p w:rsidR="00B434A7" w:rsidRDefault="0095279E" w:rsidP="00A76FAF">
      <w:pPr>
        <w:pStyle w:val="WOVGbody"/>
        <w:numPr>
          <w:ilvl w:val="0"/>
          <w:numId w:val="44"/>
        </w:numPr>
        <w:ind w:left="426"/>
        <w:rPr>
          <w:rFonts w:ascii="Verdana" w:hAnsi="Verdana"/>
        </w:rPr>
      </w:pPr>
      <w:r>
        <w:rPr>
          <w:rFonts w:ascii="Verdana" w:hAnsi="Verdana"/>
        </w:rPr>
        <w:t>i</w:t>
      </w:r>
      <w:r w:rsidR="00B434A7">
        <w:rPr>
          <w:rFonts w:ascii="Verdana" w:hAnsi="Verdana"/>
        </w:rPr>
        <w:t>ntroduce the CIS Scheme to stakeholders</w:t>
      </w:r>
    </w:p>
    <w:p w:rsidR="00B434A7" w:rsidRDefault="0095279E" w:rsidP="00A76FAF">
      <w:pPr>
        <w:pStyle w:val="WOVGbody"/>
        <w:numPr>
          <w:ilvl w:val="0"/>
          <w:numId w:val="44"/>
        </w:numPr>
        <w:ind w:left="426"/>
        <w:rPr>
          <w:rFonts w:ascii="Verdana" w:hAnsi="Verdana"/>
        </w:rPr>
      </w:pPr>
      <w:r>
        <w:rPr>
          <w:rFonts w:ascii="Verdana" w:hAnsi="Verdana"/>
        </w:rPr>
        <w:t>d</w:t>
      </w:r>
      <w:r w:rsidR="00F262AA">
        <w:rPr>
          <w:rFonts w:ascii="Verdana" w:hAnsi="Verdana"/>
        </w:rPr>
        <w:t>iscuss and i</w:t>
      </w:r>
      <w:r w:rsidR="00B434A7">
        <w:rPr>
          <w:rFonts w:ascii="Verdana" w:hAnsi="Verdana"/>
        </w:rPr>
        <w:t>denti</w:t>
      </w:r>
      <w:r w:rsidR="000445EB">
        <w:rPr>
          <w:rFonts w:ascii="Verdana" w:hAnsi="Verdana"/>
        </w:rPr>
        <w:t xml:space="preserve">fy the impact of the </w:t>
      </w:r>
      <w:r w:rsidR="00DC7FCF">
        <w:rPr>
          <w:rFonts w:ascii="Verdana" w:hAnsi="Verdana"/>
        </w:rPr>
        <w:t xml:space="preserve">proposed </w:t>
      </w:r>
      <w:r w:rsidR="000445EB">
        <w:rPr>
          <w:rFonts w:ascii="Verdana" w:hAnsi="Verdana"/>
        </w:rPr>
        <w:t>Amendment R</w:t>
      </w:r>
      <w:r w:rsidR="00B434A7">
        <w:rPr>
          <w:rFonts w:ascii="Verdana" w:hAnsi="Verdana"/>
        </w:rPr>
        <w:t>egulations on sectors and organisations proposed for prescription</w:t>
      </w:r>
    </w:p>
    <w:p w:rsidR="00D03975" w:rsidRPr="00D03975" w:rsidRDefault="0095279E" w:rsidP="00A76FAF">
      <w:pPr>
        <w:pStyle w:val="WOVGbody"/>
        <w:numPr>
          <w:ilvl w:val="0"/>
          <w:numId w:val="44"/>
        </w:numPr>
        <w:ind w:left="426"/>
        <w:rPr>
          <w:rFonts w:ascii="Verdana" w:hAnsi="Verdana"/>
        </w:rPr>
      </w:pPr>
      <w:r>
        <w:rPr>
          <w:rFonts w:ascii="Verdana" w:hAnsi="Verdana"/>
        </w:rPr>
        <w:t>u</w:t>
      </w:r>
      <w:r w:rsidR="00D03975" w:rsidRPr="00D03975">
        <w:rPr>
          <w:rFonts w:ascii="Verdana" w:hAnsi="Verdana"/>
        </w:rPr>
        <w:t xml:space="preserve">nderstand </w:t>
      </w:r>
      <w:r w:rsidR="00B434A7">
        <w:rPr>
          <w:rFonts w:ascii="Verdana" w:hAnsi="Verdana"/>
        </w:rPr>
        <w:t xml:space="preserve">relevant organisational or sector-specific </w:t>
      </w:r>
      <w:r w:rsidR="00D03975" w:rsidRPr="00D03975">
        <w:rPr>
          <w:rFonts w:ascii="Verdana" w:hAnsi="Verdana"/>
        </w:rPr>
        <w:t>circumstances and contexts</w:t>
      </w:r>
    </w:p>
    <w:p w:rsidR="00B434A7" w:rsidRPr="0008323E" w:rsidRDefault="0095279E" w:rsidP="00A76FAF">
      <w:pPr>
        <w:pStyle w:val="WOVGbody"/>
        <w:numPr>
          <w:ilvl w:val="0"/>
          <w:numId w:val="44"/>
        </w:numPr>
        <w:ind w:left="426"/>
        <w:rPr>
          <w:rFonts w:ascii="Verdana" w:hAnsi="Verdana"/>
        </w:rPr>
      </w:pPr>
      <w:r>
        <w:rPr>
          <w:rFonts w:ascii="Verdana" w:hAnsi="Verdana"/>
        </w:rPr>
        <w:t>c</w:t>
      </w:r>
      <w:r w:rsidR="00D03975" w:rsidRPr="00D03975">
        <w:rPr>
          <w:rFonts w:ascii="Verdana" w:hAnsi="Verdana"/>
        </w:rPr>
        <w:t>ollect data to s</w:t>
      </w:r>
      <w:r w:rsidR="00DE44AA">
        <w:rPr>
          <w:rFonts w:ascii="Verdana" w:hAnsi="Verdana"/>
        </w:rPr>
        <w:t>upport the quantification of</w:t>
      </w:r>
      <w:r w:rsidR="00D03975" w:rsidRPr="00D03975">
        <w:rPr>
          <w:rFonts w:ascii="Verdana" w:hAnsi="Verdana"/>
        </w:rPr>
        <w:t xml:space="preserve"> impacts</w:t>
      </w:r>
      <w:r w:rsidR="0008323E">
        <w:rPr>
          <w:rFonts w:ascii="Verdana" w:hAnsi="Verdana"/>
        </w:rPr>
        <w:t>.</w:t>
      </w:r>
    </w:p>
    <w:p w:rsidR="0008323E" w:rsidRPr="00D94ADF" w:rsidRDefault="0008323E" w:rsidP="0008323E">
      <w:pPr>
        <w:pStyle w:val="Heading2"/>
        <w:rPr>
          <w:rFonts w:ascii="Verdana" w:hAnsi="Verdana"/>
        </w:rPr>
      </w:pPr>
      <w:bookmarkStart w:id="52" w:name="_Toc23510796"/>
      <w:r w:rsidRPr="00D94ADF">
        <w:rPr>
          <w:rFonts w:ascii="Verdana" w:hAnsi="Verdana"/>
        </w:rPr>
        <w:t>Consultation approach</w:t>
      </w:r>
      <w:bookmarkEnd w:id="52"/>
    </w:p>
    <w:p w:rsidR="00F35DA4" w:rsidRDefault="00F35DA4" w:rsidP="00D03975">
      <w:pPr>
        <w:pStyle w:val="WOVGbody"/>
        <w:rPr>
          <w:rFonts w:ascii="Verdana" w:hAnsi="Verdana"/>
        </w:rPr>
      </w:pPr>
      <w:r w:rsidRPr="00F35DA4">
        <w:rPr>
          <w:rFonts w:ascii="Verdana" w:hAnsi="Verdana"/>
        </w:rPr>
        <w:t xml:space="preserve">The approach </w:t>
      </w:r>
      <w:r>
        <w:rPr>
          <w:rFonts w:ascii="Verdana" w:hAnsi="Verdana"/>
        </w:rPr>
        <w:t xml:space="preserve">to consultation aimed at realising the objectives above by allowing for preliminary engagement and information gathering </w:t>
      </w:r>
      <w:r w:rsidR="00F262AA">
        <w:rPr>
          <w:rFonts w:ascii="Verdana" w:hAnsi="Verdana"/>
        </w:rPr>
        <w:t>at</w:t>
      </w:r>
      <w:r>
        <w:rPr>
          <w:rFonts w:ascii="Verdana" w:hAnsi="Verdana"/>
        </w:rPr>
        <w:t xml:space="preserve"> sector forum</w:t>
      </w:r>
      <w:r w:rsidR="00F262AA">
        <w:rPr>
          <w:rFonts w:ascii="Verdana" w:hAnsi="Verdana"/>
        </w:rPr>
        <w:t xml:space="preserve">s </w:t>
      </w:r>
      <w:r>
        <w:rPr>
          <w:rFonts w:ascii="Verdana" w:hAnsi="Verdana"/>
        </w:rPr>
        <w:t xml:space="preserve">involving a range of workforces, followed by </w:t>
      </w:r>
      <w:r w:rsidR="00F262AA">
        <w:rPr>
          <w:rFonts w:ascii="Verdana" w:hAnsi="Verdana"/>
        </w:rPr>
        <w:t>in-depth</w:t>
      </w:r>
      <w:r>
        <w:rPr>
          <w:rFonts w:ascii="Verdana" w:hAnsi="Verdana"/>
        </w:rPr>
        <w:t xml:space="preserve"> interview with representatives of each unique organisation.</w:t>
      </w:r>
    </w:p>
    <w:p w:rsidR="00F35DA4" w:rsidRPr="00D03975" w:rsidRDefault="0095279E" w:rsidP="00A76FAF">
      <w:pPr>
        <w:pStyle w:val="WOVGbody"/>
        <w:numPr>
          <w:ilvl w:val="0"/>
          <w:numId w:val="45"/>
        </w:numPr>
        <w:ind w:left="426"/>
        <w:rPr>
          <w:rFonts w:ascii="Verdana" w:hAnsi="Verdana"/>
        </w:rPr>
      </w:pPr>
      <w:r>
        <w:rPr>
          <w:rFonts w:ascii="Verdana" w:hAnsi="Verdana"/>
        </w:rPr>
        <w:t>Sector forum – a</w:t>
      </w:r>
      <w:r w:rsidR="00F35DA4" w:rsidRPr="00D03975">
        <w:rPr>
          <w:rFonts w:ascii="Verdana" w:hAnsi="Verdana"/>
        </w:rPr>
        <w:t xml:space="preserve"> forum with stakeholders from </w:t>
      </w:r>
      <w:r w:rsidR="00F35DA4">
        <w:rPr>
          <w:rFonts w:ascii="Verdana" w:hAnsi="Verdana"/>
        </w:rPr>
        <w:t>organisations representing services proposed for prescription</w:t>
      </w:r>
      <w:r w:rsidR="00F35DA4" w:rsidRPr="00D03975">
        <w:rPr>
          <w:rFonts w:ascii="Verdana" w:hAnsi="Verdana"/>
        </w:rPr>
        <w:t>, to discuss the relevant impacts and risks across t</w:t>
      </w:r>
      <w:r w:rsidR="00F35DA4">
        <w:rPr>
          <w:rFonts w:ascii="Verdana" w:hAnsi="Verdana"/>
        </w:rPr>
        <w:t>he sectors,</w:t>
      </w:r>
      <w:r w:rsidR="00F35DA4" w:rsidRPr="00D03975">
        <w:rPr>
          <w:rFonts w:ascii="Verdana" w:hAnsi="Verdana"/>
        </w:rPr>
        <w:t xml:space="preserve"> and how they will vary depending</w:t>
      </w:r>
      <w:r>
        <w:rPr>
          <w:rFonts w:ascii="Verdana" w:hAnsi="Verdana"/>
        </w:rPr>
        <w:t xml:space="preserve"> on the sectors or organisation</w:t>
      </w:r>
      <w:r w:rsidR="00DE44AA">
        <w:rPr>
          <w:rFonts w:ascii="Verdana" w:hAnsi="Verdana"/>
        </w:rPr>
        <w:t>s</w:t>
      </w:r>
      <w:r>
        <w:rPr>
          <w:rFonts w:ascii="Verdana" w:hAnsi="Verdana"/>
        </w:rPr>
        <w:t>.</w:t>
      </w:r>
    </w:p>
    <w:p w:rsidR="00F35DA4" w:rsidRPr="004562D3" w:rsidRDefault="00F35DA4" w:rsidP="00A76FAF">
      <w:pPr>
        <w:pStyle w:val="WOVGbody"/>
        <w:numPr>
          <w:ilvl w:val="0"/>
          <w:numId w:val="45"/>
        </w:numPr>
        <w:ind w:left="426"/>
        <w:rPr>
          <w:rFonts w:ascii="Verdana" w:hAnsi="Verdana"/>
        </w:rPr>
      </w:pPr>
      <w:r>
        <w:rPr>
          <w:rFonts w:ascii="Verdana" w:hAnsi="Verdana"/>
        </w:rPr>
        <w:t xml:space="preserve">Targeted interviews - </w:t>
      </w:r>
      <w:r w:rsidR="004562D3">
        <w:rPr>
          <w:rFonts w:ascii="Verdana" w:hAnsi="Verdana"/>
        </w:rPr>
        <w:t xml:space="preserve">structured interviews with representatives of individual organisations </w:t>
      </w:r>
      <w:r w:rsidRPr="00D03975">
        <w:rPr>
          <w:rFonts w:ascii="Verdana" w:hAnsi="Verdana"/>
        </w:rPr>
        <w:t>to provide further insight into the anticipated impact of the</w:t>
      </w:r>
      <w:r w:rsidR="00DC7FCF">
        <w:rPr>
          <w:rFonts w:ascii="Verdana" w:hAnsi="Verdana"/>
        </w:rPr>
        <w:t xml:space="preserve"> proposed</w:t>
      </w:r>
      <w:r w:rsidRPr="00D03975">
        <w:rPr>
          <w:rFonts w:ascii="Verdana" w:hAnsi="Verdana"/>
        </w:rPr>
        <w:t xml:space="preserve"> </w:t>
      </w:r>
      <w:r w:rsidR="000445EB">
        <w:rPr>
          <w:rFonts w:ascii="Verdana" w:hAnsi="Verdana"/>
        </w:rPr>
        <w:t>Amendment R</w:t>
      </w:r>
      <w:r w:rsidRPr="00D03975">
        <w:rPr>
          <w:rFonts w:ascii="Verdana" w:hAnsi="Verdana"/>
        </w:rPr>
        <w:t>egulations on organisations and sectors, including estimated resourcing implications.</w:t>
      </w:r>
    </w:p>
    <w:p w:rsidR="00D03975" w:rsidRPr="00D94ADF" w:rsidRDefault="0008323E" w:rsidP="0008323E">
      <w:pPr>
        <w:pStyle w:val="Heading2"/>
        <w:rPr>
          <w:rFonts w:ascii="Verdana" w:hAnsi="Verdana"/>
        </w:rPr>
      </w:pPr>
      <w:bookmarkStart w:id="53" w:name="_Toc23510797"/>
      <w:r w:rsidRPr="00D94ADF">
        <w:rPr>
          <w:rFonts w:ascii="Verdana" w:hAnsi="Verdana"/>
        </w:rPr>
        <w:t>Consultation participation</w:t>
      </w:r>
      <w:bookmarkEnd w:id="53"/>
    </w:p>
    <w:p w:rsidR="005A0662" w:rsidRDefault="00F262AA" w:rsidP="005A0662">
      <w:pPr>
        <w:pStyle w:val="WOVGbody"/>
        <w:rPr>
          <w:rFonts w:ascii="Verdana" w:hAnsi="Verdana"/>
          <w:szCs w:val="18"/>
        </w:rPr>
      </w:pPr>
      <w:r>
        <w:rPr>
          <w:rFonts w:ascii="Verdana" w:hAnsi="Verdana"/>
        </w:rPr>
        <w:t>A</w:t>
      </w:r>
      <w:r w:rsidR="004562D3" w:rsidRPr="004562D3">
        <w:rPr>
          <w:rFonts w:ascii="Verdana" w:hAnsi="Verdana"/>
          <w:szCs w:val="18"/>
        </w:rPr>
        <w:t xml:space="preserve">pproximately 120 </w:t>
      </w:r>
      <w:r w:rsidR="004562D3">
        <w:rPr>
          <w:rFonts w:ascii="Verdana" w:hAnsi="Verdana"/>
          <w:szCs w:val="18"/>
        </w:rPr>
        <w:t>workforce representatives from 60 unique</w:t>
      </w:r>
      <w:r w:rsidR="0095279E">
        <w:rPr>
          <w:rFonts w:ascii="Verdana" w:hAnsi="Verdana"/>
          <w:szCs w:val="18"/>
        </w:rPr>
        <w:t xml:space="preserve"> organisations participated in six workforce forums (five</w:t>
      </w:r>
      <w:r w:rsidR="004562D3">
        <w:rPr>
          <w:rFonts w:ascii="Verdana" w:hAnsi="Verdana"/>
          <w:szCs w:val="18"/>
        </w:rPr>
        <w:t xml:space="preserve"> face-to-face and one online)</w:t>
      </w:r>
      <w:r>
        <w:rPr>
          <w:rFonts w:ascii="Verdana" w:hAnsi="Verdana"/>
          <w:szCs w:val="18"/>
        </w:rPr>
        <w:t xml:space="preserve">, and </w:t>
      </w:r>
      <w:r w:rsidR="004562D3">
        <w:rPr>
          <w:rFonts w:ascii="Verdana" w:hAnsi="Verdana"/>
          <w:szCs w:val="18"/>
        </w:rPr>
        <w:t xml:space="preserve">53 workforce interviews were subsequently conducted, either face-to-face or </w:t>
      </w:r>
      <w:r w:rsidR="0095279E">
        <w:rPr>
          <w:rFonts w:ascii="Verdana" w:hAnsi="Verdana"/>
          <w:szCs w:val="18"/>
        </w:rPr>
        <w:t>by</w:t>
      </w:r>
      <w:r w:rsidR="004562D3">
        <w:rPr>
          <w:rFonts w:ascii="Verdana" w:hAnsi="Verdana"/>
          <w:szCs w:val="18"/>
        </w:rPr>
        <w:t xml:space="preserve"> teleconference.</w:t>
      </w:r>
    </w:p>
    <w:p w:rsidR="003235C8" w:rsidRPr="00F81352" w:rsidRDefault="003235C8" w:rsidP="003235C8">
      <w:pPr>
        <w:pStyle w:val="Heading2"/>
        <w:rPr>
          <w:rFonts w:ascii="Verdana" w:hAnsi="Verdana"/>
        </w:rPr>
      </w:pPr>
      <w:bookmarkStart w:id="54" w:name="_Toc23510798"/>
      <w:r w:rsidRPr="00F81352">
        <w:rPr>
          <w:rFonts w:ascii="Verdana" w:hAnsi="Verdana"/>
        </w:rPr>
        <w:t>Key inputs form the consultations</w:t>
      </w:r>
      <w:bookmarkEnd w:id="54"/>
    </w:p>
    <w:p w:rsidR="003235C8" w:rsidRDefault="003235C8" w:rsidP="003235C8">
      <w:pPr>
        <w:pStyle w:val="WOVGbody"/>
        <w:rPr>
          <w:rFonts w:ascii="Verdana" w:hAnsi="Verdana"/>
        </w:rPr>
      </w:pPr>
      <w:r>
        <w:rPr>
          <w:rFonts w:ascii="Verdana" w:hAnsi="Verdana"/>
        </w:rPr>
        <w:t xml:space="preserve">Throughout the consultations, workforce representatives communicated that there would be a great variety of impacts across organisations resulting from their prescription under the CIS Scheme. Organisations also flagged clear differences in the level of preparedness for the reform and in training needs prior to Phase Two implementation. </w:t>
      </w:r>
      <w:r w:rsidRPr="00CB765B">
        <w:rPr>
          <w:rFonts w:ascii="Verdana" w:hAnsi="Verdana"/>
        </w:rPr>
        <w:t xml:space="preserve">This </w:t>
      </w:r>
      <w:r>
        <w:rPr>
          <w:rFonts w:ascii="Verdana" w:hAnsi="Verdana"/>
        </w:rPr>
        <w:t xml:space="preserve">variation of estimated impacts and </w:t>
      </w:r>
      <w:r w:rsidR="0016010C">
        <w:rPr>
          <w:rFonts w:ascii="Verdana" w:hAnsi="Verdana"/>
        </w:rPr>
        <w:t xml:space="preserve">support and training </w:t>
      </w:r>
      <w:r>
        <w:rPr>
          <w:rFonts w:ascii="Verdana" w:hAnsi="Verdana"/>
        </w:rPr>
        <w:t xml:space="preserve">needs </w:t>
      </w:r>
      <w:r w:rsidRPr="00CB765B">
        <w:rPr>
          <w:rFonts w:ascii="Verdana" w:hAnsi="Verdana"/>
        </w:rPr>
        <w:t>in part reflects the uncertainty that organisations invariably face wh</w:t>
      </w:r>
      <w:r>
        <w:rPr>
          <w:rFonts w:ascii="Verdana" w:hAnsi="Verdana"/>
        </w:rPr>
        <w:t xml:space="preserve">en contemplating the impact of </w:t>
      </w:r>
      <w:r w:rsidR="0016010C">
        <w:rPr>
          <w:rFonts w:ascii="Verdana" w:hAnsi="Verdana"/>
        </w:rPr>
        <w:t xml:space="preserve">new </w:t>
      </w:r>
      <w:r>
        <w:rPr>
          <w:rFonts w:ascii="Verdana" w:hAnsi="Verdana"/>
        </w:rPr>
        <w:t>r</w:t>
      </w:r>
      <w:r w:rsidRPr="00CB765B">
        <w:rPr>
          <w:rFonts w:ascii="Verdana" w:hAnsi="Verdana"/>
        </w:rPr>
        <w:t xml:space="preserve">egulations. It also reflects the fundamental factors that will drive variation in the regulations’ impacts across </w:t>
      </w:r>
      <w:r w:rsidRPr="00CB765B">
        <w:rPr>
          <w:rFonts w:ascii="Verdana" w:hAnsi="Verdana"/>
        </w:rPr>
        <w:lastRenderedPageBreak/>
        <w:t xml:space="preserve">ISEs, including the size of the organisation, their resourcing capacity, the nature of their work involving information sharing, and their </w:t>
      </w:r>
      <w:r>
        <w:rPr>
          <w:rFonts w:ascii="Verdana" w:hAnsi="Verdana"/>
        </w:rPr>
        <w:t>existing systems and processes.</w:t>
      </w:r>
    </w:p>
    <w:p w:rsidR="003235C8" w:rsidRDefault="003235C8" w:rsidP="003235C8">
      <w:pPr>
        <w:pStyle w:val="WOVGbody"/>
        <w:rPr>
          <w:rFonts w:ascii="Verdana" w:hAnsi="Verdana"/>
        </w:rPr>
      </w:pPr>
      <w:r>
        <w:rPr>
          <w:rFonts w:ascii="Verdana" w:hAnsi="Verdana"/>
        </w:rPr>
        <w:t xml:space="preserve">A clear majority of workforce representatives who participated in the consultations expressed support for the reforms and </w:t>
      </w:r>
      <w:r w:rsidR="009213AE">
        <w:rPr>
          <w:rFonts w:ascii="Verdana" w:hAnsi="Verdana"/>
        </w:rPr>
        <w:t>of</w:t>
      </w:r>
      <w:r>
        <w:rPr>
          <w:rFonts w:ascii="Verdana" w:hAnsi="Verdana"/>
        </w:rPr>
        <w:t xml:space="preserve"> being prescribed under the CIS Scheme. It should also be noted that many participants flagged the need for </w:t>
      </w:r>
      <w:r w:rsidR="0016010C">
        <w:rPr>
          <w:rFonts w:ascii="Verdana" w:hAnsi="Verdana"/>
        </w:rPr>
        <w:t xml:space="preserve">comprehensive </w:t>
      </w:r>
      <w:r>
        <w:rPr>
          <w:rFonts w:ascii="Verdana" w:hAnsi="Verdana"/>
        </w:rPr>
        <w:t>training</w:t>
      </w:r>
      <w:r w:rsidR="0016010C">
        <w:rPr>
          <w:rFonts w:ascii="Verdana" w:hAnsi="Verdana"/>
        </w:rPr>
        <w:t xml:space="preserve"> provision by</w:t>
      </w:r>
      <w:r>
        <w:rPr>
          <w:rFonts w:ascii="Verdana" w:hAnsi="Verdana"/>
        </w:rPr>
        <w:t xml:space="preserve"> the Victorian Government to facilitate the implementation of Phase Two of the CIS Scheme. Another common theme was the need to provide</w:t>
      </w:r>
      <w:r w:rsidR="0016010C">
        <w:rPr>
          <w:rFonts w:ascii="Verdana" w:hAnsi="Verdana"/>
        </w:rPr>
        <w:t xml:space="preserve"> clear communication and</w:t>
      </w:r>
      <w:r>
        <w:rPr>
          <w:rFonts w:ascii="Verdana" w:hAnsi="Verdana"/>
        </w:rPr>
        <w:t xml:space="preserve"> </w:t>
      </w:r>
      <w:r w:rsidR="0016010C">
        <w:rPr>
          <w:rFonts w:ascii="Verdana" w:hAnsi="Verdana"/>
        </w:rPr>
        <w:t>practice guidance as well as</w:t>
      </w:r>
      <w:r>
        <w:rPr>
          <w:rFonts w:ascii="Verdana" w:hAnsi="Verdana"/>
        </w:rPr>
        <w:t xml:space="preserve"> workforce spec</w:t>
      </w:r>
      <w:r w:rsidR="0016010C">
        <w:rPr>
          <w:rFonts w:ascii="Verdana" w:hAnsi="Verdana"/>
        </w:rPr>
        <w:t>ific case studies and templates</w:t>
      </w:r>
      <w:r>
        <w:rPr>
          <w:rFonts w:ascii="Verdana" w:hAnsi="Verdana"/>
        </w:rPr>
        <w:t xml:space="preserve"> that will support scheme implementation.</w:t>
      </w:r>
    </w:p>
    <w:p w:rsidR="00D272DA" w:rsidRDefault="0016010C">
      <w:pPr>
        <w:rPr>
          <w:rFonts w:ascii="Verdana" w:eastAsia="Times" w:hAnsi="Verdana"/>
          <w:szCs w:val="18"/>
        </w:rPr>
      </w:pPr>
      <w:r>
        <w:rPr>
          <w:rFonts w:ascii="Verdana" w:hAnsi="Verdana"/>
        </w:rPr>
        <w:t>Feedback gathered throughout the RIS consultations informs reform delivery of the CIS Scheme. As outlined in this RIS, t</w:t>
      </w:r>
      <w:r w:rsidR="003235C8">
        <w:rPr>
          <w:rFonts w:ascii="Verdana" w:hAnsi="Verdana"/>
        </w:rPr>
        <w:t>he preferred option for prescription of Phase Two ISEs and the</w:t>
      </w:r>
      <w:r>
        <w:rPr>
          <w:rFonts w:ascii="Verdana" w:hAnsi="Verdana"/>
        </w:rPr>
        <w:t xml:space="preserve"> government support presented</w:t>
      </w:r>
      <w:r w:rsidR="003235C8">
        <w:rPr>
          <w:rFonts w:ascii="Verdana" w:hAnsi="Verdana"/>
        </w:rPr>
        <w:t xml:space="preserve"> in Chapter 6, Preferred Option, </w:t>
      </w:r>
      <w:r w:rsidR="009213AE">
        <w:rPr>
          <w:rFonts w:ascii="Verdana" w:hAnsi="Verdana"/>
        </w:rPr>
        <w:t xml:space="preserve">to a great extent </w:t>
      </w:r>
      <w:r>
        <w:rPr>
          <w:rFonts w:ascii="Verdana" w:hAnsi="Verdana"/>
        </w:rPr>
        <w:t xml:space="preserve">reflects </w:t>
      </w:r>
      <w:r w:rsidR="003235C8">
        <w:rPr>
          <w:rFonts w:ascii="Verdana" w:hAnsi="Verdana"/>
        </w:rPr>
        <w:t>the</w:t>
      </w:r>
      <w:r>
        <w:rPr>
          <w:rFonts w:ascii="Verdana" w:hAnsi="Verdana"/>
        </w:rPr>
        <w:t xml:space="preserve"> feedback received through the</w:t>
      </w:r>
      <w:r w:rsidR="003235C8">
        <w:rPr>
          <w:rFonts w:ascii="Verdana" w:hAnsi="Verdana"/>
        </w:rPr>
        <w:t xml:space="preserve"> </w:t>
      </w:r>
      <w:r>
        <w:rPr>
          <w:rFonts w:ascii="Verdana" w:hAnsi="Verdana"/>
        </w:rPr>
        <w:t xml:space="preserve">RIS </w:t>
      </w:r>
      <w:r w:rsidR="003235C8">
        <w:rPr>
          <w:rFonts w:ascii="Verdana" w:hAnsi="Verdana"/>
        </w:rPr>
        <w:t>consultation</w:t>
      </w:r>
      <w:r>
        <w:rPr>
          <w:rFonts w:ascii="Verdana" w:hAnsi="Verdana"/>
        </w:rPr>
        <w:t>.</w:t>
      </w:r>
      <w:r w:rsidR="00D272DA">
        <w:rPr>
          <w:rFonts w:ascii="Verdana" w:hAnsi="Verdana"/>
          <w:szCs w:val="18"/>
        </w:rPr>
        <w:br w:type="page"/>
      </w:r>
    </w:p>
    <w:p w:rsidR="00557AD1" w:rsidRPr="00557AD1" w:rsidRDefault="00557AD1" w:rsidP="005A0662">
      <w:pPr>
        <w:pStyle w:val="WOVGbody"/>
        <w:rPr>
          <w:rFonts w:ascii="Verdana" w:hAnsi="Verdana"/>
          <w:szCs w:val="18"/>
        </w:rPr>
      </w:pPr>
      <w:r w:rsidRPr="00557AD1">
        <w:rPr>
          <w:rFonts w:ascii="Verdana" w:hAnsi="Verdana"/>
          <w:szCs w:val="18"/>
        </w:rPr>
        <w:lastRenderedPageBreak/>
        <w:t>Stakehold</w:t>
      </w:r>
      <w:r w:rsidR="00B24D98">
        <w:rPr>
          <w:rFonts w:ascii="Verdana" w:hAnsi="Verdana"/>
          <w:szCs w:val="18"/>
        </w:rPr>
        <w:t>ers that participated in</w:t>
      </w:r>
      <w:r w:rsidRPr="00557AD1">
        <w:rPr>
          <w:rFonts w:ascii="Verdana" w:hAnsi="Verdana"/>
          <w:szCs w:val="18"/>
        </w:rPr>
        <w:t xml:space="preserve"> </w:t>
      </w:r>
      <w:r w:rsidR="004E010A">
        <w:rPr>
          <w:rFonts w:ascii="Verdana" w:hAnsi="Verdana"/>
          <w:szCs w:val="18"/>
        </w:rPr>
        <w:t xml:space="preserve">the targeted RIS </w:t>
      </w:r>
      <w:r w:rsidRPr="00557AD1">
        <w:rPr>
          <w:rFonts w:ascii="Verdana" w:hAnsi="Verdana"/>
          <w:szCs w:val="18"/>
        </w:rPr>
        <w:t>consultation process are listed below:</w:t>
      </w:r>
    </w:p>
    <w:p w:rsidR="004562D3" w:rsidRPr="0063467C" w:rsidRDefault="002A0B64" w:rsidP="005A0662">
      <w:pPr>
        <w:pStyle w:val="WOVGbody"/>
        <w:rPr>
          <w:rFonts w:ascii="Verdana" w:hAnsi="Verdana"/>
          <w:b/>
          <w:szCs w:val="18"/>
        </w:rPr>
      </w:pPr>
      <w:r w:rsidRPr="0063467C">
        <w:rPr>
          <w:rFonts w:ascii="Verdana" w:hAnsi="Verdana"/>
          <w:b/>
          <w:szCs w:val="18"/>
        </w:rPr>
        <w:t xml:space="preserve">Table 10.1 </w:t>
      </w:r>
      <w:r w:rsidR="00557AD1">
        <w:rPr>
          <w:rFonts w:ascii="Verdana" w:hAnsi="Verdana"/>
          <w:b/>
          <w:szCs w:val="18"/>
        </w:rPr>
        <w:t>List of stakeholders consulted</w:t>
      </w:r>
    </w:p>
    <w:tbl>
      <w:tblPr>
        <w:tblStyle w:val="TableGrid"/>
        <w:tblW w:w="9398" w:type="dxa"/>
        <w:tblInd w:w="6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5157"/>
        <w:gridCol w:w="4241"/>
      </w:tblGrid>
      <w:tr w:rsidR="00E3547B" w:rsidTr="005F5A46">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398" w:type="dxa"/>
            <w:gridSpan w:val="2"/>
          </w:tcPr>
          <w:p w:rsidR="00E3547B" w:rsidRPr="00CB3B6D" w:rsidRDefault="00E3547B" w:rsidP="00976683">
            <w:pPr>
              <w:pStyle w:val="ListParagraph"/>
              <w:ind w:left="0"/>
              <w:rPr>
                <w:b/>
              </w:rPr>
            </w:pPr>
            <w:r w:rsidRPr="00E3547B">
              <w:rPr>
                <w:b/>
                <w:color w:val="FFFFFF" w:themeColor="background1"/>
              </w:rPr>
              <w:t>RIS Stakeholder Participation</w:t>
            </w:r>
          </w:p>
        </w:tc>
      </w:tr>
      <w:tr w:rsidR="004562D3" w:rsidTr="005F5A46">
        <w:trPr>
          <w:trHeight w:val="1431"/>
        </w:trPr>
        <w:tc>
          <w:tcPr>
            <w:cnfStyle w:val="001000000000" w:firstRow="0" w:lastRow="0" w:firstColumn="1" w:lastColumn="0" w:oddVBand="0" w:evenVBand="0" w:oddHBand="0" w:evenHBand="0" w:firstRowFirstColumn="0" w:firstRowLastColumn="0" w:lastRowFirstColumn="0" w:lastRowLastColumn="0"/>
            <w:tcW w:w="5157" w:type="dxa"/>
          </w:tcPr>
          <w:p w:rsidR="004562D3" w:rsidRPr="004562D3" w:rsidRDefault="004562D3" w:rsidP="00976683">
            <w:pPr>
              <w:pStyle w:val="ListParagraph"/>
              <w:ind w:left="0"/>
              <w:rPr>
                <w:b/>
              </w:rPr>
            </w:pPr>
            <w:r w:rsidRPr="004562D3">
              <w:rPr>
                <w:b/>
              </w:rPr>
              <w:t>Schools</w:t>
            </w:r>
            <w:r>
              <w:rPr>
                <w:b/>
              </w:rPr>
              <w:br/>
            </w:r>
            <w:r>
              <w:br/>
              <w:t>Lyndhurst Primary School (DET)</w:t>
            </w:r>
          </w:p>
          <w:p w:rsidR="004562D3" w:rsidRDefault="004562D3" w:rsidP="00976683">
            <w:pPr>
              <w:pStyle w:val="ListParagraph"/>
              <w:ind w:left="0"/>
            </w:pPr>
            <w:r>
              <w:t>Cranbourne East Secondary College (DET)</w:t>
            </w:r>
          </w:p>
          <w:p w:rsidR="004562D3" w:rsidRDefault="004562D3" w:rsidP="00976683">
            <w:pPr>
              <w:pStyle w:val="ListParagraph"/>
              <w:ind w:left="0"/>
            </w:pPr>
            <w:r>
              <w:t>Elwood College (DET)</w:t>
            </w:r>
          </w:p>
          <w:p w:rsidR="004562D3" w:rsidRDefault="004562D3" w:rsidP="00976683">
            <w:pPr>
              <w:pStyle w:val="ListParagraph"/>
              <w:ind w:left="0"/>
            </w:pPr>
            <w:r>
              <w:t>Bialik College (Independent)</w:t>
            </w:r>
          </w:p>
          <w:p w:rsidR="004562D3" w:rsidRDefault="004562D3" w:rsidP="00976683">
            <w:pPr>
              <w:pStyle w:val="ListParagraph"/>
              <w:ind w:left="0"/>
            </w:pPr>
            <w:r>
              <w:t>David Scott School (Independent)</w:t>
            </w:r>
          </w:p>
          <w:p w:rsidR="004562D3" w:rsidRDefault="004562D3" w:rsidP="00976683">
            <w:pPr>
              <w:pStyle w:val="ListParagraph"/>
              <w:ind w:left="0"/>
            </w:pPr>
            <w:r>
              <w:t>Sophia Mundi Steiner</w:t>
            </w:r>
            <w:r w:rsidR="00B24D98">
              <w:t xml:space="preserve"> School</w:t>
            </w:r>
            <w:r>
              <w:t xml:space="preserve"> (Independent)</w:t>
            </w:r>
          </w:p>
          <w:p w:rsidR="004562D3" w:rsidRDefault="004562D3" w:rsidP="00976683">
            <w:pPr>
              <w:pStyle w:val="ListParagraph"/>
              <w:ind w:left="0"/>
            </w:pPr>
            <w:r>
              <w:t>Chairo Christian School (Independent)</w:t>
            </w:r>
          </w:p>
          <w:p w:rsidR="004562D3" w:rsidRDefault="004562D3" w:rsidP="00976683">
            <w:pPr>
              <w:pStyle w:val="ListParagraph"/>
              <w:ind w:left="0"/>
            </w:pPr>
            <w:r>
              <w:t>Korowa Anglican Girls’ School (Independent)</w:t>
            </w:r>
          </w:p>
          <w:p w:rsidR="004562D3" w:rsidRDefault="004562D3" w:rsidP="00976683">
            <w:pPr>
              <w:pStyle w:val="ListParagraph"/>
              <w:ind w:left="0"/>
            </w:pPr>
            <w:r>
              <w:t xml:space="preserve">Mentone Grammar </w:t>
            </w:r>
            <w:r w:rsidR="00E42CA6">
              <w:t xml:space="preserve">School </w:t>
            </w:r>
            <w:r>
              <w:t>(Independent)</w:t>
            </w:r>
          </w:p>
          <w:p w:rsidR="004562D3" w:rsidRDefault="004562D3" w:rsidP="00976683">
            <w:pPr>
              <w:pStyle w:val="ListParagraph"/>
              <w:ind w:left="0"/>
            </w:pPr>
            <w:r>
              <w:t xml:space="preserve">Holy Rosary Primary School (Catholic) </w:t>
            </w:r>
          </w:p>
          <w:p w:rsidR="004562D3" w:rsidRDefault="004562D3" w:rsidP="00976683">
            <w:pPr>
              <w:pStyle w:val="ListParagraph"/>
              <w:ind w:left="0"/>
            </w:pPr>
            <w:r>
              <w:t>Sandhurst Dioceses (Catholic)</w:t>
            </w:r>
          </w:p>
          <w:p w:rsidR="004562D3" w:rsidRDefault="004562D3" w:rsidP="00976683">
            <w:pPr>
              <w:pStyle w:val="ListParagraph"/>
              <w:ind w:left="0"/>
            </w:pPr>
            <w:r>
              <w:t>Avila College (Catholic)</w:t>
            </w:r>
          </w:p>
          <w:p w:rsidR="004562D3" w:rsidRDefault="004562D3" w:rsidP="00976683">
            <w:pPr>
              <w:pStyle w:val="ListParagraph"/>
              <w:ind w:left="0"/>
            </w:pPr>
            <w:r>
              <w:t xml:space="preserve">Our Lady </w:t>
            </w:r>
            <w:r w:rsidR="00E42CA6">
              <w:t xml:space="preserve">Star </w:t>
            </w:r>
            <w:r>
              <w:t>of th</w:t>
            </w:r>
            <w:r w:rsidR="00E42CA6">
              <w:t>e Sea Primary School</w:t>
            </w:r>
            <w:r>
              <w:t xml:space="preserve"> (Cowes) </w:t>
            </w:r>
            <w:r w:rsidR="00E42CA6">
              <w:t>(</w:t>
            </w:r>
            <w:r>
              <w:t xml:space="preserve">Catholic) </w:t>
            </w:r>
          </w:p>
          <w:p w:rsidR="004562D3" w:rsidRDefault="004562D3" w:rsidP="00976683">
            <w:pPr>
              <w:pStyle w:val="ListParagraph"/>
              <w:ind w:left="0"/>
            </w:pPr>
            <w:r>
              <w:t>St Laurence O’Toole Primary School (Catholic)</w:t>
            </w:r>
          </w:p>
          <w:p w:rsidR="004562D3" w:rsidRDefault="004562D3" w:rsidP="00976683">
            <w:pPr>
              <w:pStyle w:val="ListParagraph"/>
              <w:ind w:left="0"/>
            </w:pPr>
          </w:p>
          <w:p w:rsidR="004562D3" w:rsidRDefault="004562D3" w:rsidP="00976683">
            <w:pPr>
              <w:pStyle w:val="ListParagraph"/>
              <w:ind w:left="0"/>
            </w:pPr>
          </w:p>
        </w:tc>
        <w:tc>
          <w:tcPr>
            <w:tcW w:w="4241" w:type="dxa"/>
          </w:tcPr>
          <w:p w:rsidR="004562D3" w:rsidRPr="004562D3" w:rsidRDefault="00752207" w:rsidP="00976683">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Early childhood education and c</w:t>
            </w:r>
            <w:r w:rsidR="004562D3" w:rsidRPr="004562D3">
              <w:rPr>
                <w:b/>
              </w:rPr>
              <w:t>are</w:t>
            </w:r>
            <w:r w:rsidR="004562D3">
              <w:rPr>
                <w:b/>
              </w:rPr>
              <w:br/>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Glen Eira Kindergarten Association</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Kekeco Childcare</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Bestchance</w:t>
            </w:r>
            <w:r w:rsidR="00E42CA6">
              <w:t xml:space="preserve"> Child Family Care</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Auburn South Preschool</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Gowrie Victoria</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Goodstart</w:t>
            </w:r>
            <w:r w:rsidR="00E42CA6">
              <w:t xml:space="preserve"> Early Learning</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North East Regional Preschool Association</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City of Frankston</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City of Knox</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Shire of Yarra Ranges</w:t>
            </w:r>
          </w:p>
        </w:tc>
      </w:tr>
      <w:tr w:rsidR="004562D3" w:rsidTr="005F5A46">
        <w:trPr>
          <w:trHeight w:val="410"/>
        </w:trPr>
        <w:tc>
          <w:tcPr>
            <w:cnfStyle w:val="001000000000" w:firstRow="0" w:lastRow="0" w:firstColumn="1" w:lastColumn="0" w:oddVBand="0" w:evenVBand="0" w:oddHBand="0" w:evenHBand="0" w:firstRowFirstColumn="0" w:firstRowLastColumn="0" w:lastRowFirstColumn="0" w:lastRowLastColumn="0"/>
            <w:tcW w:w="5157" w:type="dxa"/>
          </w:tcPr>
          <w:p w:rsidR="004562D3" w:rsidRPr="00CB3B6D" w:rsidRDefault="004562D3" w:rsidP="004173F9">
            <w:pPr>
              <w:pStyle w:val="ListParagraph"/>
              <w:ind w:left="0"/>
              <w:rPr>
                <w:b/>
              </w:rPr>
            </w:pPr>
            <w:r w:rsidRPr="00CB3B6D">
              <w:rPr>
                <w:b/>
              </w:rPr>
              <w:t>Out</w:t>
            </w:r>
            <w:r w:rsidR="004173F9">
              <w:rPr>
                <w:b/>
              </w:rPr>
              <w:t>side school hours c</w:t>
            </w:r>
            <w:r w:rsidRPr="00CB3B6D">
              <w:rPr>
                <w:b/>
              </w:rPr>
              <w:t>are</w:t>
            </w:r>
          </w:p>
        </w:tc>
        <w:tc>
          <w:tcPr>
            <w:tcW w:w="4241" w:type="dxa"/>
          </w:tcPr>
          <w:p w:rsidR="004562D3" w:rsidRPr="00CB3B6D"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CB3B6D">
              <w:rPr>
                <w:b/>
              </w:rPr>
              <w:t>Ambulance</w:t>
            </w:r>
          </w:p>
        </w:tc>
      </w:tr>
      <w:tr w:rsidR="004562D3" w:rsidTr="005F5A46">
        <w:trPr>
          <w:trHeight w:val="715"/>
        </w:trPr>
        <w:tc>
          <w:tcPr>
            <w:cnfStyle w:val="001000000000" w:firstRow="0" w:lastRow="0" w:firstColumn="1" w:lastColumn="0" w:oddVBand="0" w:evenVBand="0" w:oddHBand="0" w:evenHBand="0" w:firstRowFirstColumn="0" w:firstRowLastColumn="0" w:lastRowFirstColumn="0" w:lastRowLastColumn="0"/>
            <w:tcW w:w="5157" w:type="dxa"/>
          </w:tcPr>
          <w:p w:rsidR="004562D3" w:rsidRDefault="004562D3" w:rsidP="00976683">
            <w:pPr>
              <w:pStyle w:val="ListParagraph"/>
              <w:ind w:left="0"/>
            </w:pPr>
            <w:r>
              <w:t>Junior Adventure Group</w:t>
            </w:r>
          </w:p>
          <w:p w:rsidR="004562D3" w:rsidRDefault="004562D3" w:rsidP="00976683">
            <w:pPr>
              <w:pStyle w:val="ListParagraph"/>
              <w:ind w:left="0"/>
            </w:pPr>
            <w:r>
              <w:t>Camp Australia</w:t>
            </w:r>
          </w:p>
          <w:p w:rsidR="004562D3" w:rsidRDefault="004562D3" w:rsidP="00976683">
            <w:pPr>
              <w:pStyle w:val="ListParagraph"/>
              <w:ind w:left="0"/>
            </w:pPr>
            <w:r>
              <w:t xml:space="preserve"> </w:t>
            </w:r>
          </w:p>
        </w:tc>
        <w:tc>
          <w:tcPr>
            <w:tcW w:w="4241" w:type="dxa"/>
          </w:tcPr>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Ambulance Victoria</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p>
        </w:tc>
      </w:tr>
      <w:tr w:rsidR="004562D3" w:rsidTr="005F5A46">
        <w:trPr>
          <w:trHeight w:val="410"/>
        </w:trPr>
        <w:tc>
          <w:tcPr>
            <w:cnfStyle w:val="001000000000" w:firstRow="0" w:lastRow="0" w:firstColumn="1" w:lastColumn="0" w:oddVBand="0" w:evenVBand="0" w:oddHBand="0" w:evenHBand="0" w:firstRowFirstColumn="0" w:firstRowLastColumn="0" w:lastRowFirstColumn="0" w:lastRowLastColumn="0"/>
            <w:tcW w:w="5157" w:type="dxa"/>
          </w:tcPr>
          <w:p w:rsidR="004562D3" w:rsidRPr="00CB3B6D" w:rsidRDefault="004562D3" w:rsidP="00976683">
            <w:pPr>
              <w:pStyle w:val="ListParagraph"/>
              <w:ind w:left="0"/>
              <w:rPr>
                <w:b/>
              </w:rPr>
            </w:pPr>
            <w:r w:rsidRPr="00CB3B6D">
              <w:rPr>
                <w:b/>
              </w:rPr>
              <w:t>Hospitals</w:t>
            </w:r>
          </w:p>
        </w:tc>
        <w:tc>
          <w:tcPr>
            <w:tcW w:w="4241" w:type="dxa"/>
          </w:tcPr>
          <w:p w:rsidR="004562D3" w:rsidRPr="00CB3B6D" w:rsidRDefault="00752207" w:rsidP="00976683">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Health and support s</w:t>
            </w:r>
            <w:r w:rsidR="004562D3" w:rsidRPr="00CB3B6D">
              <w:rPr>
                <w:b/>
              </w:rPr>
              <w:t>ervices</w:t>
            </w:r>
          </w:p>
        </w:tc>
      </w:tr>
      <w:tr w:rsidR="004562D3" w:rsidTr="005F5A46">
        <w:trPr>
          <w:trHeight w:val="3791"/>
        </w:trPr>
        <w:tc>
          <w:tcPr>
            <w:cnfStyle w:val="001000000000" w:firstRow="0" w:lastRow="0" w:firstColumn="1" w:lastColumn="0" w:oddVBand="0" w:evenVBand="0" w:oddHBand="0" w:evenHBand="0" w:firstRowFirstColumn="0" w:firstRowLastColumn="0" w:lastRowFirstColumn="0" w:lastRowLastColumn="0"/>
            <w:tcW w:w="5157" w:type="dxa"/>
          </w:tcPr>
          <w:p w:rsidR="004562D3" w:rsidRDefault="004562D3" w:rsidP="00976683">
            <w:pPr>
              <w:pStyle w:val="ListParagraph"/>
              <w:ind w:left="0"/>
            </w:pPr>
            <w:r>
              <w:t>The Royal Women’s Hospital</w:t>
            </w:r>
          </w:p>
          <w:p w:rsidR="004562D3" w:rsidRDefault="004562D3" w:rsidP="00976683">
            <w:pPr>
              <w:pStyle w:val="ListParagraph"/>
              <w:ind w:left="0"/>
            </w:pPr>
            <w:r>
              <w:t>Tweddle Child and Family Health</w:t>
            </w:r>
          </w:p>
          <w:p w:rsidR="004562D3" w:rsidRDefault="004562D3" w:rsidP="00976683">
            <w:pPr>
              <w:pStyle w:val="ListParagraph"/>
              <w:ind w:left="0"/>
            </w:pPr>
            <w:r>
              <w:t>Mercy Hospital</w:t>
            </w:r>
          </w:p>
          <w:p w:rsidR="004562D3" w:rsidRDefault="004562D3" w:rsidP="00976683">
            <w:pPr>
              <w:pStyle w:val="ListParagraph"/>
              <w:ind w:left="0"/>
            </w:pPr>
            <w:r>
              <w:t>Alfred Hospital</w:t>
            </w:r>
          </w:p>
          <w:p w:rsidR="004562D3" w:rsidRDefault="00E42CA6" w:rsidP="00976683">
            <w:pPr>
              <w:pStyle w:val="ListParagraph"/>
              <w:ind w:left="0"/>
            </w:pPr>
            <w:r>
              <w:t xml:space="preserve">Royal Victorian </w:t>
            </w:r>
            <w:r w:rsidR="004562D3">
              <w:t>Eye and Ear Hospital</w:t>
            </w:r>
          </w:p>
          <w:p w:rsidR="004562D3" w:rsidRDefault="004562D3" w:rsidP="00976683">
            <w:pPr>
              <w:pStyle w:val="ListParagraph"/>
              <w:ind w:left="0"/>
            </w:pPr>
            <w:r>
              <w:t>Peter Mac Cancer Centre</w:t>
            </w:r>
          </w:p>
          <w:p w:rsidR="004562D3" w:rsidRDefault="004562D3" w:rsidP="00976683">
            <w:pPr>
              <w:pStyle w:val="ListParagraph"/>
              <w:ind w:left="0"/>
            </w:pPr>
            <w:r>
              <w:t>The Royal Melbourne Hospital</w:t>
            </w:r>
          </w:p>
          <w:p w:rsidR="004562D3" w:rsidRDefault="004562D3" w:rsidP="00976683">
            <w:pPr>
              <w:pStyle w:val="ListParagraph"/>
              <w:ind w:left="0"/>
            </w:pPr>
            <w:r>
              <w:t>St Vincent’s Hospital</w:t>
            </w:r>
          </w:p>
          <w:p w:rsidR="004562D3" w:rsidRDefault="004562D3" w:rsidP="00976683">
            <w:pPr>
              <w:pStyle w:val="ListParagraph"/>
              <w:ind w:left="0"/>
            </w:pPr>
            <w:r>
              <w:t>Austin Hospital</w:t>
            </w:r>
          </w:p>
          <w:p w:rsidR="004562D3" w:rsidRDefault="004562D3" w:rsidP="00976683">
            <w:pPr>
              <w:pStyle w:val="ListParagraph"/>
              <w:ind w:left="0"/>
            </w:pPr>
            <w:r>
              <w:t>The Royal Children’s Hospital</w:t>
            </w:r>
          </w:p>
          <w:p w:rsidR="004562D3" w:rsidRDefault="004562D3" w:rsidP="00976683">
            <w:pPr>
              <w:pStyle w:val="ListParagraph"/>
              <w:ind w:left="0"/>
            </w:pPr>
          </w:p>
        </w:tc>
        <w:tc>
          <w:tcPr>
            <w:tcW w:w="4241" w:type="dxa"/>
          </w:tcPr>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Queen Elizabeth Centre</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Access Health and Community</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 xml:space="preserve">Link Health </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Carrington Health</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Peninsula Health</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Northern Health</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Bendigo Health</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Mental Health Victoria</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Mind Australia</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rsidRPr="0021798D">
              <w:t>The Royal Australian C</w:t>
            </w:r>
            <w:r w:rsidR="00DC2286">
              <w:t>ollege of General Practitioners</w:t>
            </w:r>
          </w:p>
          <w:p w:rsidR="00DC2286" w:rsidRPr="0021798D" w:rsidRDefault="00DC2286" w:rsidP="00976683">
            <w:pPr>
              <w:pStyle w:val="ListParagraph"/>
              <w:ind w:left="0"/>
              <w:cnfStyle w:val="000000000000" w:firstRow="0" w:lastRow="0" w:firstColumn="0" w:lastColumn="0" w:oddVBand="0" w:evenVBand="0" w:oddHBand="0" w:evenHBand="0" w:firstRowFirstColumn="0" w:firstRowLastColumn="0" w:lastRowFirstColumn="0" w:lastRowLastColumn="0"/>
            </w:pPr>
            <w:r>
              <w:t>General practitioners</w:t>
            </w:r>
          </w:p>
          <w:p w:rsidR="004562D3" w:rsidRPr="0021798D"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rsidRPr="0021798D">
              <w:t>Jesuit Social Services</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rsidRPr="0021798D">
              <w:t>Monash Health</w:t>
            </w:r>
            <w:r>
              <w:t xml:space="preserve"> </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p>
        </w:tc>
      </w:tr>
      <w:tr w:rsidR="004562D3" w:rsidTr="005F5A46">
        <w:trPr>
          <w:trHeight w:val="655"/>
        </w:trPr>
        <w:tc>
          <w:tcPr>
            <w:cnfStyle w:val="001000000000" w:firstRow="0" w:lastRow="0" w:firstColumn="1" w:lastColumn="0" w:oddVBand="0" w:evenVBand="0" w:oddHBand="0" w:evenHBand="0" w:firstRowFirstColumn="0" w:firstRowLastColumn="0" w:lastRowFirstColumn="0" w:lastRowLastColumn="0"/>
            <w:tcW w:w="5157" w:type="dxa"/>
          </w:tcPr>
          <w:p w:rsidR="004562D3" w:rsidRPr="00CB3B6D" w:rsidRDefault="004562D3" w:rsidP="00976683">
            <w:pPr>
              <w:pStyle w:val="ListParagraph"/>
              <w:ind w:left="0"/>
              <w:rPr>
                <w:b/>
              </w:rPr>
            </w:pPr>
            <w:r w:rsidRPr="00CB3B6D">
              <w:rPr>
                <w:b/>
              </w:rPr>
              <w:t>Student disengagement and health services</w:t>
            </w:r>
          </w:p>
        </w:tc>
        <w:tc>
          <w:tcPr>
            <w:tcW w:w="4241" w:type="dxa"/>
          </w:tcPr>
          <w:p w:rsidR="004562D3" w:rsidRPr="00CB3B6D"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CB3B6D">
              <w:rPr>
                <w:b/>
              </w:rPr>
              <w:t>Other government departments and services</w:t>
            </w:r>
          </w:p>
        </w:tc>
      </w:tr>
      <w:tr w:rsidR="004562D3" w:rsidTr="00D272DA">
        <w:trPr>
          <w:trHeight w:val="1999"/>
        </w:trPr>
        <w:tc>
          <w:tcPr>
            <w:cnfStyle w:val="001000000000" w:firstRow="0" w:lastRow="0" w:firstColumn="1" w:lastColumn="0" w:oddVBand="0" w:evenVBand="0" w:oddHBand="0" w:evenHBand="0" w:firstRowFirstColumn="0" w:firstRowLastColumn="0" w:lastRowFirstColumn="0" w:lastRowLastColumn="0"/>
            <w:tcW w:w="5157" w:type="dxa"/>
          </w:tcPr>
          <w:p w:rsidR="004562D3" w:rsidRDefault="00E42CA6" w:rsidP="00976683">
            <w:pPr>
              <w:pStyle w:val="ListParagraph"/>
              <w:ind w:left="0"/>
            </w:pPr>
            <w:r>
              <w:t>DET</w:t>
            </w:r>
            <w:r w:rsidR="004562D3">
              <w:t xml:space="preserve"> Navigator</w:t>
            </w:r>
          </w:p>
          <w:p w:rsidR="004562D3" w:rsidRDefault="004562D3" w:rsidP="00976683">
            <w:pPr>
              <w:pStyle w:val="ListParagraph"/>
              <w:ind w:left="0"/>
            </w:pPr>
            <w:r>
              <w:t>DET School Nurses</w:t>
            </w:r>
          </w:p>
          <w:p w:rsidR="004562D3" w:rsidRDefault="004562D3" w:rsidP="00976683">
            <w:pPr>
              <w:pStyle w:val="ListParagraph"/>
              <w:ind w:left="0"/>
            </w:pPr>
            <w:r>
              <w:t>Chaplaincy Program</w:t>
            </w:r>
          </w:p>
          <w:p w:rsidR="004562D3" w:rsidRDefault="004562D3" w:rsidP="00976683">
            <w:pPr>
              <w:pStyle w:val="ListParagraph"/>
              <w:ind w:left="0"/>
            </w:pPr>
          </w:p>
        </w:tc>
        <w:tc>
          <w:tcPr>
            <w:tcW w:w="4241" w:type="dxa"/>
          </w:tcPr>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DET North Eastern Regional Services</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DET South Eastern Regional Services</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DET South Western Regional Services</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Victorian Curriculum and Assessment Authority</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 xml:space="preserve">Forensic Disability </w:t>
            </w:r>
          </w:p>
          <w:p w:rsidR="004562D3" w:rsidRDefault="004562D3" w:rsidP="00976683">
            <w:pPr>
              <w:pStyle w:val="ListParagraph"/>
              <w:ind w:left="0"/>
              <w:cnfStyle w:val="000000000000" w:firstRow="0" w:lastRow="0" w:firstColumn="0" w:lastColumn="0" w:oddVBand="0" w:evenVBand="0" w:oddHBand="0" w:evenHBand="0" w:firstRowFirstColumn="0" w:firstRowLastColumn="0" w:lastRowFirstColumn="0" w:lastRowLastColumn="0"/>
            </w:pPr>
            <w:r>
              <w:t xml:space="preserve">Multiple and Complex Needs initiative </w:t>
            </w:r>
          </w:p>
          <w:p w:rsidR="004562D3" w:rsidRDefault="00E42CA6" w:rsidP="00976683">
            <w:pPr>
              <w:pStyle w:val="ListParagraph"/>
              <w:ind w:left="0"/>
              <w:cnfStyle w:val="000000000000" w:firstRow="0" w:lastRow="0" w:firstColumn="0" w:lastColumn="0" w:oddVBand="0" w:evenVBand="0" w:oddHBand="0" w:evenHBand="0" w:firstRowFirstColumn="0" w:firstRowLastColumn="0" w:lastRowFirstColumn="0" w:lastRowLastColumn="0"/>
            </w:pPr>
            <w:r>
              <w:t>Refugee Minor</w:t>
            </w:r>
          </w:p>
        </w:tc>
      </w:tr>
    </w:tbl>
    <w:p w:rsidR="005A0662" w:rsidRPr="00D94ADF" w:rsidRDefault="005A0662" w:rsidP="00122164">
      <w:pPr>
        <w:pStyle w:val="Heading1"/>
        <w:ind w:left="284"/>
        <w:rPr>
          <w:rFonts w:ascii="Verdana" w:hAnsi="Verdana"/>
        </w:rPr>
      </w:pPr>
      <w:bookmarkStart w:id="55" w:name="_Toc23510799"/>
      <w:r w:rsidRPr="00D94ADF">
        <w:rPr>
          <w:rFonts w:ascii="Verdana" w:hAnsi="Verdana"/>
        </w:rPr>
        <w:lastRenderedPageBreak/>
        <w:t>References</w:t>
      </w:r>
      <w:bookmarkEnd w:id="55"/>
    </w:p>
    <w:p w:rsidR="00B018BF" w:rsidRDefault="00B018BF" w:rsidP="00E93BED">
      <w:pPr>
        <w:pStyle w:val="Reference"/>
        <w:ind w:left="0" w:firstLine="0"/>
        <w:rPr>
          <w:sz w:val="20"/>
        </w:rPr>
      </w:pPr>
      <w:r>
        <w:rPr>
          <w:sz w:val="20"/>
        </w:rPr>
        <w:t xml:space="preserve">Australian Government (2019) </w:t>
      </w:r>
      <w:hyperlink r:id="rId22" w:history="1">
        <w:r w:rsidRPr="00B018BF">
          <w:rPr>
            <w:rStyle w:val="Hyperlink"/>
            <w:sz w:val="20"/>
          </w:rPr>
          <w:t>Report on Government Services</w:t>
        </w:r>
      </w:hyperlink>
    </w:p>
    <w:p w:rsidR="00D2097E" w:rsidRPr="00D2097E" w:rsidRDefault="00D2097E" w:rsidP="00E93BED">
      <w:pPr>
        <w:pStyle w:val="Reference"/>
        <w:ind w:left="0" w:firstLine="0"/>
        <w:rPr>
          <w:i/>
          <w:sz w:val="20"/>
        </w:rPr>
      </w:pPr>
      <w:r>
        <w:rPr>
          <w:sz w:val="20"/>
        </w:rPr>
        <w:t xml:space="preserve">Australian Institute of Criminology (2007) </w:t>
      </w:r>
      <w:hyperlink r:id="rId23" w:history="1">
        <w:r w:rsidRPr="004C5594">
          <w:rPr>
            <w:rStyle w:val="Hyperlink"/>
            <w:i/>
            <w:sz w:val="20"/>
          </w:rPr>
          <w:t>Cost effectiveness of early intervention September 2019</w:t>
        </w:r>
      </w:hyperlink>
      <w:r>
        <w:rPr>
          <w:i/>
          <w:sz w:val="20"/>
        </w:rPr>
        <w:t xml:space="preserve"> </w:t>
      </w:r>
    </w:p>
    <w:p w:rsidR="00874A5F" w:rsidRPr="00752207" w:rsidRDefault="00874A5F" w:rsidP="00E93BED">
      <w:pPr>
        <w:pStyle w:val="Reference"/>
        <w:ind w:left="0" w:firstLine="0"/>
        <w:rPr>
          <w:sz w:val="20"/>
        </w:rPr>
      </w:pPr>
      <w:r w:rsidRPr="00752207">
        <w:rPr>
          <w:sz w:val="20"/>
        </w:rPr>
        <w:t xml:space="preserve">Australian Institute of Health and Welfare (2019) </w:t>
      </w:r>
      <w:hyperlink r:id="rId24" w:history="1">
        <w:r w:rsidRPr="00752207">
          <w:rPr>
            <w:rStyle w:val="Hyperlink"/>
            <w:i/>
            <w:sz w:val="20"/>
          </w:rPr>
          <w:t>Child Protection Australia 2017-18</w:t>
        </w:r>
      </w:hyperlink>
    </w:p>
    <w:p w:rsidR="00392637" w:rsidRPr="00392637" w:rsidRDefault="00392637" w:rsidP="00E93BED">
      <w:pPr>
        <w:pStyle w:val="Reference"/>
        <w:ind w:left="0" w:firstLine="0"/>
        <w:rPr>
          <w:sz w:val="20"/>
        </w:rPr>
      </w:pPr>
      <w:r w:rsidRPr="00392637">
        <w:rPr>
          <w:sz w:val="20"/>
        </w:rPr>
        <w:t>Child Fa</w:t>
      </w:r>
      <w:r w:rsidR="00B24D98">
        <w:rPr>
          <w:sz w:val="20"/>
        </w:rPr>
        <w:t>mily Community Australia (CFCA) (2014)</w:t>
      </w:r>
      <w:r w:rsidRPr="00392637">
        <w:rPr>
          <w:sz w:val="20"/>
        </w:rPr>
        <w:t> </w:t>
      </w:r>
      <w:hyperlink r:id="rId25" w:history="1">
        <w:r w:rsidRPr="005E3F0B">
          <w:rPr>
            <w:rStyle w:val="Hyperlink"/>
            <w:i/>
            <w:iCs/>
            <w:sz w:val="20"/>
          </w:rPr>
          <w:t>Effects of child abuse and neglect for children and adolescents</w:t>
        </w:r>
        <w:r w:rsidRPr="005E3F0B">
          <w:rPr>
            <w:rStyle w:val="Hyperlink"/>
            <w:sz w:val="20"/>
          </w:rPr>
          <w:t>.</w:t>
        </w:r>
      </w:hyperlink>
      <w:r w:rsidRPr="00392637">
        <w:rPr>
          <w:sz w:val="20"/>
        </w:rPr>
        <w:t xml:space="preserve"> Melbourne: Australian Institute of Family Studies </w:t>
      </w:r>
    </w:p>
    <w:p w:rsidR="00392637" w:rsidRPr="00392637" w:rsidRDefault="007D1390" w:rsidP="00392637">
      <w:pPr>
        <w:pStyle w:val="Reference"/>
        <w:ind w:left="0" w:firstLine="0"/>
        <w:rPr>
          <w:i/>
          <w:sz w:val="20"/>
        </w:rPr>
      </w:pPr>
      <w:hyperlink r:id="rId26" w:history="1">
        <w:r w:rsidR="00392637" w:rsidRPr="00E14D41">
          <w:rPr>
            <w:rStyle w:val="Hyperlink"/>
            <w:i/>
            <w:sz w:val="20"/>
          </w:rPr>
          <w:t>Children Legislation Amendment (Information Sharing) Act 2017</w:t>
        </w:r>
      </w:hyperlink>
    </w:p>
    <w:p w:rsidR="004B7B13" w:rsidRPr="004B7B13" w:rsidRDefault="004B7B13" w:rsidP="00BE3129">
      <w:pPr>
        <w:pStyle w:val="Reference"/>
        <w:ind w:left="0" w:firstLine="0"/>
        <w:rPr>
          <w:sz w:val="20"/>
        </w:rPr>
      </w:pPr>
      <w:r w:rsidRPr="004B7B13">
        <w:rPr>
          <w:sz w:val="20"/>
        </w:rPr>
        <w:t xml:space="preserve">Children Legislation Amendment (Information Sharing) Bill 2017 </w:t>
      </w:r>
      <w:hyperlink r:id="rId27" w:history="1">
        <w:r w:rsidR="00392637" w:rsidRPr="003D34C0">
          <w:rPr>
            <w:rStyle w:val="Hyperlink"/>
            <w:i/>
            <w:sz w:val="20"/>
          </w:rPr>
          <w:t>Explanatory Memorandum</w:t>
        </w:r>
      </w:hyperlink>
      <w:r w:rsidR="00C20EC5">
        <w:rPr>
          <w:sz w:val="20"/>
        </w:rPr>
        <w:t xml:space="preserve"> </w:t>
      </w:r>
    </w:p>
    <w:p w:rsidR="004B7B13" w:rsidRPr="004B7B13" w:rsidRDefault="004B7B13" w:rsidP="004B7B13">
      <w:pPr>
        <w:pStyle w:val="Reference"/>
        <w:ind w:left="0" w:firstLine="0"/>
        <w:rPr>
          <w:i/>
          <w:sz w:val="20"/>
        </w:rPr>
      </w:pPr>
      <w:r w:rsidRPr="004B7B13">
        <w:rPr>
          <w:sz w:val="20"/>
        </w:rPr>
        <w:t xml:space="preserve">Commission for Children and Young People (2016) </w:t>
      </w:r>
      <w:hyperlink r:id="rId28" w:history="1">
        <w:r w:rsidR="00392637" w:rsidRPr="005E3F0B">
          <w:rPr>
            <w:rStyle w:val="Hyperlink"/>
            <w:i/>
            <w:sz w:val="20"/>
          </w:rPr>
          <w:t>Neither seen nor heard: Inquiry into issues of family violence in child deaths</w:t>
        </w:r>
      </w:hyperlink>
      <w:r w:rsidR="00C20EC5">
        <w:rPr>
          <w:i/>
          <w:sz w:val="20"/>
        </w:rPr>
        <w:t xml:space="preserve"> </w:t>
      </w:r>
    </w:p>
    <w:p w:rsidR="00392637" w:rsidRDefault="00392637" w:rsidP="00CB7F7E">
      <w:pPr>
        <w:pStyle w:val="Reference"/>
        <w:ind w:left="0" w:firstLine="0"/>
        <w:rPr>
          <w:sz w:val="20"/>
        </w:rPr>
      </w:pPr>
      <w:r w:rsidRPr="00392637">
        <w:rPr>
          <w:sz w:val="20"/>
        </w:rPr>
        <w:t xml:space="preserve">Commission for Children and Young People (2018) </w:t>
      </w:r>
      <w:hyperlink r:id="rId29" w:history="1">
        <w:r w:rsidRPr="005E3F0B">
          <w:rPr>
            <w:rStyle w:val="Hyperlink"/>
            <w:i/>
            <w:sz w:val="20"/>
          </w:rPr>
          <w:t>Commission for Young Children and Young People annual Report 2017-18</w:t>
        </w:r>
      </w:hyperlink>
      <w:r w:rsidRPr="00392637">
        <w:rPr>
          <w:sz w:val="20"/>
        </w:rPr>
        <w:t xml:space="preserve"> </w:t>
      </w:r>
    </w:p>
    <w:p w:rsidR="007C1E4B" w:rsidRPr="007C1E4B" w:rsidRDefault="007C1E4B" w:rsidP="00CB7F7E">
      <w:pPr>
        <w:pStyle w:val="Reference"/>
        <w:ind w:left="0" w:firstLine="0"/>
        <w:rPr>
          <w:rStyle w:val="Hyperlink"/>
          <w:sz w:val="20"/>
        </w:rPr>
      </w:pPr>
      <w:r w:rsidRPr="0063467C">
        <w:rPr>
          <w:sz w:val="20"/>
        </w:rPr>
        <w:t>Commission for Children and Young People Inquiry into the Death of Child O</w:t>
      </w:r>
    </w:p>
    <w:p w:rsidR="004B7B13" w:rsidRPr="004B7B13" w:rsidRDefault="004B7B13" w:rsidP="00BE3129">
      <w:pPr>
        <w:pStyle w:val="Reference"/>
        <w:ind w:left="0" w:firstLine="0"/>
        <w:rPr>
          <w:i/>
          <w:sz w:val="20"/>
        </w:rPr>
      </w:pPr>
      <w:r w:rsidRPr="004B7B13">
        <w:rPr>
          <w:sz w:val="20"/>
        </w:rPr>
        <w:t xml:space="preserve">Commonwealth of Australia (2017) </w:t>
      </w:r>
      <w:hyperlink r:id="rId30" w:history="1">
        <w:r w:rsidR="00392637" w:rsidRPr="005E3F0B">
          <w:rPr>
            <w:rStyle w:val="Hyperlink"/>
            <w:i/>
            <w:sz w:val="20"/>
          </w:rPr>
          <w:t>Royal Commission into Institutional Responses to Child Sexual Abuse</w:t>
        </w:r>
      </w:hyperlink>
      <w:r w:rsidR="00C20EC5">
        <w:rPr>
          <w:i/>
          <w:sz w:val="20"/>
        </w:rPr>
        <w:t xml:space="preserve"> </w:t>
      </w:r>
    </w:p>
    <w:p w:rsidR="004B7B13" w:rsidRPr="004B7B13" w:rsidRDefault="004B7B13" w:rsidP="004B7B13">
      <w:pPr>
        <w:pStyle w:val="Reference"/>
        <w:rPr>
          <w:sz w:val="20"/>
        </w:rPr>
      </w:pPr>
      <w:r w:rsidRPr="004B7B13">
        <w:rPr>
          <w:sz w:val="20"/>
        </w:rPr>
        <w:t xml:space="preserve">Coroners Court of Victoria (2015) </w:t>
      </w:r>
      <w:hyperlink r:id="rId31" w:history="1">
        <w:r w:rsidRPr="00CD2D43">
          <w:rPr>
            <w:rStyle w:val="Hyperlink"/>
            <w:sz w:val="20"/>
          </w:rPr>
          <w:t>Inquest into the Death of Baby D</w:t>
        </w:r>
      </w:hyperlink>
    </w:p>
    <w:p w:rsidR="004B7B13" w:rsidRPr="004B7B13" w:rsidRDefault="004B7B13" w:rsidP="00BE3129">
      <w:pPr>
        <w:pStyle w:val="Reference"/>
        <w:ind w:left="0" w:firstLine="0"/>
        <w:rPr>
          <w:i/>
          <w:sz w:val="20"/>
        </w:rPr>
      </w:pPr>
      <w:r w:rsidRPr="004B7B13">
        <w:rPr>
          <w:sz w:val="20"/>
        </w:rPr>
        <w:t xml:space="preserve">Cummins, P, Scott, D and Scales, B (2012) </w:t>
      </w:r>
      <w:hyperlink r:id="rId32" w:history="1">
        <w:r w:rsidR="00392637" w:rsidRPr="005E3F0B">
          <w:rPr>
            <w:rStyle w:val="Hyperlink"/>
            <w:i/>
            <w:sz w:val="20"/>
          </w:rPr>
          <w:t>Report of the Protecting Victoria</w:t>
        </w:r>
        <w:r w:rsidR="00C20EC5" w:rsidRPr="005E3F0B">
          <w:rPr>
            <w:rStyle w:val="Hyperlink"/>
            <w:i/>
            <w:sz w:val="20"/>
          </w:rPr>
          <w:t>’s Vulnerable Children Inquiry</w:t>
        </w:r>
      </w:hyperlink>
      <w:r w:rsidRPr="004B7B13">
        <w:rPr>
          <w:i/>
          <w:sz w:val="20"/>
        </w:rPr>
        <w:t xml:space="preserve"> </w:t>
      </w:r>
    </w:p>
    <w:p w:rsidR="004B7B13" w:rsidRPr="004B7B13" w:rsidRDefault="004B7B13" w:rsidP="00BE3129">
      <w:pPr>
        <w:pStyle w:val="Reference"/>
        <w:ind w:left="0" w:firstLine="0"/>
        <w:rPr>
          <w:i/>
          <w:sz w:val="20"/>
        </w:rPr>
      </w:pPr>
      <w:r w:rsidRPr="004B7B13">
        <w:rPr>
          <w:sz w:val="20"/>
        </w:rPr>
        <w:t xml:space="preserve">Department of Health and Human Services (2016) </w:t>
      </w:r>
      <w:hyperlink r:id="rId33" w:history="1">
        <w:r w:rsidR="00392637" w:rsidRPr="005E3F0B">
          <w:rPr>
            <w:rStyle w:val="Hyperlink"/>
            <w:i/>
            <w:sz w:val="20"/>
          </w:rPr>
          <w:t>Roadmap for Reform: strong families; safe children</w:t>
        </w:r>
      </w:hyperlink>
      <w:r w:rsidRPr="004B7B13">
        <w:rPr>
          <w:i/>
          <w:sz w:val="20"/>
        </w:rPr>
        <w:t xml:space="preserve"> </w:t>
      </w:r>
    </w:p>
    <w:p w:rsidR="00392637" w:rsidRDefault="00392637" w:rsidP="00BB4C5A">
      <w:pPr>
        <w:pStyle w:val="Reference"/>
        <w:ind w:left="0" w:firstLine="0"/>
        <w:rPr>
          <w:rStyle w:val="Hyperlink"/>
          <w:sz w:val="20"/>
        </w:rPr>
      </w:pPr>
      <w:r w:rsidRPr="00392637">
        <w:rPr>
          <w:sz w:val="20"/>
        </w:rPr>
        <w:t xml:space="preserve">Department of Health and Human Services (2018) </w:t>
      </w:r>
      <w:hyperlink r:id="rId34" w:history="1">
        <w:r w:rsidRPr="005E3F0B">
          <w:rPr>
            <w:rStyle w:val="Hyperlink"/>
            <w:i/>
            <w:sz w:val="20"/>
          </w:rPr>
          <w:t>Child Protection and family services additional service delivery data 2017-18</w:t>
        </w:r>
        <w:r w:rsidRPr="005E3F0B">
          <w:rPr>
            <w:rStyle w:val="Hyperlink"/>
            <w:sz w:val="20"/>
          </w:rPr>
          <w:t xml:space="preserve"> </w:t>
        </w:r>
      </w:hyperlink>
    </w:p>
    <w:p w:rsidR="00450CAC" w:rsidRDefault="00450CAC" w:rsidP="008565FD">
      <w:pPr>
        <w:pStyle w:val="Reference"/>
        <w:ind w:left="0" w:firstLine="0"/>
        <w:rPr>
          <w:sz w:val="20"/>
        </w:rPr>
      </w:pPr>
      <w:r w:rsidRPr="00392637">
        <w:rPr>
          <w:sz w:val="20"/>
        </w:rPr>
        <w:t xml:space="preserve">Department of Health and Human Services (2018) </w:t>
      </w:r>
      <w:hyperlink r:id="rId35" w:history="1">
        <w:r>
          <w:rPr>
            <w:rStyle w:val="Hyperlink"/>
            <w:sz w:val="20"/>
          </w:rPr>
          <w:t>Annual Report 2017-2018</w:t>
        </w:r>
      </w:hyperlink>
    </w:p>
    <w:p w:rsidR="008565FD" w:rsidRPr="004B7B13" w:rsidRDefault="008565FD" w:rsidP="008565FD">
      <w:pPr>
        <w:pStyle w:val="Reference"/>
        <w:ind w:left="0" w:firstLine="0"/>
        <w:rPr>
          <w:sz w:val="20"/>
        </w:rPr>
      </w:pPr>
      <w:r w:rsidRPr="0073393F">
        <w:rPr>
          <w:iCs/>
          <w:sz w:val="20"/>
        </w:rPr>
        <w:t>Department of Treasury and Finance (DTF</w:t>
      </w:r>
      <w:r w:rsidRPr="004B7B13">
        <w:rPr>
          <w:i/>
          <w:iCs/>
          <w:sz w:val="20"/>
        </w:rPr>
        <w:t xml:space="preserve">) </w:t>
      </w:r>
      <w:hyperlink r:id="rId36" w:history="1">
        <w:r w:rsidRPr="004B7B13">
          <w:rPr>
            <w:rStyle w:val="Hyperlink"/>
            <w:i/>
            <w:iCs/>
            <w:sz w:val="20"/>
          </w:rPr>
          <w:t>Technical Guidelines on Economic Evaluation</w:t>
        </w:r>
      </w:hyperlink>
      <w:r w:rsidRPr="004B7B13">
        <w:rPr>
          <w:sz w:val="20"/>
        </w:rPr>
        <w:t xml:space="preserve"> (2014)</w:t>
      </w:r>
    </w:p>
    <w:p w:rsidR="00392637" w:rsidRPr="00392637" w:rsidRDefault="00392637" w:rsidP="004B7B13">
      <w:pPr>
        <w:pStyle w:val="Reference"/>
        <w:ind w:left="0" w:firstLine="0"/>
        <w:rPr>
          <w:sz w:val="20"/>
        </w:rPr>
      </w:pPr>
      <w:r w:rsidRPr="00392637">
        <w:rPr>
          <w:sz w:val="20"/>
        </w:rPr>
        <w:t xml:space="preserve">Family Safety Victoria (2017) </w:t>
      </w:r>
      <w:hyperlink r:id="rId37" w:history="1">
        <w:r w:rsidRPr="00E14D41">
          <w:rPr>
            <w:rStyle w:val="Hyperlink"/>
            <w:i/>
            <w:sz w:val="20"/>
          </w:rPr>
          <w:t>Regulatory Impact Statement: Family Violence Protection (Information Sharing) Regulations 2017</w:t>
        </w:r>
      </w:hyperlink>
      <w:r w:rsidR="00C20EC5">
        <w:rPr>
          <w:sz w:val="20"/>
        </w:rPr>
        <w:t xml:space="preserve"> </w:t>
      </w:r>
    </w:p>
    <w:p w:rsidR="004B7B13" w:rsidRPr="004B7B13" w:rsidRDefault="00B24D98" w:rsidP="004B7B13">
      <w:pPr>
        <w:pStyle w:val="Reference"/>
        <w:ind w:left="0" w:firstLine="0"/>
        <w:rPr>
          <w:sz w:val="20"/>
        </w:rPr>
      </w:pPr>
      <w:r>
        <w:rPr>
          <w:sz w:val="20"/>
        </w:rPr>
        <w:t>Heckman, J (2011)</w:t>
      </w:r>
      <w:r w:rsidR="004B7B13" w:rsidRPr="004B7B13">
        <w:rPr>
          <w:sz w:val="20"/>
        </w:rPr>
        <w:t xml:space="preserve"> </w:t>
      </w:r>
      <w:hyperlink r:id="rId38" w:history="1">
        <w:r w:rsidR="00392637" w:rsidRPr="00D92587">
          <w:rPr>
            <w:rStyle w:val="Hyperlink"/>
            <w:i/>
            <w:sz w:val="20"/>
          </w:rPr>
          <w:t>The Economics of Inequality: The value of early childhood education</w:t>
        </w:r>
        <w:r w:rsidR="00392637" w:rsidRPr="00D92587">
          <w:rPr>
            <w:rStyle w:val="Hyperlink"/>
            <w:sz w:val="20"/>
          </w:rPr>
          <w:t>:</w:t>
        </w:r>
      </w:hyperlink>
      <w:r w:rsidR="004B7B13" w:rsidRPr="004B7B13">
        <w:rPr>
          <w:sz w:val="20"/>
        </w:rPr>
        <w:t xml:space="preserve"> American Educator: Spring 2011</w:t>
      </w:r>
      <w:r w:rsidR="00827E87">
        <w:rPr>
          <w:sz w:val="20"/>
        </w:rPr>
        <w:t xml:space="preserve"> </w:t>
      </w:r>
    </w:p>
    <w:p w:rsidR="00392637" w:rsidRPr="00392637" w:rsidRDefault="00392637" w:rsidP="00E93BED">
      <w:pPr>
        <w:pStyle w:val="Reference"/>
        <w:ind w:left="0" w:firstLine="0"/>
        <w:rPr>
          <w:sz w:val="20"/>
        </w:rPr>
      </w:pPr>
      <w:r w:rsidRPr="00392637">
        <w:rPr>
          <w:sz w:val="20"/>
        </w:rPr>
        <w:t xml:space="preserve">Kezelman, C., Hossack, N., Stavropoulos, </w:t>
      </w:r>
      <w:r w:rsidR="00B24D98">
        <w:rPr>
          <w:sz w:val="20"/>
        </w:rPr>
        <w:t>P., &amp; Burley, P. (2015)</w:t>
      </w:r>
      <w:r w:rsidRPr="00392637">
        <w:rPr>
          <w:sz w:val="20"/>
        </w:rPr>
        <w:t> </w:t>
      </w:r>
      <w:hyperlink r:id="rId39" w:history="1">
        <w:r w:rsidRPr="005E3F0B">
          <w:rPr>
            <w:rStyle w:val="Hyperlink"/>
            <w:i/>
            <w:iCs/>
            <w:sz w:val="20"/>
          </w:rPr>
          <w:t>The cost of unresolved childhood trauma and abuse in adults in Australia</w:t>
        </w:r>
        <w:r w:rsidRPr="005E3F0B">
          <w:rPr>
            <w:rStyle w:val="Hyperlink"/>
            <w:sz w:val="20"/>
          </w:rPr>
          <w:t>.</w:t>
        </w:r>
      </w:hyperlink>
      <w:r w:rsidRPr="00392637">
        <w:rPr>
          <w:sz w:val="20"/>
        </w:rPr>
        <w:t xml:space="preserve"> Sydney: Adults Surviving Child Abuse and Pegasus Economics </w:t>
      </w:r>
    </w:p>
    <w:p w:rsidR="00392637" w:rsidRPr="00392637" w:rsidRDefault="00392637" w:rsidP="00E93BED">
      <w:pPr>
        <w:pStyle w:val="Reference"/>
        <w:ind w:left="0" w:firstLine="0"/>
        <w:rPr>
          <w:sz w:val="20"/>
        </w:rPr>
      </w:pPr>
      <w:r w:rsidRPr="00392637">
        <w:rPr>
          <w:sz w:val="20"/>
        </w:rPr>
        <w:t>Steering Committee for the Review of Government Service Provision. (2018). </w:t>
      </w:r>
      <w:hyperlink r:id="rId40" w:history="1">
        <w:r w:rsidRPr="00E0491A">
          <w:rPr>
            <w:rStyle w:val="Hyperlink"/>
            <w:i/>
            <w:iCs/>
            <w:sz w:val="20"/>
          </w:rPr>
          <w:t>Report on government services 2016</w:t>
        </w:r>
      </w:hyperlink>
      <w:r w:rsidRPr="00392637">
        <w:rPr>
          <w:sz w:val="20"/>
        </w:rPr>
        <w:t>. Canberra: Productivity Commission</w:t>
      </w:r>
    </w:p>
    <w:p w:rsidR="00392637" w:rsidRPr="00392637" w:rsidRDefault="00392637" w:rsidP="00E93BED">
      <w:pPr>
        <w:pStyle w:val="Reference"/>
        <w:ind w:left="0" w:firstLine="0"/>
        <w:rPr>
          <w:sz w:val="20"/>
        </w:rPr>
      </w:pPr>
      <w:r w:rsidRPr="00392637">
        <w:rPr>
          <w:sz w:val="20"/>
        </w:rPr>
        <w:lastRenderedPageBreak/>
        <w:t xml:space="preserve">Taylor, P., Moore, P., Pezzullo, L., Tucci, J., Goddard, C., &amp; De Bortoli, L. (2008). </w:t>
      </w:r>
      <w:hyperlink r:id="rId41" w:history="1">
        <w:r w:rsidRPr="005E3F0B">
          <w:rPr>
            <w:rStyle w:val="Hyperlink"/>
            <w:i/>
            <w:iCs/>
            <w:sz w:val="20"/>
          </w:rPr>
          <w:t>The cost of child abuse in Australia</w:t>
        </w:r>
        <w:r w:rsidRPr="005E3F0B">
          <w:rPr>
            <w:rStyle w:val="Hyperlink"/>
            <w:sz w:val="20"/>
          </w:rPr>
          <w:t>.</w:t>
        </w:r>
      </w:hyperlink>
      <w:r w:rsidRPr="00392637">
        <w:rPr>
          <w:sz w:val="20"/>
        </w:rPr>
        <w:t xml:space="preserve"> Melbourne: Australian Childhood Foundation and Child Abuse Prevention Research Australia</w:t>
      </w:r>
      <w:r w:rsidR="004317D5">
        <w:rPr>
          <w:sz w:val="20"/>
        </w:rPr>
        <w:t xml:space="preserve"> </w:t>
      </w:r>
    </w:p>
    <w:p w:rsidR="00392637" w:rsidRPr="00392637" w:rsidRDefault="004B7B13" w:rsidP="004317D5">
      <w:pPr>
        <w:pStyle w:val="Reference"/>
        <w:ind w:left="0" w:firstLine="0"/>
        <w:rPr>
          <w:i/>
          <w:sz w:val="20"/>
        </w:rPr>
      </w:pPr>
      <w:r w:rsidRPr="004B7B13">
        <w:rPr>
          <w:sz w:val="20"/>
        </w:rPr>
        <w:t xml:space="preserve">Victorian Government (2016) </w:t>
      </w:r>
      <w:hyperlink r:id="rId42" w:history="1">
        <w:r w:rsidR="00392637" w:rsidRPr="005E3F0B">
          <w:rPr>
            <w:rStyle w:val="Hyperlink"/>
            <w:i/>
            <w:sz w:val="20"/>
          </w:rPr>
          <w:t>Royal Commission into Family Violence (Victoria)</w:t>
        </w:r>
      </w:hyperlink>
      <w:r w:rsidR="00392637" w:rsidRPr="00392637">
        <w:rPr>
          <w:i/>
          <w:sz w:val="20"/>
        </w:rPr>
        <w:t xml:space="preserve"> </w:t>
      </w:r>
    </w:p>
    <w:p w:rsidR="00520E17" w:rsidRPr="00520E17" w:rsidRDefault="00520E17" w:rsidP="00BE3129">
      <w:pPr>
        <w:pStyle w:val="Reference"/>
        <w:ind w:left="0" w:firstLine="0"/>
        <w:rPr>
          <w:sz w:val="20"/>
        </w:rPr>
      </w:pPr>
      <w:r>
        <w:rPr>
          <w:sz w:val="20"/>
        </w:rPr>
        <w:t xml:space="preserve">Victorian Government (2018) </w:t>
      </w:r>
      <w:hyperlink r:id="rId43" w:history="1">
        <w:r w:rsidRPr="00520E17">
          <w:rPr>
            <w:rStyle w:val="Hyperlink"/>
            <w:i/>
            <w:sz w:val="20"/>
          </w:rPr>
          <w:t>Child Information Sharing Ministerial Guidelines</w:t>
        </w:r>
      </w:hyperlink>
      <w:r>
        <w:rPr>
          <w:i/>
          <w:sz w:val="20"/>
        </w:rPr>
        <w:t xml:space="preserve"> </w:t>
      </w:r>
    </w:p>
    <w:p w:rsidR="004B7B13" w:rsidRPr="00BE3129" w:rsidRDefault="00B24D98" w:rsidP="00BE3129">
      <w:pPr>
        <w:pStyle w:val="Reference"/>
        <w:ind w:left="0" w:firstLine="0"/>
        <w:rPr>
          <w:sz w:val="20"/>
        </w:rPr>
      </w:pPr>
      <w:r>
        <w:rPr>
          <w:sz w:val="20"/>
        </w:rPr>
        <w:t>Victorian Government (2018)</w:t>
      </w:r>
      <w:r w:rsidR="00392637" w:rsidRPr="00392637">
        <w:rPr>
          <w:sz w:val="20"/>
        </w:rPr>
        <w:t xml:space="preserve"> </w:t>
      </w:r>
      <w:hyperlink r:id="rId44" w:history="1">
        <w:r w:rsidR="00392637" w:rsidRPr="005E3F0B">
          <w:rPr>
            <w:rStyle w:val="Hyperlink"/>
            <w:i/>
            <w:iCs/>
            <w:sz w:val="20"/>
          </w:rPr>
          <w:t>Inquiry into youth justice centres in Victoria: Final Report</w:t>
        </w:r>
      </w:hyperlink>
      <w:r w:rsidR="00392637" w:rsidRPr="00392637">
        <w:rPr>
          <w:i/>
          <w:iCs/>
          <w:sz w:val="20"/>
        </w:rPr>
        <w:t>.</w:t>
      </w:r>
      <w:r w:rsidR="00392637" w:rsidRPr="00392637">
        <w:rPr>
          <w:sz w:val="20"/>
        </w:rPr>
        <w:t xml:space="preserve"> Melbourne: Victorian Government Printer</w:t>
      </w:r>
      <w:r w:rsidR="004B7B13" w:rsidRPr="00BE3129">
        <w:rPr>
          <w:sz w:val="20"/>
        </w:rPr>
        <w:t xml:space="preserve"> </w:t>
      </w:r>
    </w:p>
    <w:p w:rsidR="002128AD" w:rsidRPr="0063467C" w:rsidRDefault="002128AD" w:rsidP="00BE3129">
      <w:pPr>
        <w:pStyle w:val="Reference"/>
        <w:ind w:left="0" w:firstLine="0"/>
        <w:rPr>
          <w:i/>
          <w:sz w:val="20"/>
        </w:rPr>
      </w:pPr>
      <w:r>
        <w:rPr>
          <w:sz w:val="20"/>
        </w:rPr>
        <w:t xml:space="preserve">Victorian </w:t>
      </w:r>
      <w:r w:rsidR="00752207">
        <w:rPr>
          <w:sz w:val="20"/>
        </w:rPr>
        <w:t>Parliament</w:t>
      </w:r>
      <w:r>
        <w:rPr>
          <w:sz w:val="20"/>
        </w:rPr>
        <w:t xml:space="preserve"> (2001) </w:t>
      </w:r>
      <w:hyperlink r:id="rId45" w:history="1">
        <w:r w:rsidRPr="0063467C">
          <w:rPr>
            <w:rStyle w:val="Hyperlink"/>
            <w:i/>
          </w:rPr>
          <w:t>Health Records Act 2001 No.2 of 2001</w:t>
        </w:r>
      </w:hyperlink>
    </w:p>
    <w:p w:rsidR="00655DB8" w:rsidRDefault="002128AD" w:rsidP="00521BD0">
      <w:pPr>
        <w:pStyle w:val="WOVGbody"/>
        <w:rPr>
          <w:rStyle w:val="Hyperlink"/>
          <w:rFonts w:ascii="Verdana" w:hAnsi="Verdana"/>
          <w:i/>
        </w:rPr>
      </w:pPr>
      <w:r>
        <w:rPr>
          <w:rFonts w:ascii="Verdana" w:hAnsi="Verdana"/>
        </w:rPr>
        <w:t xml:space="preserve">Victorian </w:t>
      </w:r>
      <w:r w:rsidR="00752207">
        <w:rPr>
          <w:rFonts w:ascii="Verdana" w:hAnsi="Verdana"/>
        </w:rPr>
        <w:t>Parliament</w:t>
      </w:r>
      <w:r>
        <w:rPr>
          <w:rFonts w:ascii="Verdana" w:hAnsi="Verdana"/>
        </w:rPr>
        <w:t xml:space="preserve"> (2014) </w:t>
      </w:r>
      <w:hyperlink r:id="rId46" w:history="1">
        <w:r w:rsidRPr="002128AD">
          <w:rPr>
            <w:rStyle w:val="Hyperlink"/>
            <w:rFonts w:ascii="Verdana" w:hAnsi="Verdana"/>
            <w:i/>
          </w:rPr>
          <w:t>Privacy and Data Protection Action 2014 No.60 of 2014</w:t>
        </w:r>
      </w:hyperlink>
    </w:p>
    <w:p w:rsidR="00752207" w:rsidRPr="00752207" w:rsidRDefault="00752207" w:rsidP="00752207">
      <w:pPr>
        <w:pStyle w:val="Reference"/>
        <w:ind w:left="0" w:firstLine="0"/>
        <w:rPr>
          <w:sz w:val="20"/>
        </w:rPr>
      </w:pPr>
      <w:r>
        <w:rPr>
          <w:sz w:val="20"/>
        </w:rPr>
        <w:t xml:space="preserve">Victorian Parliament (2005) </w:t>
      </w:r>
      <w:hyperlink r:id="rId47" w:history="1">
        <w:r w:rsidRPr="0063467C">
          <w:rPr>
            <w:rStyle w:val="Hyperlink"/>
            <w:i/>
            <w:sz w:val="20"/>
          </w:rPr>
          <w:t>Children, Youth and Families Act 2005, Act No. 96/2005</w:t>
        </w:r>
      </w:hyperlink>
    </w:p>
    <w:p w:rsidR="00207483" w:rsidRDefault="00207483">
      <w:pPr>
        <w:rPr>
          <w:rFonts w:ascii="Arial" w:hAnsi="Arial"/>
          <w:bCs/>
          <w:color w:val="53565A" w:themeColor="accent1"/>
          <w:sz w:val="44"/>
          <w:szCs w:val="44"/>
        </w:rPr>
      </w:pPr>
      <w:r>
        <w:br w:type="page"/>
      </w:r>
    </w:p>
    <w:p w:rsidR="00930160" w:rsidRDefault="00930160" w:rsidP="00930160">
      <w:pPr>
        <w:pStyle w:val="WOVGbody"/>
        <w:sectPr w:rsidR="00930160" w:rsidSect="007228D3">
          <w:pgSz w:w="11906" w:h="16838"/>
          <w:pgMar w:top="1701" w:right="1304" w:bottom="1134" w:left="1304" w:header="454" w:footer="510" w:gutter="0"/>
          <w:cols w:space="720"/>
          <w:docGrid w:linePitch="360"/>
        </w:sectPr>
      </w:pPr>
    </w:p>
    <w:p w:rsidR="00930160" w:rsidRPr="00A76FAF" w:rsidRDefault="00930160" w:rsidP="00A76FAF">
      <w:pPr>
        <w:pStyle w:val="Heading1"/>
        <w:ind w:left="284"/>
        <w:rPr>
          <w:rFonts w:ascii="Verdana" w:hAnsi="Verdana"/>
        </w:rPr>
      </w:pPr>
      <w:bookmarkStart w:id="56" w:name="_Toc23510800"/>
      <w:r w:rsidRPr="00A76FAF">
        <w:rPr>
          <w:rFonts w:ascii="Verdana" w:hAnsi="Verdana"/>
        </w:rPr>
        <w:lastRenderedPageBreak/>
        <w:t>Appendix A Prescribed Phase One Entities</w:t>
      </w:r>
      <w:bookmarkEnd w:id="56"/>
    </w:p>
    <w:p w:rsidR="00930160" w:rsidRDefault="00930160" w:rsidP="00930160">
      <w:pPr>
        <w:pStyle w:val="WOVGbody"/>
      </w:pPr>
    </w:p>
    <w:tbl>
      <w:tblPr>
        <w:tblStyle w:val="Deloittetable"/>
        <w:tblW w:w="14228" w:type="dxa"/>
        <w:tblBorders>
          <w:top w:val="single" w:sz="24" w:space="0" w:color="auto"/>
        </w:tblBorders>
        <w:tblLayout w:type="fixed"/>
        <w:tblLook w:val="04A0" w:firstRow="1" w:lastRow="0" w:firstColumn="1" w:lastColumn="0" w:noHBand="0" w:noVBand="1"/>
      </w:tblPr>
      <w:tblGrid>
        <w:gridCol w:w="3544"/>
        <w:gridCol w:w="10684"/>
      </w:tblGrid>
      <w:tr w:rsidR="00930160" w:rsidRPr="00AF44C6" w:rsidTr="001B4855">
        <w:trPr>
          <w:cnfStyle w:val="100000000000" w:firstRow="1" w:lastRow="0" w:firstColumn="0" w:lastColumn="0" w:oddVBand="0" w:evenVBand="0" w:oddHBand="0" w:evenHBand="0" w:firstRowFirstColumn="0" w:firstRowLastColumn="0" w:lastRowFirstColumn="0" w:lastRowLastColumn="0"/>
          <w:trHeight w:val="379"/>
        </w:trPr>
        <w:tc>
          <w:tcPr>
            <w:tcW w:w="3544" w:type="dxa"/>
            <w:tcBorders>
              <w:top w:val="none" w:sz="0" w:space="0" w:color="auto"/>
            </w:tcBorders>
          </w:tcPr>
          <w:p w:rsidR="00930160" w:rsidRPr="001B4855" w:rsidRDefault="00930160" w:rsidP="00930160">
            <w:pPr>
              <w:rPr>
                <w:rFonts w:ascii="Verdana" w:hAnsi="Verdana" w:cs="Arial"/>
                <w:b/>
                <w:sz w:val="20"/>
                <w:szCs w:val="20"/>
              </w:rPr>
            </w:pPr>
            <w:r w:rsidRPr="001B4855">
              <w:rPr>
                <w:rFonts w:ascii="Verdana" w:hAnsi="Verdana" w:cs="Arial"/>
                <w:b/>
              </w:rPr>
              <w:t>Prescribed workforce</w:t>
            </w:r>
          </w:p>
        </w:tc>
        <w:tc>
          <w:tcPr>
            <w:tcW w:w="10684" w:type="dxa"/>
            <w:tcBorders>
              <w:top w:val="none" w:sz="0" w:space="0" w:color="auto"/>
            </w:tcBorders>
          </w:tcPr>
          <w:p w:rsidR="00930160" w:rsidRPr="001B4855" w:rsidRDefault="000918C8" w:rsidP="000918C8">
            <w:pPr>
              <w:rPr>
                <w:rFonts w:ascii="Verdana" w:hAnsi="Verdana" w:cs="Arial"/>
                <w:b/>
                <w:sz w:val="20"/>
                <w:szCs w:val="20"/>
              </w:rPr>
            </w:pPr>
            <w:r>
              <w:rPr>
                <w:rFonts w:ascii="Verdana" w:hAnsi="Verdana" w:cstheme="minorHAnsi"/>
                <w:b/>
              </w:rPr>
              <w:t xml:space="preserve">Described </w:t>
            </w:r>
            <w:r w:rsidR="0055297A">
              <w:rPr>
                <w:rFonts w:ascii="Verdana" w:hAnsi="Verdana" w:cstheme="minorHAnsi"/>
                <w:b/>
              </w:rPr>
              <w:t>as</w:t>
            </w:r>
            <w:r w:rsidR="001B0CDF">
              <w:rPr>
                <w:rFonts w:ascii="Verdana" w:hAnsi="Verdana" w:cstheme="minorHAnsi"/>
                <w:b/>
              </w:rPr>
              <w:t>:</w:t>
            </w:r>
          </w:p>
        </w:tc>
      </w:tr>
      <w:tr w:rsidR="00930160" w:rsidRPr="00AF44C6" w:rsidTr="001B4855">
        <w:trPr>
          <w:trHeight w:val="605"/>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Maternal &amp; Child Health</w:t>
            </w:r>
            <w:r w:rsidR="00752207">
              <w:rPr>
                <w:rFonts w:ascii="Verdana" w:hAnsi="Verdana" w:cs="Arial"/>
                <w:sz w:val="16"/>
                <w:szCs w:val="16"/>
              </w:rPr>
              <w:t xml:space="preserve"> (MCH)</w:t>
            </w:r>
          </w:p>
        </w:tc>
        <w:tc>
          <w:tcPr>
            <w:tcW w:w="10684" w:type="dxa"/>
          </w:tcPr>
          <w:p w:rsidR="00930160" w:rsidRPr="001B4855" w:rsidRDefault="00930160" w:rsidP="00A76FAF">
            <w:pPr>
              <w:pStyle w:val="ListParagraph"/>
              <w:numPr>
                <w:ilvl w:val="0"/>
                <w:numId w:val="51"/>
              </w:numPr>
              <w:spacing w:after="120"/>
              <w:ind w:left="397" w:hanging="227"/>
              <w:rPr>
                <w:rFonts w:cs="Arial"/>
                <w:sz w:val="16"/>
                <w:szCs w:val="16"/>
              </w:rPr>
            </w:pPr>
            <w:r w:rsidRPr="001B4855">
              <w:rPr>
                <w:rFonts w:cs="Arial"/>
                <w:sz w:val="16"/>
                <w:szCs w:val="16"/>
              </w:rPr>
              <w:t>a council to the extent that it provides MCH programs</w:t>
            </w:r>
          </w:p>
          <w:p w:rsidR="00930160" w:rsidRPr="001B4855" w:rsidRDefault="00930160" w:rsidP="00A76FAF">
            <w:pPr>
              <w:pStyle w:val="ListParagraph"/>
              <w:numPr>
                <w:ilvl w:val="0"/>
                <w:numId w:val="51"/>
              </w:numPr>
              <w:spacing w:after="120"/>
              <w:ind w:left="397" w:hanging="227"/>
              <w:rPr>
                <w:rFonts w:cs="Arial"/>
                <w:sz w:val="16"/>
                <w:szCs w:val="16"/>
              </w:rPr>
            </w:pPr>
            <w:r w:rsidRPr="001B4855">
              <w:rPr>
                <w:rFonts w:cs="Arial"/>
                <w:sz w:val="16"/>
                <w:szCs w:val="16"/>
              </w:rPr>
              <w:t>a person or body engaged by a council to provide MCH programs for a MCH service on behalf of the council, to the extent that the person or body performs functions relating to the provision of MCH programs</w:t>
            </w:r>
          </w:p>
          <w:p w:rsidR="00930160" w:rsidRPr="001B4855" w:rsidRDefault="00930160" w:rsidP="00A76FAF">
            <w:pPr>
              <w:pStyle w:val="ListParagraph"/>
              <w:numPr>
                <w:ilvl w:val="0"/>
                <w:numId w:val="51"/>
              </w:numPr>
              <w:spacing w:after="120"/>
              <w:ind w:left="397" w:hanging="227"/>
              <w:rPr>
                <w:rFonts w:cs="Arial"/>
                <w:sz w:val="16"/>
                <w:szCs w:val="16"/>
              </w:rPr>
            </w:pPr>
            <w:r w:rsidRPr="001B4855">
              <w:rPr>
                <w:rFonts w:cs="Arial"/>
                <w:sz w:val="16"/>
                <w:szCs w:val="16"/>
              </w:rPr>
              <w:t>a person or body that is engaged or funded under a State contract to provide MCH services, to the extent that the person or body performs functions relating to the provision of MCH services</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D</w:t>
            </w:r>
            <w:r w:rsidR="00752207">
              <w:rPr>
                <w:rFonts w:cs="Arial"/>
                <w:sz w:val="16"/>
                <w:szCs w:val="16"/>
              </w:rPr>
              <w:t>HHS</w:t>
            </w:r>
            <w:r w:rsidRPr="001B4855">
              <w:rPr>
                <w:rFonts w:cs="Arial"/>
                <w:sz w:val="16"/>
                <w:szCs w:val="16"/>
              </w:rPr>
              <w:t xml:space="preserve"> to the extent that it provides MCH advice through a state-wide telephone service</w:t>
            </w:r>
          </w:p>
        </w:tc>
      </w:tr>
      <w:tr w:rsidR="00930160" w:rsidRPr="00AF44C6" w:rsidTr="001B4855">
        <w:trPr>
          <w:trHeight w:val="114"/>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Child FIRST</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a community-based child and family service within the meaning of the </w:t>
            </w:r>
            <w:r w:rsidRPr="001B4855">
              <w:rPr>
                <w:rFonts w:cs="Arial"/>
                <w:i/>
                <w:sz w:val="16"/>
                <w:szCs w:val="16"/>
              </w:rPr>
              <w:t>Children, Youth and Families Act 2005, to the extent that it performs the functions of a community- based child and family service</w:t>
            </w:r>
          </w:p>
        </w:tc>
      </w:tr>
      <w:tr w:rsidR="00930160" w:rsidRPr="00AF44C6" w:rsidTr="001B4855">
        <w:trPr>
          <w:trHeight w:val="23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Integrated Family Services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a community-based child and family service within the meaning of the </w:t>
            </w:r>
            <w:r w:rsidRPr="001B4855">
              <w:rPr>
                <w:rFonts w:cs="Arial"/>
                <w:i/>
                <w:sz w:val="16"/>
                <w:szCs w:val="16"/>
              </w:rPr>
              <w:t>Children, Youth and Families Act 2005, to the extent that it performs the functions of a community- based child and family service</w:t>
            </w:r>
          </w:p>
        </w:tc>
      </w:tr>
      <w:tr w:rsidR="00930160" w:rsidRPr="00AF44C6" w:rsidTr="001B4855">
        <w:trPr>
          <w:trHeight w:val="39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Child Protection</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the Secretary to the DHHS, to the extent that the Secretary performs functions under the </w:t>
            </w:r>
            <w:r w:rsidRPr="001B4855">
              <w:rPr>
                <w:rFonts w:cs="Arial"/>
                <w:i/>
                <w:sz w:val="16"/>
                <w:szCs w:val="16"/>
              </w:rPr>
              <w:t>Children, Youth and Families Act 2005</w:t>
            </w:r>
          </w:p>
        </w:tc>
      </w:tr>
      <w:tr w:rsidR="00930160" w:rsidRPr="00AF44C6" w:rsidTr="001B4855">
        <w:trPr>
          <w:trHeight w:val="58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Out of Home Care</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i/>
                <w:sz w:val="16"/>
                <w:szCs w:val="16"/>
              </w:rPr>
            </w:pPr>
            <w:r w:rsidRPr="001B4855">
              <w:rPr>
                <w:rFonts w:cs="Arial"/>
                <w:sz w:val="16"/>
                <w:szCs w:val="16"/>
              </w:rPr>
              <w:t xml:space="preserve">the Secretary to DHHS, to the extent that the Secretary performs functions under the </w:t>
            </w:r>
            <w:r w:rsidRPr="001B4855">
              <w:rPr>
                <w:rFonts w:cs="Arial"/>
                <w:i/>
                <w:sz w:val="16"/>
                <w:szCs w:val="16"/>
              </w:rPr>
              <w:t>Children, Youth and Families Act 2005</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a registered out of home care service within the meaning of the </w:t>
            </w:r>
            <w:r w:rsidRPr="001B4855">
              <w:rPr>
                <w:rFonts w:cs="Arial"/>
                <w:i/>
                <w:sz w:val="16"/>
                <w:szCs w:val="16"/>
              </w:rPr>
              <w:t>Children, Youth and Families Act 2005</w:t>
            </w:r>
            <w:r w:rsidRPr="001B4855">
              <w:rPr>
                <w:rFonts w:cs="Arial"/>
                <w:sz w:val="16"/>
                <w:szCs w:val="16"/>
              </w:rPr>
              <w:t>, to the extent that it performs the functions of a registered out of home care service</w:t>
            </w:r>
          </w:p>
        </w:tc>
      </w:tr>
      <w:tr w:rsidR="00930160" w:rsidRPr="00AF44C6" w:rsidTr="001B4855">
        <w:trPr>
          <w:trHeight w:val="182"/>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Support and Safety Hubs</w:t>
            </w:r>
          </w:p>
        </w:tc>
        <w:tc>
          <w:tcPr>
            <w:tcW w:w="10684" w:type="dxa"/>
          </w:tcPr>
          <w:p w:rsidR="00930160" w:rsidRPr="001B4855" w:rsidRDefault="000918C8" w:rsidP="00A76FAF">
            <w:pPr>
              <w:pStyle w:val="ListParagraph"/>
              <w:numPr>
                <w:ilvl w:val="0"/>
                <w:numId w:val="51"/>
              </w:numPr>
              <w:spacing w:after="120" w:line="240" w:lineRule="auto"/>
              <w:ind w:left="397" w:hanging="227"/>
              <w:rPr>
                <w:rFonts w:cs="Arial"/>
                <w:sz w:val="16"/>
                <w:szCs w:val="16"/>
              </w:rPr>
            </w:pPr>
            <w:r>
              <w:rPr>
                <w:rFonts w:cs="Arial"/>
                <w:sz w:val="16"/>
                <w:szCs w:val="16"/>
              </w:rPr>
              <w:t xml:space="preserve">a body that is declared to be an authorised Hub entity under section 144SC of the </w:t>
            </w:r>
            <w:r w:rsidRPr="000918C8">
              <w:rPr>
                <w:rFonts w:cs="Arial"/>
                <w:i/>
                <w:sz w:val="16"/>
                <w:szCs w:val="16"/>
              </w:rPr>
              <w:t>Family Violence Protection Act 2008</w:t>
            </w:r>
            <w:r>
              <w:rPr>
                <w:rFonts w:cs="Arial"/>
                <w:sz w:val="16"/>
                <w:szCs w:val="16"/>
              </w:rPr>
              <w:t>, to the extent that the body provides services in relation to a body known as Support and Safety Hub established by Family Safety Victoria</w:t>
            </w:r>
          </w:p>
        </w:tc>
      </w:tr>
      <w:tr w:rsidR="00930160" w:rsidRPr="00AF44C6" w:rsidTr="001B4855">
        <w:trPr>
          <w:trHeight w:val="58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Risk Assessment and Management Panels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participates in a Risk Assessment and Management Panel meeting, to the extent that the person or body performs functions that relate to the person or body’s participation in a Risk Assessment and Management Panel meeting, including preparation for and attendance at a meeting and associated follow-up action or activities</w:t>
            </w:r>
          </w:p>
        </w:tc>
      </w:tr>
      <w:tr w:rsidR="00930160" w:rsidRPr="00AF44C6" w:rsidTr="001B4855">
        <w:trPr>
          <w:trHeight w:val="392"/>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Specialist Family Violence services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provides specialist family violence services and is engaged or funded under a State contract to provide family violence information sharing functions, to the extent that the person or body performs functions relating to the provision of those services</w:t>
            </w:r>
          </w:p>
        </w:tc>
      </w:tr>
      <w:tr w:rsidR="00930160" w:rsidRPr="00AF44C6" w:rsidTr="001B4855">
        <w:trPr>
          <w:trHeight w:val="363"/>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lastRenderedPageBreak/>
              <w:t>Alcohol and Other Drug services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is engaged or funded under a State contract to provide alcohol and other drugs services, to the extent that the person or body performs functions relating to the provision of alcohol and other drugs services</w:t>
            </w:r>
          </w:p>
        </w:tc>
      </w:tr>
      <w:tr w:rsidR="00930160" w:rsidRPr="00AF44C6" w:rsidTr="001B4855">
        <w:trPr>
          <w:trHeight w:val="363"/>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Mental Health services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a designated mental health service within the meaning of the </w:t>
            </w:r>
            <w:r w:rsidRPr="001B4855">
              <w:rPr>
                <w:rFonts w:cs="Arial"/>
                <w:i/>
                <w:sz w:val="16"/>
                <w:szCs w:val="16"/>
              </w:rPr>
              <w:t>Mental Health Act 2014</w:t>
            </w:r>
            <w:r w:rsidRPr="001B4855">
              <w:rPr>
                <w:rFonts w:cs="Arial"/>
                <w:sz w:val="16"/>
                <w:szCs w:val="16"/>
              </w:rPr>
              <w:t>, to the extent that it performs functions relating to the provision of mental health services</w:t>
            </w:r>
          </w:p>
        </w:tc>
      </w:tr>
      <w:tr w:rsidR="00930160" w:rsidRPr="00AF44C6" w:rsidTr="001B4855">
        <w:trPr>
          <w:trHeight w:val="363"/>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Sexual Assault Services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is engaged or funded under a State contract to provide services to victim survivors of sexual assault, to the extent that the person or body performs functions relating to the provision of services to victim survivors of sexual assault</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is engaged or funded under a State contract to provide sexually abusive behaviour treatment services, to the extent that the person or body performs functions relating to the provision of sexually abusive behaviour treatment services</w:t>
            </w:r>
          </w:p>
        </w:tc>
      </w:tr>
      <w:tr w:rsidR="00930160" w:rsidRPr="00AF44C6" w:rsidTr="001B4855">
        <w:trPr>
          <w:trHeight w:val="58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Homelessness services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is engaged or funded under a State contract to provide homelessness accommodation or homelessness support services, to the extent that the person or body performs functions relating to the provision of access point, outreach or accommodation services</w:t>
            </w:r>
          </w:p>
        </w:tc>
      </w:tr>
      <w:tr w:rsidR="00930160" w:rsidRPr="00AF44C6" w:rsidTr="001B4855">
        <w:trPr>
          <w:trHeight w:val="570"/>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Housing (DHHS only)</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i/>
                <w:sz w:val="16"/>
                <w:szCs w:val="16"/>
              </w:rPr>
            </w:pPr>
            <w:r w:rsidRPr="001B4855">
              <w:rPr>
                <w:rFonts w:cs="Arial"/>
                <w:sz w:val="16"/>
                <w:szCs w:val="16"/>
              </w:rPr>
              <w:t xml:space="preserve">the Director of Housing within the meaning of the </w:t>
            </w:r>
            <w:r w:rsidRPr="001B4855">
              <w:rPr>
                <w:rFonts w:cs="Arial"/>
                <w:i/>
                <w:sz w:val="16"/>
                <w:szCs w:val="16"/>
              </w:rPr>
              <w:t>Housing Act 1983</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the Secretary to DHHS, to the extent that the Department performs functions under the </w:t>
            </w:r>
            <w:r w:rsidRPr="001B4855">
              <w:rPr>
                <w:rFonts w:cs="Arial"/>
                <w:i/>
                <w:sz w:val="16"/>
                <w:szCs w:val="16"/>
              </w:rPr>
              <w:t>Housing Act 1983</w:t>
            </w:r>
            <w:r w:rsidRPr="001B4855">
              <w:rPr>
                <w:rFonts w:cs="Arial"/>
                <w:b/>
                <w:sz w:val="16"/>
                <w:szCs w:val="16"/>
              </w:rPr>
              <w:t xml:space="preserve"> </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the Secretary to DHHS, to the extent that Department assists with the performance of the Director of Housing’s functions under the </w:t>
            </w:r>
            <w:r w:rsidRPr="001B4855">
              <w:rPr>
                <w:rFonts w:cs="Arial"/>
                <w:i/>
                <w:sz w:val="16"/>
                <w:szCs w:val="16"/>
              </w:rPr>
              <w:t>Housing Act 1983</w:t>
            </w:r>
          </w:p>
        </w:tc>
      </w:tr>
      <w:tr w:rsidR="00930160" w:rsidRPr="00AF44C6" w:rsidTr="001B4855">
        <w:trPr>
          <w:trHeight w:val="58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Youth Justice</w:t>
            </w:r>
          </w:p>
        </w:tc>
        <w:tc>
          <w:tcPr>
            <w:tcW w:w="10684" w:type="dxa"/>
          </w:tcPr>
          <w:p w:rsidR="00930160" w:rsidRPr="001B4855" w:rsidRDefault="00752207" w:rsidP="00A76FAF">
            <w:pPr>
              <w:pStyle w:val="ListParagraph"/>
              <w:numPr>
                <w:ilvl w:val="0"/>
                <w:numId w:val="51"/>
              </w:numPr>
              <w:spacing w:after="120" w:line="240" w:lineRule="auto"/>
              <w:ind w:left="397" w:hanging="227"/>
              <w:rPr>
                <w:rFonts w:cs="Arial"/>
                <w:sz w:val="16"/>
                <w:szCs w:val="16"/>
              </w:rPr>
            </w:pPr>
            <w:r>
              <w:rPr>
                <w:rFonts w:cs="Arial"/>
                <w:sz w:val="16"/>
                <w:szCs w:val="16"/>
              </w:rPr>
              <w:t xml:space="preserve">the Secretary to the DJCS, to </w:t>
            </w:r>
            <w:r w:rsidR="00930160" w:rsidRPr="001B4855">
              <w:rPr>
                <w:rFonts w:cs="Arial"/>
                <w:sz w:val="16"/>
                <w:szCs w:val="16"/>
              </w:rPr>
              <w:t>the extent that</w:t>
            </w:r>
            <w:r>
              <w:rPr>
                <w:rFonts w:cs="Arial"/>
                <w:sz w:val="16"/>
                <w:szCs w:val="16"/>
              </w:rPr>
              <w:t xml:space="preserve"> the Department </w:t>
            </w:r>
            <w:r w:rsidR="00930160" w:rsidRPr="001B4855">
              <w:rPr>
                <w:rFonts w:cs="Arial"/>
                <w:sz w:val="16"/>
                <w:szCs w:val="16"/>
              </w:rPr>
              <w:t xml:space="preserve">performs functions under the </w:t>
            </w:r>
            <w:r w:rsidR="00930160" w:rsidRPr="001B4855">
              <w:rPr>
                <w:rFonts w:cs="Arial"/>
                <w:i/>
                <w:sz w:val="16"/>
                <w:szCs w:val="16"/>
              </w:rPr>
              <w:t>Children, Youth and Families Act 2005</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is engaged or funded under a State contract to provide youth justice community support services or programs, to the extent that the person or body provides the youth justice community support services or programs</w:t>
            </w:r>
          </w:p>
        </w:tc>
      </w:tr>
      <w:tr w:rsidR="00930160" w:rsidRPr="00AF44C6" w:rsidTr="001B4855">
        <w:trPr>
          <w:trHeight w:val="39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Youth Parole Board</w:t>
            </w:r>
          </w:p>
        </w:tc>
        <w:tc>
          <w:tcPr>
            <w:tcW w:w="10684" w:type="dxa"/>
          </w:tcPr>
          <w:p w:rsidR="00930160" w:rsidRPr="001B4855" w:rsidRDefault="00752207" w:rsidP="00A76FAF">
            <w:pPr>
              <w:pStyle w:val="ListParagraph"/>
              <w:numPr>
                <w:ilvl w:val="0"/>
                <w:numId w:val="51"/>
              </w:numPr>
              <w:spacing w:after="120" w:line="240" w:lineRule="auto"/>
              <w:ind w:left="397" w:hanging="227"/>
              <w:rPr>
                <w:rFonts w:cs="Arial"/>
                <w:sz w:val="16"/>
                <w:szCs w:val="16"/>
              </w:rPr>
            </w:pPr>
            <w:r>
              <w:rPr>
                <w:rFonts w:cs="Arial"/>
                <w:sz w:val="16"/>
                <w:szCs w:val="16"/>
              </w:rPr>
              <w:t>the Secretary to the DJCS</w:t>
            </w:r>
            <w:r w:rsidR="00930160" w:rsidRPr="001B4855">
              <w:rPr>
                <w:rFonts w:cs="Arial"/>
                <w:sz w:val="16"/>
                <w:szCs w:val="16"/>
              </w:rPr>
              <w:t xml:space="preserve">, to the extent that the Department supports the performance of the functions under Chapter 5 of the </w:t>
            </w:r>
            <w:r w:rsidR="00930160" w:rsidRPr="001B4855">
              <w:rPr>
                <w:rFonts w:cs="Arial"/>
                <w:i/>
                <w:sz w:val="16"/>
                <w:szCs w:val="16"/>
              </w:rPr>
              <w:t>Children, Youth and Families Act 2005</w:t>
            </w:r>
            <w:r w:rsidR="00930160" w:rsidRPr="001B4855">
              <w:rPr>
                <w:rFonts w:cs="Arial"/>
                <w:b/>
                <w:sz w:val="16"/>
                <w:szCs w:val="16"/>
              </w:rPr>
              <w:t xml:space="preserve"> </w:t>
            </w:r>
            <w:r w:rsidR="00930160" w:rsidRPr="001B4855">
              <w:rPr>
                <w:rFonts w:cs="Arial"/>
                <w:sz w:val="16"/>
                <w:szCs w:val="16"/>
              </w:rPr>
              <w:t>of the Youth Parole Board within the meaning of that Act</w:t>
            </w:r>
          </w:p>
        </w:tc>
      </w:tr>
      <w:tr w:rsidR="00930160" w:rsidRPr="00AF44C6" w:rsidTr="001B4855">
        <w:trPr>
          <w:trHeight w:val="397"/>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Justice Health</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the Secretary to the</w:t>
            </w:r>
            <w:r w:rsidR="00523247">
              <w:rPr>
                <w:rFonts w:cs="Arial"/>
                <w:sz w:val="16"/>
                <w:szCs w:val="16"/>
              </w:rPr>
              <w:t xml:space="preserve"> DJCS</w:t>
            </w:r>
            <w:r w:rsidRPr="001B4855">
              <w:rPr>
                <w:rFonts w:cs="Arial"/>
                <w:sz w:val="16"/>
                <w:szCs w:val="16"/>
              </w:rPr>
              <w:t>, to the extent that the Department manages or delivers justice health, rehabilitation or reintegration services or programs for children</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is engaged or funded u</w:t>
            </w:r>
            <w:r w:rsidR="00523247">
              <w:rPr>
                <w:rFonts w:cs="Arial"/>
                <w:sz w:val="16"/>
                <w:szCs w:val="16"/>
              </w:rPr>
              <w:t>nder a State contract by the DJCS</w:t>
            </w:r>
            <w:r w:rsidRPr="001B4855">
              <w:rPr>
                <w:rFonts w:cs="Arial"/>
                <w:sz w:val="16"/>
                <w:szCs w:val="16"/>
              </w:rPr>
              <w:t xml:space="preserve"> to provide or deliver health, rehabilitation or reintegration services or programs for children, to the extent that they provide or deliver those services or programs directly to children</w:t>
            </w:r>
          </w:p>
        </w:tc>
      </w:tr>
      <w:tr w:rsidR="00930160" w:rsidRPr="00AF44C6" w:rsidTr="001B4855">
        <w:trPr>
          <w:trHeight w:val="351"/>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Multi-Agency Panels to Prevent Youth Offending</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a person or body that participates in a Multi-Agency Panel to Prevent Youth Offending meeting, to the extent of that participation, including preparation for and attendance at the meeting and associated follow-up actions or activities</w:t>
            </w:r>
          </w:p>
        </w:tc>
      </w:tr>
      <w:tr w:rsidR="00930160" w:rsidRPr="00AF44C6" w:rsidTr="001B4855">
        <w:trPr>
          <w:trHeight w:val="155"/>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Victoria Police</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Victoria Police within the meaning of the </w:t>
            </w:r>
            <w:r w:rsidRPr="001B4855">
              <w:rPr>
                <w:rFonts w:cs="Arial"/>
                <w:i/>
                <w:sz w:val="16"/>
                <w:szCs w:val="16"/>
              </w:rPr>
              <w:t>Victoria Police Act 2013</w:t>
            </w:r>
          </w:p>
        </w:tc>
      </w:tr>
      <w:tr w:rsidR="00930160" w:rsidRPr="00AF44C6" w:rsidTr="001B4855">
        <w:trPr>
          <w:trHeight w:val="570"/>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 xml:space="preserve">Victims of Crime Helpline and </w:t>
            </w:r>
            <w:r w:rsidRPr="001B4855">
              <w:rPr>
                <w:rFonts w:ascii="Verdana" w:hAnsi="Verdana" w:cs="Arial"/>
                <w:sz w:val="16"/>
                <w:szCs w:val="16"/>
              </w:rPr>
              <w:br/>
              <w:t>Victims Assistance Programs</w:t>
            </w:r>
          </w:p>
        </w:tc>
        <w:tc>
          <w:tcPr>
            <w:tcW w:w="10684" w:type="dxa"/>
          </w:tcPr>
          <w:p w:rsidR="00930160" w:rsidRPr="001B4855" w:rsidRDefault="00930160" w:rsidP="00A76FAF">
            <w:pPr>
              <w:pStyle w:val="ListParagraph"/>
              <w:numPr>
                <w:ilvl w:val="0"/>
                <w:numId w:val="51"/>
              </w:numPr>
              <w:spacing w:after="120"/>
              <w:ind w:left="397" w:hanging="227"/>
              <w:rPr>
                <w:rFonts w:cs="Arial"/>
                <w:sz w:val="16"/>
                <w:szCs w:val="16"/>
              </w:rPr>
            </w:pPr>
            <w:r w:rsidRPr="001B4855">
              <w:rPr>
                <w:rFonts w:cs="Arial"/>
                <w:sz w:val="16"/>
                <w:szCs w:val="16"/>
              </w:rPr>
              <w:t>the Secretary to the DJ</w:t>
            </w:r>
            <w:r w:rsidR="00523247">
              <w:rPr>
                <w:rFonts w:cs="Arial"/>
                <w:sz w:val="16"/>
                <w:szCs w:val="16"/>
              </w:rPr>
              <w:t>CS</w:t>
            </w:r>
            <w:r w:rsidRPr="001B4855">
              <w:rPr>
                <w:rFonts w:cs="Arial"/>
                <w:sz w:val="16"/>
                <w:szCs w:val="16"/>
              </w:rPr>
              <w:t>, to the extent that the Department provides victims of crime support through a state-wide telephone service</w:t>
            </w:r>
          </w:p>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a person or body that is engaged or funded under a State contract to provide case management services to victims of crime, </w:t>
            </w:r>
            <w:r w:rsidRPr="001B4855">
              <w:rPr>
                <w:rFonts w:cs="Arial"/>
                <w:sz w:val="16"/>
                <w:szCs w:val="16"/>
              </w:rPr>
              <w:lastRenderedPageBreak/>
              <w:t>to the extent that the person or body performs functions relating to the delivery of case management services to victims of crime</w:t>
            </w:r>
          </w:p>
        </w:tc>
      </w:tr>
      <w:tr w:rsidR="00930160" w:rsidRPr="00AF44C6" w:rsidTr="001B4855">
        <w:trPr>
          <w:trHeight w:val="363"/>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lastRenderedPageBreak/>
              <w:t>Registry of Births, Deaths and Marriages</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the Secretary to t</w:t>
            </w:r>
            <w:r w:rsidR="00523247">
              <w:rPr>
                <w:rFonts w:cs="Arial"/>
                <w:sz w:val="16"/>
                <w:szCs w:val="16"/>
              </w:rPr>
              <w:t>he DJCS</w:t>
            </w:r>
            <w:r w:rsidRPr="001B4855">
              <w:rPr>
                <w:rFonts w:cs="Arial"/>
                <w:sz w:val="16"/>
                <w:szCs w:val="16"/>
              </w:rPr>
              <w:t xml:space="preserve">, to the extent that the Department supports the performance of the functions of the Registrar within the meaning of the </w:t>
            </w:r>
            <w:r w:rsidRPr="001B4855">
              <w:rPr>
                <w:rFonts w:cs="Arial"/>
                <w:i/>
                <w:sz w:val="16"/>
                <w:szCs w:val="16"/>
              </w:rPr>
              <w:t>Births, Deaths and Marriages Registration Act 1996</w:t>
            </w:r>
            <w:r w:rsidRPr="001B4855">
              <w:rPr>
                <w:rFonts w:cs="Arial"/>
                <w:sz w:val="16"/>
                <w:szCs w:val="16"/>
              </w:rPr>
              <w:t xml:space="preserve"> and the </w:t>
            </w:r>
            <w:r w:rsidRPr="001B4855">
              <w:rPr>
                <w:rFonts w:cs="Arial"/>
                <w:i/>
                <w:sz w:val="16"/>
                <w:szCs w:val="16"/>
              </w:rPr>
              <w:t>Relationships Act 2008</w:t>
            </w:r>
          </w:p>
        </w:tc>
      </w:tr>
      <w:tr w:rsidR="00930160" w:rsidRPr="00AF44C6" w:rsidTr="001B4855">
        <w:trPr>
          <w:trHeight w:val="397"/>
        </w:trPr>
        <w:tc>
          <w:tcPr>
            <w:tcW w:w="3544" w:type="dxa"/>
          </w:tcPr>
          <w:p w:rsidR="00930160" w:rsidRPr="001B4855" w:rsidRDefault="00930160" w:rsidP="00930160">
            <w:pPr>
              <w:spacing w:after="120"/>
              <w:rPr>
                <w:rFonts w:ascii="Verdana" w:hAnsi="Verdana" w:cs="Arial"/>
                <w:sz w:val="16"/>
                <w:szCs w:val="16"/>
                <w:highlight w:val="yellow"/>
              </w:rPr>
            </w:pPr>
            <w:r w:rsidRPr="001B4855">
              <w:rPr>
                <w:rFonts w:ascii="Verdana" w:hAnsi="Verdana" w:cs="Arial"/>
                <w:sz w:val="16"/>
                <w:szCs w:val="16"/>
              </w:rPr>
              <w:t>Disability Services Commissioner</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the Disability Services Commissioner within the meaning of the </w:t>
            </w:r>
            <w:r w:rsidRPr="001B4855">
              <w:rPr>
                <w:rFonts w:cs="Arial"/>
                <w:i/>
                <w:sz w:val="16"/>
                <w:szCs w:val="16"/>
              </w:rPr>
              <w:t>Disability Act 2006</w:t>
            </w:r>
          </w:p>
        </w:tc>
      </w:tr>
      <w:tr w:rsidR="00930160" w:rsidRPr="00AF44C6" w:rsidTr="001B4855">
        <w:trPr>
          <w:trHeight w:val="485"/>
        </w:trPr>
        <w:tc>
          <w:tcPr>
            <w:tcW w:w="3544" w:type="dxa"/>
          </w:tcPr>
          <w:p w:rsidR="00930160" w:rsidRPr="001B4855" w:rsidRDefault="00930160" w:rsidP="00930160">
            <w:pPr>
              <w:spacing w:after="120"/>
              <w:rPr>
                <w:rFonts w:ascii="Verdana" w:hAnsi="Verdana" w:cs="Arial"/>
                <w:sz w:val="16"/>
                <w:szCs w:val="16"/>
              </w:rPr>
            </w:pPr>
            <w:r w:rsidRPr="001B4855">
              <w:rPr>
                <w:rFonts w:ascii="Verdana" w:hAnsi="Verdana" w:cs="Arial"/>
                <w:sz w:val="16"/>
                <w:szCs w:val="16"/>
              </w:rPr>
              <w:t>Commission for Children and Young People</w:t>
            </w:r>
          </w:p>
        </w:tc>
        <w:tc>
          <w:tcPr>
            <w:tcW w:w="10684" w:type="dxa"/>
          </w:tcPr>
          <w:p w:rsidR="00930160" w:rsidRPr="001B4855" w:rsidRDefault="00930160" w:rsidP="00A76FAF">
            <w:pPr>
              <w:pStyle w:val="ListParagraph"/>
              <w:numPr>
                <w:ilvl w:val="0"/>
                <w:numId w:val="51"/>
              </w:numPr>
              <w:spacing w:after="120" w:line="240" w:lineRule="auto"/>
              <w:ind w:left="397" w:hanging="227"/>
              <w:rPr>
                <w:rFonts w:cs="Arial"/>
                <w:sz w:val="16"/>
                <w:szCs w:val="16"/>
              </w:rPr>
            </w:pPr>
            <w:r w:rsidRPr="001B4855">
              <w:rPr>
                <w:rFonts w:cs="Arial"/>
                <w:sz w:val="16"/>
                <w:szCs w:val="16"/>
              </w:rPr>
              <w:t xml:space="preserve">the Commission for Children and Young People established by section 6 of the </w:t>
            </w:r>
            <w:r w:rsidRPr="001B4855">
              <w:rPr>
                <w:rFonts w:cs="Arial"/>
                <w:i/>
                <w:sz w:val="16"/>
                <w:szCs w:val="16"/>
              </w:rPr>
              <w:t>Commission for Children and Young People</w:t>
            </w:r>
            <w:r w:rsidRPr="001B4855">
              <w:rPr>
                <w:rFonts w:cs="Arial"/>
                <w:b/>
                <w:sz w:val="16"/>
                <w:szCs w:val="16"/>
              </w:rPr>
              <w:t xml:space="preserve"> </w:t>
            </w:r>
            <w:r w:rsidRPr="001B4855">
              <w:rPr>
                <w:rFonts w:cs="Arial"/>
                <w:i/>
                <w:sz w:val="16"/>
                <w:szCs w:val="16"/>
              </w:rPr>
              <w:t>Act 2012</w:t>
            </w:r>
          </w:p>
        </w:tc>
      </w:tr>
    </w:tbl>
    <w:p w:rsidR="00930160" w:rsidRPr="00665A55" w:rsidRDefault="00930160" w:rsidP="00930160">
      <w:pPr>
        <w:spacing w:before="120"/>
        <w:rPr>
          <w:rFonts w:ascii="Verdana" w:hAnsi="Verdana"/>
          <w:sz w:val="16"/>
          <w:szCs w:val="16"/>
        </w:rPr>
      </w:pPr>
      <w:r w:rsidRPr="00665A55">
        <w:rPr>
          <w:rFonts w:ascii="Verdana" w:hAnsi="Verdana"/>
          <w:sz w:val="16"/>
          <w:szCs w:val="16"/>
        </w:rPr>
        <w:t>Total number of entities: 711</w:t>
      </w:r>
      <w:r w:rsidR="007A4089" w:rsidRPr="00665A55">
        <w:rPr>
          <w:rFonts w:ascii="Verdana" w:hAnsi="Verdana"/>
          <w:sz w:val="16"/>
          <w:szCs w:val="16"/>
        </w:rPr>
        <w:t xml:space="preserve"> (approximate)</w:t>
      </w:r>
    </w:p>
    <w:p w:rsidR="00930160" w:rsidRPr="00665A55" w:rsidRDefault="00930160" w:rsidP="00930160">
      <w:pPr>
        <w:spacing w:after="120"/>
        <w:rPr>
          <w:rFonts w:ascii="Verdana" w:hAnsi="Verdana"/>
          <w:sz w:val="16"/>
          <w:szCs w:val="16"/>
        </w:rPr>
      </w:pPr>
      <w:r w:rsidRPr="00665A55">
        <w:rPr>
          <w:rFonts w:ascii="Verdana" w:hAnsi="Verdana"/>
          <w:sz w:val="16"/>
          <w:szCs w:val="16"/>
        </w:rPr>
        <w:t>Total workforce for prescribed entities: 28,000</w:t>
      </w:r>
      <w:r w:rsidR="007A4089" w:rsidRPr="00665A55">
        <w:rPr>
          <w:rFonts w:ascii="Verdana" w:hAnsi="Verdana"/>
          <w:sz w:val="16"/>
          <w:szCs w:val="16"/>
        </w:rPr>
        <w:t xml:space="preserve"> (approximate)</w:t>
      </w:r>
    </w:p>
    <w:p w:rsidR="00930160" w:rsidRDefault="00930160" w:rsidP="00930160"/>
    <w:p w:rsidR="00C4469F" w:rsidRDefault="00C4469F" w:rsidP="00930160">
      <w:pPr>
        <w:pStyle w:val="WOVGbody"/>
        <w:sectPr w:rsidR="00C4469F" w:rsidSect="007228D3">
          <w:pgSz w:w="16838" w:h="11906" w:orient="landscape"/>
          <w:pgMar w:top="1304" w:right="1701" w:bottom="1304" w:left="1134" w:header="454" w:footer="510" w:gutter="0"/>
          <w:cols w:space="720"/>
          <w:docGrid w:linePitch="360"/>
        </w:sectPr>
      </w:pPr>
    </w:p>
    <w:p w:rsidR="00C4469F" w:rsidRPr="00C24006" w:rsidRDefault="00C4469F" w:rsidP="00C4469F">
      <w:pPr>
        <w:pStyle w:val="Heading1"/>
        <w:ind w:left="284"/>
        <w:rPr>
          <w:rFonts w:ascii="Verdana" w:hAnsi="Verdana"/>
        </w:rPr>
      </w:pPr>
      <w:bookmarkStart w:id="57" w:name="_Toc23510801"/>
      <w:r>
        <w:rPr>
          <w:rFonts w:ascii="Verdana" w:hAnsi="Verdana"/>
        </w:rPr>
        <w:lastRenderedPageBreak/>
        <w:t xml:space="preserve">Appendix B </w:t>
      </w:r>
      <w:r w:rsidRPr="00C24006">
        <w:rPr>
          <w:rFonts w:ascii="Verdana" w:hAnsi="Verdana"/>
        </w:rPr>
        <w:t>Entities Proposed for Phase Two Prescription</w:t>
      </w:r>
      <w:bookmarkEnd w:id="57"/>
    </w:p>
    <w:tbl>
      <w:tblPr>
        <w:tblStyle w:val="Deloittetable"/>
        <w:tblW w:w="14228" w:type="dxa"/>
        <w:tblBorders>
          <w:top w:val="single" w:sz="24" w:space="0" w:color="auto"/>
        </w:tblBorders>
        <w:tblLayout w:type="fixed"/>
        <w:tblLook w:val="04A0" w:firstRow="1" w:lastRow="0" w:firstColumn="1" w:lastColumn="0" w:noHBand="0" w:noVBand="1"/>
      </w:tblPr>
      <w:tblGrid>
        <w:gridCol w:w="3544"/>
        <w:gridCol w:w="10684"/>
      </w:tblGrid>
      <w:tr w:rsidR="00A76FAF" w:rsidRPr="00665A55" w:rsidTr="00F81352">
        <w:trPr>
          <w:cnfStyle w:val="100000000000" w:firstRow="1" w:lastRow="0" w:firstColumn="0" w:lastColumn="0" w:oddVBand="0" w:evenVBand="0" w:oddHBand="0" w:evenHBand="0" w:firstRowFirstColumn="0" w:firstRowLastColumn="0" w:lastRowFirstColumn="0" w:lastRowLastColumn="0"/>
          <w:trHeight w:val="379"/>
        </w:trPr>
        <w:tc>
          <w:tcPr>
            <w:tcW w:w="3544" w:type="dxa"/>
            <w:tcBorders>
              <w:top w:val="none" w:sz="0" w:space="0" w:color="auto"/>
            </w:tcBorders>
          </w:tcPr>
          <w:p w:rsidR="00A76FAF" w:rsidRPr="00665A55" w:rsidRDefault="00A76FAF" w:rsidP="00F81352">
            <w:pPr>
              <w:rPr>
                <w:rFonts w:ascii="Verdana" w:hAnsi="Verdana" w:cstheme="minorHAnsi"/>
                <w:b/>
              </w:rPr>
            </w:pPr>
            <w:r w:rsidRPr="00665A55">
              <w:rPr>
                <w:rFonts w:ascii="Verdana" w:hAnsi="Verdana" w:cstheme="minorHAnsi"/>
                <w:b/>
              </w:rPr>
              <w:t>Prescribed workforce</w:t>
            </w:r>
          </w:p>
        </w:tc>
        <w:tc>
          <w:tcPr>
            <w:tcW w:w="10684" w:type="dxa"/>
            <w:tcBorders>
              <w:top w:val="none" w:sz="0" w:space="0" w:color="auto"/>
            </w:tcBorders>
          </w:tcPr>
          <w:p w:rsidR="00A76FAF" w:rsidRPr="00665A55" w:rsidRDefault="000918C8" w:rsidP="000918C8">
            <w:pPr>
              <w:rPr>
                <w:rFonts w:ascii="Verdana" w:hAnsi="Verdana" w:cstheme="minorHAnsi"/>
                <w:b/>
              </w:rPr>
            </w:pPr>
            <w:r>
              <w:rPr>
                <w:rFonts w:ascii="Verdana" w:hAnsi="Verdana" w:cstheme="minorHAnsi"/>
                <w:b/>
              </w:rPr>
              <w:t xml:space="preserve">Described </w:t>
            </w:r>
            <w:r w:rsidR="0055297A">
              <w:rPr>
                <w:rFonts w:ascii="Verdana" w:hAnsi="Verdana" w:cstheme="minorHAnsi"/>
                <w:b/>
              </w:rPr>
              <w:t>as</w:t>
            </w:r>
            <w:r w:rsidR="001B0CDF">
              <w:rPr>
                <w:rFonts w:ascii="Verdana" w:hAnsi="Verdana" w:cstheme="minorHAnsi"/>
                <w:b/>
              </w:rPr>
              <w:t>:</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Government and non-government schools</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registered schools within the meaning of section 1.1.3(1) of the </w:t>
            </w:r>
            <w:r w:rsidRPr="00665A55">
              <w:rPr>
                <w:rFonts w:cstheme="minorHAnsi"/>
                <w:i/>
                <w:sz w:val="16"/>
                <w:szCs w:val="16"/>
              </w:rPr>
              <w:t>Education and Training Reform Act 2006</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Relevant non-government school system bodies</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a person or body that provides support and services to Catholic schools for the Archdiocese of Melbourne, Diocese of Sale, Diocese Ballarat, and Diocese of Sandhurst, to the extent that the person or body performs functions relating to: (a) student wellbeing support, or (b) professional ethics and conduct support, or (c) learning diversity support</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Kindergartens</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an education and care service within the meaning of clause 5(1) of the Schedule to the </w:t>
            </w:r>
            <w:r w:rsidRPr="00665A55">
              <w:rPr>
                <w:rFonts w:cstheme="minorHAnsi"/>
                <w:i/>
                <w:sz w:val="16"/>
                <w:szCs w:val="16"/>
              </w:rPr>
              <w:t>Education and Care Services National Law Act 2010</w:t>
            </w:r>
            <w:r w:rsidRPr="00665A55">
              <w:rPr>
                <w:rFonts w:cstheme="minorHAnsi"/>
                <w:sz w:val="16"/>
                <w:szCs w:val="16"/>
              </w:rPr>
              <w:t>, to the extent that the service is registered to provide kindergarten</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Long day care services</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an education and care service within the meaning of clause 5(1) of the Schedule to the </w:t>
            </w:r>
            <w:r w:rsidRPr="00665A55">
              <w:rPr>
                <w:rFonts w:cstheme="minorHAnsi"/>
                <w:i/>
                <w:sz w:val="16"/>
                <w:szCs w:val="16"/>
              </w:rPr>
              <w:t>Education and Care Services National Law Act 2010</w:t>
            </w:r>
            <w:r w:rsidRPr="00665A55">
              <w:rPr>
                <w:rFonts w:cstheme="minorHAnsi"/>
                <w:sz w:val="16"/>
                <w:szCs w:val="16"/>
              </w:rPr>
              <w:t>, to the extent that the service is registered to provide long day care</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Outside school hours care services</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an education and care service within the meaning of clause 5(1) of the Schedule to the </w:t>
            </w:r>
            <w:r w:rsidRPr="00665A55">
              <w:rPr>
                <w:rFonts w:cstheme="minorHAnsi"/>
                <w:i/>
                <w:sz w:val="16"/>
                <w:szCs w:val="16"/>
              </w:rPr>
              <w:t>Education and Care Services National Law Act 2010</w:t>
            </w:r>
            <w:r w:rsidRPr="00665A55">
              <w:rPr>
                <w:rFonts w:cstheme="minorHAnsi"/>
                <w:sz w:val="16"/>
                <w:szCs w:val="16"/>
              </w:rPr>
              <w:t>, registered to provide outside school hours care, to the extent that the service provides before school care and after school care</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Student disengagement and wellbeing services/programs funded by the Department of Education and Training</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Enhancing Mental Health Support in Schools Program –</w:t>
            </w:r>
            <w:r w:rsidRPr="00665A55">
              <w:rPr>
                <w:rFonts w:cstheme="minorHAnsi"/>
                <w:sz w:val="16"/>
                <w:szCs w:val="16"/>
              </w:rPr>
              <w:t xml:space="preserve"> a person or body that is engaged or funded under a State contract to provide mental health support services, to the extent that the person or body performs functions relating to the provision of mental health support services in government schools</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Lookout Program – </w:t>
            </w:r>
            <w:r w:rsidRPr="00665A55">
              <w:rPr>
                <w:rFonts w:cstheme="minorHAnsi"/>
                <w:sz w:val="16"/>
                <w:szCs w:val="16"/>
              </w:rPr>
              <w:t>a person or body that is engaged or funded under a State contract to manage or deliver programs which support educational outcomes for children and young people in out of home care, to the extent that the person or body performs functions relating to the provision of programs to support educational outcomes for children and young people in out of home care</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Primary School Nursing Program – </w:t>
            </w:r>
            <w:r w:rsidRPr="00665A55">
              <w:rPr>
                <w:rFonts w:cstheme="minorHAnsi"/>
                <w:sz w:val="16"/>
                <w:szCs w:val="16"/>
              </w:rPr>
              <w:t>a person or body that is engaged or funded under a State contract to manage or deliver primary school nursing programs and services, to the extent that the person or body performs functions relating to the provision of primary school nursing programs and services in registered schools</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Project REAL and Navigator Program – </w:t>
            </w:r>
            <w:r w:rsidRPr="00665A55">
              <w:rPr>
                <w:rFonts w:cstheme="minorHAnsi"/>
                <w:sz w:val="16"/>
                <w:szCs w:val="16"/>
              </w:rPr>
              <w:t>a person or body that is engaged or funded under a State contract to provide re-</w:t>
            </w:r>
            <w:r w:rsidRPr="00665A55">
              <w:rPr>
                <w:rFonts w:cstheme="minorHAnsi"/>
                <w:sz w:val="16"/>
                <w:szCs w:val="16"/>
              </w:rPr>
              <w:lastRenderedPageBreak/>
              <w:t>engagement services to children and young people at risk of disengaging with education, to the extent that the person or body performs functions relating to the provision of those services</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Royal Children’s Hospital Education Institute –</w:t>
            </w:r>
            <w:r w:rsidRPr="00665A55">
              <w:rPr>
                <w:rFonts w:cstheme="minorHAnsi"/>
                <w:sz w:val="16"/>
                <w:szCs w:val="16"/>
              </w:rPr>
              <w:t xml:space="preserve"> a person or body that is engaged or funded under a State contract to provide education support to children and young people experiencing chronic health conditions, to the extent that the person or body performs functions relating to the provision of those services at the Royal Children’s Hospital</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School-focussed youth services and the Geelong Project –</w:t>
            </w:r>
            <w:r w:rsidRPr="00665A55">
              <w:rPr>
                <w:rFonts w:cstheme="minorHAnsi"/>
                <w:sz w:val="16"/>
                <w:szCs w:val="16"/>
              </w:rPr>
              <w:t xml:space="preserve"> a person or body that is engaged or funded under a State contract to provide early intervention services to children and young people at risk of disengaging with education, to the extent that the person or body performs functions relating to the provision of those services</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Secondary School Nursing Program – </w:t>
            </w:r>
            <w:r w:rsidRPr="00665A55">
              <w:rPr>
                <w:rFonts w:cstheme="minorHAnsi"/>
                <w:sz w:val="16"/>
                <w:szCs w:val="16"/>
              </w:rPr>
              <w:t>a person or body that is engaged or funded under a State contract to manage or deliver secondary school nursing programs and services, to the extent that the person or body performs functions relating to the provision of secondary school nursing programs and services in government schools</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State Chaplaincy Program – </w:t>
            </w:r>
            <w:r w:rsidRPr="00665A55">
              <w:rPr>
                <w:rFonts w:cstheme="minorHAnsi"/>
                <w:sz w:val="16"/>
                <w:szCs w:val="16"/>
              </w:rPr>
              <w:t>a person or body that is engaged or funded under a State contract to provide chaplaincy services, to the extent that the person or body performs functions relating to the provision of chaplaincy services in government schools</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Student Support Services – </w:t>
            </w:r>
            <w:r w:rsidRPr="00665A55">
              <w:rPr>
                <w:rFonts w:cstheme="minorHAnsi"/>
                <w:sz w:val="16"/>
                <w:szCs w:val="16"/>
              </w:rPr>
              <w:t>a person or body that is engaged or funded under a State contract to manage or deliver student support services to assist children and young people with learning, mental health and developmental barriers, to the extent that the person or body performs functions relating to the provision of services to assist children and young people with learning, mental health and developmental barriers</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lastRenderedPageBreak/>
              <w:t>Child and wellbeing services/programs delivered by the Department of Education and Training</w:t>
            </w:r>
          </w:p>
        </w:tc>
        <w:tc>
          <w:tcPr>
            <w:tcW w:w="10684" w:type="dxa"/>
          </w:tcPr>
          <w:p w:rsidR="00A76FAF" w:rsidRPr="00665A55" w:rsidRDefault="00A76FAF" w:rsidP="00A76FAF">
            <w:pPr>
              <w:pStyle w:val="ListParagraph"/>
              <w:numPr>
                <w:ilvl w:val="0"/>
                <w:numId w:val="51"/>
              </w:numPr>
              <w:ind w:left="397" w:hanging="227"/>
              <w:contextualSpacing w:val="0"/>
              <w:rPr>
                <w:rFonts w:cstheme="minorHAnsi"/>
                <w:sz w:val="16"/>
                <w:szCs w:val="16"/>
              </w:rPr>
            </w:pPr>
            <w:r w:rsidRPr="00665A55">
              <w:rPr>
                <w:rFonts w:cstheme="minorHAnsi"/>
                <w:b/>
                <w:sz w:val="16"/>
                <w:szCs w:val="16"/>
              </w:rPr>
              <w:t xml:space="preserve">Early Years Managers – </w:t>
            </w:r>
            <w:r w:rsidRPr="00665A55">
              <w:rPr>
                <w:rFonts w:cstheme="minorHAnsi"/>
                <w:sz w:val="16"/>
                <w:szCs w:val="16"/>
              </w:rPr>
              <w:t>the Secretary to the Department of Education and Training, to the extent that that Department operates or manages services for kindergartens based in local government or community organisations, to the extent that the services have direct engagement with children or hold relevant information about children</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Education Justice Initiative –</w:t>
            </w:r>
            <w:r w:rsidRPr="00665A55">
              <w:rPr>
                <w:rFonts w:cstheme="minorHAnsi"/>
                <w:sz w:val="16"/>
                <w:szCs w:val="16"/>
              </w:rPr>
              <w:t xml:space="preserve"> the Secretary to the Department of Education and Training, to the extent that that Department manages or delivers programs which support the educational outcomes of children and young people involved in the criminal justice system</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 xml:space="preserve">Koorie Engagement Support Officers – </w:t>
            </w:r>
            <w:r w:rsidRPr="00665A55">
              <w:rPr>
                <w:rFonts w:cstheme="minorHAnsi"/>
                <w:sz w:val="16"/>
                <w:szCs w:val="16"/>
              </w:rPr>
              <w:t>the Secretary to the Department of Education and Training, to the extent that that Department manages or delivers programs and services to support cultural engagement and improved outcomes for children and young people who are Aboriginal or Torres Strait Islander, or both</w:t>
            </w:r>
          </w:p>
          <w:p w:rsidR="00A76FAF" w:rsidRPr="00665A55" w:rsidRDefault="00A76FAF" w:rsidP="00A76FAF">
            <w:pPr>
              <w:pStyle w:val="ListParagraph"/>
              <w:numPr>
                <w:ilvl w:val="0"/>
                <w:numId w:val="51"/>
              </w:numPr>
              <w:ind w:left="397" w:hanging="227"/>
              <w:contextualSpacing w:val="0"/>
              <w:rPr>
                <w:rFonts w:cstheme="minorHAnsi"/>
                <w:sz w:val="16"/>
                <w:szCs w:val="16"/>
              </w:rPr>
            </w:pPr>
            <w:r w:rsidRPr="00665A55">
              <w:rPr>
                <w:rFonts w:cstheme="minorHAnsi"/>
                <w:b/>
                <w:sz w:val="16"/>
                <w:szCs w:val="16"/>
              </w:rPr>
              <w:t>Lookout –</w:t>
            </w:r>
            <w:r w:rsidRPr="00665A55">
              <w:rPr>
                <w:rFonts w:cstheme="minorHAnsi"/>
                <w:sz w:val="16"/>
                <w:szCs w:val="16"/>
              </w:rPr>
              <w:t xml:space="preserve"> the Secretary to the Department of Education and Training, to the extent that that Department manages or delivers programs which support educational outcomes for children and young people in out of home care</w:t>
            </w:r>
          </w:p>
          <w:p w:rsidR="00A76FAF" w:rsidRPr="00665A55" w:rsidRDefault="00A76FAF" w:rsidP="00A76FAF">
            <w:pPr>
              <w:pStyle w:val="ListParagraph"/>
              <w:numPr>
                <w:ilvl w:val="0"/>
                <w:numId w:val="51"/>
              </w:numPr>
              <w:ind w:left="397" w:hanging="227"/>
              <w:contextualSpacing w:val="0"/>
              <w:rPr>
                <w:rFonts w:cstheme="minorHAnsi"/>
                <w:sz w:val="16"/>
                <w:szCs w:val="16"/>
              </w:rPr>
            </w:pPr>
            <w:r w:rsidRPr="00665A55">
              <w:rPr>
                <w:rFonts w:cstheme="minorHAnsi"/>
                <w:b/>
                <w:sz w:val="16"/>
                <w:szCs w:val="16"/>
              </w:rPr>
              <w:t>National School Chaplaincy Program –</w:t>
            </w:r>
            <w:r w:rsidRPr="00665A55">
              <w:rPr>
                <w:rFonts w:cstheme="minorHAnsi"/>
                <w:sz w:val="16"/>
                <w:szCs w:val="16"/>
              </w:rPr>
              <w:t xml:space="preserve"> the Secretary to the Department of Education and Training, to the extent that that Department manages or delivers chaplaincy programs to support the emotional wellbeing of students</w:t>
            </w:r>
          </w:p>
          <w:p w:rsidR="00A76FAF" w:rsidRPr="00665A55" w:rsidRDefault="00A76FAF" w:rsidP="00A76FAF">
            <w:pPr>
              <w:pStyle w:val="ListParagraph"/>
              <w:numPr>
                <w:ilvl w:val="0"/>
                <w:numId w:val="51"/>
              </w:numPr>
              <w:ind w:left="397" w:hanging="227"/>
              <w:contextualSpacing w:val="0"/>
              <w:rPr>
                <w:rFonts w:cstheme="minorHAnsi"/>
                <w:sz w:val="16"/>
                <w:szCs w:val="16"/>
              </w:rPr>
            </w:pPr>
            <w:r w:rsidRPr="00665A55">
              <w:rPr>
                <w:rFonts w:cstheme="minorHAnsi"/>
                <w:b/>
                <w:sz w:val="16"/>
                <w:szCs w:val="16"/>
              </w:rPr>
              <w:lastRenderedPageBreak/>
              <w:t>Quality Assessment and Regulation Division –</w:t>
            </w:r>
            <w:r w:rsidRPr="00665A55">
              <w:rPr>
                <w:rFonts w:cstheme="minorHAnsi"/>
                <w:sz w:val="16"/>
                <w:szCs w:val="16"/>
              </w:rPr>
              <w:t xml:space="preserve"> the Secretary to the Department of Education and Training, to the extent that that Department manages the approval and regulation of education and care services that operate under the </w:t>
            </w:r>
            <w:r w:rsidRPr="00665A55">
              <w:rPr>
                <w:rFonts w:cstheme="minorHAnsi"/>
                <w:i/>
                <w:sz w:val="16"/>
                <w:szCs w:val="16"/>
              </w:rPr>
              <w:t>Education and Care Services National Law Act 2010</w:t>
            </w:r>
            <w:r w:rsidRPr="00665A55">
              <w:rPr>
                <w:rFonts w:cstheme="minorHAnsi"/>
                <w:sz w:val="16"/>
                <w:szCs w:val="16"/>
              </w:rPr>
              <w:t xml:space="preserve">, or manages the licensing and regulation of children’s services under the </w:t>
            </w:r>
            <w:r w:rsidRPr="00665A55">
              <w:rPr>
                <w:rFonts w:cstheme="minorHAnsi"/>
                <w:i/>
                <w:sz w:val="16"/>
                <w:szCs w:val="16"/>
              </w:rPr>
              <w:t>Children’s Services Act 1996</w:t>
            </w:r>
          </w:p>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b/>
                <w:sz w:val="16"/>
                <w:szCs w:val="16"/>
              </w:rPr>
              <w:t>Security and Emergency Management Division –</w:t>
            </w:r>
            <w:r w:rsidRPr="00665A55">
              <w:rPr>
                <w:rFonts w:cstheme="minorHAnsi"/>
                <w:sz w:val="16"/>
                <w:szCs w:val="16"/>
              </w:rPr>
              <w:t xml:space="preserve"> the Secretary to the Department of Education and Training, to the extent that that Department manages or delivers emergency and critical incident management, security, and incident management programs and services</w:t>
            </w:r>
          </w:p>
          <w:p w:rsidR="00A76FAF" w:rsidRPr="00665A55" w:rsidRDefault="00A76FAF" w:rsidP="00A76FAF">
            <w:pPr>
              <w:pStyle w:val="ListParagraph"/>
              <w:numPr>
                <w:ilvl w:val="0"/>
                <w:numId w:val="51"/>
              </w:numPr>
              <w:ind w:left="397" w:hanging="227"/>
              <w:contextualSpacing w:val="0"/>
              <w:rPr>
                <w:rFonts w:cstheme="minorHAnsi"/>
                <w:sz w:val="16"/>
                <w:szCs w:val="16"/>
              </w:rPr>
            </w:pPr>
            <w:r w:rsidRPr="00665A55">
              <w:rPr>
                <w:rFonts w:cstheme="minorHAnsi"/>
                <w:b/>
                <w:sz w:val="16"/>
                <w:szCs w:val="16"/>
              </w:rPr>
              <w:t xml:space="preserve">State-wide Vision Resource Centre – </w:t>
            </w:r>
            <w:r w:rsidRPr="00665A55">
              <w:rPr>
                <w:rFonts w:cstheme="minorHAnsi"/>
                <w:sz w:val="16"/>
                <w:szCs w:val="16"/>
              </w:rPr>
              <w:t>the Secretary to the Department of Education and Training, to the extent that that Department manages or delivers programs and services to assist children and young people with vision impairment</w:t>
            </w:r>
          </w:p>
          <w:p w:rsidR="00A76FAF" w:rsidRPr="00665A55" w:rsidRDefault="00A76FAF" w:rsidP="00A76FAF">
            <w:pPr>
              <w:pStyle w:val="ListParagraph"/>
              <w:numPr>
                <w:ilvl w:val="0"/>
                <w:numId w:val="51"/>
              </w:numPr>
              <w:ind w:left="397" w:hanging="227"/>
              <w:contextualSpacing w:val="0"/>
              <w:rPr>
                <w:rFonts w:cstheme="minorHAnsi"/>
                <w:sz w:val="16"/>
                <w:szCs w:val="16"/>
              </w:rPr>
            </w:pPr>
            <w:r w:rsidRPr="00665A55">
              <w:rPr>
                <w:rFonts w:cstheme="minorHAnsi"/>
                <w:b/>
                <w:sz w:val="16"/>
                <w:szCs w:val="16"/>
              </w:rPr>
              <w:t>Student Support Services –</w:t>
            </w:r>
            <w:r w:rsidRPr="00665A55">
              <w:rPr>
                <w:rFonts w:cstheme="minorHAnsi"/>
                <w:sz w:val="16"/>
                <w:szCs w:val="16"/>
              </w:rPr>
              <w:t xml:space="preserve"> the Secretary to the Department of Education and Training, to the extent that that Department manages or delivers student support services to assist children and young people with learning, mental health and developmental barriers</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lastRenderedPageBreak/>
              <w:t>Victorian Curriculum and Assessment Authority</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the Victorian Institute of Teaching continued in operation by Part 2.6 of the </w:t>
            </w:r>
            <w:r w:rsidRPr="00665A55">
              <w:rPr>
                <w:rFonts w:cstheme="minorHAnsi"/>
                <w:i/>
                <w:sz w:val="16"/>
                <w:szCs w:val="16"/>
              </w:rPr>
              <w:t>Education and Training Reform Act 2006</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Victorian Institute of Teaching</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the Victorian Curriculum and Assessment Authority continued in operation by Part 2.5 of the </w:t>
            </w:r>
            <w:r w:rsidRPr="00665A55">
              <w:rPr>
                <w:rFonts w:cstheme="minorHAnsi"/>
                <w:i/>
                <w:sz w:val="16"/>
                <w:szCs w:val="16"/>
              </w:rPr>
              <w:t>Education and Training Reform Act 2006</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Victorian Registration and Qualifications Authority</w:t>
            </w:r>
          </w:p>
        </w:tc>
        <w:tc>
          <w:tcPr>
            <w:tcW w:w="10684" w:type="dxa"/>
          </w:tcPr>
          <w:p w:rsidR="00A76FAF" w:rsidRPr="00665A55" w:rsidRDefault="00A76FAF" w:rsidP="00A76FAF">
            <w:pPr>
              <w:pStyle w:val="ListParagraph"/>
              <w:numPr>
                <w:ilvl w:val="0"/>
                <w:numId w:val="51"/>
              </w:numPr>
              <w:spacing w:after="120"/>
              <w:ind w:left="397" w:hanging="227"/>
              <w:contextualSpacing w:val="0"/>
              <w:rPr>
                <w:rFonts w:cstheme="minorHAnsi"/>
                <w:sz w:val="16"/>
                <w:szCs w:val="16"/>
              </w:rPr>
            </w:pPr>
            <w:r w:rsidRPr="00665A55">
              <w:rPr>
                <w:rFonts w:cstheme="minorHAnsi"/>
                <w:sz w:val="16"/>
                <w:szCs w:val="16"/>
              </w:rPr>
              <w:t xml:space="preserve">the Victorian Registration and Qualifications Authority established under Chapter 4 of the </w:t>
            </w:r>
            <w:r w:rsidRPr="00665A55">
              <w:rPr>
                <w:rFonts w:cstheme="minorHAnsi"/>
                <w:i/>
                <w:sz w:val="16"/>
                <w:szCs w:val="16"/>
              </w:rPr>
              <w:t>Education and Training Reform Act 2006</w:t>
            </w:r>
          </w:p>
        </w:tc>
      </w:tr>
      <w:tr w:rsidR="00A76FAF" w:rsidRPr="00665A55" w:rsidTr="00F81352">
        <w:trPr>
          <w:trHeight w:val="605"/>
        </w:trPr>
        <w:tc>
          <w:tcPr>
            <w:tcW w:w="3544" w:type="dxa"/>
          </w:tcPr>
          <w:p w:rsidR="00A76FAF" w:rsidRPr="00665A55" w:rsidRDefault="000918C8" w:rsidP="000918C8">
            <w:pPr>
              <w:spacing w:after="120"/>
              <w:rPr>
                <w:rFonts w:ascii="Verdana" w:hAnsi="Verdana" w:cstheme="minorHAnsi"/>
                <w:sz w:val="16"/>
                <w:szCs w:val="16"/>
              </w:rPr>
            </w:pPr>
            <w:r>
              <w:rPr>
                <w:rFonts w:ascii="Verdana" w:hAnsi="Verdana" w:cstheme="minorHAnsi"/>
                <w:sz w:val="16"/>
                <w:szCs w:val="16"/>
              </w:rPr>
              <w:t>Community m</w:t>
            </w:r>
            <w:r w:rsidR="00A76FAF" w:rsidRPr="00665A55">
              <w:rPr>
                <w:rFonts w:ascii="Verdana" w:hAnsi="Verdana" w:cstheme="minorHAnsi"/>
                <w:sz w:val="16"/>
                <w:szCs w:val="16"/>
              </w:rPr>
              <w:t>ental health services</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person or body that is a mental health service provider within the meaning of the </w:t>
            </w:r>
            <w:r w:rsidRPr="00665A55">
              <w:rPr>
                <w:rFonts w:cstheme="minorHAnsi"/>
                <w:i/>
                <w:sz w:val="16"/>
                <w:szCs w:val="16"/>
              </w:rPr>
              <w:t xml:space="preserve">Mental Health Act 2014 </w:t>
            </w:r>
            <w:r w:rsidRPr="00665A55">
              <w:rPr>
                <w:rFonts w:cstheme="minorHAnsi"/>
                <w:sz w:val="16"/>
                <w:szCs w:val="16"/>
              </w:rPr>
              <w:t>that is engaged or funded under a State contract to provide mental health services, to the extent that it performs functions relating to the provision of mental health services</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Homelessness services</w:t>
            </w:r>
          </w:p>
        </w:tc>
        <w:tc>
          <w:tcPr>
            <w:tcW w:w="10684" w:type="dxa"/>
          </w:tcPr>
          <w:p w:rsidR="00A76FAF" w:rsidRPr="000918C8" w:rsidRDefault="00A76FAF" w:rsidP="000918C8">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a person or body that is engaged or funded under a State contract to provide homelessness accommodation or homelessness support services, to the extent that the person or body performs functions relating to the provision of homelessness accommodation or homelessness support services</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Housing</w:t>
            </w:r>
          </w:p>
        </w:tc>
        <w:tc>
          <w:tcPr>
            <w:tcW w:w="10684" w:type="dxa"/>
          </w:tcPr>
          <w:p w:rsidR="000918C8" w:rsidRPr="000918C8" w:rsidRDefault="000918C8"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registered agency within the meaning of the </w:t>
            </w:r>
            <w:r w:rsidRPr="00665A55">
              <w:rPr>
                <w:rFonts w:cstheme="minorHAnsi"/>
                <w:i/>
                <w:sz w:val="16"/>
                <w:szCs w:val="16"/>
              </w:rPr>
              <w:t>Housing Act 1983</w:t>
            </w:r>
          </w:p>
          <w:p w:rsidR="00A76FAF" w:rsidRPr="00665A55" w:rsidRDefault="00A76FAF" w:rsidP="000918C8">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person or body that is engaged or funded under a State contract to </w:t>
            </w:r>
            <w:r w:rsidR="000918C8">
              <w:rPr>
                <w:rFonts w:cstheme="minorHAnsi"/>
                <w:sz w:val="16"/>
                <w:szCs w:val="16"/>
              </w:rPr>
              <w:t>provide case management support for at risk social housing tenants to assist to establish or sustain tenancy</w:t>
            </w:r>
          </w:p>
        </w:tc>
      </w:tr>
      <w:tr w:rsidR="00A76FAF" w:rsidRPr="00665A55" w:rsidTr="00F81352">
        <w:trPr>
          <w:trHeight w:val="605"/>
        </w:trPr>
        <w:tc>
          <w:tcPr>
            <w:tcW w:w="3544" w:type="dxa"/>
          </w:tcPr>
          <w:p w:rsidR="00A76FAF" w:rsidRPr="00665A55" w:rsidRDefault="000918C8" w:rsidP="00F81352">
            <w:pPr>
              <w:spacing w:after="120"/>
              <w:rPr>
                <w:rFonts w:ascii="Verdana" w:hAnsi="Verdana" w:cstheme="minorHAnsi"/>
                <w:sz w:val="16"/>
                <w:szCs w:val="16"/>
              </w:rPr>
            </w:pPr>
            <w:r>
              <w:rPr>
                <w:rFonts w:ascii="Verdana" w:hAnsi="Verdana" w:cstheme="minorHAnsi"/>
                <w:sz w:val="16"/>
                <w:szCs w:val="16"/>
              </w:rPr>
              <w:t>Forensic d</w:t>
            </w:r>
            <w:r w:rsidR="00A76FAF" w:rsidRPr="00665A55">
              <w:rPr>
                <w:rFonts w:ascii="Verdana" w:hAnsi="Verdana" w:cstheme="minorHAnsi"/>
                <w:sz w:val="16"/>
                <w:szCs w:val="16"/>
              </w:rPr>
              <w:t>isability</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person or body that is engaged or funded under a State contract to provide specialist forensic disability accommodation services, to the extent that the person or body performs functions relating to the provision of specialist forensic disability </w:t>
            </w:r>
            <w:r w:rsidRPr="00665A55">
              <w:rPr>
                <w:rFonts w:cstheme="minorHAnsi"/>
                <w:sz w:val="16"/>
                <w:szCs w:val="16"/>
              </w:rPr>
              <w:lastRenderedPageBreak/>
              <w:t>accommodation services</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the Secretary of DHHS performs functions under the </w:t>
            </w:r>
            <w:r w:rsidRPr="00665A55">
              <w:rPr>
                <w:rFonts w:cstheme="minorHAnsi"/>
                <w:i/>
                <w:sz w:val="16"/>
                <w:szCs w:val="16"/>
              </w:rPr>
              <w:t>Crimes (Mental Impairment and Unfitness to be Tried) Act 1997</w:t>
            </w:r>
            <w:r w:rsidRPr="00665A55">
              <w:rPr>
                <w:rFonts w:cstheme="minorHAnsi"/>
                <w:sz w:val="16"/>
                <w:szCs w:val="16"/>
              </w:rPr>
              <w:t xml:space="preserve">, </w:t>
            </w:r>
            <w:r w:rsidRPr="00665A55">
              <w:rPr>
                <w:rFonts w:cstheme="minorHAnsi"/>
                <w:i/>
                <w:sz w:val="16"/>
                <w:szCs w:val="16"/>
              </w:rPr>
              <w:t>Sentencing Act 1991</w:t>
            </w:r>
            <w:r w:rsidRPr="00665A55">
              <w:rPr>
                <w:rFonts w:cstheme="minorHAnsi"/>
                <w:sz w:val="16"/>
                <w:szCs w:val="16"/>
              </w:rPr>
              <w:t xml:space="preserve"> and </w:t>
            </w:r>
            <w:r w:rsidRPr="00665A55">
              <w:rPr>
                <w:rFonts w:cstheme="minorHAnsi"/>
                <w:i/>
                <w:sz w:val="16"/>
                <w:szCs w:val="16"/>
              </w:rPr>
              <w:t>Disability Act 2006</w:t>
            </w:r>
          </w:p>
        </w:tc>
      </w:tr>
      <w:tr w:rsidR="00A76FAF" w:rsidRPr="00665A55" w:rsidTr="00F81352">
        <w:trPr>
          <w:trHeight w:val="605"/>
        </w:trPr>
        <w:tc>
          <w:tcPr>
            <w:tcW w:w="3544" w:type="dxa"/>
          </w:tcPr>
          <w:p w:rsidR="00A76FAF" w:rsidRPr="00665A55" w:rsidRDefault="00A76FAF" w:rsidP="000918C8">
            <w:pPr>
              <w:spacing w:after="120"/>
              <w:rPr>
                <w:rFonts w:ascii="Verdana" w:hAnsi="Verdana" w:cstheme="minorHAnsi"/>
                <w:sz w:val="16"/>
                <w:szCs w:val="16"/>
              </w:rPr>
            </w:pPr>
            <w:r w:rsidRPr="00665A55">
              <w:rPr>
                <w:rFonts w:ascii="Verdana" w:hAnsi="Verdana" w:cstheme="minorHAnsi"/>
                <w:sz w:val="16"/>
                <w:szCs w:val="16"/>
              </w:rPr>
              <w:lastRenderedPageBreak/>
              <w:t xml:space="preserve">Multiple </w:t>
            </w:r>
            <w:r w:rsidR="000918C8">
              <w:rPr>
                <w:rFonts w:ascii="Verdana" w:hAnsi="Verdana" w:cstheme="minorHAnsi"/>
                <w:sz w:val="16"/>
                <w:szCs w:val="16"/>
              </w:rPr>
              <w:t>and Complex N</w:t>
            </w:r>
            <w:r w:rsidRPr="00665A55">
              <w:rPr>
                <w:rFonts w:ascii="Verdana" w:hAnsi="Verdana" w:cstheme="minorHAnsi"/>
                <w:sz w:val="16"/>
                <w:szCs w:val="16"/>
              </w:rPr>
              <w:t>eeds</w:t>
            </w:r>
            <w:r w:rsidR="000918C8">
              <w:rPr>
                <w:rFonts w:ascii="Verdana" w:hAnsi="Verdana" w:cstheme="minorHAnsi"/>
                <w:sz w:val="16"/>
                <w:szCs w:val="16"/>
              </w:rPr>
              <w:t xml:space="preserve"> Initiative (MACNI)</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The Secretary of DHHS performs functions under the </w:t>
            </w:r>
            <w:r w:rsidRPr="00665A55">
              <w:rPr>
                <w:rFonts w:cstheme="minorHAnsi"/>
                <w:i/>
                <w:sz w:val="16"/>
                <w:szCs w:val="16"/>
              </w:rPr>
              <w:t>Human Services (Complex Needs) Act 2009</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Health</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Ambulance Victoria created under section 23(1)(a) of the </w:t>
            </w:r>
            <w:r w:rsidRPr="00665A55">
              <w:rPr>
                <w:rFonts w:cstheme="minorHAnsi"/>
                <w:bCs/>
                <w:i/>
                <w:sz w:val="16"/>
                <w:szCs w:val="16"/>
              </w:rPr>
              <w:t>Ambulance Services Act 1986</w:t>
            </w:r>
            <w:r w:rsidRPr="00665A55">
              <w:rPr>
                <w:rFonts w:cstheme="minorHAnsi"/>
                <w:sz w:val="16"/>
                <w:szCs w:val="16"/>
              </w:rPr>
              <w:t xml:space="preserve"> and any successor ambulance service</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registered funded agency within the meaning of the </w:t>
            </w:r>
            <w:r w:rsidRPr="00665A55">
              <w:rPr>
                <w:rFonts w:cstheme="minorHAnsi"/>
                <w:bCs/>
                <w:i/>
                <w:sz w:val="16"/>
                <w:szCs w:val="16"/>
              </w:rPr>
              <w:t>Health Services Act 1988</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multi-purpose service within the meaning of the </w:t>
            </w:r>
            <w:r w:rsidRPr="00665A55">
              <w:rPr>
                <w:rFonts w:cstheme="minorHAnsi"/>
                <w:bCs/>
                <w:i/>
                <w:sz w:val="16"/>
                <w:szCs w:val="16"/>
              </w:rPr>
              <w:t>Health Services Act 1988</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registered community health centre within the meaning of the </w:t>
            </w:r>
            <w:r w:rsidRPr="00665A55">
              <w:rPr>
                <w:rFonts w:cstheme="minorHAnsi"/>
                <w:bCs/>
                <w:i/>
                <w:sz w:val="16"/>
                <w:szCs w:val="16"/>
              </w:rPr>
              <w:t>Health Services Act 1988</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a registered medical practitioner who practises in the medical profession as a general practitioner in Victoria</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a general practice nurse who is employed by, or whose services are otherwise retained by, a general practice in Victoria</w:t>
            </w:r>
          </w:p>
        </w:tc>
      </w:tr>
      <w:tr w:rsidR="00A76FAF" w:rsidRPr="00665A55" w:rsidTr="00F81352">
        <w:trPr>
          <w:trHeight w:val="60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Aged care</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person or body operating a Commonwealth approved residential aged care home that provides State funded public sector residential aged care services, including State funded residential aged care homes but not including supported residential services within the meaning of the </w:t>
            </w:r>
            <w:r w:rsidRPr="00665A55">
              <w:rPr>
                <w:rFonts w:cstheme="minorHAnsi"/>
                <w:i/>
                <w:sz w:val="16"/>
                <w:szCs w:val="16"/>
              </w:rPr>
              <w:t>Health Services Act 1988</w:t>
            </w:r>
          </w:p>
        </w:tc>
      </w:tr>
      <w:tr w:rsidR="00A76FAF" w:rsidRPr="00665A55" w:rsidTr="00F81352">
        <w:tblPrEx>
          <w:tblBorders>
            <w:top w:val="single" w:sz="4" w:space="0" w:color="C5511A" w:themeColor="accent3"/>
          </w:tblBorders>
        </w:tblPrEx>
        <w:trPr>
          <w:trHeight w:val="48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Migrant and refugee services</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a person or body that provides settlement or targeted casework services specifically for migrants, refugees or asylum seekers, to the extent that the person or body provides settlement or casework services for migrants, refugees or asylum seekers</w:t>
            </w:r>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the Secretary to DHHS to the extent that the Secretary performs functions conferred under regulation 15(3) of the Immigration (Guardianship of Children) Regulations 2018 (Commonwealth) in relation to a function delegated to the Secretary under section 5 of the </w:t>
            </w:r>
            <w:r w:rsidRPr="00665A55">
              <w:rPr>
                <w:rFonts w:cstheme="minorHAnsi"/>
                <w:i/>
                <w:sz w:val="16"/>
                <w:szCs w:val="16"/>
              </w:rPr>
              <w:t>Immigration (Guardianship of Children) Act 1946 (Commonwealth)</w:t>
            </w:r>
          </w:p>
        </w:tc>
      </w:tr>
      <w:tr w:rsidR="00A76FAF" w:rsidRPr="00665A55" w:rsidTr="00F81352">
        <w:tblPrEx>
          <w:tblBorders>
            <w:top w:val="single" w:sz="4" w:space="0" w:color="C5511A" w:themeColor="accent3"/>
          </w:tblBorders>
        </w:tblPrEx>
        <w:trPr>
          <w:trHeight w:val="48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Supported playgroups</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a person or body that is engaged or funded by DHHS under a State contract to provide supported playgroups, to the extent that the person or body performs functions relating to supported playgroups</w:t>
            </w:r>
          </w:p>
        </w:tc>
      </w:tr>
      <w:tr w:rsidR="00A76FAF" w:rsidRPr="00665A55" w:rsidTr="00F81352">
        <w:tblPrEx>
          <w:tblBorders>
            <w:top w:val="single" w:sz="4" w:space="0" w:color="C5511A" w:themeColor="accent3"/>
          </w:tblBorders>
        </w:tblPrEx>
        <w:trPr>
          <w:trHeight w:val="485"/>
        </w:trPr>
        <w:tc>
          <w:tcPr>
            <w:tcW w:w="3544" w:type="dxa"/>
          </w:tcPr>
          <w:p w:rsidR="00A76FAF" w:rsidRPr="00665A55" w:rsidRDefault="00A76FAF" w:rsidP="00F81352">
            <w:pPr>
              <w:spacing w:after="120"/>
              <w:rPr>
                <w:rFonts w:ascii="Verdana" w:hAnsi="Verdana" w:cstheme="minorHAnsi"/>
                <w:sz w:val="16"/>
                <w:szCs w:val="16"/>
              </w:rPr>
            </w:pPr>
            <w:r w:rsidRPr="00665A55">
              <w:rPr>
                <w:rFonts w:ascii="Verdana" w:hAnsi="Verdana" w:cstheme="minorHAnsi"/>
                <w:sz w:val="16"/>
                <w:szCs w:val="16"/>
              </w:rPr>
              <w:t>Dispute Settlement Centre of Victoria</w:t>
            </w:r>
          </w:p>
        </w:tc>
        <w:tc>
          <w:tcPr>
            <w:tcW w:w="10684" w:type="dxa"/>
          </w:tcPr>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sz w:val="16"/>
                <w:szCs w:val="16"/>
              </w:rPr>
              <w:t xml:space="preserve">a dispute settlement centre declared under section 21K of the </w:t>
            </w:r>
            <w:r w:rsidRPr="00665A55">
              <w:rPr>
                <w:rFonts w:cstheme="minorHAnsi"/>
                <w:bCs/>
                <w:i/>
                <w:sz w:val="16"/>
                <w:szCs w:val="16"/>
              </w:rPr>
              <w:t>Evidence (Miscellaneous Provisions) Act 1958</w:t>
            </w:r>
            <w:bookmarkStart w:id="58" w:name="_Hlk18920882"/>
          </w:p>
          <w:p w:rsidR="00A76FAF" w:rsidRPr="00665A55" w:rsidRDefault="00A76FAF" w:rsidP="00A76FAF">
            <w:pPr>
              <w:pStyle w:val="ListParagraph"/>
              <w:numPr>
                <w:ilvl w:val="0"/>
                <w:numId w:val="51"/>
              </w:numPr>
              <w:spacing w:after="120" w:line="240" w:lineRule="auto"/>
              <w:ind w:left="397" w:hanging="227"/>
              <w:contextualSpacing w:val="0"/>
              <w:rPr>
                <w:rFonts w:cstheme="minorHAnsi"/>
                <w:sz w:val="16"/>
                <w:szCs w:val="16"/>
              </w:rPr>
            </w:pPr>
            <w:r w:rsidRPr="00665A55">
              <w:rPr>
                <w:rFonts w:cstheme="minorHAnsi"/>
                <w:bCs/>
                <w:sz w:val="16"/>
                <w:szCs w:val="16"/>
              </w:rPr>
              <w:t xml:space="preserve">the Secretary to the Department of Justice and Community Safety to the extent that persons within that Department are declared to be mediators under section 21K of the </w:t>
            </w:r>
            <w:r w:rsidRPr="00665A55">
              <w:rPr>
                <w:rFonts w:cstheme="minorHAnsi"/>
                <w:bCs/>
                <w:i/>
                <w:sz w:val="16"/>
                <w:szCs w:val="16"/>
              </w:rPr>
              <w:t>Evidence (Miscellaneous Provisions) Act 1958</w:t>
            </w:r>
            <w:bookmarkEnd w:id="58"/>
          </w:p>
        </w:tc>
      </w:tr>
    </w:tbl>
    <w:p w:rsidR="00C4469F" w:rsidRPr="00665A55" w:rsidRDefault="00C4469F" w:rsidP="00C4469F">
      <w:pPr>
        <w:rPr>
          <w:rFonts w:ascii="Verdana" w:hAnsi="Verdana" w:cstheme="minorHAnsi"/>
        </w:rPr>
      </w:pPr>
    </w:p>
    <w:p w:rsidR="007A4089" w:rsidRPr="00665A55" w:rsidRDefault="007A4089" w:rsidP="007A4089">
      <w:pPr>
        <w:rPr>
          <w:rFonts w:ascii="Verdana" w:hAnsi="Verdana" w:cstheme="minorHAnsi"/>
          <w:sz w:val="16"/>
          <w:szCs w:val="16"/>
        </w:rPr>
      </w:pPr>
      <w:r w:rsidRPr="00665A55">
        <w:rPr>
          <w:rFonts w:ascii="Verdana" w:hAnsi="Verdana" w:cstheme="minorHAnsi"/>
          <w:sz w:val="16"/>
          <w:szCs w:val="16"/>
        </w:rPr>
        <w:t>Total number of ISEs: 7,500 (approximately)</w:t>
      </w:r>
    </w:p>
    <w:p w:rsidR="007A4089" w:rsidRPr="00665A55" w:rsidRDefault="007A4089" w:rsidP="007A4089">
      <w:pPr>
        <w:rPr>
          <w:rFonts w:ascii="Verdana" w:hAnsi="Verdana" w:cstheme="minorHAnsi"/>
          <w:sz w:val="16"/>
          <w:szCs w:val="16"/>
        </w:rPr>
      </w:pPr>
      <w:r w:rsidRPr="00665A55">
        <w:rPr>
          <w:rFonts w:ascii="Verdana" w:hAnsi="Verdana" w:cstheme="minorHAnsi"/>
          <w:sz w:val="16"/>
          <w:szCs w:val="16"/>
        </w:rPr>
        <w:t>Total workforce number for ISEs: 370,000 (approximately)</w:t>
      </w:r>
    </w:p>
    <w:p w:rsidR="007A4089" w:rsidRPr="00665A55" w:rsidRDefault="007A4089" w:rsidP="007A4089">
      <w:pPr>
        <w:rPr>
          <w:rFonts w:ascii="Verdana" w:hAnsi="Verdana"/>
          <w:sz w:val="16"/>
          <w:szCs w:val="16"/>
        </w:rPr>
      </w:pPr>
    </w:p>
    <w:p w:rsidR="007A4089" w:rsidRPr="00665A55" w:rsidRDefault="007A4089" w:rsidP="007A4089">
      <w:pPr>
        <w:rPr>
          <w:rFonts w:ascii="Verdana" w:hAnsi="Verdana"/>
          <w:i/>
          <w:iCs/>
          <w:color w:val="004EA8"/>
          <w:sz w:val="16"/>
          <w:szCs w:val="16"/>
        </w:rPr>
      </w:pPr>
      <w:r w:rsidRPr="00665A55">
        <w:rPr>
          <w:rFonts w:ascii="Verdana" w:hAnsi="Verdana"/>
          <w:b/>
          <w:sz w:val="16"/>
          <w:szCs w:val="16"/>
        </w:rPr>
        <w:t>Note</w:t>
      </w:r>
      <w:r w:rsidRPr="00665A55">
        <w:rPr>
          <w:rFonts w:ascii="Verdana" w:hAnsi="Verdana"/>
          <w:sz w:val="16"/>
          <w:szCs w:val="16"/>
        </w:rPr>
        <w:t xml:space="preserve">: </w:t>
      </w:r>
    </w:p>
    <w:p w:rsidR="007A4089" w:rsidRPr="00665A55" w:rsidRDefault="007A4089" w:rsidP="007A4089">
      <w:pPr>
        <w:rPr>
          <w:rFonts w:ascii="Verdana" w:hAnsi="Verdana"/>
          <w:iCs/>
          <w:sz w:val="16"/>
          <w:szCs w:val="16"/>
        </w:rPr>
      </w:pPr>
      <w:r w:rsidRPr="00665A55">
        <w:rPr>
          <w:rFonts w:ascii="Verdana" w:hAnsi="Verdana"/>
          <w:iCs/>
          <w:sz w:val="16"/>
          <w:szCs w:val="16"/>
        </w:rPr>
        <w:t xml:space="preserve">Legislative amendments are presently underway to prescribe the Children’s Court and Magistrates’ Court as </w:t>
      </w:r>
      <w:r w:rsidR="00523247" w:rsidRPr="00665A55">
        <w:rPr>
          <w:rFonts w:ascii="Verdana" w:hAnsi="Verdana"/>
          <w:iCs/>
          <w:sz w:val="16"/>
          <w:szCs w:val="16"/>
        </w:rPr>
        <w:t>ISEs</w:t>
      </w:r>
      <w:r w:rsidRPr="00665A55">
        <w:rPr>
          <w:rFonts w:ascii="Verdana" w:hAnsi="Verdana"/>
          <w:iCs/>
          <w:sz w:val="16"/>
          <w:szCs w:val="16"/>
        </w:rPr>
        <w:t xml:space="preserve"> in the C</w:t>
      </w:r>
      <w:r w:rsidR="00523247" w:rsidRPr="00665A55">
        <w:rPr>
          <w:rFonts w:ascii="Verdana" w:hAnsi="Verdana"/>
          <w:iCs/>
          <w:sz w:val="16"/>
          <w:szCs w:val="16"/>
        </w:rPr>
        <w:t xml:space="preserve">IS Scheme. It is </w:t>
      </w:r>
      <w:r w:rsidRPr="00665A55">
        <w:rPr>
          <w:rFonts w:ascii="Verdana" w:hAnsi="Verdana"/>
          <w:iCs/>
          <w:sz w:val="16"/>
          <w:szCs w:val="16"/>
        </w:rPr>
        <w:t xml:space="preserve">anticipated that the Courts will be included in the </w:t>
      </w:r>
      <w:r w:rsidR="00523247" w:rsidRPr="00665A55">
        <w:rPr>
          <w:rFonts w:ascii="Verdana" w:hAnsi="Verdana"/>
          <w:iCs/>
          <w:sz w:val="16"/>
          <w:szCs w:val="16"/>
        </w:rPr>
        <w:t xml:space="preserve">CIS </w:t>
      </w:r>
      <w:r w:rsidRPr="00665A55">
        <w:rPr>
          <w:rFonts w:ascii="Verdana" w:hAnsi="Verdana"/>
          <w:iCs/>
          <w:sz w:val="16"/>
          <w:szCs w:val="16"/>
        </w:rPr>
        <w:t>Scheme through a tailored commencement date in 2020, pending legislative resolution.</w:t>
      </w:r>
    </w:p>
    <w:p w:rsidR="007A4089" w:rsidRPr="007A4089" w:rsidRDefault="007A4089" w:rsidP="007A4089">
      <w:pPr>
        <w:rPr>
          <w:rFonts w:asciiTheme="minorHAnsi" w:hAnsiTheme="minorHAnsi" w:cstheme="minorHAnsi"/>
        </w:rPr>
        <w:sectPr w:rsidR="007A4089" w:rsidRPr="007A4089" w:rsidSect="007228D3">
          <w:pgSz w:w="16838" w:h="11906" w:orient="landscape"/>
          <w:pgMar w:top="1304" w:right="1701" w:bottom="1304" w:left="1134" w:header="454" w:footer="510" w:gutter="0"/>
          <w:cols w:space="720"/>
          <w:docGrid w:linePitch="360"/>
        </w:sectPr>
      </w:pPr>
    </w:p>
    <w:p w:rsidR="00F402E0" w:rsidRPr="00C24006" w:rsidRDefault="0065551F" w:rsidP="001F2920">
      <w:pPr>
        <w:pStyle w:val="Heading1"/>
        <w:ind w:left="284"/>
        <w:rPr>
          <w:rFonts w:ascii="Verdana" w:hAnsi="Verdana"/>
        </w:rPr>
      </w:pPr>
      <w:bookmarkStart w:id="59" w:name="_Toc23510802"/>
      <w:r w:rsidRPr="00C24006">
        <w:rPr>
          <w:rFonts w:ascii="Verdana" w:hAnsi="Verdana"/>
        </w:rPr>
        <w:lastRenderedPageBreak/>
        <w:t>Appendix C</w:t>
      </w:r>
      <w:r w:rsidR="00207483" w:rsidRPr="00C24006">
        <w:rPr>
          <w:rFonts w:ascii="Verdana" w:hAnsi="Verdana"/>
        </w:rPr>
        <w:t xml:space="preserve"> Cost</w:t>
      </w:r>
      <w:r w:rsidR="0040084B">
        <w:rPr>
          <w:rFonts w:ascii="Verdana" w:hAnsi="Verdana"/>
        </w:rPr>
        <w:t>ing</w:t>
      </w:r>
      <w:r w:rsidR="00FE00CC">
        <w:rPr>
          <w:rFonts w:ascii="Verdana" w:hAnsi="Verdana"/>
        </w:rPr>
        <w:t xml:space="preserve"> Methodology and</w:t>
      </w:r>
      <w:r w:rsidR="00207483" w:rsidRPr="00C24006">
        <w:rPr>
          <w:rFonts w:ascii="Verdana" w:hAnsi="Verdana"/>
        </w:rPr>
        <w:t xml:space="preserve"> Assumptions</w:t>
      </w:r>
      <w:bookmarkEnd w:id="59"/>
    </w:p>
    <w:p w:rsidR="00976683" w:rsidRPr="00943170" w:rsidRDefault="00523247" w:rsidP="00943170">
      <w:pPr>
        <w:pStyle w:val="WOVGbody"/>
        <w:rPr>
          <w:rFonts w:ascii="Verdana" w:hAnsi="Verdana"/>
        </w:rPr>
      </w:pPr>
      <w:r>
        <w:rPr>
          <w:rFonts w:ascii="Verdana" w:hAnsi="Verdana"/>
        </w:rPr>
        <w:t xml:space="preserve">DET engaged </w:t>
      </w:r>
      <w:r w:rsidR="00976683" w:rsidRPr="00943170">
        <w:rPr>
          <w:rFonts w:ascii="Verdana" w:hAnsi="Verdana"/>
        </w:rPr>
        <w:t>ACIL Alle</w:t>
      </w:r>
      <w:r w:rsidR="006B3227">
        <w:rPr>
          <w:rFonts w:ascii="Verdana" w:hAnsi="Verdana"/>
        </w:rPr>
        <w:t xml:space="preserve">n Consulting </w:t>
      </w:r>
      <w:r w:rsidR="00976683" w:rsidRPr="00943170">
        <w:rPr>
          <w:rFonts w:ascii="Verdana" w:hAnsi="Verdana"/>
        </w:rPr>
        <w:t xml:space="preserve">to estimate the cost impact of the </w:t>
      </w:r>
      <w:r w:rsidR="000445EB">
        <w:rPr>
          <w:rFonts w:ascii="Verdana" w:hAnsi="Verdana"/>
        </w:rPr>
        <w:t xml:space="preserve">proposed </w:t>
      </w:r>
      <w:r w:rsidR="00F6033E">
        <w:rPr>
          <w:rFonts w:ascii="Verdana" w:hAnsi="Verdana"/>
        </w:rPr>
        <w:t>Amendment Regulations</w:t>
      </w:r>
      <w:r w:rsidR="00A37704">
        <w:rPr>
          <w:rFonts w:ascii="Verdana" w:hAnsi="Verdana"/>
        </w:rPr>
        <w:t xml:space="preserve">, </w:t>
      </w:r>
      <w:r w:rsidR="00F6033E">
        <w:rPr>
          <w:rFonts w:ascii="Verdana" w:hAnsi="Verdana"/>
        </w:rPr>
        <w:t xml:space="preserve">prescribing workforces for Phase Two implementation of the </w:t>
      </w:r>
      <w:r w:rsidR="00A37704">
        <w:rPr>
          <w:rFonts w:ascii="Verdana" w:hAnsi="Verdana"/>
        </w:rPr>
        <w:t>CIS S</w:t>
      </w:r>
      <w:r w:rsidR="00F6033E">
        <w:rPr>
          <w:rFonts w:ascii="Verdana" w:hAnsi="Verdana"/>
        </w:rPr>
        <w:t xml:space="preserve">cheme. </w:t>
      </w:r>
      <w:r w:rsidR="00976683" w:rsidRPr="00943170">
        <w:rPr>
          <w:rFonts w:ascii="Verdana" w:hAnsi="Verdana"/>
        </w:rPr>
        <w:t xml:space="preserve">This appendix presents the methodology </w:t>
      </w:r>
      <w:r w:rsidR="001B4855">
        <w:rPr>
          <w:rFonts w:ascii="Verdana" w:hAnsi="Verdana"/>
        </w:rPr>
        <w:t xml:space="preserve">of cost analysis, </w:t>
      </w:r>
      <w:r w:rsidR="00976683" w:rsidRPr="00943170">
        <w:rPr>
          <w:rFonts w:ascii="Verdana" w:hAnsi="Verdana"/>
        </w:rPr>
        <w:t xml:space="preserve">and </w:t>
      </w:r>
      <w:r w:rsidR="001B4855">
        <w:rPr>
          <w:rFonts w:ascii="Verdana" w:hAnsi="Verdana"/>
        </w:rPr>
        <w:t xml:space="preserve">the </w:t>
      </w:r>
      <w:r w:rsidR="00976683" w:rsidRPr="00943170">
        <w:rPr>
          <w:rFonts w:ascii="Verdana" w:hAnsi="Verdana"/>
        </w:rPr>
        <w:t xml:space="preserve">assumptions applied to </w:t>
      </w:r>
      <w:r w:rsidR="00943170" w:rsidRPr="00943170">
        <w:rPr>
          <w:rFonts w:ascii="Verdana" w:hAnsi="Verdana"/>
        </w:rPr>
        <w:t xml:space="preserve">estimate the cost impact of the preferred option, </w:t>
      </w:r>
      <w:r w:rsidR="0040084B">
        <w:rPr>
          <w:rFonts w:ascii="Verdana" w:hAnsi="Verdana"/>
        </w:rPr>
        <w:t>noting that some of the key assumptions are presented in Chapter 6 of this RIS.</w:t>
      </w:r>
    </w:p>
    <w:p w:rsidR="00976683" w:rsidRPr="00943170" w:rsidRDefault="00976683" w:rsidP="00976683">
      <w:pPr>
        <w:pStyle w:val="Heading2"/>
        <w:rPr>
          <w:rFonts w:ascii="Verdana" w:hAnsi="Verdana"/>
        </w:rPr>
      </w:pPr>
      <w:bookmarkStart w:id="60" w:name="_Toc23510803"/>
      <w:r w:rsidRPr="00943170">
        <w:rPr>
          <w:rFonts w:ascii="Verdana" w:hAnsi="Verdana"/>
        </w:rPr>
        <w:t>Overview</w:t>
      </w:r>
      <w:bookmarkEnd w:id="60"/>
    </w:p>
    <w:p w:rsidR="00976683" w:rsidRPr="00943170" w:rsidRDefault="00976683" w:rsidP="00943170">
      <w:pPr>
        <w:pStyle w:val="WOVGbody"/>
        <w:rPr>
          <w:rFonts w:ascii="Verdana" w:hAnsi="Verdana"/>
        </w:rPr>
      </w:pPr>
      <w:r w:rsidRPr="00943170">
        <w:rPr>
          <w:rFonts w:ascii="Verdana" w:hAnsi="Verdana"/>
        </w:rPr>
        <w:t>Th</w:t>
      </w:r>
      <w:r w:rsidR="006A70C7">
        <w:rPr>
          <w:rFonts w:ascii="Verdana" w:hAnsi="Verdana"/>
        </w:rPr>
        <w:t>e costs outlined in this RIS</w:t>
      </w:r>
      <w:r w:rsidRPr="00943170">
        <w:rPr>
          <w:rFonts w:ascii="Verdana" w:hAnsi="Verdana"/>
        </w:rPr>
        <w:t xml:space="preserve"> were estimated by </w:t>
      </w:r>
      <w:r w:rsidR="002112A8">
        <w:rPr>
          <w:rFonts w:ascii="Verdana" w:hAnsi="Verdana"/>
        </w:rPr>
        <w:t>interviewing</w:t>
      </w:r>
      <w:r w:rsidRPr="00943170">
        <w:rPr>
          <w:rFonts w:ascii="Verdana" w:hAnsi="Verdana"/>
        </w:rPr>
        <w:t xml:space="preserve"> a selected group of 53 </w:t>
      </w:r>
      <w:r w:rsidR="00F366F5">
        <w:rPr>
          <w:rFonts w:ascii="Verdana" w:hAnsi="Verdana"/>
        </w:rPr>
        <w:t>Phase Two</w:t>
      </w:r>
      <w:r w:rsidRPr="00943170">
        <w:rPr>
          <w:rFonts w:ascii="Verdana" w:hAnsi="Verdana"/>
        </w:rPr>
        <w:t xml:space="preserve"> workforce representatives to understand the likel</w:t>
      </w:r>
      <w:r w:rsidR="006A70C7">
        <w:rPr>
          <w:rFonts w:ascii="Verdana" w:hAnsi="Verdana"/>
        </w:rPr>
        <w:t>y cost to comply with the s</w:t>
      </w:r>
      <w:r w:rsidRPr="00943170">
        <w:rPr>
          <w:rFonts w:ascii="Verdana" w:hAnsi="Verdana"/>
        </w:rPr>
        <w:t xml:space="preserve">cheme. These estimated costs were then applied to the total estimated </w:t>
      </w:r>
      <w:r w:rsidR="00F366F5">
        <w:rPr>
          <w:rFonts w:ascii="Verdana" w:hAnsi="Verdana"/>
        </w:rPr>
        <w:t>Phase Two</w:t>
      </w:r>
      <w:r w:rsidRPr="00943170">
        <w:rPr>
          <w:rFonts w:ascii="Verdana" w:hAnsi="Verdana"/>
        </w:rPr>
        <w:t xml:space="preserve"> workforces, to estimate a total cost of the Scheme.</w:t>
      </w:r>
      <w:r w:rsidR="006A70C7">
        <w:rPr>
          <w:rFonts w:ascii="Verdana" w:hAnsi="Verdana"/>
        </w:rPr>
        <w:t xml:space="preserve"> The key costs of</w:t>
      </w:r>
      <w:r w:rsidR="006A70C7" w:rsidRPr="00943170">
        <w:rPr>
          <w:rFonts w:ascii="Verdana" w:hAnsi="Verdana"/>
        </w:rPr>
        <w:t xml:space="preserve"> CIS Scheme </w:t>
      </w:r>
      <w:r w:rsidR="006A70C7">
        <w:rPr>
          <w:rFonts w:ascii="Verdana" w:hAnsi="Verdana"/>
        </w:rPr>
        <w:t xml:space="preserve">implementation </w:t>
      </w:r>
      <w:r w:rsidR="006A70C7" w:rsidRPr="00943170">
        <w:rPr>
          <w:rFonts w:ascii="Verdana" w:hAnsi="Verdana"/>
        </w:rPr>
        <w:t>include updating policies, training, undertaking additional information requests, responding to additional information requests, and additional record keeping. The ‘cost’ represents the value of the time required by these workforces to undertake these tasks.</w:t>
      </w:r>
    </w:p>
    <w:p w:rsidR="00976683" w:rsidRPr="00943170" w:rsidRDefault="00976683" w:rsidP="00943170">
      <w:pPr>
        <w:pStyle w:val="WOVGbody"/>
        <w:rPr>
          <w:rFonts w:ascii="Verdana" w:hAnsi="Verdana"/>
        </w:rPr>
      </w:pPr>
      <w:r w:rsidRPr="00943170">
        <w:rPr>
          <w:rFonts w:ascii="Verdana" w:hAnsi="Verdana"/>
        </w:rPr>
        <w:t>The sco</w:t>
      </w:r>
      <w:r w:rsidR="006A70C7">
        <w:rPr>
          <w:rFonts w:ascii="Verdana" w:hAnsi="Verdana"/>
        </w:rPr>
        <w:t>pe of the costs included in the</w:t>
      </w:r>
      <w:r w:rsidRPr="00943170">
        <w:rPr>
          <w:rFonts w:ascii="Verdana" w:hAnsi="Verdana"/>
        </w:rPr>
        <w:t xml:space="preserve"> analysis is limited to the increase in information sharing </w:t>
      </w:r>
      <w:r w:rsidR="00452B93">
        <w:rPr>
          <w:rFonts w:ascii="Verdana" w:hAnsi="Verdana"/>
        </w:rPr>
        <w:t xml:space="preserve">which will be newly permitted, or required, following the roll-out of </w:t>
      </w:r>
      <w:r w:rsidR="006A70C7">
        <w:rPr>
          <w:rFonts w:ascii="Verdana" w:hAnsi="Verdana"/>
        </w:rPr>
        <w:t xml:space="preserve">the </w:t>
      </w:r>
      <w:r w:rsidR="00451AF6">
        <w:rPr>
          <w:rFonts w:ascii="Verdana" w:hAnsi="Verdana"/>
        </w:rPr>
        <w:t xml:space="preserve">proposed </w:t>
      </w:r>
      <w:r w:rsidR="00452B93">
        <w:rPr>
          <w:rFonts w:ascii="Verdana" w:hAnsi="Verdana"/>
        </w:rPr>
        <w:t xml:space="preserve">Amendment Regulations, enabling Phase Two implementation of the CIS Scheme. The cost estimation </w:t>
      </w:r>
      <w:r w:rsidR="006B3227">
        <w:rPr>
          <w:rFonts w:ascii="Verdana" w:hAnsi="Verdana"/>
        </w:rPr>
        <w:t xml:space="preserve">does not include any </w:t>
      </w:r>
      <w:r w:rsidRPr="00943170">
        <w:rPr>
          <w:rFonts w:ascii="Verdana" w:hAnsi="Verdana"/>
        </w:rPr>
        <w:t>flow</w:t>
      </w:r>
      <w:r w:rsidR="006B3227">
        <w:rPr>
          <w:rFonts w:ascii="Verdana" w:hAnsi="Verdana"/>
        </w:rPr>
        <w:t>-</w:t>
      </w:r>
      <w:r w:rsidR="006A70C7">
        <w:rPr>
          <w:rFonts w:ascii="Verdana" w:hAnsi="Verdana"/>
        </w:rPr>
        <w:t>on effects of the new s</w:t>
      </w:r>
      <w:r w:rsidRPr="00943170">
        <w:rPr>
          <w:rFonts w:ascii="Verdana" w:hAnsi="Verdana"/>
        </w:rPr>
        <w:t>cheme on the amount of information sharing under existing regulation (</w:t>
      </w:r>
      <w:r w:rsidR="006B3227">
        <w:rPr>
          <w:rFonts w:ascii="Verdana" w:hAnsi="Verdana"/>
        </w:rPr>
        <w:t xml:space="preserve">as these may occur </w:t>
      </w:r>
      <w:r w:rsidRPr="00943170">
        <w:rPr>
          <w:rFonts w:ascii="Verdana" w:hAnsi="Verdana"/>
        </w:rPr>
        <w:t xml:space="preserve">due to promotion, training and greater education about </w:t>
      </w:r>
      <w:r w:rsidR="006B3227">
        <w:rPr>
          <w:rFonts w:ascii="Verdana" w:hAnsi="Verdana"/>
        </w:rPr>
        <w:t>information sharing).</w:t>
      </w:r>
      <w:r w:rsidRPr="00943170">
        <w:rPr>
          <w:rFonts w:ascii="Verdana" w:hAnsi="Verdana"/>
        </w:rPr>
        <w:t xml:space="preserve"> That is, the cost estimation does not include the cost associated with an increase in the practice of information sharing within the scope of existing </w:t>
      </w:r>
      <w:r w:rsidR="006B3227">
        <w:rPr>
          <w:rFonts w:ascii="Verdana" w:hAnsi="Verdana"/>
        </w:rPr>
        <w:t xml:space="preserve">laws and </w:t>
      </w:r>
      <w:r w:rsidRPr="00943170">
        <w:rPr>
          <w:rFonts w:ascii="Verdana" w:hAnsi="Verdana"/>
        </w:rPr>
        <w:t>regulations</w:t>
      </w:r>
      <w:r w:rsidRPr="00943170" w:rsidDel="00CF72CF">
        <w:rPr>
          <w:rFonts w:ascii="Verdana" w:hAnsi="Verdana"/>
        </w:rPr>
        <w:t xml:space="preserve"> </w:t>
      </w:r>
      <w:r w:rsidRPr="00943170">
        <w:rPr>
          <w:rFonts w:ascii="Verdana" w:hAnsi="Verdana"/>
        </w:rPr>
        <w:t xml:space="preserve">that </w:t>
      </w:r>
      <w:r w:rsidR="006B3227">
        <w:rPr>
          <w:rFonts w:ascii="Verdana" w:hAnsi="Verdana"/>
        </w:rPr>
        <w:t xml:space="preserve">may be prompted by the implementation </w:t>
      </w:r>
      <w:r w:rsidR="00452B93">
        <w:rPr>
          <w:rFonts w:ascii="Verdana" w:hAnsi="Verdana"/>
        </w:rPr>
        <w:t xml:space="preserve">of the CIS Scheme to Phase Two </w:t>
      </w:r>
      <w:r w:rsidRPr="00943170">
        <w:rPr>
          <w:rFonts w:ascii="Verdana" w:hAnsi="Verdana"/>
        </w:rPr>
        <w:t>workforces.</w:t>
      </w:r>
    </w:p>
    <w:p w:rsidR="00976683" w:rsidRPr="00943170" w:rsidRDefault="00976683" w:rsidP="00943170">
      <w:pPr>
        <w:pStyle w:val="WOVGbody"/>
        <w:rPr>
          <w:rFonts w:ascii="Verdana" w:hAnsi="Verdana"/>
        </w:rPr>
      </w:pPr>
      <w:r w:rsidRPr="00943170">
        <w:rPr>
          <w:rFonts w:ascii="Verdana" w:hAnsi="Verdana"/>
        </w:rPr>
        <w:t xml:space="preserve">Key data used in the analysis was provided by </w:t>
      </w:r>
      <w:r w:rsidR="00523247">
        <w:rPr>
          <w:rFonts w:ascii="Verdana" w:hAnsi="Verdana"/>
        </w:rPr>
        <w:t>DET</w:t>
      </w:r>
      <w:r w:rsidRPr="00943170">
        <w:rPr>
          <w:rFonts w:ascii="Verdana" w:hAnsi="Verdana"/>
        </w:rPr>
        <w:t>, on behalf of o</w:t>
      </w:r>
      <w:r w:rsidR="00523247">
        <w:rPr>
          <w:rFonts w:ascii="Verdana" w:hAnsi="Verdana"/>
        </w:rPr>
        <w:t>ther d</w:t>
      </w:r>
      <w:r w:rsidRPr="00943170">
        <w:rPr>
          <w:rFonts w:ascii="Verdana" w:hAnsi="Verdana"/>
        </w:rPr>
        <w:t xml:space="preserve">epartments as required, and includes: </w:t>
      </w:r>
    </w:p>
    <w:p w:rsidR="00976683" w:rsidRPr="00943170" w:rsidRDefault="00976683" w:rsidP="00A76FAF">
      <w:pPr>
        <w:pStyle w:val="WOVGbody"/>
        <w:numPr>
          <w:ilvl w:val="0"/>
          <w:numId w:val="49"/>
        </w:numPr>
        <w:ind w:left="426"/>
        <w:rPr>
          <w:rFonts w:ascii="Verdana" w:hAnsi="Verdana"/>
        </w:rPr>
      </w:pPr>
      <w:r w:rsidRPr="00943170">
        <w:rPr>
          <w:rFonts w:ascii="Verdana" w:hAnsi="Verdana"/>
          <w:i/>
          <w:iCs/>
        </w:rPr>
        <w:t>workforce data</w:t>
      </w:r>
      <w:r w:rsidRPr="00943170">
        <w:rPr>
          <w:rFonts w:ascii="Verdana" w:hAnsi="Verdana"/>
        </w:rPr>
        <w:t xml:space="preserve"> – including estimated FTE, and associated number of o</w:t>
      </w:r>
      <w:r w:rsidR="00523247">
        <w:rPr>
          <w:rFonts w:ascii="Verdana" w:hAnsi="Verdana"/>
        </w:rPr>
        <w:t>rganisations</w:t>
      </w:r>
    </w:p>
    <w:p w:rsidR="00976683" w:rsidRPr="00943170" w:rsidRDefault="002112A8" w:rsidP="00A76FAF">
      <w:pPr>
        <w:pStyle w:val="WOVGbody"/>
        <w:numPr>
          <w:ilvl w:val="0"/>
          <w:numId w:val="49"/>
        </w:numPr>
        <w:ind w:left="426"/>
        <w:rPr>
          <w:rFonts w:ascii="Verdana" w:hAnsi="Verdana"/>
        </w:rPr>
      </w:pPr>
      <w:r>
        <w:rPr>
          <w:rFonts w:ascii="Verdana" w:hAnsi="Verdana"/>
          <w:i/>
          <w:iCs/>
        </w:rPr>
        <w:t>workforce cost interview</w:t>
      </w:r>
      <w:r w:rsidR="00976683" w:rsidRPr="00943170">
        <w:rPr>
          <w:rFonts w:ascii="Verdana" w:hAnsi="Verdana"/>
          <w:i/>
          <w:iCs/>
        </w:rPr>
        <w:t xml:space="preserve"> data</w:t>
      </w:r>
      <w:r w:rsidR="00976683" w:rsidRPr="00943170">
        <w:rPr>
          <w:rFonts w:ascii="Verdana" w:hAnsi="Verdana"/>
        </w:rPr>
        <w:t xml:space="preserve"> – including estimated cost impacts of the CIS Scheme on </w:t>
      </w:r>
      <w:r w:rsidR="00F366F5">
        <w:rPr>
          <w:rFonts w:ascii="Verdana" w:hAnsi="Verdana"/>
        </w:rPr>
        <w:t>Phase Two</w:t>
      </w:r>
      <w:r w:rsidR="00976683" w:rsidRPr="00943170">
        <w:rPr>
          <w:rFonts w:ascii="Verdana" w:hAnsi="Verdana"/>
        </w:rPr>
        <w:t xml:space="preserve"> workforces. </w:t>
      </w:r>
    </w:p>
    <w:p w:rsidR="00976683" w:rsidRPr="00943170" w:rsidRDefault="00976683" w:rsidP="00976683">
      <w:pPr>
        <w:pStyle w:val="Heading2"/>
        <w:rPr>
          <w:rFonts w:ascii="Verdana" w:hAnsi="Verdana"/>
        </w:rPr>
      </w:pPr>
      <w:bookmarkStart w:id="61" w:name="_Toc23510804"/>
      <w:r w:rsidRPr="00943170">
        <w:rPr>
          <w:rFonts w:ascii="Verdana" w:hAnsi="Verdana"/>
        </w:rPr>
        <w:t>Costing methodology</w:t>
      </w:r>
      <w:bookmarkEnd w:id="61"/>
    </w:p>
    <w:p w:rsidR="00976683" w:rsidRPr="00943170" w:rsidRDefault="00976683" w:rsidP="00943170">
      <w:pPr>
        <w:pStyle w:val="WOVGbody"/>
        <w:rPr>
          <w:rFonts w:ascii="Verdana" w:hAnsi="Verdana"/>
        </w:rPr>
      </w:pPr>
      <w:r w:rsidRPr="00943170">
        <w:rPr>
          <w:rFonts w:ascii="Verdana" w:hAnsi="Verdana"/>
        </w:rPr>
        <w:t xml:space="preserve">As outlined above, the total annual cost of the Scheme was estimated by </w:t>
      </w:r>
      <w:r w:rsidR="002112A8">
        <w:rPr>
          <w:rFonts w:ascii="Verdana" w:hAnsi="Verdana"/>
        </w:rPr>
        <w:t>interviewing</w:t>
      </w:r>
      <w:r w:rsidRPr="00943170">
        <w:rPr>
          <w:rFonts w:ascii="Verdana" w:hAnsi="Verdana"/>
        </w:rPr>
        <w:t xml:space="preserve"> a group of </w:t>
      </w:r>
      <w:r w:rsidR="00F366F5">
        <w:rPr>
          <w:rFonts w:ascii="Verdana" w:hAnsi="Verdana"/>
        </w:rPr>
        <w:t>Phase Two</w:t>
      </w:r>
      <w:r w:rsidRPr="00943170">
        <w:rPr>
          <w:rFonts w:ascii="Verdana" w:hAnsi="Verdana"/>
        </w:rPr>
        <w:t xml:space="preserve"> workforces to understand the likely cost of complying with the Scheme. These costs were then applied to the total estimated workforce size to estimate the total annual cost. </w:t>
      </w:r>
    </w:p>
    <w:p w:rsidR="00976683" w:rsidRPr="00943170" w:rsidRDefault="00976683" w:rsidP="00943170">
      <w:pPr>
        <w:pStyle w:val="WOVGbody"/>
        <w:rPr>
          <w:rFonts w:ascii="Verdana" w:hAnsi="Verdana"/>
        </w:rPr>
      </w:pPr>
      <w:r w:rsidRPr="00943170">
        <w:rPr>
          <w:rFonts w:ascii="Verdana" w:hAnsi="Verdana"/>
        </w:rPr>
        <w:t>The total cost of the Scheme over a 10-year period was calculated using the estimated annual cost of the Scheme, and then discounted to estimate the present value (PV) of the cost of the Scheme.</w:t>
      </w:r>
    </w:p>
    <w:p w:rsidR="00976683" w:rsidRPr="00943170" w:rsidRDefault="00976683" w:rsidP="00943170">
      <w:pPr>
        <w:pStyle w:val="WOVGbody"/>
        <w:rPr>
          <w:rFonts w:ascii="Verdana" w:hAnsi="Verdana"/>
        </w:rPr>
      </w:pPr>
      <w:r w:rsidRPr="00943170">
        <w:rPr>
          <w:rFonts w:ascii="Verdana" w:hAnsi="Verdana"/>
        </w:rPr>
        <w:t xml:space="preserve">The </w:t>
      </w:r>
      <w:r w:rsidR="00F366F5">
        <w:rPr>
          <w:rFonts w:ascii="Verdana" w:hAnsi="Verdana"/>
        </w:rPr>
        <w:t>Phase Two</w:t>
      </w:r>
      <w:r w:rsidRPr="00943170">
        <w:rPr>
          <w:rFonts w:ascii="Verdana" w:hAnsi="Verdana"/>
        </w:rPr>
        <w:t xml:space="preserve"> workforces </w:t>
      </w:r>
      <w:r w:rsidR="006B3227">
        <w:rPr>
          <w:rFonts w:ascii="Verdana" w:hAnsi="Verdana"/>
        </w:rPr>
        <w:t>are relatively diverse and range</w:t>
      </w:r>
      <w:r w:rsidRPr="00943170">
        <w:rPr>
          <w:rFonts w:ascii="Verdana" w:hAnsi="Verdana"/>
        </w:rPr>
        <w:t xml:space="preserve"> from schools to government organisations. As such, the cost estimation was undertaken across various sub-groups of </w:t>
      </w:r>
      <w:r w:rsidRPr="00943170">
        <w:rPr>
          <w:rFonts w:ascii="Verdana" w:hAnsi="Verdana"/>
        </w:rPr>
        <w:lastRenderedPageBreak/>
        <w:t xml:space="preserve">the </w:t>
      </w:r>
      <w:r w:rsidR="00F366F5">
        <w:rPr>
          <w:rFonts w:ascii="Verdana" w:hAnsi="Verdana"/>
        </w:rPr>
        <w:t>Phase Two</w:t>
      </w:r>
      <w:r w:rsidRPr="00943170">
        <w:rPr>
          <w:rFonts w:ascii="Verdana" w:hAnsi="Verdana"/>
        </w:rPr>
        <w:t xml:space="preserve"> workforces. Specifically, the detailed methodology comprises the following key steps:</w:t>
      </w:r>
    </w:p>
    <w:p w:rsidR="00976683" w:rsidRPr="00943170" w:rsidRDefault="00976683" w:rsidP="00A76FAF">
      <w:pPr>
        <w:pStyle w:val="WOVGbody"/>
        <w:numPr>
          <w:ilvl w:val="0"/>
          <w:numId w:val="50"/>
        </w:numPr>
        <w:ind w:left="426"/>
        <w:rPr>
          <w:rFonts w:ascii="Verdana" w:hAnsi="Verdana"/>
        </w:rPr>
      </w:pPr>
      <w:r w:rsidRPr="00943170">
        <w:rPr>
          <w:rFonts w:ascii="Verdana" w:hAnsi="Verdana"/>
          <w:i/>
          <w:iCs/>
        </w:rPr>
        <w:t xml:space="preserve">Workforce sub-grouping – </w:t>
      </w:r>
      <w:r w:rsidRPr="00943170">
        <w:rPr>
          <w:rFonts w:ascii="Verdana" w:hAnsi="Verdana"/>
        </w:rPr>
        <w:t xml:space="preserve">The </w:t>
      </w:r>
      <w:r w:rsidR="00F366F5">
        <w:rPr>
          <w:rFonts w:ascii="Verdana" w:hAnsi="Verdana"/>
        </w:rPr>
        <w:t>Phase Two</w:t>
      </w:r>
      <w:r w:rsidRPr="00943170">
        <w:rPr>
          <w:rFonts w:ascii="Verdana" w:hAnsi="Verdana"/>
        </w:rPr>
        <w:t xml:space="preserve"> workforces are grouped into sub-groups based on their </w:t>
      </w:r>
      <w:r w:rsidR="006A70C7">
        <w:rPr>
          <w:rFonts w:ascii="Verdana" w:hAnsi="Verdana"/>
        </w:rPr>
        <w:t xml:space="preserve">service offering and </w:t>
      </w:r>
      <w:r w:rsidRPr="00943170">
        <w:rPr>
          <w:rFonts w:ascii="Verdana" w:hAnsi="Verdana"/>
        </w:rPr>
        <w:t xml:space="preserve">level of information sharing, that is, the </w:t>
      </w:r>
      <w:r w:rsidR="00F366F5">
        <w:rPr>
          <w:rFonts w:ascii="Verdana" w:hAnsi="Verdana"/>
        </w:rPr>
        <w:t>Phase Two</w:t>
      </w:r>
      <w:r w:rsidRPr="00943170">
        <w:rPr>
          <w:rFonts w:ascii="Verdana" w:hAnsi="Verdana"/>
        </w:rPr>
        <w:t xml:space="preserve"> workforces are grouped into sub-groups with similar estimated cost impacts. </w:t>
      </w:r>
    </w:p>
    <w:p w:rsidR="00976683" w:rsidRPr="00943170" w:rsidRDefault="00976683" w:rsidP="00A76FAF">
      <w:pPr>
        <w:pStyle w:val="WOVGbody"/>
        <w:numPr>
          <w:ilvl w:val="0"/>
          <w:numId w:val="50"/>
        </w:numPr>
        <w:ind w:left="426"/>
        <w:rPr>
          <w:rFonts w:ascii="Verdana" w:hAnsi="Verdana"/>
        </w:rPr>
      </w:pPr>
      <w:r w:rsidRPr="00943170">
        <w:rPr>
          <w:rFonts w:ascii="Verdana" w:hAnsi="Verdana"/>
          <w:i/>
          <w:iCs/>
        </w:rPr>
        <w:t>Unit cost estimation by group</w:t>
      </w:r>
      <w:r w:rsidRPr="00943170">
        <w:rPr>
          <w:rFonts w:ascii="Verdana" w:hAnsi="Verdana"/>
        </w:rPr>
        <w:t xml:space="preserve"> – Estimate of key cost metrics for each workforce sub-group, including cost of updating policies per organisation, cost of undertaking additional information requests per FTE, cost of responding to additional information requests per FTE, and cost of additional record keeping per FTE. </w:t>
      </w:r>
    </w:p>
    <w:p w:rsidR="00976683" w:rsidRPr="00943170" w:rsidRDefault="00976683" w:rsidP="00A76FAF">
      <w:pPr>
        <w:pStyle w:val="WOVGbody"/>
        <w:numPr>
          <w:ilvl w:val="0"/>
          <w:numId w:val="50"/>
        </w:numPr>
        <w:ind w:left="426"/>
        <w:rPr>
          <w:rFonts w:ascii="Verdana" w:hAnsi="Verdana"/>
        </w:rPr>
      </w:pPr>
      <w:r w:rsidRPr="00943170">
        <w:rPr>
          <w:rFonts w:ascii="Verdana" w:hAnsi="Verdana"/>
          <w:i/>
          <w:iCs/>
        </w:rPr>
        <w:t>Total workforce cost estimation</w:t>
      </w:r>
      <w:r w:rsidRPr="00943170">
        <w:rPr>
          <w:rFonts w:ascii="Verdana" w:hAnsi="Verdana"/>
        </w:rPr>
        <w:t xml:space="preserve"> – Estimate the per annum cost across the full workforce by multiplying out the per worker or organisation costs by the full workforce size. </w:t>
      </w:r>
    </w:p>
    <w:p w:rsidR="00976683" w:rsidRPr="00943170" w:rsidRDefault="00976683" w:rsidP="00943170">
      <w:pPr>
        <w:pStyle w:val="WOVGbody"/>
        <w:rPr>
          <w:rFonts w:ascii="Verdana" w:hAnsi="Verdana"/>
        </w:rPr>
      </w:pPr>
      <w:r w:rsidRPr="00943170">
        <w:rPr>
          <w:rFonts w:ascii="Verdana" w:hAnsi="Verdana"/>
        </w:rPr>
        <w:t>The table below summarises the cost analysis framework used, showing the costs considered and key assumptions.</w:t>
      </w:r>
      <w:bookmarkStart w:id="62" w:name="_Toc17813162"/>
    </w:p>
    <w:p w:rsidR="00976683" w:rsidRPr="004A1C5C" w:rsidRDefault="004E5043" w:rsidP="00943170">
      <w:pPr>
        <w:pStyle w:val="Heading3"/>
        <w:rPr>
          <w:rFonts w:ascii="Verdana" w:hAnsi="Verdana"/>
          <w:sz w:val="20"/>
          <w:szCs w:val="20"/>
        </w:rPr>
      </w:pPr>
      <w:r w:rsidRPr="004A1C5C">
        <w:rPr>
          <w:rFonts w:ascii="Verdana" w:hAnsi="Verdana"/>
          <w:sz w:val="20"/>
          <w:szCs w:val="20"/>
        </w:rPr>
        <w:t xml:space="preserve">Table 14.1 </w:t>
      </w:r>
      <w:r w:rsidR="00976683" w:rsidRPr="004A1C5C">
        <w:rPr>
          <w:rFonts w:ascii="Verdana" w:hAnsi="Verdana"/>
          <w:sz w:val="20"/>
          <w:szCs w:val="20"/>
        </w:rPr>
        <w:t>Cost analysis framework</w:t>
      </w:r>
      <w:bookmarkEnd w:id="62"/>
    </w:p>
    <w:tbl>
      <w:tblPr>
        <w:tblW w:w="9214" w:type="dxa"/>
        <w:tblInd w:w="454" w:type="dxa"/>
        <w:tblLayout w:type="fixed"/>
        <w:tblCellMar>
          <w:left w:w="0" w:type="dxa"/>
          <w:bottom w:w="40" w:type="dxa"/>
          <w:right w:w="0" w:type="dxa"/>
        </w:tblCellMar>
        <w:tblLook w:val="0000" w:firstRow="0" w:lastRow="0" w:firstColumn="0" w:lastColumn="0" w:noHBand="0" w:noVBand="0"/>
        <w:tblDescription w:val="table_Std"/>
      </w:tblPr>
      <w:tblGrid>
        <w:gridCol w:w="2526"/>
        <w:gridCol w:w="6688"/>
      </w:tblGrid>
      <w:tr w:rsidR="00976683" w:rsidRPr="007A1F0A" w:rsidTr="001B4855">
        <w:trPr>
          <w:cantSplit/>
          <w:tblHeader/>
        </w:trPr>
        <w:tc>
          <w:tcPr>
            <w:tcW w:w="1371" w:type="pct"/>
            <w:shd w:val="clear" w:color="auto" w:fill="53565A" w:themeFill="accent1"/>
            <w:tcMar>
              <w:left w:w="454" w:type="dxa"/>
              <w:bottom w:w="0" w:type="dxa"/>
            </w:tcMar>
          </w:tcPr>
          <w:p w:rsidR="00976683" w:rsidRPr="007A1F0A" w:rsidRDefault="00976683" w:rsidP="00976683">
            <w:pPr>
              <w:pStyle w:val="Tablecolumnheadings"/>
              <w:rPr>
                <w:rFonts w:ascii="Verdana" w:hAnsi="Verdana"/>
                <w:szCs w:val="20"/>
              </w:rPr>
            </w:pPr>
          </w:p>
        </w:tc>
        <w:tc>
          <w:tcPr>
            <w:tcW w:w="3629" w:type="pct"/>
            <w:shd w:val="clear" w:color="auto" w:fill="53565A" w:themeFill="accent1"/>
            <w:tcMar>
              <w:bottom w:w="0" w:type="dxa"/>
            </w:tcMar>
          </w:tcPr>
          <w:p w:rsidR="00976683" w:rsidRPr="007A1F0A" w:rsidRDefault="00976683" w:rsidP="00976683">
            <w:pPr>
              <w:pStyle w:val="Tablecolumnheadings"/>
              <w:rPr>
                <w:rFonts w:ascii="Verdana" w:hAnsi="Verdana"/>
                <w:szCs w:val="20"/>
              </w:rPr>
            </w:pPr>
            <w:r w:rsidRPr="007A1F0A">
              <w:rPr>
                <w:rFonts w:ascii="Verdana" w:hAnsi="Verdana"/>
                <w:szCs w:val="20"/>
              </w:rPr>
              <w:t>Estimation method</w:t>
            </w:r>
          </w:p>
        </w:tc>
      </w:tr>
      <w:tr w:rsidR="00976683" w:rsidRPr="007A1F0A" w:rsidTr="001B4855">
        <w:tblPrEx>
          <w:tblBorders>
            <w:bottom w:val="single" w:sz="4" w:space="0" w:color="646464"/>
            <w:insideH w:val="single" w:sz="4" w:space="0" w:color="646464"/>
          </w:tblBorders>
        </w:tblPrEx>
        <w:trPr>
          <w:cantSplit/>
        </w:trPr>
        <w:tc>
          <w:tcPr>
            <w:tcW w:w="1371" w:type="pct"/>
            <w:tcBorders>
              <w:top w:val="nil"/>
            </w:tcBorders>
            <w:shd w:val="clear" w:color="auto" w:fill="00848F" w:themeFill="accent2"/>
          </w:tcPr>
          <w:p w:rsidR="00976683" w:rsidRPr="007A1F0A" w:rsidRDefault="00C2663A" w:rsidP="00976683">
            <w:pPr>
              <w:pStyle w:val="Tabletext"/>
              <w:rPr>
                <w:rFonts w:ascii="Verdana" w:hAnsi="Verdana"/>
                <w:b/>
                <w:bCs/>
                <w:color w:val="FFFFFF" w:themeColor="background1"/>
                <w:szCs w:val="20"/>
              </w:rPr>
            </w:pPr>
            <w:r w:rsidRPr="007A1F0A">
              <w:rPr>
                <w:rFonts w:ascii="Verdana" w:hAnsi="Verdana"/>
                <w:b/>
                <w:bCs/>
                <w:color w:val="FFFFFF" w:themeColor="background1"/>
                <w:szCs w:val="20"/>
              </w:rPr>
              <w:t xml:space="preserve">  </w:t>
            </w:r>
            <w:r w:rsidR="00976683" w:rsidRPr="007A1F0A">
              <w:rPr>
                <w:rFonts w:ascii="Verdana" w:hAnsi="Verdana"/>
                <w:b/>
                <w:bCs/>
                <w:color w:val="FFFFFF" w:themeColor="background1"/>
                <w:szCs w:val="20"/>
              </w:rPr>
              <w:t>Upfront costs</w:t>
            </w:r>
          </w:p>
        </w:tc>
        <w:tc>
          <w:tcPr>
            <w:tcW w:w="3629" w:type="pct"/>
            <w:tcBorders>
              <w:top w:val="nil"/>
            </w:tcBorders>
            <w:shd w:val="clear" w:color="auto" w:fill="00848F" w:themeFill="accent2"/>
          </w:tcPr>
          <w:p w:rsidR="00976683" w:rsidRPr="007A1F0A" w:rsidRDefault="00976683" w:rsidP="00976683">
            <w:pPr>
              <w:pStyle w:val="Tabletext"/>
              <w:rPr>
                <w:rFonts w:ascii="Verdana" w:hAnsi="Verdana"/>
                <w:color w:val="FFFFFF" w:themeColor="background1"/>
                <w:szCs w:val="20"/>
              </w:rPr>
            </w:pPr>
          </w:p>
        </w:tc>
      </w:tr>
      <w:tr w:rsidR="00976683" w:rsidRPr="007A1F0A" w:rsidTr="001B4855">
        <w:tblPrEx>
          <w:tblBorders>
            <w:bottom w:val="single" w:sz="4" w:space="0" w:color="646464"/>
            <w:insideH w:val="single" w:sz="4" w:space="0" w:color="646464"/>
          </w:tblBorders>
        </w:tblPrEx>
        <w:trPr>
          <w:cantSplit/>
        </w:trPr>
        <w:tc>
          <w:tcPr>
            <w:tcW w:w="1371"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Update policies</w:t>
            </w:r>
          </w:p>
        </w:tc>
        <w:tc>
          <w:tcPr>
            <w:tcW w:w="3629" w:type="pct"/>
            <w:shd w:val="clear" w:color="auto" w:fill="auto"/>
          </w:tcPr>
          <w:p w:rsidR="00976683" w:rsidRPr="007A1F0A" w:rsidRDefault="00523247" w:rsidP="00976683">
            <w:pPr>
              <w:pStyle w:val="Tabletext"/>
              <w:rPr>
                <w:rFonts w:ascii="Verdana" w:hAnsi="Verdana"/>
                <w:szCs w:val="20"/>
              </w:rPr>
            </w:pPr>
            <w:r>
              <w:rPr>
                <w:rFonts w:ascii="Verdana" w:hAnsi="Verdana"/>
                <w:szCs w:val="20"/>
              </w:rPr>
              <w:t>cost of updating policies (a</w:t>
            </w:r>
            <w:r w:rsidR="00976683" w:rsidRPr="007A1F0A">
              <w:rPr>
                <w:rFonts w:ascii="Verdana" w:hAnsi="Verdana"/>
                <w:szCs w:val="20"/>
              </w:rPr>
              <w:t>verage per organisation),</w:t>
            </w:r>
            <w:r w:rsidR="00976683" w:rsidRPr="007A1F0A">
              <w:rPr>
                <w:rFonts w:ascii="Verdana" w:hAnsi="Verdana"/>
                <w:szCs w:val="20"/>
              </w:rPr>
              <w:br/>
              <w:t>multiplied by the total number of organisations</w:t>
            </w:r>
          </w:p>
        </w:tc>
      </w:tr>
      <w:tr w:rsidR="00976683" w:rsidRPr="007A1F0A" w:rsidTr="001B4855">
        <w:tblPrEx>
          <w:tblBorders>
            <w:bottom w:val="single" w:sz="4" w:space="0" w:color="646464"/>
            <w:insideH w:val="single" w:sz="4" w:space="0" w:color="646464"/>
          </w:tblBorders>
        </w:tblPrEx>
        <w:trPr>
          <w:cantSplit/>
        </w:trPr>
        <w:tc>
          <w:tcPr>
            <w:tcW w:w="1371"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Training costs *</w:t>
            </w:r>
          </w:p>
        </w:tc>
        <w:tc>
          <w:tcPr>
            <w:tcW w:w="3629" w:type="pct"/>
            <w:shd w:val="clear" w:color="auto" w:fill="auto"/>
          </w:tcPr>
          <w:p w:rsidR="00976683" w:rsidRPr="007A1F0A" w:rsidRDefault="00523247" w:rsidP="00976683">
            <w:pPr>
              <w:pStyle w:val="Tabletext"/>
              <w:rPr>
                <w:rFonts w:ascii="Verdana" w:hAnsi="Verdana"/>
                <w:szCs w:val="20"/>
              </w:rPr>
            </w:pPr>
            <w:r>
              <w:rPr>
                <w:rFonts w:ascii="Verdana" w:hAnsi="Verdana"/>
                <w:szCs w:val="20"/>
              </w:rPr>
              <w:t>a</w:t>
            </w:r>
            <w:r w:rsidR="00976683" w:rsidRPr="007A1F0A">
              <w:rPr>
                <w:rFonts w:ascii="Verdana" w:hAnsi="Verdana"/>
                <w:szCs w:val="20"/>
              </w:rPr>
              <w:t>ssumed training delivery per organisation provided by DET,</w:t>
            </w:r>
          </w:p>
          <w:p w:rsidR="00976683" w:rsidRPr="007A1F0A" w:rsidRDefault="00976683" w:rsidP="00976683">
            <w:pPr>
              <w:pStyle w:val="Tabletext"/>
              <w:rPr>
                <w:rFonts w:ascii="Verdana" w:hAnsi="Verdana"/>
                <w:szCs w:val="20"/>
              </w:rPr>
            </w:pPr>
            <w:r w:rsidRPr="007A1F0A">
              <w:rPr>
                <w:rFonts w:ascii="Verdana" w:hAnsi="Verdana"/>
                <w:szCs w:val="20"/>
              </w:rPr>
              <w:t>multiplied by the total number of organisations</w:t>
            </w:r>
          </w:p>
        </w:tc>
      </w:tr>
      <w:tr w:rsidR="00976683" w:rsidRPr="007A1F0A" w:rsidTr="001B4855">
        <w:tblPrEx>
          <w:tblBorders>
            <w:bottom w:val="single" w:sz="4" w:space="0" w:color="646464"/>
            <w:insideH w:val="single" w:sz="4" w:space="0" w:color="646464"/>
          </w:tblBorders>
        </w:tblPrEx>
        <w:trPr>
          <w:cantSplit/>
        </w:trPr>
        <w:tc>
          <w:tcPr>
            <w:tcW w:w="1371" w:type="pct"/>
            <w:tcBorders>
              <w:top w:val="nil"/>
            </w:tcBorders>
            <w:shd w:val="clear" w:color="auto" w:fill="00848F" w:themeFill="accent2"/>
          </w:tcPr>
          <w:p w:rsidR="00976683" w:rsidRPr="007A1F0A" w:rsidRDefault="00C2663A" w:rsidP="00976683">
            <w:pPr>
              <w:pStyle w:val="Tabletext"/>
              <w:rPr>
                <w:rFonts w:ascii="Verdana" w:hAnsi="Verdana"/>
                <w:b/>
                <w:bCs/>
                <w:szCs w:val="20"/>
              </w:rPr>
            </w:pPr>
            <w:r w:rsidRPr="007A1F0A">
              <w:rPr>
                <w:rFonts w:ascii="Verdana" w:hAnsi="Verdana"/>
                <w:b/>
                <w:bCs/>
                <w:color w:val="FFFFFF" w:themeColor="background1"/>
                <w:szCs w:val="20"/>
              </w:rPr>
              <w:t xml:space="preserve">  </w:t>
            </w:r>
            <w:r w:rsidR="00976683" w:rsidRPr="007A1F0A">
              <w:rPr>
                <w:rFonts w:ascii="Verdana" w:hAnsi="Verdana"/>
                <w:b/>
                <w:bCs/>
                <w:color w:val="FFFFFF" w:themeColor="background1"/>
                <w:szCs w:val="20"/>
              </w:rPr>
              <w:t>Ongoing costs</w:t>
            </w:r>
          </w:p>
        </w:tc>
        <w:tc>
          <w:tcPr>
            <w:tcW w:w="3629" w:type="pct"/>
            <w:tcBorders>
              <w:top w:val="nil"/>
            </w:tcBorders>
            <w:shd w:val="clear" w:color="auto" w:fill="00848F" w:themeFill="accent2"/>
          </w:tcPr>
          <w:p w:rsidR="00976683" w:rsidRPr="007A1F0A" w:rsidRDefault="00976683" w:rsidP="00976683">
            <w:pPr>
              <w:pStyle w:val="Tabletext"/>
              <w:rPr>
                <w:rFonts w:ascii="Verdana" w:hAnsi="Verdana"/>
                <w:szCs w:val="20"/>
              </w:rPr>
            </w:pPr>
          </w:p>
        </w:tc>
      </w:tr>
      <w:tr w:rsidR="00976683" w:rsidRPr="007A1F0A" w:rsidTr="001B4855">
        <w:tblPrEx>
          <w:tblBorders>
            <w:bottom w:val="single" w:sz="4" w:space="0" w:color="646464"/>
            <w:insideH w:val="single" w:sz="4" w:space="0" w:color="646464"/>
          </w:tblBorders>
        </w:tblPrEx>
        <w:trPr>
          <w:cantSplit/>
        </w:trPr>
        <w:tc>
          <w:tcPr>
            <w:tcW w:w="1371"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Making requests</w:t>
            </w:r>
          </w:p>
        </w:tc>
        <w:tc>
          <w:tcPr>
            <w:tcW w:w="3629" w:type="pct"/>
            <w:shd w:val="clear" w:color="auto" w:fill="auto"/>
          </w:tcPr>
          <w:p w:rsidR="00976683" w:rsidRPr="007A1F0A" w:rsidRDefault="00523247" w:rsidP="00976683">
            <w:pPr>
              <w:pStyle w:val="Tabletext"/>
              <w:rPr>
                <w:rFonts w:ascii="Verdana" w:hAnsi="Verdana"/>
                <w:szCs w:val="20"/>
              </w:rPr>
            </w:pPr>
            <w:r>
              <w:rPr>
                <w:rFonts w:ascii="Verdana" w:hAnsi="Verdana"/>
                <w:szCs w:val="20"/>
              </w:rPr>
              <w:t>cost of making requests (a</w:t>
            </w:r>
            <w:r w:rsidR="00976683" w:rsidRPr="007A1F0A">
              <w:rPr>
                <w:rFonts w:ascii="Verdana" w:hAnsi="Verdana"/>
                <w:szCs w:val="20"/>
              </w:rPr>
              <w:t>verage per FTE),</w:t>
            </w:r>
            <w:r w:rsidR="00976683" w:rsidRPr="007A1F0A">
              <w:rPr>
                <w:rFonts w:ascii="Verdana" w:hAnsi="Verdana"/>
                <w:szCs w:val="20"/>
              </w:rPr>
              <w:br/>
              <w:t>multiplied by the total FTE workforce</w:t>
            </w:r>
          </w:p>
        </w:tc>
      </w:tr>
      <w:tr w:rsidR="00976683" w:rsidRPr="007A1F0A" w:rsidTr="001B4855">
        <w:tblPrEx>
          <w:tblBorders>
            <w:bottom w:val="single" w:sz="4" w:space="0" w:color="646464"/>
            <w:insideH w:val="single" w:sz="4" w:space="0" w:color="646464"/>
          </w:tblBorders>
        </w:tblPrEx>
        <w:trPr>
          <w:cantSplit/>
        </w:trPr>
        <w:tc>
          <w:tcPr>
            <w:tcW w:w="1371"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Record keeping requests **</w:t>
            </w:r>
          </w:p>
        </w:tc>
        <w:tc>
          <w:tcPr>
            <w:tcW w:w="3629"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cost o</w:t>
            </w:r>
            <w:r w:rsidR="00523247">
              <w:rPr>
                <w:rFonts w:ascii="Verdana" w:hAnsi="Verdana"/>
                <w:szCs w:val="20"/>
              </w:rPr>
              <w:t>f record keeping for requests (a</w:t>
            </w:r>
            <w:r w:rsidRPr="007A1F0A">
              <w:rPr>
                <w:rFonts w:ascii="Verdana" w:hAnsi="Verdana"/>
                <w:szCs w:val="20"/>
              </w:rPr>
              <w:t xml:space="preserve">verage per FTE), </w:t>
            </w:r>
            <w:r w:rsidRPr="007A1F0A">
              <w:rPr>
                <w:rFonts w:ascii="Verdana" w:hAnsi="Verdana"/>
                <w:szCs w:val="20"/>
              </w:rPr>
              <w:br/>
              <w:t>multiplied by the total FTE workforce</w:t>
            </w:r>
          </w:p>
        </w:tc>
      </w:tr>
      <w:tr w:rsidR="00976683" w:rsidRPr="007A1F0A" w:rsidTr="001B4855">
        <w:tblPrEx>
          <w:tblBorders>
            <w:bottom w:val="single" w:sz="4" w:space="0" w:color="646464"/>
            <w:insideH w:val="single" w:sz="4" w:space="0" w:color="646464"/>
          </w:tblBorders>
        </w:tblPrEx>
        <w:trPr>
          <w:cantSplit/>
        </w:trPr>
        <w:tc>
          <w:tcPr>
            <w:tcW w:w="1371"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Responding to requests</w:t>
            </w:r>
          </w:p>
        </w:tc>
        <w:tc>
          <w:tcPr>
            <w:tcW w:w="3629"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c</w:t>
            </w:r>
            <w:r w:rsidR="00523247">
              <w:rPr>
                <w:rFonts w:ascii="Verdana" w:hAnsi="Verdana"/>
                <w:szCs w:val="20"/>
              </w:rPr>
              <w:t>ost of responding to requests (a</w:t>
            </w:r>
            <w:r w:rsidRPr="007A1F0A">
              <w:rPr>
                <w:rFonts w:ascii="Verdana" w:hAnsi="Verdana"/>
                <w:szCs w:val="20"/>
              </w:rPr>
              <w:t xml:space="preserve">verage per FTE), </w:t>
            </w:r>
            <w:r w:rsidRPr="007A1F0A">
              <w:rPr>
                <w:rFonts w:ascii="Verdana" w:hAnsi="Verdana"/>
                <w:szCs w:val="20"/>
              </w:rPr>
              <w:br/>
              <w:t>multiplied by the total FTE workforce</w:t>
            </w:r>
          </w:p>
        </w:tc>
      </w:tr>
      <w:tr w:rsidR="00976683" w:rsidRPr="007A1F0A" w:rsidTr="001B4855">
        <w:tblPrEx>
          <w:tblBorders>
            <w:bottom w:val="single" w:sz="4" w:space="0" w:color="646464"/>
            <w:insideH w:val="single" w:sz="4" w:space="0" w:color="646464"/>
          </w:tblBorders>
        </w:tblPrEx>
        <w:trPr>
          <w:cantSplit/>
        </w:trPr>
        <w:tc>
          <w:tcPr>
            <w:tcW w:w="1371"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 xml:space="preserve">Record keeping for responding </w:t>
            </w:r>
            <w:r w:rsidRPr="007A1F0A">
              <w:rPr>
                <w:rFonts w:ascii="Verdana" w:hAnsi="Verdana"/>
                <w:szCs w:val="20"/>
              </w:rPr>
              <w:br/>
              <w:t>to requests**</w:t>
            </w:r>
          </w:p>
        </w:tc>
        <w:tc>
          <w:tcPr>
            <w:tcW w:w="3629" w:type="pct"/>
            <w:shd w:val="clear" w:color="auto" w:fill="auto"/>
          </w:tcPr>
          <w:p w:rsidR="00976683" w:rsidRPr="007A1F0A" w:rsidRDefault="00976683" w:rsidP="00976683">
            <w:pPr>
              <w:pStyle w:val="Tabletext"/>
              <w:rPr>
                <w:rFonts w:ascii="Verdana" w:hAnsi="Verdana"/>
                <w:szCs w:val="20"/>
              </w:rPr>
            </w:pPr>
            <w:r w:rsidRPr="007A1F0A">
              <w:rPr>
                <w:rFonts w:ascii="Verdana" w:hAnsi="Verdana"/>
                <w:szCs w:val="20"/>
              </w:rPr>
              <w:t xml:space="preserve">cost of </w:t>
            </w:r>
            <w:r w:rsidR="00523247">
              <w:rPr>
                <w:rFonts w:ascii="Verdana" w:hAnsi="Verdana"/>
                <w:szCs w:val="20"/>
              </w:rPr>
              <w:t>record keeping for responding (a</w:t>
            </w:r>
            <w:r w:rsidRPr="007A1F0A">
              <w:rPr>
                <w:rFonts w:ascii="Verdana" w:hAnsi="Verdana"/>
                <w:szCs w:val="20"/>
              </w:rPr>
              <w:t xml:space="preserve">verage per FTE), </w:t>
            </w:r>
            <w:r w:rsidRPr="007A1F0A">
              <w:rPr>
                <w:rFonts w:ascii="Verdana" w:hAnsi="Verdana"/>
                <w:szCs w:val="20"/>
              </w:rPr>
              <w:br/>
              <w:t>multiplied by the total FTE workforce</w:t>
            </w:r>
          </w:p>
        </w:tc>
      </w:tr>
      <w:tr w:rsidR="00976683" w:rsidRPr="007A1F0A" w:rsidTr="001B4855">
        <w:tblPrEx>
          <w:tblBorders>
            <w:bottom w:val="single" w:sz="4" w:space="0" w:color="646464"/>
            <w:insideH w:val="single" w:sz="4" w:space="0" w:color="646464"/>
            <w:insideV w:val="single" w:sz="4" w:space="0" w:color="646464"/>
          </w:tblBorders>
        </w:tblPrEx>
        <w:trPr>
          <w:cantSplit/>
        </w:trPr>
        <w:tc>
          <w:tcPr>
            <w:tcW w:w="5000" w:type="pct"/>
            <w:gridSpan w:val="2"/>
            <w:tcBorders>
              <w:top w:val="nil"/>
            </w:tcBorders>
            <w:shd w:val="clear" w:color="auto" w:fill="00848F" w:themeFill="accent2"/>
          </w:tcPr>
          <w:p w:rsidR="00976683" w:rsidRPr="007A1F0A" w:rsidRDefault="00C2663A" w:rsidP="00976683">
            <w:pPr>
              <w:pStyle w:val="Tabletext"/>
              <w:rPr>
                <w:rFonts w:ascii="Verdana" w:hAnsi="Verdana"/>
                <w:b/>
                <w:bCs/>
                <w:szCs w:val="20"/>
              </w:rPr>
            </w:pPr>
            <w:r w:rsidRPr="007A1F0A">
              <w:rPr>
                <w:rFonts w:ascii="Verdana" w:hAnsi="Verdana"/>
                <w:b/>
                <w:bCs/>
                <w:color w:val="FFFFFF" w:themeColor="background1"/>
                <w:szCs w:val="20"/>
              </w:rPr>
              <w:t xml:space="preserve">  </w:t>
            </w:r>
            <w:r w:rsidR="00976683" w:rsidRPr="007A1F0A">
              <w:rPr>
                <w:rFonts w:ascii="Verdana" w:hAnsi="Verdana"/>
                <w:b/>
                <w:bCs/>
                <w:color w:val="FFFFFF" w:themeColor="background1"/>
                <w:szCs w:val="20"/>
              </w:rPr>
              <w:t>Key assumptions</w:t>
            </w:r>
          </w:p>
        </w:tc>
      </w:tr>
      <w:tr w:rsidR="00976683" w:rsidRPr="007A1F0A" w:rsidTr="001B4855">
        <w:tblPrEx>
          <w:tblBorders>
            <w:bottom w:val="single" w:sz="4" w:space="0" w:color="646464"/>
            <w:insideH w:val="single" w:sz="4" w:space="0" w:color="646464"/>
            <w:insideV w:val="single" w:sz="4" w:space="0" w:color="646464"/>
          </w:tblBorders>
        </w:tblPrEx>
        <w:trPr>
          <w:cantSplit/>
        </w:trPr>
        <w:tc>
          <w:tcPr>
            <w:tcW w:w="5000" w:type="pct"/>
            <w:gridSpan w:val="2"/>
            <w:shd w:val="clear" w:color="auto" w:fill="auto"/>
          </w:tcPr>
          <w:p w:rsidR="00976683" w:rsidRPr="007A1F0A" w:rsidRDefault="00976683" w:rsidP="00976683">
            <w:pPr>
              <w:pStyle w:val="Tabletext"/>
              <w:rPr>
                <w:rFonts w:ascii="Verdana" w:hAnsi="Verdana"/>
                <w:szCs w:val="20"/>
              </w:rPr>
            </w:pPr>
            <w:r w:rsidRPr="007A1F0A">
              <w:rPr>
                <w:rFonts w:ascii="Verdana" w:hAnsi="Verdana"/>
                <w:i/>
                <w:iCs/>
                <w:szCs w:val="20"/>
              </w:rPr>
              <w:t>Discount rate</w:t>
            </w:r>
            <w:r w:rsidRPr="007A1F0A">
              <w:rPr>
                <w:rStyle w:val="FootnoteReference"/>
                <w:rFonts w:ascii="Verdana" w:hAnsi="Verdana"/>
                <w:i/>
                <w:iCs/>
                <w:szCs w:val="20"/>
              </w:rPr>
              <w:footnoteReference w:id="37"/>
            </w:r>
            <w:r w:rsidRPr="007A1F0A">
              <w:rPr>
                <w:rFonts w:ascii="Verdana" w:hAnsi="Verdana"/>
                <w:szCs w:val="20"/>
              </w:rPr>
              <w:t>: 4 per cent</w:t>
            </w:r>
            <w:r w:rsidRPr="007A1F0A">
              <w:rPr>
                <w:rStyle w:val="FootnoteReference"/>
                <w:rFonts w:ascii="Verdana" w:hAnsi="Verdana"/>
                <w:szCs w:val="20"/>
              </w:rPr>
              <w:footnoteReference w:id="38"/>
            </w:r>
            <w:r w:rsidRPr="007A1F0A">
              <w:rPr>
                <w:rFonts w:ascii="Verdana" w:hAnsi="Verdana"/>
                <w:szCs w:val="20"/>
              </w:rPr>
              <w:t xml:space="preserve"> </w:t>
            </w:r>
          </w:p>
        </w:tc>
      </w:tr>
      <w:tr w:rsidR="00976683" w:rsidRPr="007A1F0A" w:rsidTr="001B4855">
        <w:tblPrEx>
          <w:tblBorders>
            <w:bottom w:val="single" w:sz="4" w:space="0" w:color="646464"/>
            <w:insideH w:val="single" w:sz="4" w:space="0" w:color="646464"/>
            <w:insideV w:val="single" w:sz="4" w:space="0" w:color="646464"/>
          </w:tblBorders>
        </w:tblPrEx>
        <w:trPr>
          <w:cantSplit/>
        </w:trPr>
        <w:tc>
          <w:tcPr>
            <w:tcW w:w="5000" w:type="pct"/>
            <w:gridSpan w:val="2"/>
            <w:shd w:val="clear" w:color="auto" w:fill="auto"/>
          </w:tcPr>
          <w:p w:rsidR="00976683" w:rsidRPr="007A1F0A" w:rsidRDefault="00976683" w:rsidP="00976683">
            <w:pPr>
              <w:pStyle w:val="Tabletext"/>
              <w:rPr>
                <w:rFonts w:ascii="Verdana" w:hAnsi="Verdana"/>
                <w:szCs w:val="20"/>
              </w:rPr>
            </w:pPr>
            <w:r w:rsidRPr="007A1F0A">
              <w:rPr>
                <w:rFonts w:ascii="Verdana" w:hAnsi="Verdana"/>
                <w:i/>
                <w:iCs/>
                <w:szCs w:val="20"/>
              </w:rPr>
              <w:t>Time period:</w:t>
            </w:r>
            <w:r w:rsidRPr="007A1F0A">
              <w:rPr>
                <w:rFonts w:ascii="Verdana" w:hAnsi="Verdana"/>
                <w:szCs w:val="20"/>
              </w:rPr>
              <w:t xml:space="preserve"> 2020 to 2029</w:t>
            </w:r>
          </w:p>
        </w:tc>
      </w:tr>
      <w:tr w:rsidR="00976683" w:rsidRPr="007A1F0A" w:rsidTr="001B4855">
        <w:tblPrEx>
          <w:tblBorders>
            <w:bottom w:val="single" w:sz="4" w:space="0" w:color="646464"/>
            <w:insideH w:val="single" w:sz="4" w:space="0" w:color="646464"/>
          </w:tblBorders>
        </w:tblPrEx>
        <w:trPr>
          <w:cantSplit/>
        </w:trPr>
        <w:tc>
          <w:tcPr>
            <w:tcW w:w="5000" w:type="pct"/>
            <w:gridSpan w:val="2"/>
            <w:tcBorders>
              <w:bottom w:val="single" w:sz="4" w:space="0" w:color="646464"/>
            </w:tcBorders>
            <w:shd w:val="clear" w:color="auto" w:fill="auto"/>
          </w:tcPr>
          <w:p w:rsidR="00976683" w:rsidRPr="00652100" w:rsidRDefault="00976683" w:rsidP="00976683">
            <w:pPr>
              <w:pStyle w:val="Source"/>
              <w:rPr>
                <w:rFonts w:ascii="Verdana" w:hAnsi="Verdana"/>
                <w:i w:val="0"/>
                <w:iCs/>
                <w:sz w:val="20"/>
                <w:szCs w:val="20"/>
              </w:rPr>
            </w:pPr>
            <w:r w:rsidRPr="00652100">
              <w:rPr>
                <w:rFonts w:ascii="Verdana" w:hAnsi="Verdana"/>
                <w:i w:val="0"/>
                <w:iCs/>
                <w:sz w:val="20"/>
                <w:szCs w:val="20"/>
              </w:rPr>
              <w:lastRenderedPageBreak/>
              <w:t xml:space="preserve">* </w:t>
            </w:r>
            <w:r w:rsidRPr="00652100">
              <w:rPr>
                <w:rFonts w:ascii="Verdana" w:hAnsi="Verdana"/>
                <w:i w:val="0"/>
                <w:iCs/>
                <w:caps w:val="0"/>
                <w:sz w:val="20"/>
                <w:szCs w:val="20"/>
              </w:rPr>
              <w:t xml:space="preserve">training requirements and costs were estimated using assumptions provided by DET as outlined </w:t>
            </w:r>
            <w:r w:rsidR="00451AF6">
              <w:rPr>
                <w:rFonts w:ascii="Verdana" w:hAnsi="Verdana"/>
                <w:i w:val="0"/>
                <w:iCs/>
                <w:caps w:val="0"/>
                <w:sz w:val="20"/>
                <w:szCs w:val="20"/>
              </w:rPr>
              <w:t>in Chapter 6</w:t>
            </w:r>
            <w:r w:rsidR="00652100">
              <w:rPr>
                <w:rFonts w:ascii="Verdana" w:hAnsi="Verdana"/>
                <w:i w:val="0"/>
                <w:iCs/>
                <w:caps w:val="0"/>
                <w:sz w:val="20"/>
                <w:szCs w:val="20"/>
              </w:rPr>
              <w:t>.</w:t>
            </w:r>
          </w:p>
          <w:p w:rsidR="00976683" w:rsidRPr="00652100" w:rsidRDefault="00976683" w:rsidP="00976683">
            <w:pPr>
              <w:pStyle w:val="Source"/>
              <w:rPr>
                <w:rFonts w:ascii="Verdana" w:hAnsi="Verdana"/>
                <w:i w:val="0"/>
                <w:iCs/>
                <w:caps w:val="0"/>
                <w:sz w:val="20"/>
                <w:szCs w:val="20"/>
              </w:rPr>
            </w:pPr>
            <w:r w:rsidRPr="00652100">
              <w:rPr>
                <w:rFonts w:ascii="Verdana" w:hAnsi="Verdana"/>
                <w:i w:val="0"/>
                <w:iCs/>
                <w:sz w:val="20"/>
                <w:szCs w:val="20"/>
              </w:rPr>
              <w:t xml:space="preserve">** </w:t>
            </w:r>
            <w:r w:rsidRPr="00652100">
              <w:rPr>
                <w:rFonts w:ascii="Verdana" w:hAnsi="Verdana"/>
                <w:i w:val="0"/>
                <w:iCs/>
                <w:caps w:val="0"/>
                <w:sz w:val="20"/>
                <w:szCs w:val="20"/>
              </w:rPr>
              <w:t xml:space="preserve">the time </w:t>
            </w:r>
            <w:r w:rsidR="006B3227">
              <w:rPr>
                <w:rFonts w:ascii="Verdana" w:hAnsi="Verdana"/>
                <w:i w:val="0"/>
                <w:iCs/>
                <w:caps w:val="0"/>
                <w:sz w:val="20"/>
                <w:szCs w:val="20"/>
              </w:rPr>
              <w:t>take</w:t>
            </w:r>
            <w:r w:rsidR="00523247">
              <w:rPr>
                <w:rFonts w:ascii="Verdana" w:hAnsi="Verdana"/>
                <w:i w:val="0"/>
                <w:iCs/>
                <w:caps w:val="0"/>
                <w:sz w:val="20"/>
                <w:szCs w:val="20"/>
              </w:rPr>
              <w:t>n</w:t>
            </w:r>
            <w:r w:rsidR="006B3227">
              <w:rPr>
                <w:rFonts w:ascii="Verdana" w:hAnsi="Verdana"/>
                <w:i w:val="0"/>
                <w:iCs/>
                <w:caps w:val="0"/>
                <w:sz w:val="20"/>
                <w:szCs w:val="20"/>
              </w:rPr>
              <w:t xml:space="preserve"> </w:t>
            </w:r>
            <w:r w:rsidRPr="00652100">
              <w:rPr>
                <w:rFonts w:ascii="Verdana" w:hAnsi="Verdana"/>
                <w:i w:val="0"/>
                <w:iCs/>
                <w:caps w:val="0"/>
                <w:sz w:val="20"/>
                <w:szCs w:val="20"/>
              </w:rPr>
              <w:t xml:space="preserve">to </w:t>
            </w:r>
            <w:r w:rsidR="006B3227">
              <w:rPr>
                <w:rFonts w:ascii="Verdana" w:hAnsi="Verdana"/>
                <w:i w:val="0"/>
                <w:iCs/>
                <w:caps w:val="0"/>
                <w:sz w:val="20"/>
                <w:szCs w:val="20"/>
              </w:rPr>
              <w:t xml:space="preserve">keep records </w:t>
            </w:r>
            <w:r w:rsidRPr="00652100">
              <w:rPr>
                <w:rFonts w:ascii="Verdana" w:hAnsi="Verdana"/>
                <w:i w:val="0"/>
                <w:iCs/>
                <w:caps w:val="0"/>
                <w:sz w:val="20"/>
                <w:szCs w:val="20"/>
              </w:rPr>
              <w:t xml:space="preserve">was </w:t>
            </w:r>
            <w:r w:rsidR="006B3227">
              <w:rPr>
                <w:rFonts w:ascii="Verdana" w:hAnsi="Verdana"/>
                <w:i w:val="0"/>
                <w:iCs/>
                <w:caps w:val="0"/>
                <w:sz w:val="20"/>
                <w:szCs w:val="20"/>
              </w:rPr>
              <w:t xml:space="preserve">estimated using assumptions </w:t>
            </w:r>
            <w:r w:rsidRPr="00652100">
              <w:rPr>
                <w:rFonts w:ascii="Verdana" w:hAnsi="Verdana"/>
                <w:i w:val="0"/>
                <w:iCs/>
                <w:caps w:val="0"/>
                <w:sz w:val="20"/>
                <w:szCs w:val="20"/>
              </w:rPr>
              <w:t xml:space="preserve">provided by DET as outlined </w:t>
            </w:r>
            <w:r w:rsidR="00652100">
              <w:rPr>
                <w:rFonts w:ascii="Verdana" w:hAnsi="Verdana"/>
                <w:i w:val="0"/>
                <w:iCs/>
                <w:caps w:val="0"/>
                <w:sz w:val="20"/>
                <w:szCs w:val="20"/>
              </w:rPr>
              <w:t>under Key Assumptions, below</w:t>
            </w:r>
            <w:r w:rsidRPr="00652100">
              <w:rPr>
                <w:rFonts w:ascii="Verdana" w:hAnsi="Verdana"/>
                <w:i w:val="0"/>
                <w:iCs/>
                <w:caps w:val="0"/>
                <w:sz w:val="20"/>
                <w:szCs w:val="20"/>
              </w:rPr>
              <w:t>.</w:t>
            </w:r>
          </w:p>
          <w:p w:rsidR="00976683" w:rsidRPr="00792DC3" w:rsidRDefault="00976683" w:rsidP="00976683">
            <w:pPr>
              <w:pStyle w:val="Source"/>
              <w:rPr>
                <w:rFonts w:ascii="Verdana" w:hAnsi="Verdana"/>
                <w:sz w:val="16"/>
                <w:szCs w:val="16"/>
              </w:rPr>
            </w:pPr>
            <w:r w:rsidRPr="00792DC3">
              <w:rPr>
                <w:rFonts w:ascii="Verdana" w:hAnsi="Verdana"/>
                <w:sz w:val="16"/>
                <w:szCs w:val="16"/>
              </w:rPr>
              <w:t>Source: ACIL Allen Consulting 2019</w:t>
            </w:r>
          </w:p>
        </w:tc>
      </w:tr>
    </w:tbl>
    <w:p w:rsidR="00976683" w:rsidRPr="00943170" w:rsidRDefault="00976683" w:rsidP="00943170">
      <w:pPr>
        <w:pStyle w:val="Heading3"/>
        <w:rPr>
          <w:rFonts w:ascii="Verdana" w:hAnsi="Verdana"/>
        </w:rPr>
      </w:pPr>
      <w:r w:rsidRPr="00943170">
        <w:rPr>
          <w:rFonts w:ascii="Verdana" w:hAnsi="Verdana"/>
        </w:rPr>
        <w:t>Unit cost estimation by group</w:t>
      </w:r>
    </w:p>
    <w:p w:rsidR="00976683" w:rsidRPr="00943170" w:rsidRDefault="00976683" w:rsidP="00943170">
      <w:pPr>
        <w:pStyle w:val="WOVGbody"/>
        <w:rPr>
          <w:rFonts w:ascii="Verdana" w:hAnsi="Verdana"/>
        </w:rPr>
      </w:pPr>
      <w:r w:rsidRPr="00943170">
        <w:rPr>
          <w:rFonts w:ascii="Verdana" w:hAnsi="Verdana"/>
        </w:rPr>
        <w:t>This step estimates the average cost of each cost item per FTE worker (or per organisation for the upfront costs). A cost ‘item’ represents a cost per FTE worker (or organisation) of record keeping per annum, or cost per workforce member (or organisation) of making or responding to requests. Note that this is an average cost calculated per workforce member, and not a cost calculated per workforce member who is expected to directly perform information sharing activities.</w:t>
      </w:r>
      <w:r w:rsidRPr="00943170">
        <w:rPr>
          <w:rStyle w:val="FootnoteReference"/>
          <w:rFonts w:ascii="Verdana" w:hAnsi="Verdana"/>
        </w:rPr>
        <w:footnoteReference w:id="39"/>
      </w:r>
    </w:p>
    <w:p w:rsidR="00976683" w:rsidRDefault="00976683" w:rsidP="00943170">
      <w:pPr>
        <w:pStyle w:val="WOVGbody"/>
        <w:rPr>
          <w:rFonts w:ascii="Verdana" w:hAnsi="Verdana"/>
        </w:rPr>
      </w:pPr>
      <w:r w:rsidRPr="00943170">
        <w:rPr>
          <w:rFonts w:ascii="Verdana" w:hAnsi="Verdana"/>
        </w:rPr>
        <w:t>Generally, the process applied for each cost category is as follows:</w:t>
      </w:r>
    </w:p>
    <w:p w:rsidR="00976683" w:rsidRPr="00523247" w:rsidRDefault="00523247" w:rsidP="00A76FAF">
      <w:pPr>
        <w:pStyle w:val="WOVGbody"/>
        <w:numPr>
          <w:ilvl w:val="0"/>
          <w:numId w:val="27"/>
        </w:numPr>
        <w:ind w:left="426"/>
        <w:rPr>
          <w:rFonts w:ascii="Verdana" w:hAnsi="Verdana"/>
        </w:rPr>
      </w:pPr>
      <w:r w:rsidRPr="00523247">
        <w:rPr>
          <w:rFonts w:ascii="Verdana" w:hAnsi="Verdana"/>
        </w:rPr>
        <w:t>f</w:t>
      </w:r>
      <w:r w:rsidR="00976683" w:rsidRPr="00523247">
        <w:rPr>
          <w:rFonts w:ascii="Verdana" w:hAnsi="Verdana"/>
        </w:rPr>
        <w:t xml:space="preserve">rom the </w:t>
      </w:r>
      <w:r w:rsidR="002112A8" w:rsidRPr="00523247">
        <w:rPr>
          <w:rFonts w:ascii="Verdana" w:hAnsi="Verdana"/>
        </w:rPr>
        <w:t>structured interviews</w:t>
      </w:r>
      <w:r w:rsidR="00976683" w:rsidRPr="00523247">
        <w:rPr>
          <w:rFonts w:ascii="Verdana" w:hAnsi="Verdana"/>
        </w:rPr>
        <w:t xml:space="preserve"> the following data is collected:</w:t>
      </w:r>
    </w:p>
    <w:p w:rsidR="00976683" w:rsidRPr="00523247" w:rsidRDefault="00523247" w:rsidP="00A76FAF">
      <w:pPr>
        <w:pStyle w:val="WOVGbody"/>
        <w:numPr>
          <w:ilvl w:val="1"/>
          <w:numId w:val="27"/>
        </w:numPr>
        <w:rPr>
          <w:rFonts w:ascii="Verdana" w:hAnsi="Verdana"/>
        </w:rPr>
      </w:pPr>
      <w:r w:rsidRPr="00523247">
        <w:rPr>
          <w:rFonts w:ascii="Verdana" w:hAnsi="Verdana"/>
        </w:rPr>
        <w:t>a</w:t>
      </w:r>
      <w:r w:rsidR="00976683" w:rsidRPr="00523247">
        <w:rPr>
          <w:rFonts w:ascii="Verdana" w:hAnsi="Verdana"/>
        </w:rPr>
        <w:t>verage hourly cost (wage)</w:t>
      </w:r>
    </w:p>
    <w:p w:rsidR="00976683" w:rsidRPr="00523247" w:rsidRDefault="00523247" w:rsidP="00A76FAF">
      <w:pPr>
        <w:pStyle w:val="WOVGbody"/>
        <w:numPr>
          <w:ilvl w:val="1"/>
          <w:numId w:val="27"/>
        </w:numPr>
        <w:rPr>
          <w:rFonts w:ascii="Verdana" w:hAnsi="Verdana"/>
        </w:rPr>
      </w:pPr>
      <w:r w:rsidRPr="00523247">
        <w:rPr>
          <w:rFonts w:ascii="Verdana" w:hAnsi="Verdana"/>
        </w:rPr>
        <w:t>n</w:t>
      </w:r>
      <w:r w:rsidR="00976683" w:rsidRPr="00523247">
        <w:rPr>
          <w:rFonts w:ascii="Verdana" w:hAnsi="Verdana"/>
        </w:rPr>
        <w:t>umber of ‘activities’ per annum (e.g. data requests, record keeping, provision of information etc)</w:t>
      </w:r>
    </w:p>
    <w:p w:rsidR="00976683" w:rsidRPr="00523247" w:rsidRDefault="00523247" w:rsidP="00A76FAF">
      <w:pPr>
        <w:pStyle w:val="WOVGbody"/>
        <w:numPr>
          <w:ilvl w:val="1"/>
          <w:numId w:val="27"/>
        </w:numPr>
        <w:rPr>
          <w:rFonts w:ascii="Verdana" w:hAnsi="Verdana"/>
        </w:rPr>
      </w:pPr>
      <w:r w:rsidRPr="00523247">
        <w:rPr>
          <w:rFonts w:ascii="Verdana" w:hAnsi="Verdana"/>
        </w:rPr>
        <w:t>a</w:t>
      </w:r>
      <w:r w:rsidR="00976683" w:rsidRPr="00523247">
        <w:rPr>
          <w:rFonts w:ascii="Verdana" w:hAnsi="Verdana"/>
        </w:rPr>
        <w:t>verage number of hours required per ‘activity’</w:t>
      </w:r>
    </w:p>
    <w:p w:rsidR="00976683" w:rsidRPr="00523247" w:rsidRDefault="00523247" w:rsidP="00A76FAF">
      <w:pPr>
        <w:pStyle w:val="WOVGbody"/>
        <w:numPr>
          <w:ilvl w:val="1"/>
          <w:numId w:val="27"/>
        </w:numPr>
        <w:rPr>
          <w:rFonts w:ascii="Verdana" w:hAnsi="Verdana"/>
        </w:rPr>
      </w:pPr>
      <w:r w:rsidRPr="00523247">
        <w:rPr>
          <w:rFonts w:ascii="Verdana" w:hAnsi="Verdana"/>
        </w:rPr>
        <w:t>t</w:t>
      </w:r>
      <w:r w:rsidR="00976683" w:rsidRPr="00523247">
        <w:rPr>
          <w:rFonts w:ascii="Verdana" w:hAnsi="Verdana"/>
        </w:rPr>
        <w:t>otal organisation FTE workforce.</w:t>
      </w:r>
    </w:p>
    <w:p w:rsidR="00976683" w:rsidRPr="00523247" w:rsidRDefault="00523247" w:rsidP="00A76FAF">
      <w:pPr>
        <w:pStyle w:val="WOVGbody"/>
        <w:numPr>
          <w:ilvl w:val="0"/>
          <w:numId w:val="27"/>
        </w:numPr>
        <w:ind w:left="426"/>
        <w:rPr>
          <w:rFonts w:ascii="Verdana" w:hAnsi="Verdana"/>
        </w:rPr>
      </w:pPr>
      <w:r w:rsidRPr="00523247">
        <w:rPr>
          <w:rFonts w:ascii="Verdana" w:hAnsi="Verdana"/>
        </w:rPr>
        <w:t>t</w:t>
      </w:r>
      <w:r w:rsidR="00976683" w:rsidRPr="00523247">
        <w:rPr>
          <w:rFonts w:ascii="Verdana" w:hAnsi="Verdana"/>
        </w:rPr>
        <w:t>he data are then used to calculate the average annual cost per FTE workforce member (or organisation) for that group. This is achieved by multiplying the ‘average wage’ by ‘the number of activities per annum’ by the ‘average hours required per item’ divided through by the total organisational workforce. This outputs the average cost per FTE workforce member (or organisation) of each of the cost items.</w:t>
      </w:r>
    </w:p>
    <w:p w:rsidR="00976683" w:rsidRPr="00523247" w:rsidRDefault="00523247" w:rsidP="00A76FAF">
      <w:pPr>
        <w:pStyle w:val="WOVGbody"/>
        <w:numPr>
          <w:ilvl w:val="0"/>
          <w:numId w:val="27"/>
        </w:numPr>
        <w:ind w:left="426"/>
        <w:rPr>
          <w:rFonts w:ascii="Verdana" w:hAnsi="Verdana"/>
        </w:rPr>
      </w:pPr>
      <w:r w:rsidRPr="00523247">
        <w:rPr>
          <w:rFonts w:ascii="Verdana" w:hAnsi="Verdana"/>
        </w:rPr>
        <w:t>t</w:t>
      </w:r>
      <w:r w:rsidR="00976683" w:rsidRPr="00523247">
        <w:rPr>
          <w:rFonts w:ascii="Verdana" w:hAnsi="Verdana"/>
        </w:rPr>
        <w:t xml:space="preserve">he outputs are then averaged across multiple </w:t>
      </w:r>
      <w:r w:rsidR="002112A8" w:rsidRPr="00523247">
        <w:rPr>
          <w:rFonts w:ascii="Verdana" w:hAnsi="Verdana"/>
        </w:rPr>
        <w:t>interview</w:t>
      </w:r>
      <w:r w:rsidR="00976683" w:rsidRPr="00523247">
        <w:rPr>
          <w:rFonts w:ascii="Verdana" w:hAnsi="Verdana"/>
        </w:rPr>
        <w:t xml:space="preserve"> responses for a given category,</w:t>
      </w:r>
      <w:r>
        <w:rPr>
          <w:rFonts w:ascii="Verdana" w:hAnsi="Verdana"/>
        </w:rPr>
        <w:t xml:space="preserve"> </w:t>
      </w:r>
      <w:r w:rsidR="00976683" w:rsidRPr="00523247">
        <w:rPr>
          <w:rFonts w:ascii="Verdana" w:hAnsi="Verdana"/>
        </w:rPr>
        <w:t xml:space="preserve">to provide an average cost per workforce member of the </w:t>
      </w:r>
      <w:r w:rsidR="00F366F5" w:rsidRPr="00523247">
        <w:rPr>
          <w:rFonts w:ascii="Verdana" w:hAnsi="Verdana"/>
        </w:rPr>
        <w:t>Phase Two</w:t>
      </w:r>
      <w:r w:rsidR="00976683" w:rsidRPr="00523247">
        <w:rPr>
          <w:rFonts w:ascii="Verdana" w:hAnsi="Verdana"/>
        </w:rPr>
        <w:t xml:space="preserve"> workforce sub-group.</w:t>
      </w:r>
    </w:p>
    <w:p w:rsidR="00976683" w:rsidRPr="00647F41" w:rsidRDefault="00976683" w:rsidP="00943170">
      <w:pPr>
        <w:pStyle w:val="Heading3"/>
        <w:rPr>
          <w:rFonts w:ascii="Verdana" w:hAnsi="Verdana"/>
        </w:rPr>
      </w:pPr>
      <w:r w:rsidRPr="00647F41">
        <w:rPr>
          <w:rFonts w:ascii="Verdana" w:hAnsi="Verdana"/>
        </w:rPr>
        <w:t>Total workforce cost estimation</w:t>
      </w:r>
    </w:p>
    <w:p w:rsidR="00976683" w:rsidRPr="00943170" w:rsidRDefault="00976683" w:rsidP="00943170">
      <w:pPr>
        <w:pStyle w:val="WOVGbody"/>
        <w:rPr>
          <w:rFonts w:ascii="Verdana" w:hAnsi="Verdana"/>
        </w:rPr>
      </w:pPr>
      <w:r w:rsidRPr="00943170">
        <w:rPr>
          <w:rFonts w:ascii="Verdana" w:hAnsi="Verdana"/>
        </w:rPr>
        <w:t xml:space="preserve">Having first established unit cost per FTE for each group and cost category, aggregate workforce statistics can be applied to calculate the total cost to the total </w:t>
      </w:r>
      <w:r w:rsidR="00F366F5">
        <w:rPr>
          <w:rFonts w:ascii="Verdana" w:hAnsi="Verdana"/>
        </w:rPr>
        <w:t>Phase Two</w:t>
      </w:r>
      <w:r w:rsidRPr="00943170">
        <w:rPr>
          <w:rFonts w:ascii="Verdana" w:hAnsi="Verdana"/>
        </w:rPr>
        <w:t xml:space="preserve"> workforce. For example, the costs per workforce member</w:t>
      </w:r>
      <w:r w:rsidRPr="00943170">
        <w:rPr>
          <w:rStyle w:val="FootnoteReference"/>
          <w:rFonts w:ascii="Verdana" w:hAnsi="Verdana"/>
        </w:rPr>
        <w:footnoteReference w:id="40"/>
      </w:r>
      <w:r w:rsidRPr="00943170">
        <w:rPr>
          <w:rFonts w:ascii="Verdana" w:hAnsi="Verdana"/>
        </w:rPr>
        <w:t xml:space="preserve"> may then be multiplied out using aggregate workforce statistics (total workforce count) of the broader grouping. For example:</w:t>
      </w:r>
    </w:p>
    <w:p w:rsidR="00976683" w:rsidRPr="002B2C47" w:rsidRDefault="00976683" w:rsidP="002B2C47">
      <w:pPr>
        <w:pStyle w:val="WOVGbody"/>
        <w:rPr>
          <w:rFonts w:ascii="Verdana" w:hAnsi="Verdana"/>
          <w:i/>
        </w:rPr>
      </w:pPr>
      <w:r w:rsidRPr="00943170">
        <w:rPr>
          <w:rFonts w:ascii="Verdana" w:hAnsi="Verdana"/>
          <w:i/>
        </w:rPr>
        <w:lastRenderedPageBreak/>
        <w:t>If we assume that it costs an average of $10 per FTE per annum in schools to keep records, and there are 10,000 FTE in the total school workforce, then the total annual cost of record keeping for schools would be estimated at $</w:t>
      </w:r>
      <w:r w:rsidR="002B2C47">
        <w:rPr>
          <w:rFonts w:ascii="Verdana" w:hAnsi="Verdana"/>
          <w:i/>
        </w:rPr>
        <w:t>100,000 ($10 x 10,000 workers).</w:t>
      </w:r>
    </w:p>
    <w:p w:rsidR="00976683" w:rsidRPr="00647F41" w:rsidRDefault="002B2C47" w:rsidP="00943170">
      <w:pPr>
        <w:pStyle w:val="Heading3"/>
        <w:rPr>
          <w:rFonts w:ascii="Verdana" w:hAnsi="Verdana"/>
        </w:rPr>
      </w:pPr>
      <w:r>
        <w:rPr>
          <w:rFonts w:ascii="Verdana" w:hAnsi="Verdana"/>
        </w:rPr>
        <w:t>Costing assumptions</w:t>
      </w:r>
    </w:p>
    <w:p w:rsidR="00976683" w:rsidRPr="00943170" w:rsidRDefault="003038F4" w:rsidP="00943170">
      <w:pPr>
        <w:pStyle w:val="WOVGbody"/>
        <w:rPr>
          <w:rFonts w:ascii="Verdana" w:hAnsi="Verdana"/>
        </w:rPr>
      </w:pPr>
      <w:r>
        <w:rPr>
          <w:rFonts w:ascii="Verdana" w:hAnsi="Verdana"/>
        </w:rPr>
        <w:t>O</w:t>
      </w:r>
      <w:r w:rsidR="00976683" w:rsidRPr="00943170">
        <w:rPr>
          <w:rFonts w:ascii="Verdana" w:hAnsi="Verdana"/>
        </w:rPr>
        <w:t>ther notes and clarifications on the methodology</w:t>
      </w:r>
      <w:r>
        <w:rPr>
          <w:rFonts w:ascii="Verdana" w:hAnsi="Verdana"/>
        </w:rPr>
        <w:t xml:space="preserve"> include</w:t>
      </w:r>
      <w:r w:rsidR="00976683" w:rsidRPr="00943170">
        <w:rPr>
          <w:rFonts w:ascii="Verdana" w:hAnsi="Verdana"/>
        </w:rPr>
        <w:t>:</w:t>
      </w:r>
    </w:p>
    <w:p w:rsidR="00976683" w:rsidRPr="00943170" w:rsidRDefault="00976683" w:rsidP="00A76FAF">
      <w:pPr>
        <w:pStyle w:val="WOVGbody"/>
        <w:numPr>
          <w:ilvl w:val="0"/>
          <w:numId w:val="27"/>
        </w:numPr>
        <w:ind w:left="426"/>
        <w:rPr>
          <w:rFonts w:ascii="Verdana" w:hAnsi="Verdana"/>
        </w:rPr>
      </w:pPr>
      <w:r w:rsidRPr="00943170">
        <w:rPr>
          <w:rFonts w:ascii="Verdana" w:hAnsi="Verdana"/>
        </w:rPr>
        <w:t>The split of informatio</w:t>
      </w:r>
      <w:r w:rsidR="00A935E6">
        <w:rPr>
          <w:rFonts w:ascii="Verdana" w:hAnsi="Verdana"/>
        </w:rPr>
        <w:t>n sharing between FVIS and CIS s</w:t>
      </w:r>
      <w:r w:rsidRPr="00943170">
        <w:rPr>
          <w:rFonts w:ascii="Verdana" w:hAnsi="Verdana"/>
        </w:rPr>
        <w:t xml:space="preserve">chemes was estimated through the </w:t>
      </w:r>
      <w:r w:rsidR="002112A8">
        <w:rPr>
          <w:rFonts w:ascii="Verdana" w:hAnsi="Verdana"/>
        </w:rPr>
        <w:t>interviews</w:t>
      </w:r>
      <w:r w:rsidR="00A80187">
        <w:rPr>
          <w:rFonts w:ascii="Verdana" w:hAnsi="Verdana"/>
        </w:rPr>
        <w:t>,</w:t>
      </w:r>
      <w:r w:rsidRPr="00943170">
        <w:rPr>
          <w:rFonts w:ascii="Verdana" w:hAnsi="Verdana"/>
        </w:rPr>
        <w:t xml:space="preserve"> which sought to isolate information sharing </w:t>
      </w:r>
      <w:r w:rsidR="00A80187">
        <w:rPr>
          <w:rFonts w:ascii="Verdana" w:hAnsi="Verdana"/>
        </w:rPr>
        <w:t xml:space="preserve">attributable to the </w:t>
      </w:r>
      <w:r w:rsidRPr="00943170">
        <w:rPr>
          <w:rFonts w:ascii="Verdana" w:hAnsi="Verdana"/>
        </w:rPr>
        <w:t xml:space="preserve">CIS Scheme only. </w:t>
      </w:r>
    </w:p>
    <w:p w:rsidR="00205ECC" w:rsidRPr="00205ECC" w:rsidRDefault="00976683" w:rsidP="00A76FAF">
      <w:pPr>
        <w:pStyle w:val="WOVGbody"/>
        <w:numPr>
          <w:ilvl w:val="0"/>
          <w:numId w:val="27"/>
        </w:numPr>
        <w:ind w:left="426"/>
        <w:rPr>
          <w:rFonts w:ascii="Verdana" w:hAnsi="Verdana"/>
        </w:rPr>
      </w:pPr>
      <w:r w:rsidRPr="00943170">
        <w:rPr>
          <w:rFonts w:ascii="Verdana" w:hAnsi="Verdana"/>
        </w:rPr>
        <w:t xml:space="preserve">The </w:t>
      </w:r>
      <w:r w:rsidR="002112A8">
        <w:rPr>
          <w:rFonts w:ascii="Verdana" w:hAnsi="Verdana"/>
        </w:rPr>
        <w:t>interviews</w:t>
      </w:r>
      <w:r w:rsidRPr="00943170">
        <w:rPr>
          <w:rFonts w:ascii="Verdana" w:hAnsi="Verdana"/>
        </w:rPr>
        <w:t xml:space="preserve"> collected estimates of</w:t>
      </w:r>
      <w:r w:rsidR="000A79CF">
        <w:rPr>
          <w:rFonts w:ascii="Verdana" w:hAnsi="Verdana"/>
        </w:rPr>
        <w:t xml:space="preserve"> the</w:t>
      </w:r>
      <w:r w:rsidRPr="00943170">
        <w:rPr>
          <w:rFonts w:ascii="Verdana" w:hAnsi="Verdana"/>
        </w:rPr>
        <w:t xml:space="preserve"> time </w:t>
      </w:r>
      <w:r w:rsidR="00A80187">
        <w:rPr>
          <w:rFonts w:ascii="Verdana" w:hAnsi="Verdana"/>
        </w:rPr>
        <w:t xml:space="preserve">impact on workforces of </w:t>
      </w:r>
      <w:r w:rsidRPr="00943170">
        <w:rPr>
          <w:rFonts w:ascii="Verdana" w:hAnsi="Verdana"/>
        </w:rPr>
        <w:t>up</w:t>
      </w:r>
      <w:r w:rsidR="00A80187">
        <w:rPr>
          <w:rFonts w:ascii="Verdana" w:hAnsi="Verdana"/>
        </w:rPr>
        <w:t>dating</w:t>
      </w:r>
      <w:r w:rsidR="00A935E6">
        <w:rPr>
          <w:rFonts w:ascii="Verdana" w:hAnsi="Verdana"/>
        </w:rPr>
        <w:t xml:space="preserve"> policies </w:t>
      </w:r>
      <w:r w:rsidR="00A80187">
        <w:rPr>
          <w:rFonts w:ascii="Verdana" w:hAnsi="Verdana"/>
        </w:rPr>
        <w:t xml:space="preserve">and procedures </w:t>
      </w:r>
      <w:r w:rsidR="00A935E6">
        <w:rPr>
          <w:rFonts w:ascii="Verdana" w:hAnsi="Verdana"/>
        </w:rPr>
        <w:t xml:space="preserve">for </w:t>
      </w:r>
      <w:r w:rsidR="000A79CF">
        <w:rPr>
          <w:rFonts w:ascii="Verdana" w:hAnsi="Verdana"/>
        </w:rPr>
        <w:t xml:space="preserve">the </w:t>
      </w:r>
      <w:r w:rsidR="00A935E6">
        <w:rPr>
          <w:rFonts w:ascii="Verdana" w:hAnsi="Verdana"/>
        </w:rPr>
        <w:t>FVIS and CIS s</w:t>
      </w:r>
      <w:r w:rsidRPr="00943170">
        <w:rPr>
          <w:rFonts w:ascii="Verdana" w:hAnsi="Verdana"/>
        </w:rPr>
        <w:t>chemes</w:t>
      </w:r>
      <w:r w:rsidR="00A80187">
        <w:rPr>
          <w:rFonts w:ascii="Verdana" w:hAnsi="Verdana"/>
        </w:rPr>
        <w:t xml:space="preserve"> combined, giv</w:t>
      </w:r>
      <w:r w:rsidR="000A79CF">
        <w:rPr>
          <w:rFonts w:ascii="Verdana" w:hAnsi="Verdana"/>
        </w:rPr>
        <w:t>en the aligned implementation of</w:t>
      </w:r>
      <w:r w:rsidR="00A80187">
        <w:rPr>
          <w:rFonts w:ascii="Verdana" w:hAnsi="Verdana"/>
        </w:rPr>
        <w:t xml:space="preserve"> the schemes and the largely overlapping regulatory requirements. </w:t>
      </w:r>
      <w:r w:rsidR="000A79CF">
        <w:rPr>
          <w:rFonts w:ascii="Verdana" w:hAnsi="Verdana"/>
        </w:rPr>
        <w:t xml:space="preserve">For each </w:t>
      </w:r>
      <w:r w:rsidR="00A80187">
        <w:rPr>
          <w:rFonts w:ascii="Verdana" w:hAnsi="Verdana"/>
        </w:rPr>
        <w:t>response</w:t>
      </w:r>
      <w:r w:rsidR="000A79CF">
        <w:rPr>
          <w:rFonts w:ascii="Verdana" w:hAnsi="Verdana"/>
        </w:rPr>
        <w:t>,</w:t>
      </w:r>
      <w:r w:rsidR="00A80187">
        <w:rPr>
          <w:rFonts w:ascii="Verdana" w:hAnsi="Verdana"/>
        </w:rPr>
        <w:t xml:space="preserve"> 50 per cent of the reported impact was attributed to each scheme (CIS and FVIS). The calculations of monetary value of </w:t>
      </w:r>
      <w:r w:rsidR="000A79CF">
        <w:rPr>
          <w:rFonts w:ascii="Verdana" w:hAnsi="Verdana"/>
        </w:rPr>
        <w:t xml:space="preserve">these </w:t>
      </w:r>
      <w:r w:rsidR="00A80187">
        <w:rPr>
          <w:rFonts w:ascii="Verdana" w:hAnsi="Verdana"/>
        </w:rPr>
        <w:t>impact</w:t>
      </w:r>
      <w:r w:rsidR="000A79CF">
        <w:rPr>
          <w:rFonts w:ascii="Verdana" w:hAnsi="Verdana"/>
        </w:rPr>
        <w:t>s</w:t>
      </w:r>
      <w:r w:rsidR="00A80187">
        <w:rPr>
          <w:rFonts w:ascii="Verdana" w:hAnsi="Verdana"/>
        </w:rPr>
        <w:t xml:space="preserve"> may </w:t>
      </w:r>
      <w:r w:rsidR="000A79CF">
        <w:rPr>
          <w:rFonts w:ascii="Verdana" w:hAnsi="Verdana"/>
        </w:rPr>
        <w:t>differ somewhat between the RIS</w:t>
      </w:r>
      <w:r w:rsidR="00A80187">
        <w:rPr>
          <w:rFonts w:ascii="Verdana" w:hAnsi="Verdana"/>
        </w:rPr>
        <w:t xml:space="preserve"> for the CIS Scheme and </w:t>
      </w:r>
      <w:r w:rsidR="000A79CF">
        <w:rPr>
          <w:rFonts w:ascii="Verdana" w:hAnsi="Verdana"/>
        </w:rPr>
        <w:t xml:space="preserve">RIS for the </w:t>
      </w:r>
      <w:r w:rsidR="00A80187">
        <w:rPr>
          <w:rFonts w:ascii="Verdana" w:hAnsi="Verdana"/>
        </w:rPr>
        <w:t xml:space="preserve">FVIS Scheme due to variations in </w:t>
      </w:r>
      <w:r w:rsidR="000A79CF">
        <w:rPr>
          <w:rFonts w:ascii="Verdana" w:hAnsi="Verdana"/>
        </w:rPr>
        <w:t>methodology and approach to analysis of available data.</w:t>
      </w:r>
      <w:r w:rsidR="00205ECC" w:rsidRPr="00205ECC">
        <w:rPr>
          <w:rFonts w:ascii="Verdana" w:hAnsi="Verdana"/>
        </w:rPr>
        <w:t xml:space="preserve"> </w:t>
      </w:r>
    </w:p>
    <w:p w:rsidR="00976683" w:rsidRPr="00943170" w:rsidRDefault="00976683" w:rsidP="00A76FAF">
      <w:pPr>
        <w:pStyle w:val="WOVGbody"/>
        <w:numPr>
          <w:ilvl w:val="0"/>
          <w:numId w:val="27"/>
        </w:numPr>
        <w:ind w:left="426"/>
        <w:rPr>
          <w:rFonts w:ascii="Verdana" w:hAnsi="Verdana"/>
        </w:rPr>
      </w:pPr>
      <w:r w:rsidRPr="00943170">
        <w:rPr>
          <w:rFonts w:ascii="Verdana" w:hAnsi="Verdana"/>
        </w:rPr>
        <w:t xml:space="preserve">The cost estimate of updating policies and procedures assumed that </w:t>
      </w:r>
      <w:r w:rsidR="004615F7">
        <w:rPr>
          <w:rFonts w:ascii="Verdana" w:hAnsi="Verdana"/>
        </w:rPr>
        <w:t xml:space="preserve">Departments </w:t>
      </w:r>
      <w:r w:rsidRPr="00943170">
        <w:rPr>
          <w:rFonts w:ascii="Verdana" w:hAnsi="Verdana"/>
        </w:rPr>
        <w:t>will provide templates for workforces</w:t>
      </w:r>
      <w:r w:rsidR="004A792B">
        <w:rPr>
          <w:rFonts w:ascii="Verdana" w:hAnsi="Verdana"/>
        </w:rPr>
        <w:t xml:space="preserve"> where this is seen as useful</w:t>
      </w:r>
      <w:r w:rsidRPr="00943170">
        <w:rPr>
          <w:rFonts w:ascii="Verdana" w:hAnsi="Verdana"/>
        </w:rPr>
        <w:t xml:space="preserve">, i.e. </w:t>
      </w:r>
      <w:r w:rsidR="002112A8">
        <w:rPr>
          <w:rFonts w:ascii="Verdana" w:hAnsi="Verdana"/>
        </w:rPr>
        <w:t>interview</w:t>
      </w:r>
      <w:r w:rsidRPr="00943170">
        <w:rPr>
          <w:rFonts w:ascii="Verdana" w:hAnsi="Verdana"/>
        </w:rPr>
        <w:t xml:space="preserve"> respondents were asked how much time will be required to update policies and procedures given they will be provided templates to </w:t>
      </w:r>
      <w:r w:rsidR="00A935E6">
        <w:rPr>
          <w:rFonts w:ascii="Verdana" w:hAnsi="Verdana"/>
        </w:rPr>
        <w:t>g</w:t>
      </w:r>
      <w:r w:rsidR="004A792B">
        <w:rPr>
          <w:rFonts w:ascii="Verdana" w:hAnsi="Verdana"/>
        </w:rPr>
        <w:t>uide them</w:t>
      </w:r>
      <w:r w:rsidR="00A935E6">
        <w:rPr>
          <w:rFonts w:ascii="Verdana" w:hAnsi="Verdana"/>
        </w:rPr>
        <w:t>, if needed</w:t>
      </w:r>
      <w:r w:rsidR="004A792B">
        <w:rPr>
          <w:rFonts w:ascii="Verdana" w:hAnsi="Verdana"/>
        </w:rPr>
        <w:t>.</w:t>
      </w:r>
    </w:p>
    <w:p w:rsidR="00976683" w:rsidRDefault="00976683" w:rsidP="00A76FAF">
      <w:pPr>
        <w:pStyle w:val="WOVGbody"/>
        <w:numPr>
          <w:ilvl w:val="0"/>
          <w:numId w:val="27"/>
        </w:numPr>
        <w:ind w:left="426"/>
        <w:rPr>
          <w:rFonts w:ascii="Verdana" w:hAnsi="Verdana"/>
        </w:rPr>
      </w:pPr>
      <w:r w:rsidRPr="00943170">
        <w:rPr>
          <w:rFonts w:ascii="Verdana" w:hAnsi="Verdana"/>
        </w:rPr>
        <w:t xml:space="preserve">In the consultations undertaken by DET with </w:t>
      </w:r>
      <w:r w:rsidR="00F366F5">
        <w:rPr>
          <w:rFonts w:ascii="Verdana" w:hAnsi="Verdana"/>
        </w:rPr>
        <w:t>Phase Two</w:t>
      </w:r>
      <w:r w:rsidR="00A935E6">
        <w:rPr>
          <w:rFonts w:ascii="Verdana" w:hAnsi="Verdana"/>
        </w:rPr>
        <w:t xml:space="preserve"> workforces, a great deal of </w:t>
      </w:r>
      <w:r w:rsidRPr="00943170">
        <w:rPr>
          <w:rFonts w:ascii="Verdana" w:hAnsi="Verdana"/>
        </w:rPr>
        <w:t xml:space="preserve">confusion existed around the record keeping requirements under the </w:t>
      </w:r>
      <w:r w:rsidR="00451AF6">
        <w:rPr>
          <w:rFonts w:ascii="Verdana" w:hAnsi="Verdana"/>
        </w:rPr>
        <w:t xml:space="preserve">proposed Amendment </w:t>
      </w:r>
      <w:r w:rsidRPr="00943170">
        <w:rPr>
          <w:rFonts w:ascii="Verdana" w:hAnsi="Verdana"/>
        </w:rPr>
        <w:t xml:space="preserve">Regulations and how long it may take to perform the task of record keeping. Specifically, many respondents provided feedback with the explicit assumption that their procedures and policies would not support this work (currently they may not, but the cost of developing such procedures is </w:t>
      </w:r>
      <w:r w:rsidR="00451AF6">
        <w:rPr>
          <w:rFonts w:ascii="Verdana" w:hAnsi="Verdana"/>
        </w:rPr>
        <w:t xml:space="preserve">separately recorded </w:t>
      </w:r>
      <w:r w:rsidRPr="00943170">
        <w:rPr>
          <w:rFonts w:ascii="Verdana" w:hAnsi="Verdana"/>
        </w:rPr>
        <w:t xml:space="preserve">in this RIS). </w:t>
      </w:r>
      <w:r w:rsidR="00451AF6">
        <w:rPr>
          <w:rFonts w:ascii="Verdana" w:hAnsi="Verdana"/>
        </w:rPr>
        <w:t>DET therefore consulted with</w:t>
      </w:r>
      <w:r w:rsidRPr="00943170">
        <w:rPr>
          <w:rFonts w:ascii="Verdana" w:hAnsi="Verdana"/>
        </w:rPr>
        <w:t xml:space="preserve"> Pha</w:t>
      </w:r>
      <w:r w:rsidR="00451AF6">
        <w:rPr>
          <w:rFonts w:ascii="Verdana" w:hAnsi="Verdana"/>
        </w:rPr>
        <w:t>se One</w:t>
      </w:r>
      <w:r w:rsidRPr="00943170">
        <w:rPr>
          <w:rFonts w:ascii="Verdana" w:hAnsi="Verdana"/>
        </w:rPr>
        <w:t xml:space="preserve"> workforces to identify that record keeping under the CIS Scheme takes 10 minutes on avera</w:t>
      </w:r>
      <w:r w:rsidR="003038F4">
        <w:rPr>
          <w:rFonts w:ascii="Verdana" w:hAnsi="Verdana"/>
        </w:rPr>
        <w:t>ge. It was determined to add 20 per cent</w:t>
      </w:r>
      <w:r w:rsidRPr="00943170">
        <w:rPr>
          <w:rFonts w:ascii="Verdana" w:hAnsi="Verdana"/>
        </w:rPr>
        <w:t xml:space="preserve"> to the average record keeping time, to avoid any underestimation of the labour impact of the requirement. As such, the analysis assumes record keeping is 12 minu</w:t>
      </w:r>
      <w:r w:rsidR="008364DB">
        <w:rPr>
          <w:rFonts w:ascii="Verdana" w:hAnsi="Verdana"/>
        </w:rPr>
        <w:t>tes per request or response.</w:t>
      </w:r>
    </w:p>
    <w:p w:rsidR="00976683" w:rsidRPr="00943170" w:rsidRDefault="00976683" w:rsidP="00A76FAF">
      <w:pPr>
        <w:pStyle w:val="WOVGbody"/>
        <w:numPr>
          <w:ilvl w:val="0"/>
          <w:numId w:val="27"/>
        </w:numPr>
        <w:ind w:left="426"/>
        <w:rPr>
          <w:rFonts w:ascii="Verdana" w:hAnsi="Verdana"/>
        </w:rPr>
      </w:pPr>
      <w:r w:rsidRPr="00943170">
        <w:rPr>
          <w:rFonts w:ascii="Verdana" w:hAnsi="Verdana"/>
        </w:rPr>
        <w:t>The 10-year cost of the scheme was estimated using two additional assumptions:</w:t>
      </w:r>
    </w:p>
    <w:p w:rsidR="00976683" w:rsidRPr="00943170" w:rsidRDefault="003038F4" w:rsidP="00A76FAF">
      <w:pPr>
        <w:pStyle w:val="WOVGbody"/>
        <w:numPr>
          <w:ilvl w:val="1"/>
          <w:numId w:val="27"/>
        </w:numPr>
        <w:rPr>
          <w:rFonts w:ascii="Verdana" w:hAnsi="Verdana"/>
        </w:rPr>
      </w:pPr>
      <w:r>
        <w:rPr>
          <w:rFonts w:ascii="Verdana" w:hAnsi="Verdana"/>
        </w:rPr>
        <w:t>t</w:t>
      </w:r>
      <w:r w:rsidR="00976683" w:rsidRPr="00943170">
        <w:rPr>
          <w:rFonts w:ascii="Verdana" w:hAnsi="Verdana"/>
        </w:rPr>
        <w:t xml:space="preserve">he amount of information sharing was assumed to increase annually in line with population growth forecasts, where a population growth </w:t>
      </w:r>
      <w:r w:rsidR="00451AF6">
        <w:rPr>
          <w:rFonts w:ascii="Verdana" w:hAnsi="Verdana"/>
        </w:rPr>
        <w:t xml:space="preserve">rate </w:t>
      </w:r>
      <w:r w:rsidR="00976683" w:rsidRPr="00943170">
        <w:rPr>
          <w:rFonts w:ascii="Verdana" w:hAnsi="Verdana"/>
        </w:rPr>
        <w:t>of 1.7 per ce</w:t>
      </w:r>
      <w:r>
        <w:rPr>
          <w:rFonts w:ascii="Verdana" w:hAnsi="Verdana"/>
        </w:rPr>
        <w:t xml:space="preserve">nt was </w:t>
      </w:r>
      <w:r w:rsidR="00451AF6">
        <w:rPr>
          <w:rFonts w:ascii="Verdana" w:hAnsi="Verdana"/>
        </w:rPr>
        <w:t>applied</w:t>
      </w:r>
      <w:r>
        <w:rPr>
          <w:rFonts w:ascii="Verdana" w:hAnsi="Verdana"/>
        </w:rPr>
        <w:t>.</w:t>
      </w:r>
      <w:r w:rsidR="00976683" w:rsidRPr="003038F4">
        <w:rPr>
          <w:rStyle w:val="FootnoteReference"/>
          <w:rFonts w:ascii="Verdana" w:hAnsi="Verdana"/>
        </w:rPr>
        <w:footnoteReference w:id="41"/>
      </w:r>
    </w:p>
    <w:p w:rsidR="003A0EE2" w:rsidRDefault="003038F4" w:rsidP="00A76FAF">
      <w:pPr>
        <w:pStyle w:val="WOVGbody"/>
        <w:numPr>
          <w:ilvl w:val="1"/>
          <w:numId w:val="27"/>
        </w:numPr>
        <w:rPr>
          <w:rFonts w:ascii="Verdana" w:hAnsi="Verdana"/>
        </w:rPr>
      </w:pPr>
      <w:r>
        <w:rPr>
          <w:rFonts w:ascii="Verdana" w:hAnsi="Verdana"/>
        </w:rPr>
        <w:t>r</w:t>
      </w:r>
      <w:r w:rsidR="00976683" w:rsidRPr="00943170">
        <w:rPr>
          <w:rFonts w:ascii="Verdana" w:hAnsi="Verdana"/>
        </w:rPr>
        <w:t>eal wages (wage growth adjusted for inflation) were assumed to increase at a</w:t>
      </w:r>
      <w:r w:rsidR="00451AF6">
        <w:rPr>
          <w:rFonts w:ascii="Verdana" w:hAnsi="Verdana"/>
        </w:rPr>
        <w:t>n annual</w:t>
      </w:r>
      <w:r w:rsidR="00976683" w:rsidRPr="00943170">
        <w:rPr>
          <w:rFonts w:ascii="Verdana" w:hAnsi="Verdana"/>
        </w:rPr>
        <w:t xml:space="preserve"> rate of 0.5 per cent.</w:t>
      </w:r>
      <w:r w:rsidR="00976683" w:rsidRPr="003038F4">
        <w:rPr>
          <w:rStyle w:val="FootnoteReference"/>
          <w:rFonts w:ascii="Verdana" w:hAnsi="Verdana"/>
        </w:rPr>
        <w:footnoteReference w:id="42"/>
      </w:r>
    </w:p>
    <w:p w:rsidR="003A0EE2" w:rsidRDefault="003A0EE2">
      <w:pPr>
        <w:rPr>
          <w:rFonts w:ascii="Verdana" w:eastAsia="Times" w:hAnsi="Verdana"/>
        </w:rPr>
      </w:pPr>
      <w:r>
        <w:rPr>
          <w:rFonts w:ascii="Verdana" w:hAnsi="Verdana"/>
        </w:rPr>
        <w:br w:type="page"/>
      </w:r>
    </w:p>
    <w:p w:rsidR="00976683" w:rsidRPr="00647F41" w:rsidRDefault="00976683" w:rsidP="00976683">
      <w:pPr>
        <w:pStyle w:val="Heading2"/>
        <w:rPr>
          <w:rFonts w:ascii="Verdana" w:hAnsi="Verdana"/>
        </w:rPr>
      </w:pPr>
      <w:bookmarkStart w:id="63" w:name="_Toc23510805"/>
      <w:r w:rsidRPr="00647F41">
        <w:rPr>
          <w:rFonts w:ascii="Verdana" w:hAnsi="Verdana"/>
        </w:rPr>
        <w:lastRenderedPageBreak/>
        <w:t>Workforce grouping</w:t>
      </w:r>
      <w:r w:rsidR="00FE00CC">
        <w:rPr>
          <w:rFonts w:ascii="Verdana" w:hAnsi="Verdana"/>
        </w:rPr>
        <w:t>s</w:t>
      </w:r>
      <w:r w:rsidRPr="00647F41">
        <w:rPr>
          <w:rFonts w:ascii="Verdana" w:hAnsi="Verdana"/>
        </w:rPr>
        <w:t xml:space="preserve"> and summary data</w:t>
      </w:r>
      <w:bookmarkEnd w:id="63"/>
    </w:p>
    <w:p w:rsidR="00976683" w:rsidRDefault="00976683" w:rsidP="00943170">
      <w:pPr>
        <w:pStyle w:val="WOVGbody"/>
        <w:rPr>
          <w:rFonts w:ascii="Verdana" w:hAnsi="Verdana"/>
        </w:rPr>
      </w:pPr>
      <w:r w:rsidRPr="00943170">
        <w:rPr>
          <w:rFonts w:ascii="Verdana" w:hAnsi="Verdana"/>
        </w:rPr>
        <w:t xml:space="preserve">The broader impacted workforce group (proposed </w:t>
      </w:r>
      <w:r w:rsidR="00F366F5">
        <w:rPr>
          <w:rFonts w:ascii="Verdana" w:hAnsi="Verdana"/>
        </w:rPr>
        <w:t>Phase Two</w:t>
      </w:r>
      <w:r w:rsidRPr="00943170">
        <w:rPr>
          <w:rFonts w:ascii="Verdana" w:hAnsi="Verdana"/>
        </w:rPr>
        <w:t xml:space="preserve"> workforces) includes 40-45 categories of </w:t>
      </w:r>
      <w:r w:rsidR="003038F4">
        <w:rPr>
          <w:rFonts w:ascii="Verdana" w:hAnsi="Verdana"/>
        </w:rPr>
        <w:t>ISEs</w:t>
      </w:r>
      <w:r w:rsidRPr="00943170">
        <w:rPr>
          <w:rFonts w:ascii="Verdana" w:hAnsi="Verdana"/>
        </w:rPr>
        <w:t>. The organisations involved range from kindergartens, schools, public hospitals, community health services, GPs, Ambulance Victoria, state funded aged care, community housing, to various govern</w:t>
      </w:r>
      <w:r w:rsidR="003038F4">
        <w:rPr>
          <w:rFonts w:ascii="Verdana" w:hAnsi="Verdana"/>
        </w:rPr>
        <w:t>ment organisations such as the</w:t>
      </w:r>
      <w:r w:rsidRPr="00943170">
        <w:rPr>
          <w:rFonts w:ascii="Verdana" w:hAnsi="Verdana"/>
        </w:rPr>
        <w:t xml:space="preserve"> </w:t>
      </w:r>
      <w:r w:rsidR="003231B8">
        <w:rPr>
          <w:rFonts w:ascii="Verdana" w:hAnsi="Verdana"/>
        </w:rPr>
        <w:t>Dispute Settlement Centre of Victoria</w:t>
      </w:r>
      <w:r w:rsidR="003038F4">
        <w:rPr>
          <w:rFonts w:ascii="Verdana" w:hAnsi="Verdana"/>
        </w:rPr>
        <w:t xml:space="preserve"> and </w:t>
      </w:r>
      <w:r w:rsidR="003231B8">
        <w:rPr>
          <w:rFonts w:ascii="Verdana" w:hAnsi="Verdana"/>
        </w:rPr>
        <w:t xml:space="preserve">the </w:t>
      </w:r>
      <w:r w:rsidR="003038F4">
        <w:rPr>
          <w:rFonts w:ascii="Verdana" w:hAnsi="Verdana"/>
        </w:rPr>
        <w:t xml:space="preserve">Victorian Registration and Qualifications </w:t>
      </w:r>
      <w:r w:rsidRPr="00943170">
        <w:rPr>
          <w:rFonts w:ascii="Verdana" w:hAnsi="Verdana"/>
        </w:rPr>
        <w:t>authority.</w:t>
      </w:r>
    </w:p>
    <w:p w:rsidR="004E5043" w:rsidRPr="00943170" w:rsidRDefault="00976683" w:rsidP="00943170">
      <w:pPr>
        <w:pStyle w:val="WOVGbody"/>
        <w:rPr>
          <w:rFonts w:ascii="Verdana" w:hAnsi="Verdana"/>
        </w:rPr>
      </w:pPr>
      <w:r w:rsidRPr="00943170">
        <w:rPr>
          <w:rFonts w:ascii="Verdana" w:hAnsi="Verdana"/>
        </w:rPr>
        <w:t>To model the impact on these workforces it is necessary to group the organisations together where they are similar in their service offering and cost impacts per workforce member (i.e. the impact per workforce is expected to be similar).</w:t>
      </w:r>
    </w:p>
    <w:p w:rsidR="00A46B37" w:rsidRDefault="008364DB" w:rsidP="00976683">
      <w:pPr>
        <w:pStyle w:val="BodyText"/>
        <w:rPr>
          <w:rFonts w:ascii="Verdana" w:hAnsi="Verdana"/>
          <w:sz w:val="20"/>
          <w:szCs w:val="20"/>
        </w:rPr>
      </w:pPr>
      <w:r w:rsidRPr="008364DB">
        <w:rPr>
          <w:rFonts w:ascii="Verdana" w:eastAsia="Times" w:hAnsi="Verdana" w:cs="Times New Roman"/>
          <w:sz w:val="20"/>
          <w:szCs w:val="20"/>
        </w:rPr>
        <w:t>Administrative data provided below (number of orga</w:t>
      </w:r>
      <w:r w:rsidR="00053063">
        <w:rPr>
          <w:rFonts w:ascii="Verdana" w:eastAsia="Times" w:hAnsi="Verdana" w:cs="Times New Roman"/>
          <w:sz w:val="20"/>
          <w:szCs w:val="20"/>
        </w:rPr>
        <w:t>nisations and FTE) are</w:t>
      </w:r>
      <w:r w:rsidRPr="008364DB">
        <w:rPr>
          <w:rFonts w:ascii="Verdana" w:eastAsia="Times" w:hAnsi="Verdana" w:cs="Times New Roman"/>
          <w:sz w:val="20"/>
          <w:szCs w:val="20"/>
        </w:rPr>
        <w:t xml:space="preserve"> based on current (2018-2019) information </w:t>
      </w:r>
      <w:r w:rsidR="00053063">
        <w:rPr>
          <w:rFonts w:ascii="Verdana" w:eastAsia="Times" w:hAnsi="Verdana" w:cs="Times New Roman"/>
          <w:sz w:val="20"/>
          <w:szCs w:val="20"/>
        </w:rPr>
        <w:t>available</w:t>
      </w:r>
      <w:r w:rsidRPr="008364DB">
        <w:rPr>
          <w:rFonts w:ascii="Verdana" w:eastAsia="Times" w:hAnsi="Verdana" w:cs="Times New Roman"/>
          <w:sz w:val="20"/>
          <w:szCs w:val="20"/>
        </w:rPr>
        <w:t>. N</w:t>
      </w:r>
      <w:r w:rsidR="00053063">
        <w:rPr>
          <w:rFonts w:ascii="Verdana" w:eastAsia="Times" w:hAnsi="Verdana" w:cs="Times New Roman"/>
          <w:sz w:val="20"/>
          <w:szCs w:val="20"/>
        </w:rPr>
        <w:t xml:space="preserve">o assumptions have been </w:t>
      </w:r>
      <w:r w:rsidRPr="008364DB">
        <w:rPr>
          <w:rFonts w:ascii="Verdana" w:eastAsia="Times" w:hAnsi="Verdana" w:cs="Times New Roman"/>
          <w:sz w:val="20"/>
          <w:szCs w:val="20"/>
        </w:rPr>
        <w:t xml:space="preserve">made in relation to </w:t>
      </w:r>
      <w:r w:rsidR="00053063">
        <w:rPr>
          <w:rFonts w:ascii="Verdana" w:eastAsia="Times" w:hAnsi="Verdana" w:cs="Times New Roman"/>
          <w:sz w:val="20"/>
          <w:szCs w:val="20"/>
        </w:rPr>
        <w:t xml:space="preserve">possible </w:t>
      </w:r>
      <w:r w:rsidRPr="008364DB">
        <w:rPr>
          <w:rFonts w:ascii="Verdana" w:eastAsia="Times" w:hAnsi="Verdana" w:cs="Times New Roman"/>
          <w:sz w:val="20"/>
          <w:szCs w:val="20"/>
        </w:rPr>
        <w:t>future changes to the administrative data, e.g. workforce growth</w:t>
      </w:r>
      <w:r>
        <w:rPr>
          <w:rFonts w:ascii="Verdana" w:eastAsia="Times" w:hAnsi="Verdana" w:cs="Times New Roman"/>
          <w:sz w:val="20"/>
          <w:szCs w:val="20"/>
        </w:rPr>
        <w:t xml:space="preserve">. </w:t>
      </w:r>
      <w:r>
        <w:rPr>
          <w:rFonts w:ascii="Verdana" w:hAnsi="Verdana"/>
          <w:sz w:val="20"/>
          <w:szCs w:val="20"/>
        </w:rPr>
        <w:t>The grouping of</w:t>
      </w:r>
      <w:r w:rsidRPr="0063467C">
        <w:rPr>
          <w:rFonts w:ascii="Verdana" w:hAnsi="Verdana"/>
          <w:sz w:val="20"/>
          <w:szCs w:val="20"/>
        </w:rPr>
        <w:t xml:space="preserve"> </w:t>
      </w:r>
      <w:r>
        <w:rPr>
          <w:rFonts w:ascii="Verdana" w:hAnsi="Verdana"/>
          <w:sz w:val="20"/>
          <w:szCs w:val="20"/>
        </w:rPr>
        <w:t>Phase Two</w:t>
      </w:r>
      <w:r w:rsidRPr="0063467C">
        <w:rPr>
          <w:rFonts w:ascii="Verdana" w:hAnsi="Verdana"/>
          <w:sz w:val="20"/>
          <w:szCs w:val="20"/>
        </w:rPr>
        <w:t xml:space="preserve"> workforces and workforce data </w:t>
      </w:r>
      <w:r>
        <w:rPr>
          <w:rFonts w:ascii="Verdana" w:hAnsi="Verdana"/>
          <w:sz w:val="20"/>
          <w:szCs w:val="20"/>
        </w:rPr>
        <w:t xml:space="preserve">by group </w:t>
      </w:r>
      <w:r w:rsidRPr="0063467C">
        <w:rPr>
          <w:rFonts w:ascii="Verdana" w:hAnsi="Verdana"/>
          <w:sz w:val="20"/>
          <w:szCs w:val="20"/>
        </w:rPr>
        <w:t xml:space="preserve">is provided in the </w:t>
      </w:r>
      <w:r w:rsidRPr="008364DB">
        <w:rPr>
          <w:rFonts w:ascii="Verdana" w:eastAsia="Times" w:hAnsi="Verdana" w:cs="Times New Roman"/>
          <w:sz w:val="20"/>
          <w:szCs w:val="20"/>
        </w:rPr>
        <w:t>table below</w:t>
      </w:r>
      <w:r>
        <w:rPr>
          <w:rFonts w:ascii="Verdana" w:eastAsia="Times" w:hAnsi="Verdana" w:cs="Times New Roman"/>
          <w:sz w:val="20"/>
          <w:szCs w:val="20"/>
        </w:rPr>
        <w:t>:</w:t>
      </w:r>
    </w:p>
    <w:p w:rsidR="00976683" w:rsidRPr="004A1C5C" w:rsidRDefault="00FB4855" w:rsidP="00943170">
      <w:pPr>
        <w:pStyle w:val="WOVGbody"/>
        <w:rPr>
          <w:rFonts w:ascii="Verdana" w:hAnsi="Verdana"/>
          <w:b/>
        </w:rPr>
      </w:pPr>
      <w:bookmarkStart w:id="64" w:name="_Toc17813165"/>
      <w:r>
        <w:rPr>
          <w:rFonts w:ascii="Verdana" w:hAnsi="Verdana"/>
          <w:b/>
        </w:rPr>
        <w:t>Table 14.2</w:t>
      </w:r>
      <w:r w:rsidR="004E5043" w:rsidRPr="004A1C5C">
        <w:rPr>
          <w:rFonts w:ascii="Verdana" w:hAnsi="Verdana"/>
          <w:b/>
        </w:rPr>
        <w:t xml:space="preserve"> </w:t>
      </w:r>
      <w:r w:rsidR="00F366F5">
        <w:rPr>
          <w:rFonts w:ascii="Verdana" w:hAnsi="Verdana"/>
          <w:b/>
        </w:rPr>
        <w:t>Phase Two</w:t>
      </w:r>
      <w:r w:rsidR="00976683" w:rsidRPr="004A1C5C">
        <w:rPr>
          <w:rFonts w:ascii="Verdana" w:hAnsi="Verdana"/>
          <w:b/>
        </w:rPr>
        <w:t xml:space="preserve"> workforce grouping</w:t>
      </w:r>
      <w:r w:rsidR="00053063">
        <w:rPr>
          <w:rFonts w:ascii="Verdana" w:hAnsi="Verdana"/>
          <w:b/>
        </w:rPr>
        <w:t>s</w:t>
      </w:r>
      <w:r w:rsidR="00976683" w:rsidRPr="004A1C5C">
        <w:rPr>
          <w:rFonts w:ascii="Verdana" w:hAnsi="Verdana"/>
          <w:b/>
        </w:rPr>
        <w:t xml:space="preserve"> and key metrics (2018-19)</w:t>
      </w:r>
      <w:bookmarkEnd w:id="64"/>
    </w:p>
    <w:tbl>
      <w:tblPr>
        <w:tblW w:w="9639" w:type="dxa"/>
        <w:tblInd w:w="454" w:type="dxa"/>
        <w:tblLayout w:type="fixed"/>
        <w:tblCellMar>
          <w:left w:w="0" w:type="dxa"/>
          <w:bottom w:w="40" w:type="dxa"/>
          <w:right w:w="0" w:type="dxa"/>
        </w:tblCellMar>
        <w:tblLook w:val="0000" w:firstRow="0" w:lastRow="0" w:firstColumn="0" w:lastColumn="0" w:noHBand="0" w:noVBand="0"/>
        <w:tblDescription w:val="table_Std"/>
      </w:tblPr>
      <w:tblGrid>
        <w:gridCol w:w="4185"/>
        <w:gridCol w:w="2155"/>
        <w:gridCol w:w="1835"/>
        <w:gridCol w:w="1444"/>
        <w:gridCol w:w="20"/>
      </w:tblGrid>
      <w:tr w:rsidR="00976683" w:rsidRPr="001B4855" w:rsidTr="0086476C">
        <w:trPr>
          <w:cantSplit/>
          <w:tblHeader/>
        </w:trPr>
        <w:tc>
          <w:tcPr>
            <w:tcW w:w="3289" w:type="pct"/>
            <w:gridSpan w:val="2"/>
            <w:shd w:val="clear" w:color="auto" w:fill="53565A" w:themeFill="accent1"/>
            <w:tcMar>
              <w:left w:w="454" w:type="dxa"/>
              <w:bottom w:w="0" w:type="dxa"/>
            </w:tcMar>
          </w:tcPr>
          <w:p w:rsidR="00976683" w:rsidRPr="00984255" w:rsidRDefault="00721C46" w:rsidP="00721C46">
            <w:pPr>
              <w:pStyle w:val="Tablecolumnheadings"/>
              <w:ind w:hanging="450"/>
              <w:rPr>
                <w:rFonts w:ascii="Verdana" w:hAnsi="Verdana"/>
                <w:szCs w:val="20"/>
              </w:rPr>
            </w:pPr>
            <w:r>
              <w:rPr>
                <w:rFonts w:ascii="Verdana" w:hAnsi="Verdana"/>
                <w:szCs w:val="20"/>
              </w:rPr>
              <w:t xml:space="preserve"> </w:t>
            </w:r>
            <w:r w:rsidR="00976683" w:rsidRPr="00984255">
              <w:rPr>
                <w:rFonts w:ascii="Verdana" w:hAnsi="Verdana"/>
                <w:szCs w:val="20"/>
              </w:rPr>
              <w:t>Workforce Grouping</w:t>
            </w:r>
          </w:p>
        </w:tc>
        <w:tc>
          <w:tcPr>
            <w:tcW w:w="952" w:type="pct"/>
            <w:shd w:val="clear" w:color="auto" w:fill="53565A" w:themeFill="accent1"/>
            <w:tcMar>
              <w:bottom w:w="0" w:type="dxa"/>
            </w:tcMar>
          </w:tcPr>
          <w:p w:rsidR="00976683" w:rsidRPr="00984255" w:rsidRDefault="00976683" w:rsidP="00976683">
            <w:pPr>
              <w:pStyle w:val="Tablecolumnheadings"/>
              <w:jc w:val="center"/>
              <w:rPr>
                <w:rFonts w:ascii="Verdana" w:hAnsi="Verdana"/>
                <w:szCs w:val="20"/>
              </w:rPr>
            </w:pPr>
            <w:r w:rsidRPr="00984255">
              <w:rPr>
                <w:rFonts w:ascii="Verdana" w:hAnsi="Verdana"/>
                <w:szCs w:val="20"/>
              </w:rPr>
              <w:t>Organisations</w:t>
            </w:r>
          </w:p>
        </w:tc>
        <w:tc>
          <w:tcPr>
            <w:tcW w:w="749" w:type="pct"/>
            <w:shd w:val="clear" w:color="auto" w:fill="53565A" w:themeFill="accent1"/>
            <w:tcMar>
              <w:bottom w:w="0" w:type="dxa"/>
            </w:tcMar>
          </w:tcPr>
          <w:p w:rsidR="00976683" w:rsidRPr="00984255" w:rsidRDefault="00976683" w:rsidP="001B4855">
            <w:pPr>
              <w:pStyle w:val="Tablecolumnheadings"/>
              <w:ind w:left="111"/>
              <w:jc w:val="center"/>
              <w:rPr>
                <w:rFonts w:ascii="Verdana" w:hAnsi="Verdana"/>
                <w:szCs w:val="20"/>
              </w:rPr>
            </w:pPr>
            <w:r w:rsidRPr="00984255">
              <w:rPr>
                <w:rFonts w:ascii="Verdana" w:hAnsi="Verdana"/>
                <w:szCs w:val="20"/>
              </w:rPr>
              <w:t>FTEs</w:t>
            </w:r>
          </w:p>
        </w:tc>
        <w:tc>
          <w:tcPr>
            <w:tcW w:w="10" w:type="pct"/>
            <w:shd w:val="clear" w:color="auto" w:fill="53565A" w:themeFill="accent1"/>
            <w:tcMar>
              <w:bottom w:w="0" w:type="dxa"/>
            </w:tcMar>
          </w:tcPr>
          <w:p w:rsidR="00976683" w:rsidRPr="00984255" w:rsidRDefault="00976683" w:rsidP="00976683">
            <w:pPr>
              <w:pStyle w:val="Tablecolumnheadings"/>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2171" w:type="pct"/>
            <w:tcBorders>
              <w:top w:val="nil"/>
            </w:tcBorders>
            <w:shd w:val="clear" w:color="auto" w:fill="00848F" w:themeFill="accent2"/>
          </w:tcPr>
          <w:p w:rsidR="00976683" w:rsidRPr="00984255" w:rsidRDefault="003660E2" w:rsidP="00976683">
            <w:pPr>
              <w:pStyle w:val="Tabletext"/>
              <w:rPr>
                <w:rFonts w:ascii="Verdana" w:hAnsi="Verdana"/>
                <w:b/>
                <w:bCs/>
                <w:color w:val="FFFFFF" w:themeColor="background1"/>
                <w:szCs w:val="20"/>
              </w:rPr>
            </w:pPr>
            <w:r w:rsidRPr="00984255">
              <w:rPr>
                <w:rFonts w:ascii="Verdana" w:hAnsi="Verdana"/>
                <w:b/>
                <w:bCs/>
                <w:color w:val="FFFFFF" w:themeColor="background1"/>
                <w:szCs w:val="20"/>
              </w:rPr>
              <w:t xml:space="preserve"> </w:t>
            </w:r>
            <w:r w:rsidR="00976683" w:rsidRPr="00984255">
              <w:rPr>
                <w:rFonts w:ascii="Verdana" w:hAnsi="Verdana"/>
                <w:b/>
                <w:bCs/>
                <w:color w:val="FFFFFF" w:themeColor="background1"/>
                <w:szCs w:val="20"/>
              </w:rPr>
              <w:t>Group 1: Schools</w:t>
            </w:r>
          </w:p>
        </w:tc>
        <w:tc>
          <w:tcPr>
            <w:tcW w:w="2829" w:type="pct"/>
            <w:gridSpan w:val="4"/>
            <w:tcBorders>
              <w:top w:val="nil"/>
            </w:tcBorders>
            <w:shd w:val="clear" w:color="auto" w:fill="00848F" w:themeFill="accent2"/>
          </w:tcPr>
          <w:p w:rsidR="00976683" w:rsidRPr="00984255" w:rsidRDefault="00976683" w:rsidP="00976683">
            <w:pPr>
              <w:pStyle w:val="Tabletext"/>
              <w:jc w:val="center"/>
              <w:rPr>
                <w:rFonts w:ascii="Verdana" w:hAnsi="Verdana"/>
                <w:color w:val="FFFFFF" w:themeColor="background1"/>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tcBorders>
              <w:top w:val="nil"/>
            </w:tcBorders>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Government</w:t>
            </w:r>
          </w:p>
        </w:tc>
        <w:tc>
          <w:tcPr>
            <w:tcW w:w="952" w:type="pct"/>
            <w:tcBorders>
              <w:top w:val="nil"/>
            </w:tcBorders>
            <w:shd w:val="clear" w:color="auto" w:fill="auto"/>
          </w:tcPr>
          <w:p w:rsidR="00976683" w:rsidRPr="00984255" w:rsidRDefault="00976683" w:rsidP="00976683">
            <w:pPr>
              <w:pStyle w:val="Tabletext"/>
              <w:jc w:val="center"/>
              <w:rPr>
                <w:rFonts w:ascii="Verdana" w:hAnsi="Verdana"/>
                <w:szCs w:val="20"/>
              </w:rPr>
            </w:pPr>
          </w:p>
        </w:tc>
        <w:tc>
          <w:tcPr>
            <w:tcW w:w="749" w:type="pct"/>
            <w:tcBorders>
              <w:top w:val="nil"/>
            </w:tcBorders>
            <w:shd w:val="clear" w:color="auto" w:fill="auto"/>
          </w:tcPr>
          <w:p w:rsidR="00976683" w:rsidRPr="00984255" w:rsidRDefault="00976683" w:rsidP="00976683">
            <w:pPr>
              <w:pStyle w:val="Tabletext"/>
              <w:jc w:val="center"/>
              <w:rPr>
                <w:rFonts w:ascii="Verdana" w:hAnsi="Verdana"/>
                <w:szCs w:val="20"/>
              </w:rPr>
            </w:pPr>
          </w:p>
        </w:tc>
        <w:tc>
          <w:tcPr>
            <w:tcW w:w="10" w:type="pct"/>
            <w:tcBorders>
              <w:top w:val="nil"/>
            </w:tcBorders>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Independent</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Catholic</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6E5954"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6E5954" w:rsidRDefault="006E5954" w:rsidP="00976683">
            <w:pPr>
              <w:pStyle w:val="Tabletext"/>
              <w:rPr>
                <w:rFonts w:ascii="Verdana" w:hAnsi="Verdana"/>
                <w:szCs w:val="20"/>
              </w:rPr>
            </w:pPr>
            <w:r>
              <w:rPr>
                <w:rFonts w:ascii="Verdana" w:hAnsi="Verdana"/>
                <w:szCs w:val="20"/>
              </w:rPr>
              <w:t>Relevant non-g</w:t>
            </w:r>
            <w:r w:rsidR="00DA1A4F">
              <w:rPr>
                <w:rFonts w:ascii="Verdana" w:hAnsi="Verdana"/>
                <w:szCs w:val="20"/>
              </w:rPr>
              <w:t>overnment school system bodies</w:t>
            </w:r>
            <w:r w:rsidR="00DA1A4F">
              <w:rPr>
                <w:rStyle w:val="FootnoteReference"/>
                <w:rFonts w:ascii="Verdana" w:hAnsi="Verdana"/>
                <w:szCs w:val="20"/>
              </w:rPr>
              <w:footnoteReference w:id="43"/>
            </w:r>
          </w:p>
        </w:tc>
        <w:tc>
          <w:tcPr>
            <w:tcW w:w="952" w:type="pct"/>
            <w:shd w:val="clear" w:color="auto" w:fill="auto"/>
          </w:tcPr>
          <w:p w:rsidR="006E5954" w:rsidRPr="0057082B" w:rsidRDefault="006E5954" w:rsidP="00087366">
            <w:pPr>
              <w:pStyle w:val="Tabletext"/>
              <w:jc w:val="center"/>
              <w:rPr>
                <w:rFonts w:ascii="Verdana" w:hAnsi="Verdana"/>
                <w:szCs w:val="20"/>
                <w:highlight w:val="yellow"/>
              </w:rPr>
            </w:pPr>
          </w:p>
        </w:tc>
        <w:tc>
          <w:tcPr>
            <w:tcW w:w="749" w:type="pct"/>
            <w:shd w:val="clear" w:color="auto" w:fill="auto"/>
          </w:tcPr>
          <w:p w:rsidR="006E5954" w:rsidRPr="009408C2" w:rsidRDefault="006E5954" w:rsidP="00976683">
            <w:pPr>
              <w:pStyle w:val="Tabletext"/>
              <w:jc w:val="center"/>
              <w:rPr>
                <w:rFonts w:ascii="Verdana" w:hAnsi="Verdana"/>
                <w:szCs w:val="20"/>
                <w:highlight w:val="yellow"/>
              </w:rPr>
            </w:pPr>
          </w:p>
        </w:tc>
        <w:tc>
          <w:tcPr>
            <w:tcW w:w="10" w:type="pct"/>
            <w:shd w:val="clear" w:color="auto" w:fill="auto"/>
          </w:tcPr>
          <w:p w:rsidR="006E5954" w:rsidRPr="00984255" w:rsidRDefault="006E5954" w:rsidP="00976683">
            <w:pPr>
              <w:pStyle w:val="Tabletext"/>
              <w:jc w:val="center"/>
              <w:rPr>
                <w:rFonts w:ascii="Verdana" w:hAnsi="Verdana"/>
                <w:szCs w:val="20"/>
              </w:rPr>
            </w:pPr>
          </w:p>
        </w:tc>
      </w:tr>
      <w:tr w:rsidR="006E5954"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6E5954" w:rsidRDefault="006E5954" w:rsidP="00DA1A4F">
            <w:pPr>
              <w:pStyle w:val="Tabletext"/>
              <w:rPr>
                <w:rFonts w:ascii="Verdana" w:hAnsi="Verdana"/>
                <w:szCs w:val="20"/>
              </w:rPr>
            </w:pPr>
            <w:r>
              <w:rPr>
                <w:rFonts w:ascii="Verdana" w:hAnsi="Verdana"/>
                <w:szCs w:val="20"/>
              </w:rPr>
              <w:t>Student disengagement and child wellbei</w:t>
            </w:r>
            <w:r w:rsidR="00363EA4">
              <w:rPr>
                <w:rFonts w:ascii="Verdana" w:hAnsi="Verdana"/>
                <w:szCs w:val="20"/>
              </w:rPr>
              <w:t xml:space="preserve">ng services/ programs funded/delivered </w:t>
            </w:r>
            <w:r>
              <w:rPr>
                <w:rFonts w:ascii="Verdana" w:hAnsi="Verdana"/>
                <w:szCs w:val="20"/>
              </w:rPr>
              <w:t>by DET</w:t>
            </w:r>
            <w:r w:rsidR="00DA1A4F">
              <w:rPr>
                <w:rStyle w:val="FootnoteReference"/>
                <w:rFonts w:ascii="Verdana" w:hAnsi="Verdana"/>
                <w:szCs w:val="20"/>
              </w:rPr>
              <w:footnoteReference w:id="44"/>
            </w:r>
          </w:p>
        </w:tc>
        <w:tc>
          <w:tcPr>
            <w:tcW w:w="952" w:type="pct"/>
            <w:shd w:val="clear" w:color="auto" w:fill="auto"/>
          </w:tcPr>
          <w:p w:rsidR="006E5954" w:rsidRPr="0057082B" w:rsidRDefault="006E5954" w:rsidP="00087366">
            <w:pPr>
              <w:pStyle w:val="Tabletext"/>
              <w:jc w:val="center"/>
              <w:rPr>
                <w:rFonts w:ascii="Verdana" w:hAnsi="Verdana"/>
                <w:szCs w:val="20"/>
                <w:highlight w:val="yellow"/>
              </w:rPr>
            </w:pPr>
          </w:p>
        </w:tc>
        <w:tc>
          <w:tcPr>
            <w:tcW w:w="749" w:type="pct"/>
            <w:shd w:val="clear" w:color="auto" w:fill="auto"/>
          </w:tcPr>
          <w:p w:rsidR="006E5954" w:rsidRPr="009408C2" w:rsidRDefault="006E5954" w:rsidP="00976683">
            <w:pPr>
              <w:pStyle w:val="Tabletext"/>
              <w:jc w:val="center"/>
              <w:rPr>
                <w:rFonts w:ascii="Verdana" w:hAnsi="Verdana"/>
                <w:szCs w:val="20"/>
                <w:highlight w:val="yellow"/>
              </w:rPr>
            </w:pPr>
          </w:p>
        </w:tc>
        <w:tc>
          <w:tcPr>
            <w:tcW w:w="10" w:type="pct"/>
            <w:shd w:val="clear" w:color="auto" w:fill="auto"/>
          </w:tcPr>
          <w:p w:rsidR="006E5954" w:rsidRPr="00984255" w:rsidRDefault="006E5954"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b/>
                <w:bCs/>
                <w:i/>
                <w:iCs/>
                <w:szCs w:val="20"/>
              </w:rPr>
            </w:pPr>
            <w:r w:rsidRPr="00984255">
              <w:rPr>
                <w:rFonts w:ascii="Verdana" w:hAnsi="Verdana"/>
                <w:b/>
                <w:bCs/>
                <w:i/>
                <w:iCs/>
                <w:szCs w:val="20"/>
              </w:rPr>
              <w:t>Total Group 1:</w:t>
            </w:r>
          </w:p>
        </w:tc>
        <w:tc>
          <w:tcPr>
            <w:tcW w:w="952"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2,256</w:t>
            </w:r>
          </w:p>
        </w:tc>
        <w:tc>
          <w:tcPr>
            <w:tcW w:w="749"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85,018</w:t>
            </w:r>
          </w:p>
        </w:tc>
        <w:tc>
          <w:tcPr>
            <w:tcW w:w="10" w:type="pct"/>
            <w:shd w:val="clear" w:color="auto" w:fill="auto"/>
          </w:tcPr>
          <w:p w:rsidR="00976683" w:rsidRPr="00984255" w:rsidRDefault="00976683" w:rsidP="00976683">
            <w:pPr>
              <w:pStyle w:val="Tabletext"/>
              <w:jc w:val="center"/>
              <w:rPr>
                <w:rFonts w:ascii="Verdana" w:hAnsi="Verdana"/>
                <w:b/>
                <w:bCs/>
                <w:i/>
                <w:iCs/>
                <w:szCs w:val="20"/>
              </w:rPr>
            </w:pPr>
          </w:p>
        </w:tc>
      </w:tr>
      <w:tr w:rsidR="00976683" w:rsidRPr="001B4855" w:rsidTr="0086476C">
        <w:tblPrEx>
          <w:tblBorders>
            <w:bottom w:val="single" w:sz="4" w:space="0" w:color="646464"/>
            <w:insideH w:val="single" w:sz="4" w:space="0" w:color="646464"/>
          </w:tblBorders>
        </w:tblPrEx>
        <w:trPr>
          <w:cantSplit/>
        </w:trPr>
        <w:tc>
          <w:tcPr>
            <w:tcW w:w="5000" w:type="pct"/>
            <w:gridSpan w:val="5"/>
            <w:tcBorders>
              <w:top w:val="nil"/>
            </w:tcBorders>
            <w:shd w:val="clear" w:color="auto" w:fill="00848F" w:themeFill="accent2"/>
          </w:tcPr>
          <w:p w:rsidR="00976683" w:rsidRPr="00984255" w:rsidRDefault="00976683" w:rsidP="00976683">
            <w:pPr>
              <w:pStyle w:val="Tabletext"/>
              <w:keepNext/>
              <w:keepLines/>
              <w:ind w:right="119"/>
              <w:rPr>
                <w:rFonts w:ascii="Verdana" w:hAnsi="Verdana"/>
                <w:b/>
                <w:bCs/>
                <w:szCs w:val="20"/>
              </w:rPr>
            </w:pPr>
            <w:r w:rsidRPr="00984255">
              <w:rPr>
                <w:rFonts w:ascii="Verdana" w:hAnsi="Verdana"/>
                <w:b/>
                <w:bCs/>
                <w:color w:val="FFFFFF" w:themeColor="background1"/>
                <w:szCs w:val="20"/>
              </w:rPr>
              <w:t>Group 2: Early Childhood Education and Care provider</w:t>
            </w: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keepNext/>
              <w:keepLines/>
              <w:ind w:right="119"/>
              <w:rPr>
                <w:rFonts w:ascii="Verdana" w:hAnsi="Verdana"/>
                <w:szCs w:val="20"/>
              </w:rPr>
            </w:pPr>
            <w:r w:rsidRPr="00984255">
              <w:rPr>
                <w:rFonts w:ascii="Verdana" w:hAnsi="Verdana"/>
                <w:szCs w:val="20"/>
              </w:rPr>
              <w:t xml:space="preserve">Kindergartens </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Long Day Care</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 xml:space="preserve">Supported Playgroups </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b/>
                <w:bCs/>
                <w:i/>
                <w:iCs/>
                <w:szCs w:val="20"/>
              </w:rPr>
            </w:pPr>
            <w:r w:rsidRPr="00984255">
              <w:rPr>
                <w:rFonts w:ascii="Verdana" w:hAnsi="Verdana"/>
                <w:b/>
                <w:bCs/>
                <w:i/>
                <w:iCs/>
                <w:szCs w:val="20"/>
              </w:rPr>
              <w:t>Total Group 2:</w:t>
            </w:r>
          </w:p>
        </w:tc>
        <w:tc>
          <w:tcPr>
            <w:tcW w:w="952"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2,791</w:t>
            </w:r>
          </w:p>
        </w:tc>
        <w:tc>
          <w:tcPr>
            <w:tcW w:w="749"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35,902</w:t>
            </w:r>
          </w:p>
        </w:tc>
        <w:tc>
          <w:tcPr>
            <w:tcW w:w="10" w:type="pct"/>
            <w:shd w:val="clear" w:color="auto" w:fill="auto"/>
          </w:tcPr>
          <w:p w:rsidR="00976683" w:rsidRPr="00984255" w:rsidRDefault="00976683" w:rsidP="00976683">
            <w:pPr>
              <w:pStyle w:val="Tabletext"/>
              <w:jc w:val="center"/>
              <w:rPr>
                <w:rFonts w:ascii="Verdana" w:hAnsi="Verdana"/>
                <w:b/>
                <w:bCs/>
                <w:i/>
                <w:iCs/>
                <w:szCs w:val="20"/>
              </w:rPr>
            </w:pPr>
          </w:p>
        </w:tc>
      </w:tr>
      <w:tr w:rsidR="00976683" w:rsidRPr="001B4855" w:rsidTr="0086476C">
        <w:tblPrEx>
          <w:tblBorders>
            <w:bottom w:val="single" w:sz="4" w:space="0" w:color="646464"/>
            <w:insideH w:val="single" w:sz="4" w:space="0" w:color="646464"/>
          </w:tblBorders>
        </w:tblPrEx>
        <w:trPr>
          <w:cantSplit/>
        </w:trPr>
        <w:tc>
          <w:tcPr>
            <w:tcW w:w="2171" w:type="pct"/>
            <w:tcBorders>
              <w:top w:val="nil"/>
            </w:tcBorders>
            <w:shd w:val="clear" w:color="auto" w:fill="00848F" w:themeFill="accent2"/>
          </w:tcPr>
          <w:p w:rsidR="00976683" w:rsidRPr="00984255" w:rsidRDefault="00976683" w:rsidP="00C36283">
            <w:pPr>
              <w:pStyle w:val="Tabletext"/>
              <w:rPr>
                <w:rFonts w:ascii="Verdana" w:hAnsi="Verdana"/>
                <w:b/>
                <w:bCs/>
                <w:szCs w:val="20"/>
              </w:rPr>
            </w:pPr>
            <w:r w:rsidRPr="00984255">
              <w:rPr>
                <w:rFonts w:ascii="Verdana" w:hAnsi="Verdana"/>
                <w:b/>
                <w:bCs/>
                <w:color w:val="FFFFFF" w:themeColor="background1"/>
                <w:szCs w:val="20"/>
              </w:rPr>
              <w:t>Group 3: Out</w:t>
            </w:r>
            <w:r w:rsidR="00C36283">
              <w:rPr>
                <w:rFonts w:ascii="Verdana" w:hAnsi="Verdana"/>
                <w:b/>
                <w:bCs/>
                <w:color w:val="FFFFFF" w:themeColor="background1"/>
                <w:szCs w:val="20"/>
              </w:rPr>
              <w:t>side</w:t>
            </w:r>
            <w:r w:rsidR="004173F9">
              <w:rPr>
                <w:rFonts w:ascii="Verdana" w:hAnsi="Verdana"/>
                <w:b/>
                <w:bCs/>
                <w:color w:val="FFFFFF" w:themeColor="background1"/>
                <w:szCs w:val="20"/>
              </w:rPr>
              <w:t xml:space="preserve"> S</w:t>
            </w:r>
            <w:r w:rsidRPr="00984255">
              <w:rPr>
                <w:rFonts w:ascii="Verdana" w:hAnsi="Verdana"/>
                <w:b/>
                <w:bCs/>
                <w:color w:val="FFFFFF" w:themeColor="background1"/>
                <w:szCs w:val="20"/>
              </w:rPr>
              <w:t xml:space="preserve">chool </w:t>
            </w:r>
            <w:r w:rsidR="004173F9">
              <w:rPr>
                <w:rFonts w:ascii="Verdana" w:hAnsi="Verdana"/>
                <w:b/>
                <w:bCs/>
                <w:color w:val="FFFFFF" w:themeColor="background1"/>
                <w:szCs w:val="20"/>
              </w:rPr>
              <w:t xml:space="preserve">Hours </w:t>
            </w:r>
            <w:r w:rsidRPr="00984255">
              <w:rPr>
                <w:rFonts w:ascii="Verdana" w:hAnsi="Verdana"/>
                <w:b/>
                <w:bCs/>
                <w:color w:val="FFFFFF" w:themeColor="background1"/>
                <w:szCs w:val="20"/>
              </w:rPr>
              <w:t>care</w:t>
            </w:r>
          </w:p>
        </w:tc>
        <w:tc>
          <w:tcPr>
            <w:tcW w:w="2829" w:type="pct"/>
            <w:gridSpan w:val="4"/>
            <w:tcBorders>
              <w:top w:val="nil"/>
            </w:tcBorders>
            <w:shd w:val="clear" w:color="auto" w:fill="00848F" w:themeFill="accent2"/>
          </w:tcPr>
          <w:p w:rsidR="00976683" w:rsidRPr="00984255" w:rsidRDefault="00976683" w:rsidP="00976683">
            <w:pPr>
              <w:pStyle w:val="Tabletext"/>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C36283">
            <w:pPr>
              <w:pStyle w:val="Tabletext"/>
              <w:rPr>
                <w:rFonts w:ascii="Verdana" w:hAnsi="Verdana"/>
                <w:szCs w:val="20"/>
              </w:rPr>
            </w:pPr>
            <w:r w:rsidRPr="00984255">
              <w:rPr>
                <w:rFonts w:ascii="Verdana" w:hAnsi="Verdana"/>
                <w:szCs w:val="20"/>
              </w:rPr>
              <w:t>Out</w:t>
            </w:r>
            <w:r w:rsidR="00C36283">
              <w:rPr>
                <w:rFonts w:ascii="Verdana" w:hAnsi="Verdana"/>
                <w:szCs w:val="20"/>
              </w:rPr>
              <w:t>side</w:t>
            </w:r>
            <w:r w:rsidRPr="00984255">
              <w:rPr>
                <w:rFonts w:ascii="Verdana" w:hAnsi="Verdana"/>
                <w:szCs w:val="20"/>
              </w:rPr>
              <w:t xml:space="preserve"> School Hours Care</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b/>
                <w:bCs/>
                <w:i/>
                <w:iCs/>
                <w:szCs w:val="20"/>
              </w:rPr>
            </w:pPr>
            <w:r w:rsidRPr="00984255">
              <w:rPr>
                <w:rFonts w:ascii="Verdana" w:hAnsi="Verdana"/>
                <w:b/>
                <w:bCs/>
                <w:i/>
                <w:iCs/>
                <w:szCs w:val="20"/>
              </w:rPr>
              <w:t>Total Group 3:</w:t>
            </w:r>
          </w:p>
        </w:tc>
        <w:tc>
          <w:tcPr>
            <w:tcW w:w="952"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317</w:t>
            </w:r>
          </w:p>
        </w:tc>
        <w:tc>
          <w:tcPr>
            <w:tcW w:w="749"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6,311</w:t>
            </w:r>
          </w:p>
        </w:tc>
        <w:tc>
          <w:tcPr>
            <w:tcW w:w="10" w:type="pct"/>
            <w:shd w:val="clear" w:color="auto" w:fill="auto"/>
          </w:tcPr>
          <w:p w:rsidR="00976683" w:rsidRPr="00984255" w:rsidRDefault="00976683" w:rsidP="006E5954">
            <w:pPr>
              <w:pStyle w:val="Tabletext"/>
              <w:rPr>
                <w:rFonts w:ascii="Verdana" w:hAnsi="Verdana"/>
                <w:b/>
                <w:bCs/>
                <w:i/>
                <w:iCs/>
                <w:szCs w:val="20"/>
              </w:rPr>
            </w:pPr>
          </w:p>
        </w:tc>
      </w:tr>
      <w:tr w:rsidR="00976683" w:rsidRPr="001B4855" w:rsidTr="0086476C">
        <w:tblPrEx>
          <w:tblBorders>
            <w:bottom w:val="single" w:sz="4" w:space="0" w:color="646464"/>
            <w:insideH w:val="single" w:sz="4" w:space="0" w:color="646464"/>
          </w:tblBorders>
        </w:tblPrEx>
        <w:trPr>
          <w:cantSplit/>
        </w:trPr>
        <w:tc>
          <w:tcPr>
            <w:tcW w:w="5000" w:type="pct"/>
            <w:gridSpan w:val="5"/>
            <w:tcBorders>
              <w:top w:val="nil"/>
            </w:tcBorders>
            <w:shd w:val="clear" w:color="auto" w:fill="00848F" w:themeFill="accent2"/>
          </w:tcPr>
          <w:p w:rsidR="00976683" w:rsidRPr="00984255" w:rsidRDefault="00976683" w:rsidP="00976683">
            <w:pPr>
              <w:pStyle w:val="Tabletext"/>
              <w:rPr>
                <w:rFonts w:ascii="Verdana" w:hAnsi="Verdana"/>
                <w:b/>
                <w:bCs/>
                <w:szCs w:val="20"/>
              </w:rPr>
            </w:pPr>
            <w:r w:rsidRPr="00984255">
              <w:rPr>
                <w:rFonts w:ascii="Verdana" w:hAnsi="Verdana"/>
                <w:b/>
                <w:bCs/>
                <w:color w:val="FFFFFF" w:themeColor="background1"/>
                <w:szCs w:val="20"/>
              </w:rPr>
              <w:t>Group 4: Health and support services</w:t>
            </w: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F87920" w:rsidP="00F87920">
            <w:pPr>
              <w:pStyle w:val="Tabletext"/>
              <w:rPr>
                <w:rFonts w:ascii="Verdana" w:hAnsi="Verdana"/>
                <w:szCs w:val="20"/>
              </w:rPr>
            </w:pPr>
            <w:r>
              <w:rPr>
                <w:rFonts w:ascii="Verdana" w:hAnsi="Verdana"/>
                <w:szCs w:val="20"/>
              </w:rPr>
              <w:t>Community h</w:t>
            </w:r>
            <w:r w:rsidR="00F66AF5">
              <w:rPr>
                <w:rFonts w:ascii="Verdana" w:hAnsi="Verdana"/>
                <w:szCs w:val="20"/>
              </w:rPr>
              <w:t>ealth s</w:t>
            </w:r>
            <w:r w:rsidR="00976683" w:rsidRPr="00984255">
              <w:rPr>
                <w:rFonts w:ascii="Verdana" w:hAnsi="Verdana"/>
                <w:szCs w:val="20"/>
              </w:rPr>
              <w:t>ervices</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F66AF5" w:rsidP="00F66AF5">
            <w:pPr>
              <w:pStyle w:val="Tabletext"/>
              <w:rPr>
                <w:rFonts w:ascii="Verdana" w:hAnsi="Verdana"/>
                <w:szCs w:val="20"/>
              </w:rPr>
            </w:pPr>
            <w:r>
              <w:rPr>
                <w:rFonts w:ascii="Verdana" w:hAnsi="Verdana"/>
                <w:szCs w:val="20"/>
              </w:rPr>
              <w:t>H</w:t>
            </w:r>
            <w:r w:rsidR="00976683" w:rsidRPr="00984255">
              <w:rPr>
                <w:rFonts w:ascii="Verdana" w:hAnsi="Verdana"/>
                <w:szCs w:val="20"/>
              </w:rPr>
              <w:t xml:space="preserve">ousing </w:t>
            </w:r>
            <w:r>
              <w:rPr>
                <w:rFonts w:ascii="Verdana" w:hAnsi="Verdana"/>
                <w:szCs w:val="20"/>
              </w:rPr>
              <w:t>services</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371156" w:rsidP="00976683">
            <w:pPr>
              <w:pStyle w:val="Tabletext"/>
              <w:rPr>
                <w:rFonts w:ascii="Verdana" w:hAnsi="Verdana"/>
                <w:szCs w:val="20"/>
              </w:rPr>
            </w:pPr>
            <w:r>
              <w:rPr>
                <w:rFonts w:ascii="Verdana" w:hAnsi="Verdana"/>
                <w:szCs w:val="20"/>
              </w:rPr>
              <w:t>Community m</w:t>
            </w:r>
            <w:r w:rsidR="00976683" w:rsidRPr="00984255">
              <w:rPr>
                <w:rFonts w:ascii="Verdana" w:hAnsi="Verdana"/>
                <w:szCs w:val="20"/>
              </w:rPr>
              <w:t>ental health services</w:t>
            </w:r>
          </w:p>
        </w:tc>
        <w:tc>
          <w:tcPr>
            <w:tcW w:w="952" w:type="pct"/>
            <w:shd w:val="clear" w:color="auto" w:fill="auto"/>
          </w:tcPr>
          <w:p w:rsidR="00976683" w:rsidRPr="00984255" w:rsidRDefault="00976683" w:rsidP="00976683">
            <w:pPr>
              <w:pStyle w:val="Tabletext"/>
              <w:jc w:val="center"/>
              <w:rPr>
                <w:rFonts w:ascii="Verdana" w:hAnsi="Verdana"/>
                <w:b/>
                <w:bCs/>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Ambulance Victoria</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Homelessness</w:t>
            </w:r>
            <w:r w:rsidR="0086476C">
              <w:rPr>
                <w:rFonts w:ascii="Verdana" w:hAnsi="Verdana"/>
                <w:szCs w:val="20"/>
              </w:rPr>
              <w:t xml:space="preserve"> services</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General Practitioners</w:t>
            </w:r>
            <w:r w:rsidR="00DA1A4F">
              <w:rPr>
                <w:rFonts w:ascii="Verdana" w:hAnsi="Verdana"/>
                <w:szCs w:val="20"/>
              </w:rPr>
              <w:t xml:space="preserve"> (general practices)</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DA1A4F"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DA1A4F" w:rsidRPr="00984255" w:rsidRDefault="00DA1A4F" w:rsidP="00976683">
            <w:pPr>
              <w:pStyle w:val="Tabletext"/>
              <w:rPr>
                <w:rFonts w:ascii="Verdana" w:hAnsi="Verdana"/>
                <w:szCs w:val="20"/>
              </w:rPr>
            </w:pPr>
            <w:r>
              <w:rPr>
                <w:rFonts w:ascii="Verdana" w:hAnsi="Verdana"/>
                <w:szCs w:val="20"/>
              </w:rPr>
              <w:t>General Practice nurses</w:t>
            </w:r>
            <w:r>
              <w:rPr>
                <w:rStyle w:val="FootnoteReference"/>
                <w:rFonts w:ascii="Verdana" w:hAnsi="Verdana"/>
                <w:szCs w:val="20"/>
              </w:rPr>
              <w:footnoteReference w:id="45"/>
            </w:r>
          </w:p>
        </w:tc>
        <w:tc>
          <w:tcPr>
            <w:tcW w:w="952" w:type="pct"/>
            <w:shd w:val="clear" w:color="auto" w:fill="auto"/>
          </w:tcPr>
          <w:p w:rsidR="00DA1A4F" w:rsidRPr="00984255" w:rsidRDefault="00DA1A4F" w:rsidP="00976683">
            <w:pPr>
              <w:pStyle w:val="Tabletext"/>
              <w:jc w:val="center"/>
              <w:rPr>
                <w:rFonts w:ascii="Verdana" w:hAnsi="Verdana"/>
                <w:szCs w:val="20"/>
              </w:rPr>
            </w:pPr>
          </w:p>
        </w:tc>
        <w:tc>
          <w:tcPr>
            <w:tcW w:w="749" w:type="pct"/>
            <w:shd w:val="clear" w:color="auto" w:fill="auto"/>
          </w:tcPr>
          <w:p w:rsidR="00DA1A4F" w:rsidRPr="00984255" w:rsidRDefault="00DA1A4F" w:rsidP="00976683">
            <w:pPr>
              <w:pStyle w:val="Tabletext"/>
              <w:jc w:val="center"/>
              <w:rPr>
                <w:rFonts w:ascii="Verdana" w:hAnsi="Verdana"/>
                <w:szCs w:val="20"/>
              </w:rPr>
            </w:pPr>
          </w:p>
        </w:tc>
        <w:tc>
          <w:tcPr>
            <w:tcW w:w="10" w:type="pct"/>
            <w:shd w:val="clear" w:color="auto" w:fill="auto"/>
          </w:tcPr>
          <w:p w:rsidR="00DA1A4F" w:rsidRPr="00984255" w:rsidRDefault="00DA1A4F"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b/>
                <w:bCs/>
                <w:i/>
                <w:iCs/>
                <w:szCs w:val="20"/>
              </w:rPr>
            </w:pPr>
            <w:r w:rsidRPr="00984255">
              <w:rPr>
                <w:rFonts w:ascii="Verdana" w:hAnsi="Verdana"/>
                <w:b/>
                <w:bCs/>
                <w:i/>
                <w:iCs/>
                <w:szCs w:val="20"/>
              </w:rPr>
              <w:lastRenderedPageBreak/>
              <w:t>Total Group 4:</w:t>
            </w:r>
          </w:p>
        </w:tc>
        <w:tc>
          <w:tcPr>
            <w:tcW w:w="952"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 xml:space="preserve"> 1,969 </w:t>
            </w:r>
          </w:p>
        </w:tc>
        <w:tc>
          <w:tcPr>
            <w:tcW w:w="749"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 xml:space="preserve"> 16,190 </w:t>
            </w:r>
          </w:p>
        </w:tc>
        <w:tc>
          <w:tcPr>
            <w:tcW w:w="10" w:type="pct"/>
            <w:shd w:val="clear" w:color="auto" w:fill="auto"/>
          </w:tcPr>
          <w:p w:rsidR="00976683" w:rsidRPr="00984255" w:rsidRDefault="00976683" w:rsidP="00721C46">
            <w:pPr>
              <w:pStyle w:val="Tabletext"/>
              <w:rPr>
                <w:rFonts w:ascii="Verdana" w:hAnsi="Verdana"/>
                <w:b/>
                <w:bCs/>
                <w:i/>
                <w:iCs/>
                <w:szCs w:val="20"/>
              </w:rPr>
            </w:pPr>
          </w:p>
        </w:tc>
      </w:tr>
      <w:tr w:rsidR="00976683" w:rsidRPr="001B4855" w:rsidTr="0086476C">
        <w:tblPrEx>
          <w:tblBorders>
            <w:bottom w:val="single" w:sz="4" w:space="0" w:color="646464"/>
            <w:insideH w:val="single" w:sz="4" w:space="0" w:color="646464"/>
          </w:tblBorders>
        </w:tblPrEx>
        <w:trPr>
          <w:cantSplit/>
        </w:trPr>
        <w:tc>
          <w:tcPr>
            <w:tcW w:w="2171" w:type="pct"/>
            <w:tcBorders>
              <w:top w:val="nil"/>
            </w:tcBorders>
            <w:shd w:val="clear" w:color="auto" w:fill="00848F" w:themeFill="accent2"/>
          </w:tcPr>
          <w:p w:rsidR="00976683" w:rsidRPr="00984255" w:rsidRDefault="00976683" w:rsidP="00976683">
            <w:pPr>
              <w:pStyle w:val="Tabletext"/>
              <w:rPr>
                <w:rFonts w:ascii="Verdana" w:hAnsi="Verdana"/>
                <w:b/>
                <w:bCs/>
                <w:szCs w:val="20"/>
              </w:rPr>
            </w:pPr>
            <w:r w:rsidRPr="00984255">
              <w:rPr>
                <w:rFonts w:ascii="Verdana" w:hAnsi="Verdana"/>
                <w:b/>
                <w:bCs/>
                <w:color w:val="FFFFFF" w:themeColor="background1"/>
                <w:szCs w:val="20"/>
              </w:rPr>
              <w:t>Group 5: Hospitals</w:t>
            </w:r>
          </w:p>
        </w:tc>
        <w:tc>
          <w:tcPr>
            <w:tcW w:w="2829" w:type="pct"/>
            <w:gridSpan w:val="4"/>
            <w:tcBorders>
              <w:top w:val="nil"/>
            </w:tcBorders>
            <w:shd w:val="clear" w:color="auto" w:fill="00848F" w:themeFill="accent2"/>
          </w:tcPr>
          <w:p w:rsidR="00976683" w:rsidRPr="00984255" w:rsidRDefault="00976683" w:rsidP="00976683">
            <w:pPr>
              <w:pStyle w:val="Tabletext"/>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Public Hospitals</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DA1A4F">
            <w:pPr>
              <w:pStyle w:val="Tabletext"/>
              <w:rPr>
                <w:rFonts w:ascii="Verdana" w:hAnsi="Verdana"/>
                <w:szCs w:val="20"/>
              </w:rPr>
            </w:pPr>
            <w:r w:rsidRPr="00984255">
              <w:rPr>
                <w:rFonts w:ascii="Verdana" w:hAnsi="Verdana"/>
                <w:szCs w:val="20"/>
              </w:rPr>
              <w:t>State funded aged care services</w:t>
            </w:r>
            <w:r w:rsidR="00DA1A4F">
              <w:rPr>
                <w:rStyle w:val="FootnoteReference"/>
                <w:rFonts w:ascii="Verdana" w:hAnsi="Verdana"/>
                <w:szCs w:val="20"/>
              </w:rPr>
              <w:footnoteReference w:id="46"/>
            </w:r>
          </w:p>
        </w:tc>
        <w:tc>
          <w:tcPr>
            <w:tcW w:w="1701" w:type="pct"/>
            <w:gridSpan w:val="2"/>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3D75FC"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3D75FC" w:rsidRPr="00984255" w:rsidRDefault="003D75FC" w:rsidP="00DA1A4F">
            <w:pPr>
              <w:pStyle w:val="Tabletext"/>
              <w:rPr>
                <w:rFonts w:ascii="Verdana" w:hAnsi="Verdana"/>
                <w:szCs w:val="20"/>
              </w:rPr>
            </w:pPr>
            <w:r>
              <w:rPr>
                <w:rFonts w:ascii="Verdana" w:hAnsi="Verdana"/>
                <w:szCs w:val="20"/>
              </w:rPr>
              <w:t>Early parenting centres</w:t>
            </w:r>
            <w:r>
              <w:rPr>
                <w:rStyle w:val="FootnoteReference"/>
                <w:rFonts w:ascii="Verdana" w:hAnsi="Verdana"/>
                <w:szCs w:val="20"/>
              </w:rPr>
              <w:footnoteReference w:id="47"/>
            </w:r>
          </w:p>
        </w:tc>
        <w:tc>
          <w:tcPr>
            <w:tcW w:w="1701" w:type="pct"/>
            <w:gridSpan w:val="2"/>
            <w:shd w:val="clear" w:color="auto" w:fill="auto"/>
          </w:tcPr>
          <w:p w:rsidR="003D75FC" w:rsidRPr="00984255" w:rsidRDefault="003D75FC" w:rsidP="00976683">
            <w:pPr>
              <w:pStyle w:val="Tabletext"/>
              <w:jc w:val="center"/>
              <w:rPr>
                <w:rFonts w:ascii="Verdana" w:hAnsi="Verdana"/>
                <w:szCs w:val="20"/>
              </w:rPr>
            </w:pPr>
          </w:p>
        </w:tc>
        <w:tc>
          <w:tcPr>
            <w:tcW w:w="10" w:type="pct"/>
            <w:shd w:val="clear" w:color="auto" w:fill="auto"/>
          </w:tcPr>
          <w:p w:rsidR="003D75FC" w:rsidRPr="00984255" w:rsidRDefault="003D75FC"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b/>
                <w:bCs/>
                <w:i/>
                <w:iCs/>
                <w:szCs w:val="20"/>
              </w:rPr>
            </w:pPr>
            <w:r w:rsidRPr="00984255">
              <w:rPr>
                <w:rFonts w:ascii="Verdana" w:hAnsi="Verdana"/>
                <w:b/>
                <w:bCs/>
                <w:i/>
                <w:iCs/>
                <w:szCs w:val="20"/>
              </w:rPr>
              <w:t>Total Group 5:</w:t>
            </w:r>
          </w:p>
        </w:tc>
        <w:tc>
          <w:tcPr>
            <w:tcW w:w="952"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87</w:t>
            </w:r>
          </w:p>
        </w:tc>
        <w:tc>
          <w:tcPr>
            <w:tcW w:w="749"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91,665</w:t>
            </w:r>
          </w:p>
        </w:tc>
        <w:tc>
          <w:tcPr>
            <w:tcW w:w="10" w:type="pct"/>
            <w:shd w:val="clear" w:color="auto" w:fill="auto"/>
          </w:tcPr>
          <w:p w:rsidR="00976683" w:rsidRPr="00984255" w:rsidRDefault="00976683" w:rsidP="00976683">
            <w:pPr>
              <w:pStyle w:val="Tabletext"/>
              <w:jc w:val="center"/>
              <w:rPr>
                <w:rFonts w:ascii="Verdana" w:hAnsi="Verdana"/>
                <w:b/>
                <w:bCs/>
                <w:szCs w:val="20"/>
              </w:rPr>
            </w:pPr>
          </w:p>
        </w:tc>
      </w:tr>
      <w:tr w:rsidR="00976683" w:rsidRPr="001B4855" w:rsidTr="0086476C">
        <w:tblPrEx>
          <w:tblBorders>
            <w:bottom w:val="single" w:sz="4" w:space="0" w:color="646464"/>
            <w:insideH w:val="single" w:sz="4" w:space="0" w:color="646464"/>
          </w:tblBorders>
        </w:tblPrEx>
        <w:trPr>
          <w:cantSplit/>
        </w:trPr>
        <w:tc>
          <w:tcPr>
            <w:tcW w:w="5000" w:type="pct"/>
            <w:gridSpan w:val="5"/>
            <w:tcBorders>
              <w:top w:val="nil"/>
            </w:tcBorders>
            <w:shd w:val="clear" w:color="auto" w:fill="00848F" w:themeFill="accent2"/>
          </w:tcPr>
          <w:p w:rsidR="00976683" w:rsidRPr="00984255" w:rsidRDefault="00976683" w:rsidP="00976683">
            <w:pPr>
              <w:pStyle w:val="Tabletext"/>
              <w:rPr>
                <w:rFonts w:ascii="Verdana" w:hAnsi="Verdana"/>
                <w:b/>
                <w:bCs/>
                <w:color w:val="FFFFFF" w:themeColor="background1"/>
                <w:szCs w:val="20"/>
              </w:rPr>
            </w:pPr>
            <w:r w:rsidRPr="00984255">
              <w:rPr>
                <w:rFonts w:ascii="Verdana" w:hAnsi="Verdana"/>
                <w:b/>
                <w:bCs/>
                <w:color w:val="FFFFFF" w:themeColor="background1"/>
                <w:szCs w:val="20"/>
              </w:rPr>
              <w:t>Group 6: Government statutory bodies and organisations/services</w:t>
            </w: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 xml:space="preserve">Victorian Curriculum and Assessment Authority </w:t>
            </w:r>
            <w:r w:rsidR="009212C5">
              <w:rPr>
                <w:rFonts w:ascii="Verdana" w:hAnsi="Verdana"/>
                <w:szCs w:val="20"/>
              </w:rPr>
              <w:t xml:space="preserve"> </w:t>
            </w:r>
            <w:r w:rsidRPr="00984255">
              <w:rPr>
                <w:rFonts w:ascii="Verdana" w:hAnsi="Verdana"/>
                <w:szCs w:val="20"/>
              </w:rPr>
              <w:t>(VCAA)</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Victorian Institute of Teaching (VIT)</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8740C5">
            <w:pPr>
              <w:pStyle w:val="Tabletext"/>
              <w:rPr>
                <w:rFonts w:ascii="Verdana" w:hAnsi="Verdana"/>
                <w:szCs w:val="20"/>
              </w:rPr>
            </w:pPr>
            <w:r w:rsidRPr="00984255">
              <w:rPr>
                <w:rFonts w:ascii="Verdana" w:hAnsi="Verdana"/>
                <w:szCs w:val="20"/>
              </w:rPr>
              <w:t>Victorian Registration and Qualifications Authority (VRQA)</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212C5" w:rsidRPr="001B4855" w:rsidTr="0086476C">
        <w:tblPrEx>
          <w:tblBorders>
            <w:bottom w:val="single" w:sz="4" w:space="0" w:color="646464"/>
            <w:insideH w:val="single" w:sz="4" w:space="0" w:color="646464"/>
          </w:tblBorders>
        </w:tblPrEx>
        <w:trPr>
          <w:cantSplit/>
          <w:trHeight w:val="371"/>
        </w:trPr>
        <w:tc>
          <w:tcPr>
            <w:tcW w:w="3289" w:type="pct"/>
            <w:gridSpan w:val="2"/>
            <w:shd w:val="clear" w:color="auto" w:fill="auto"/>
          </w:tcPr>
          <w:p w:rsidR="009212C5" w:rsidRPr="00984255" w:rsidRDefault="00AF19D3" w:rsidP="00AF19D3">
            <w:pPr>
              <w:pStyle w:val="Tabletext"/>
              <w:rPr>
                <w:rFonts w:ascii="Verdana" w:hAnsi="Verdana"/>
                <w:szCs w:val="20"/>
              </w:rPr>
            </w:pPr>
            <w:r>
              <w:rPr>
                <w:rFonts w:ascii="Verdana" w:hAnsi="Verdana"/>
                <w:szCs w:val="20"/>
              </w:rPr>
              <w:t>Migrant and refugee services</w:t>
            </w:r>
          </w:p>
        </w:tc>
        <w:tc>
          <w:tcPr>
            <w:tcW w:w="952" w:type="pct"/>
            <w:shd w:val="clear" w:color="auto" w:fill="auto"/>
          </w:tcPr>
          <w:p w:rsidR="009212C5" w:rsidRPr="009212C5" w:rsidRDefault="009212C5" w:rsidP="00976683">
            <w:pPr>
              <w:pStyle w:val="Tabletext"/>
              <w:jc w:val="center"/>
              <w:rPr>
                <w:rFonts w:ascii="Verdana" w:hAnsi="Verdana"/>
                <w:szCs w:val="20"/>
              </w:rPr>
            </w:pPr>
          </w:p>
        </w:tc>
        <w:tc>
          <w:tcPr>
            <w:tcW w:w="749" w:type="pct"/>
            <w:shd w:val="clear" w:color="auto" w:fill="auto"/>
          </w:tcPr>
          <w:p w:rsidR="009212C5" w:rsidRPr="009212C5" w:rsidRDefault="009212C5" w:rsidP="00976683">
            <w:pPr>
              <w:pStyle w:val="Tabletext"/>
              <w:jc w:val="center"/>
              <w:rPr>
                <w:rFonts w:ascii="Verdana" w:hAnsi="Verdana"/>
                <w:szCs w:val="20"/>
                <w:highlight w:val="yellow"/>
              </w:rPr>
            </w:pPr>
          </w:p>
        </w:tc>
        <w:tc>
          <w:tcPr>
            <w:tcW w:w="10" w:type="pct"/>
            <w:shd w:val="clear" w:color="auto" w:fill="auto"/>
          </w:tcPr>
          <w:p w:rsidR="009212C5" w:rsidRPr="009212C5" w:rsidRDefault="009212C5" w:rsidP="00976683">
            <w:pPr>
              <w:pStyle w:val="Tabletext"/>
              <w:jc w:val="center"/>
              <w:rPr>
                <w:rFonts w:ascii="Verdana" w:hAnsi="Verdana"/>
                <w:szCs w:val="20"/>
                <w:highlight w:val="yellow"/>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szCs w:val="20"/>
              </w:rPr>
            </w:pPr>
            <w:r w:rsidRPr="00984255">
              <w:rPr>
                <w:rFonts w:ascii="Verdana" w:hAnsi="Verdana"/>
                <w:szCs w:val="20"/>
              </w:rPr>
              <w:t>Multiple and Complex Needs Initiative (MACNI)</w:t>
            </w:r>
          </w:p>
        </w:tc>
        <w:tc>
          <w:tcPr>
            <w:tcW w:w="952" w:type="pct"/>
            <w:shd w:val="clear" w:color="auto" w:fill="auto"/>
          </w:tcPr>
          <w:p w:rsidR="00976683" w:rsidRPr="00984255" w:rsidRDefault="00976683" w:rsidP="009212C5">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color w:val="auto"/>
                <w:szCs w:val="20"/>
              </w:rPr>
            </w:pPr>
            <w:r w:rsidRPr="00984255">
              <w:rPr>
                <w:rFonts w:ascii="Verdana" w:hAnsi="Verdana"/>
                <w:color w:val="auto"/>
                <w:szCs w:val="20"/>
              </w:rPr>
              <w:t>Quality and Regulation Division (QARD) of DET</w:t>
            </w:r>
          </w:p>
        </w:tc>
        <w:tc>
          <w:tcPr>
            <w:tcW w:w="952" w:type="pct"/>
            <w:shd w:val="clear" w:color="auto" w:fill="auto"/>
          </w:tcPr>
          <w:p w:rsidR="00976683" w:rsidRPr="00984255" w:rsidRDefault="00976683" w:rsidP="00976683">
            <w:pPr>
              <w:pStyle w:val="Tabletext"/>
              <w:jc w:val="center"/>
              <w:rPr>
                <w:rFonts w:ascii="Verdana" w:hAnsi="Verdana"/>
                <w:b/>
                <w:bCs/>
                <w:color w:val="auto"/>
                <w:szCs w:val="20"/>
                <w:u w:val="single"/>
              </w:rPr>
            </w:pPr>
          </w:p>
        </w:tc>
        <w:tc>
          <w:tcPr>
            <w:tcW w:w="749" w:type="pct"/>
            <w:shd w:val="clear" w:color="auto" w:fill="auto"/>
          </w:tcPr>
          <w:p w:rsidR="00976683" w:rsidRPr="00984255" w:rsidRDefault="00976683" w:rsidP="00976683">
            <w:pPr>
              <w:pStyle w:val="Tabletext"/>
              <w:jc w:val="center"/>
              <w:rPr>
                <w:rFonts w:ascii="Verdana" w:hAnsi="Verdana"/>
                <w:b/>
                <w:bCs/>
                <w:color w:val="auto"/>
                <w:szCs w:val="20"/>
                <w:u w:val="single"/>
              </w:rPr>
            </w:pPr>
          </w:p>
        </w:tc>
        <w:tc>
          <w:tcPr>
            <w:tcW w:w="10" w:type="pct"/>
            <w:shd w:val="clear" w:color="auto" w:fill="auto"/>
          </w:tcPr>
          <w:p w:rsidR="00976683" w:rsidRPr="00984255" w:rsidRDefault="00976683" w:rsidP="00976683">
            <w:pPr>
              <w:pStyle w:val="Tabletext"/>
              <w:jc w:val="center"/>
              <w:rPr>
                <w:rFonts w:ascii="Verdana" w:hAnsi="Verdana"/>
                <w:color w:val="auto"/>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color w:val="auto"/>
                <w:szCs w:val="20"/>
              </w:rPr>
            </w:pPr>
            <w:r w:rsidRPr="00984255">
              <w:rPr>
                <w:rFonts w:ascii="Verdana" w:hAnsi="Verdana"/>
                <w:color w:val="auto"/>
                <w:szCs w:val="20"/>
              </w:rPr>
              <w:t>Dispute Settlement Centre</w:t>
            </w:r>
            <w:r w:rsidR="00C36283">
              <w:rPr>
                <w:rFonts w:ascii="Verdana" w:hAnsi="Verdana"/>
                <w:color w:val="auto"/>
                <w:szCs w:val="20"/>
              </w:rPr>
              <w:t xml:space="preserve"> of Victoria</w:t>
            </w:r>
          </w:p>
        </w:tc>
        <w:tc>
          <w:tcPr>
            <w:tcW w:w="952" w:type="pct"/>
            <w:shd w:val="clear" w:color="auto" w:fill="auto"/>
          </w:tcPr>
          <w:p w:rsidR="00976683" w:rsidRPr="00984255" w:rsidRDefault="00976683" w:rsidP="00976683">
            <w:pPr>
              <w:pStyle w:val="Tabletext"/>
              <w:jc w:val="center"/>
              <w:rPr>
                <w:rFonts w:ascii="Verdana" w:hAnsi="Verdana"/>
                <w:color w:val="auto"/>
                <w:szCs w:val="20"/>
              </w:rPr>
            </w:pPr>
          </w:p>
        </w:tc>
        <w:tc>
          <w:tcPr>
            <w:tcW w:w="749" w:type="pct"/>
            <w:shd w:val="clear" w:color="auto" w:fill="auto"/>
          </w:tcPr>
          <w:p w:rsidR="00976683" w:rsidRPr="00984255" w:rsidRDefault="00976683" w:rsidP="00976683">
            <w:pPr>
              <w:pStyle w:val="Tabletext"/>
              <w:jc w:val="center"/>
              <w:rPr>
                <w:rFonts w:ascii="Verdana" w:hAnsi="Verdana"/>
                <w:color w:val="auto"/>
                <w:szCs w:val="20"/>
              </w:rPr>
            </w:pPr>
          </w:p>
        </w:tc>
        <w:tc>
          <w:tcPr>
            <w:tcW w:w="10" w:type="pct"/>
            <w:shd w:val="clear" w:color="auto" w:fill="auto"/>
          </w:tcPr>
          <w:p w:rsidR="00976683" w:rsidRPr="00984255" w:rsidRDefault="00976683" w:rsidP="00976683">
            <w:pPr>
              <w:pStyle w:val="Tabletext"/>
              <w:jc w:val="center"/>
              <w:rPr>
                <w:rFonts w:ascii="Verdana" w:hAnsi="Verdana"/>
                <w:color w:val="auto"/>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C36283" w:rsidP="00C36283">
            <w:pPr>
              <w:pStyle w:val="Tabletext"/>
              <w:rPr>
                <w:rFonts w:ascii="Verdana" w:hAnsi="Verdana"/>
                <w:szCs w:val="20"/>
              </w:rPr>
            </w:pPr>
            <w:r>
              <w:rPr>
                <w:rFonts w:ascii="Verdana" w:hAnsi="Verdana"/>
                <w:szCs w:val="20"/>
              </w:rPr>
              <w:t>Forensic disability</w:t>
            </w:r>
          </w:p>
        </w:tc>
        <w:tc>
          <w:tcPr>
            <w:tcW w:w="952" w:type="pct"/>
            <w:shd w:val="clear" w:color="auto" w:fill="auto"/>
          </w:tcPr>
          <w:p w:rsidR="00976683" w:rsidRPr="00984255" w:rsidRDefault="00976683" w:rsidP="00976683">
            <w:pPr>
              <w:pStyle w:val="Tabletext"/>
              <w:jc w:val="center"/>
              <w:rPr>
                <w:rFonts w:ascii="Verdana" w:hAnsi="Verdana"/>
                <w:szCs w:val="20"/>
              </w:rPr>
            </w:pPr>
          </w:p>
        </w:tc>
        <w:tc>
          <w:tcPr>
            <w:tcW w:w="749" w:type="pct"/>
            <w:shd w:val="clear" w:color="auto" w:fill="auto"/>
          </w:tcPr>
          <w:p w:rsidR="00976683" w:rsidRPr="00984255" w:rsidRDefault="00976683" w:rsidP="00976683">
            <w:pPr>
              <w:pStyle w:val="Tabletext"/>
              <w:jc w:val="center"/>
              <w:rPr>
                <w:rFonts w:ascii="Verdana" w:hAnsi="Verdana"/>
                <w:szCs w:val="20"/>
              </w:rPr>
            </w:pPr>
          </w:p>
        </w:tc>
        <w:tc>
          <w:tcPr>
            <w:tcW w:w="10" w:type="pct"/>
            <w:shd w:val="clear" w:color="auto" w:fill="auto"/>
          </w:tcPr>
          <w:p w:rsidR="00976683" w:rsidRPr="00984255" w:rsidRDefault="00976683" w:rsidP="00976683">
            <w:pPr>
              <w:pStyle w:val="Tabletext"/>
              <w:jc w:val="center"/>
              <w:rPr>
                <w:rFonts w:ascii="Verdana" w:hAnsi="Verdana"/>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shd w:val="clear" w:color="auto" w:fill="auto"/>
          </w:tcPr>
          <w:p w:rsidR="00976683" w:rsidRPr="00984255" w:rsidRDefault="00976683" w:rsidP="00976683">
            <w:pPr>
              <w:pStyle w:val="Tabletext"/>
              <w:rPr>
                <w:rFonts w:ascii="Verdana" w:hAnsi="Verdana"/>
                <w:b/>
                <w:bCs/>
                <w:szCs w:val="20"/>
              </w:rPr>
            </w:pPr>
            <w:r w:rsidRPr="00984255">
              <w:rPr>
                <w:rFonts w:ascii="Verdana" w:hAnsi="Verdana"/>
                <w:b/>
                <w:bCs/>
                <w:i/>
                <w:iCs/>
                <w:szCs w:val="20"/>
              </w:rPr>
              <w:t>Total Group 6:</w:t>
            </w:r>
          </w:p>
        </w:tc>
        <w:tc>
          <w:tcPr>
            <w:tcW w:w="952"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 xml:space="preserve"> 60</w:t>
            </w:r>
          </w:p>
        </w:tc>
        <w:tc>
          <w:tcPr>
            <w:tcW w:w="749" w:type="pct"/>
            <w:shd w:val="clear" w:color="auto" w:fill="auto"/>
          </w:tcPr>
          <w:p w:rsidR="00976683" w:rsidRPr="00984255" w:rsidRDefault="00976683" w:rsidP="00976683">
            <w:pPr>
              <w:pStyle w:val="Tabletext"/>
              <w:jc w:val="center"/>
              <w:rPr>
                <w:rFonts w:ascii="Verdana" w:hAnsi="Verdana"/>
                <w:b/>
                <w:bCs/>
                <w:i/>
                <w:iCs/>
                <w:szCs w:val="20"/>
              </w:rPr>
            </w:pPr>
            <w:r w:rsidRPr="00984255">
              <w:rPr>
                <w:rFonts w:ascii="Verdana" w:hAnsi="Verdana"/>
                <w:b/>
                <w:bCs/>
                <w:i/>
                <w:iCs/>
                <w:szCs w:val="20"/>
              </w:rPr>
              <w:t xml:space="preserve"> 830 </w:t>
            </w:r>
          </w:p>
        </w:tc>
        <w:tc>
          <w:tcPr>
            <w:tcW w:w="10" w:type="pct"/>
            <w:shd w:val="clear" w:color="auto" w:fill="auto"/>
          </w:tcPr>
          <w:p w:rsidR="00976683" w:rsidRPr="00984255" w:rsidRDefault="00976683" w:rsidP="00976683">
            <w:pPr>
              <w:pStyle w:val="Tabletext"/>
              <w:jc w:val="center"/>
              <w:rPr>
                <w:rFonts w:ascii="Verdana" w:hAnsi="Verdana"/>
                <w:b/>
                <w:bCs/>
                <w:szCs w:val="20"/>
              </w:rPr>
            </w:pPr>
          </w:p>
        </w:tc>
      </w:tr>
      <w:tr w:rsidR="00976683" w:rsidRPr="001B4855" w:rsidTr="0086476C">
        <w:tblPrEx>
          <w:tblBorders>
            <w:bottom w:val="single" w:sz="4" w:space="0" w:color="646464"/>
            <w:insideH w:val="single" w:sz="4" w:space="0" w:color="646464"/>
          </w:tblBorders>
        </w:tblPrEx>
        <w:trPr>
          <w:cantSplit/>
        </w:trPr>
        <w:tc>
          <w:tcPr>
            <w:tcW w:w="3289" w:type="pct"/>
            <w:gridSpan w:val="2"/>
            <w:tcBorders>
              <w:top w:val="nil"/>
            </w:tcBorders>
            <w:shd w:val="clear" w:color="auto" w:fill="DDDDDD"/>
          </w:tcPr>
          <w:p w:rsidR="00976683" w:rsidRPr="00984255" w:rsidRDefault="00976683" w:rsidP="00976683">
            <w:pPr>
              <w:pStyle w:val="Tabletext"/>
              <w:rPr>
                <w:rFonts w:ascii="Verdana" w:hAnsi="Verdana"/>
                <w:b/>
                <w:bCs/>
                <w:i/>
                <w:iCs/>
                <w:szCs w:val="20"/>
              </w:rPr>
            </w:pPr>
            <w:r w:rsidRPr="00984255">
              <w:rPr>
                <w:rFonts w:ascii="Verdana" w:hAnsi="Verdana"/>
                <w:b/>
                <w:bCs/>
                <w:i/>
                <w:iCs/>
                <w:szCs w:val="20"/>
              </w:rPr>
              <w:t xml:space="preserve">Total </w:t>
            </w:r>
            <w:r w:rsidR="00F366F5">
              <w:rPr>
                <w:rFonts w:ascii="Verdana" w:hAnsi="Verdana"/>
                <w:b/>
                <w:bCs/>
                <w:i/>
                <w:iCs/>
                <w:szCs w:val="20"/>
              </w:rPr>
              <w:t>Phase Two</w:t>
            </w:r>
            <w:r w:rsidRPr="00984255">
              <w:rPr>
                <w:rFonts w:ascii="Verdana" w:hAnsi="Verdana"/>
                <w:b/>
                <w:bCs/>
                <w:i/>
                <w:iCs/>
                <w:szCs w:val="20"/>
              </w:rPr>
              <w:t xml:space="preserve"> workforces</w:t>
            </w:r>
          </w:p>
        </w:tc>
        <w:tc>
          <w:tcPr>
            <w:tcW w:w="952" w:type="pct"/>
            <w:tcBorders>
              <w:top w:val="nil"/>
            </w:tcBorders>
            <w:shd w:val="clear" w:color="auto" w:fill="DDDDDD"/>
          </w:tcPr>
          <w:p w:rsidR="00976683" w:rsidRPr="00984255" w:rsidRDefault="00976683" w:rsidP="00976683">
            <w:pPr>
              <w:pStyle w:val="Tabletext"/>
              <w:jc w:val="center"/>
              <w:rPr>
                <w:rFonts w:ascii="Verdana" w:hAnsi="Verdana"/>
                <w:b/>
                <w:bCs/>
                <w:szCs w:val="20"/>
              </w:rPr>
            </w:pPr>
            <w:r w:rsidRPr="00984255">
              <w:rPr>
                <w:rFonts w:ascii="Verdana" w:hAnsi="Verdana"/>
                <w:b/>
                <w:bCs/>
                <w:szCs w:val="20"/>
              </w:rPr>
              <w:t xml:space="preserve"> 7,480 </w:t>
            </w:r>
          </w:p>
        </w:tc>
        <w:tc>
          <w:tcPr>
            <w:tcW w:w="749" w:type="pct"/>
            <w:tcBorders>
              <w:top w:val="nil"/>
            </w:tcBorders>
            <w:shd w:val="clear" w:color="auto" w:fill="DDDDDD"/>
          </w:tcPr>
          <w:p w:rsidR="00976683" w:rsidRPr="00984255" w:rsidRDefault="00976683" w:rsidP="00976683">
            <w:pPr>
              <w:pStyle w:val="Tabletext"/>
              <w:jc w:val="center"/>
              <w:rPr>
                <w:rFonts w:ascii="Verdana" w:hAnsi="Verdana"/>
                <w:b/>
                <w:bCs/>
                <w:szCs w:val="20"/>
              </w:rPr>
            </w:pPr>
            <w:r w:rsidRPr="00984255">
              <w:rPr>
                <w:rFonts w:ascii="Verdana" w:hAnsi="Verdana"/>
                <w:b/>
                <w:bCs/>
                <w:szCs w:val="20"/>
              </w:rPr>
              <w:t xml:space="preserve"> 235,915 </w:t>
            </w:r>
          </w:p>
        </w:tc>
        <w:tc>
          <w:tcPr>
            <w:tcW w:w="10" w:type="pct"/>
            <w:tcBorders>
              <w:top w:val="nil"/>
            </w:tcBorders>
            <w:shd w:val="clear" w:color="auto" w:fill="DDDDDD"/>
          </w:tcPr>
          <w:p w:rsidR="00976683" w:rsidRPr="00984255" w:rsidRDefault="00976683" w:rsidP="00976683">
            <w:pPr>
              <w:pStyle w:val="Tabletext"/>
              <w:rPr>
                <w:rFonts w:ascii="Verdana" w:hAnsi="Verdana"/>
                <w:b/>
                <w:bCs/>
                <w:szCs w:val="20"/>
              </w:rPr>
            </w:pPr>
          </w:p>
        </w:tc>
      </w:tr>
      <w:tr w:rsidR="00976683" w:rsidRPr="001B4855" w:rsidTr="0086476C">
        <w:tblPrEx>
          <w:tblBorders>
            <w:bottom w:val="single" w:sz="4" w:space="0" w:color="646464"/>
            <w:insideH w:val="single" w:sz="4" w:space="0" w:color="646464"/>
          </w:tblBorders>
        </w:tblPrEx>
        <w:trPr>
          <w:cantSplit/>
        </w:trPr>
        <w:tc>
          <w:tcPr>
            <w:tcW w:w="5000" w:type="pct"/>
            <w:gridSpan w:val="5"/>
            <w:tcBorders>
              <w:bottom w:val="single" w:sz="4" w:space="0" w:color="646464"/>
            </w:tcBorders>
            <w:shd w:val="clear" w:color="auto" w:fill="auto"/>
          </w:tcPr>
          <w:p w:rsidR="00976683" w:rsidRPr="00792DC3" w:rsidRDefault="00976683" w:rsidP="00976683">
            <w:pPr>
              <w:pStyle w:val="Source"/>
              <w:rPr>
                <w:rFonts w:ascii="Verdana" w:hAnsi="Verdana"/>
                <w:sz w:val="16"/>
                <w:szCs w:val="16"/>
              </w:rPr>
            </w:pPr>
            <w:r w:rsidRPr="00792DC3">
              <w:rPr>
                <w:rFonts w:ascii="Verdana" w:hAnsi="Verdana"/>
                <w:sz w:val="16"/>
                <w:szCs w:val="16"/>
              </w:rPr>
              <w:t xml:space="preserve">Source:  </w:t>
            </w:r>
            <w:r w:rsidR="005334BB" w:rsidRPr="00792DC3">
              <w:rPr>
                <w:rFonts w:ascii="Verdana" w:hAnsi="Verdana"/>
                <w:sz w:val="16"/>
                <w:szCs w:val="16"/>
              </w:rPr>
              <w:t xml:space="preserve">DHHS and </w:t>
            </w:r>
            <w:r w:rsidRPr="00792DC3">
              <w:rPr>
                <w:rFonts w:ascii="Verdana" w:hAnsi="Verdana"/>
                <w:sz w:val="16"/>
                <w:szCs w:val="16"/>
              </w:rPr>
              <w:t>DET provided Data 2018-19</w:t>
            </w:r>
          </w:p>
        </w:tc>
      </w:tr>
      <w:tr w:rsidR="00976683" w:rsidRPr="001B4855" w:rsidTr="0086476C">
        <w:tblPrEx>
          <w:tblBorders>
            <w:bottom w:val="single" w:sz="4" w:space="0" w:color="646464"/>
            <w:insideH w:val="single" w:sz="4" w:space="0" w:color="646464"/>
          </w:tblBorders>
        </w:tblPrEx>
        <w:trPr>
          <w:cantSplit/>
          <w:trHeight w:hRule="exact" w:val="120"/>
        </w:trPr>
        <w:tc>
          <w:tcPr>
            <w:tcW w:w="5000" w:type="pct"/>
            <w:gridSpan w:val="5"/>
            <w:tcBorders>
              <w:top w:val="single" w:sz="4" w:space="0" w:color="646464"/>
              <w:bottom w:val="nil"/>
            </w:tcBorders>
            <w:shd w:val="clear" w:color="auto" w:fill="auto"/>
          </w:tcPr>
          <w:p w:rsidR="00976683" w:rsidRPr="001B4855" w:rsidRDefault="00976683" w:rsidP="00976683">
            <w:pPr>
              <w:pStyle w:val="spacertbl"/>
              <w:rPr>
                <w:rFonts w:ascii="Verdana" w:hAnsi="Verdana"/>
                <w:sz w:val="18"/>
                <w:szCs w:val="18"/>
              </w:rPr>
            </w:pPr>
          </w:p>
        </w:tc>
      </w:tr>
    </w:tbl>
    <w:p w:rsidR="006E5954" w:rsidRDefault="006E5954" w:rsidP="003B6279">
      <w:pPr>
        <w:pStyle w:val="WOVGbody"/>
        <w:rPr>
          <w:rFonts w:ascii="Verdana" w:hAnsi="Verdana"/>
        </w:rPr>
      </w:pPr>
    </w:p>
    <w:sectPr w:rsidR="006E5954" w:rsidSect="00AF44C6">
      <w:pgSz w:w="11906" w:h="16838"/>
      <w:pgMar w:top="1701" w:right="1304" w:bottom="1134" w:left="1304"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390" w:rsidRDefault="007D1390">
      <w:r>
        <w:separator/>
      </w:r>
    </w:p>
  </w:endnote>
  <w:endnote w:type="continuationSeparator" w:id="0">
    <w:p w:rsidR="007D1390" w:rsidRDefault="007D1390">
      <w:r>
        <w:continuationSeparator/>
      </w:r>
    </w:p>
  </w:endnote>
  <w:endnote w:type="continuationNotice" w:id="1">
    <w:p w:rsidR="007D1390" w:rsidRDefault="007D1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88" w:rsidRPr="008114D1" w:rsidRDefault="00642088" w:rsidP="00E969B1">
    <w:pPr>
      <w:pStyle w:val="WOVGfooter"/>
    </w:pPr>
    <w:r>
      <w:t xml:space="preserve">Page </w:t>
    </w:r>
    <w:r w:rsidRPr="005A39EC">
      <w:fldChar w:fldCharType="begin"/>
    </w:r>
    <w:r w:rsidRPr="005A39EC">
      <w:instrText xml:space="preserve"> PAGE </w:instrText>
    </w:r>
    <w:r w:rsidRPr="005A39EC">
      <w:fldChar w:fldCharType="separate"/>
    </w:r>
    <w:r w:rsidR="00E33755">
      <w:rPr>
        <w:noProof/>
      </w:rPr>
      <w:t>2</w:t>
    </w:r>
    <w:r w:rsidRPr="005A39EC">
      <w:fldChar w:fldCharType="end"/>
    </w:r>
    <w:r>
      <w:ptab w:relativeTo="margin" w:alignment="right" w:leader="none"/>
    </w:r>
    <w:r>
      <w:t>Child Information Sharing Scheme Regulatory Impact Statement, Amendment Regulations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88" w:rsidRDefault="00642088" w:rsidP="00073CCB">
    <w:pPr>
      <w:pStyle w:val="WOVGfooter"/>
    </w:pPr>
  </w:p>
  <w:p w:rsidR="00642088" w:rsidRDefault="00642088" w:rsidP="00073CCB">
    <w:pPr>
      <w:pStyle w:val="WOVGfooter"/>
    </w:pPr>
  </w:p>
  <w:p w:rsidR="00642088" w:rsidRPr="0031753A" w:rsidRDefault="00642088" w:rsidP="00E969B1">
    <w:pPr>
      <w:pStyle w:val="WOVGfooter"/>
    </w:pPr>
    <w:r>
      <w:t>Child Information Sharing Scheme Regulatory Impact Statement, Amendment Regulations 2020</w:t>
    </w:r>
    <w:r>
      <w:tab/>
    </w:r>
    <w:r>
      <w:tab/>
    </w:r>
    <w:r w:rsidRPr="0031753A">
      <w:t xml:space="preserve">Page </w:t>
    </w:r>
    <w:r w:rsidRPr="0031753A">
      <w:fldChar w:fldCharType="begin"/>
    </w:r>
    <w:r w:rsidRPr="0031753A">
      <w:instrText xml:space="preserve"> PAGE </w:instrText>
    </w:r>
    <w:r w:rsidRPr="0031753A">
      <w:fldChar w:fldCharType="separate"/>
    </w:r>
    <w:r w:rsidR="00E33755">
      <w:rPr>
        <w:noProof/>
      </w:rPr>
      <w:t>77</w:t>
    </w:r>
    <w:r w:rsidRPr="0031753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88" w:rsidRPr="001A7E04" w:rsidRDefault="00642088" w:rsidP="00AC0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390" w:rsidRDefault="007D1390">
      <w:r>
        <w:separator/>
      </w:r>
    </w:p>
  </w:footnote>
  <w:footnote w:type="continuationSeparator" w:id="0">
    <w:p w:rsidR="007D1390" w:rsidRDefault="007D1390">
      <w:r>
        <w:continuationSeparator/>
      </w:r>
    </w:p>
  </w:footnote>
  <w:footnote w:type="continuationNotice" w:id="1">
    <w:p w:rsidR="007D1390" w:rsidRDefault="007D1390"/>
  </w:footnote>
  <w:footnote w:id="2">
    <w:p w:rsidR="00642088" w:rsidRDefault="00642088">
      <w:pPr>
        <w:pStyle w:val="FootnoteText"/>
      </w:pPr>
      <w:r>
        <w:rPr>
          <w:rStyle w:val="FootnoteReference"/>
        </w:rPr>
        <w:footnoteRef/>
      </w:r>
      <w:r>
        <w:t xml:space="preserve"> Net present value is a measure of costs of future investments in ‘today’s money’. $110 due in 12 months can have a net present value of $100, for example.</w:t>
      </w:r>
    </w:p>
  </w:footnote>
  <w:footnote w:id="3">
    <w:p w:rsidR="00642088" w:rsidRDefault="00642088">
      <w:pPr>
        <w:pStyle w:val="FootnoteText"/>
      </w:pPr>
      <w:r>
        <w:rPr>
          <w:rStyle w:val="FootnoteReference"/>
        </w:rPr>
        <w:footnoteRef/>
      </w:r>
      <w:r>
        <w:t xml:space="preserve"> The total year one direct cost to government is calculated at $17.4 million. This figure matches the budget allocations for CIS Scheme implementation for financial years 2019-20 and 2020-21, and accounts for upfront costs and costs in the first year of scheme operation. The direct cost to government over ten years is $34.4 million (NPV).</w:t>
      </w:r>
    </w:p>
  </w:footnote>
  <w:footnote w:id="4">
    <w:p w:rsidR="00642088" w:rsidRDefault="00642088" w:rsidP="00AB1E6D">
      <w:pPr>
        <w:pStyle w:val="FootnoteText"/>
      </w:pPr>
      <w:r>
        <w:rPr>
          <w:rStyle w:val="FootnoteReference"/>
        </w:rPr>
        <w:footnoteRef/>
      </w:r>
      <w:r>
        <w:t xml:space="preserve"> T</w:t>
      </w:r>
      <w:r w:rsidRPr="00DB6DBE">
        <w:t>otal estimated year one cost impact of the CIS Scheme Regulat</w:t>
      </w:r>
      <w:r>
        <w:t xml:space="preserve">ions on Phase Two workforces (government and non-government) is </w:t>
      </w:r>
      <w:r w:rsidRPr="00DB6DBE">
        <w:t>approximately $48</w:t>
      </w:r>
      <w:r>
        <w:t>.3</w:t>
      </w:r>
      <w:r w:rsidRPr="00DB6DBE">
        <w:t xml:space="preserve"> million. This comprises $18.2 million to update policies, $9.8 million in upfront training, $13.8 million for requests to share information and for responses to information sharing requests, and $6.6 million for record keeping costs</w:t>
      </w:r>
      <w:r>
        <w:t>.</w:t>
      </w:r>
    </w:p>
  </w:footnote>
  <w:footnote w:id="5">
    <w:p w:rsidR="00642088" w:rsidRDefault="00642088">
      <w:pPr>
        <w:pStyle w:val="FootnoteText"/>
      </w:pPr>
      <w:r>
        <w:rPr>
          <w:rStyle w:val="FootnoteReference"/>
        </w:rPr>
        <w:footnoteRef/>
      </w:r>
      <w:r>
        <w:t xml:space="preserve"> This RIS does not perfectly separate the direct cost impact on government of Phase One and Phase Two implementation. It should be noted that DJCS represents one workforce proposed for Phase Two prescription under the CIS Scheme, namely the Dispute Settlement Centre of Victoria. A greater number of workforces represented by DJCS were prescribed for Phase One of the scheme. By including all funding allocated to DJCS over the State budget from FY 2019-20 onwards for implementation of the CIS Scheme, this RIS arguably somewhat overstates the direct cost impact on government related to Phase Two implementation of the scheme. This RIS does not make assumptions around any possible future State Budget allocations to support implementation of the CIS Scheme.</w:t>
      </w:r>
    </w:p>
  </w:footnote>
  <w:footnote w:id="6">
    <w:p w:rsidR="00642088" w:rsidRDefault="00642088" w:rsidP="00944F2B">
      <w:pPr>
        <w:pStyle w:val="FootnoteText"/>
      </w:pPr>
      <w:r>
        <w:rPr>
          <w:rStyle w:val="FootnoteReference"/>
        </w:rPr>
        <w:footnoteRef/>
      </w:r>
      <w:r>
        <w:t xml:space="preserve"> For the purposes of this RIS, government organisations are those organisations owned, operated or managed by Victorian Government departments, agencies, statutory bodies or state owned enterprises. This excludes local government.</w:t>
      </w:r>
    </w:p>
  </w:footnote>
  <w:footnote w:id="7">
    <w:p w:rsidR="00642088" w:rsidRDefault="00642088" w:rsidP="00FB7679">
      <w:pPr>
        <w:pStyle w:val="FootnoteText"/>
      </w:pPr>
      <w:r>
        <w:rPr>
          <w:rStyle w:val="FootnoteReference"/>
        </w:rPr>
        <w:footnoteRef/>
      </w:r>
      <w:r>
        <w:t xml:space="preserve"> </w:t>
      </w:r>
      <w:r w:rsidRPr="0065734C">
        <w:t xml:space="preserve">Commonwealth of Australia (2017) </w:t>
      </w:r>
      <w:r w:rsidRPr="0065734C">
        <w:rPr>
          <w:i/>
        </w:rPr>
        <w:t>Royal Commission into Institutional Responses to Child Sexual Abuse</w:t>
      </w:r>
      <w:r>
        <w:rPr>
          <w:i/>
        </w:rPr>
        <w:t>.</w:t>
      </w:r>
    </w:p>
  </w:footnote>
  <w:footnote w:id="8">
    <w:p w:rsidR="00642088" w:rsidRPr="007A4089" w:rsidRDefault="00642088" w:rsidP="003A5AF6">
      <w:pPr>
        <w:pStyle w:val="FootnoteText"/>
      </w:pPr>
      <w:r w:rsidRPr="007A4089">
        <w:rPr>
          <w:rStyle w:val="FootnoteReference"/>
        </w:rPr>
        <w:footnoteRef/>
      </w:r>
      <w:r w:rsidRPr="007A4089">
        <w:t xml:space="preserve"> Department of Health and Human Services Annual Report (2018). Page 52.</w:t>
      </w:r>
    </w:p>
  </w:footnote>
  <w:footnote w:id="9">
    <w:p w:rsidR="00642088" w:rsidRDefault="00642088" w:rsidP="000717D4">
      <w:pPr>
        <w:pStyle w:val="FootnoteText"/>
      </w:pPr>
      <w:r>
        <w:rPr>
          <w:rStyle w:val="FootnoteReference"/>
        </w:rPr>
        <w:footnoteRef/>
      </w:r>
      <w:r>
        <w:t xml:space="preserve"> Children are defined as persons who are under the age of 18 years and an unborn child that is the subject of a report made under section 29 of the </w:t>
      </w:r>
      <w:r w:rsidRPr="00430BC6">
        <w:rPr>
          <w:i/>
        </w:rPr>
        <w:t>Children, Youth and Families Act 2005</w:t>
      </w:r>
      <w:r>
        <w:t xml:space="preserve"> or a referral under section 32 of that Act. </w:t>
      </w:r>
    </w:p>
  </w:footnote>
  <w:footnote w:id="10">
    <w:p w:rsidR="00642088" w:rsidRDefault="00642088">
      <w:pPr>
        <w:pStyle w:val="FootnoteText"/>
      </w:pPr>
      <w:r>
        <w:rPr>
          <w:rStyle w:val="FootnoteReference"/>
        </w:rPr>
        <w:footnoteRef/>
      </w:r>
      <w:r>
        <w:t xml:space="preserve"> The terms ‘victim survivor’ and ‘perpetrator’ are specifically defined in FVIS and MARAM Ministerial Guidelines.</w:t>
      </w:r>
    </w:p>
  </w:footnote>
  <w:footnote w:id="11">
    <w:p w:rsidR="00642088" w:rsidRDefault="00642088" w:rsidP="00B309AB">
      <w:pPr>
        <w:pStyle w:val="FootnoteText"/>
      </w:pPr>
      <w:r>
        <w:rPr>
          <w:rStyle w:val="FootnoteReference"/>
        </w:rPr>
        <w:footnoteRef/>
      </w:r>
      <w:r>
        <w:t xml:space="preserve"> Children Legislation Amendment (Information Sharing) Bill 2017 Explanatory Memorandum.</w:t>
      </w:r>
    </w:p>
  </w:footnote>
  <w:footnote w:id="12">
    <w:p w:rsidR="00642088" w:rsidRPr="00387864" w:rsidRDefault="00642088" w:rsidP="005B4D34">
      <w:pPr>
        <w:pStyle w:val="Reference"/>
        <w:spacing w:before="0" w:after="0"/>
        <w:ind w:left="0" w:firstLine="0"/>
        <w:rPr>
          <w:sz w:val="20"/>
        </w:rPr>
      </w:pPr>
      <w:r>
        <w:rPr>
          <w:rStyle w:val="FootnoteReference"/>
        </w:rPr>
        <w:footnoteRef/>
      </w:r>
      <w:r>
        <w:t xml:space="preserve"> </w:t>
      </w:r>
      <w:r w:rsidRPr="00387864">
        <w:rPr>
          <w:rFonts w:ascii="Arial" w:hAnsi="Arial" w:cs="Arial"/>
          <w:sz w:val="16"/>
          <w:szCs w:val="16"/>
        </w:rPr>
        <w:t xml:space="preserve">Victorian Government (2018) </w:t>
      </w:r>
      <w:r w:rsidRPr="00387864">
        <w:rPr>
          <w:rFonts w:ascii="Arial" w:hAnsi="Arial" w:cs="Arial"/>
          <w:i/>
          <w:sz w:val="16"/>
          <w:szCs w:val="16"/>
        </w:rPr>
        <w:t>Child Informatio</w:t>
      </w:r>
      <w:r>
        <w:rPr>
          <w:rFonts w:ascii="Arial" w:hAnsi="Arial" w:cs="Arial"/>
          <w:i/>
          <w:sz w:val="16"/>
          <w:szCs w:val="16"/>
        </w:rPr>
        <w:t>n Sharing Ministerial Guidelines.</w:t>
      </w:r>
    </w:p>
  </w:footnote>
  <w:footnote w:id="13">
    <w:p w:rsidR="00642088" w:rsidRDefault="00642088" w:rsidP="00387864">
      <w:pPr>
        <w:pStyle w:val="FootnoteText"/>
        <w:spacing w:before="0" w:after="0"/>
      </w:pPr>
      <w:r>
        <w:rPr>
          <w:rStyle w:val="FootnoteReference"/>
        </w:rPr>
        <w:footnoteRef/>
      </w:r>
      <w:r>
        <w:t xml:space="preserve"> Commission for Children and Young People (2018) </w:t>
      </w:r>
      <w:r>
        <w:rPr>
          <w:i/>
        </w:rPr>
        <w:t>Commission for Young Children and Young People Annual Report 2017-18.</w:t>
      </w:r>
    </w:p>
  </w:footnote>
  <w:footnote w:id="14">
    <w:p w:rsidR="00642088" w:rsidRDefault="00642088" w:rsidP="00387864">
      <w:pPr>
        <w:pStyle w:val="FootnoteText"/>
        <w:spacing w:before="0" w:after="0"/>
      </w:pPr>
      <w:r>
        <w:rPr>
          <w:rStyle w:val="FootnoteReference"/>
        </w:rPr>
        <w:footnoteRef/>
      </w:r>
      <w:r>
        <w:t xml:space="preserve"> Coroners Court of Victoria (2015) Inquest in the Death of Baby D.</w:t>
      </w:r>
    </w:p>
  </w:footnote>
  <w:footnote w:id="15">
    <w:p w:rsidR="00642088" w:rsidRDefault="00642088" w:rsidP="001C34BE">
      <w:pPr>
        <w:pStyle w:val="FootnoteText"/>
        <w:spacing w:before="0" w:after="0"/>
      </w:pPr>
      <w:r>
        <w:rPr>
          <w:rStyle w:val="FootnoteReference"/>
        </w:rPr>
        <w:footnoteRef/>
      </w:r>
      <w:r>
        <w:t xml:space="preserve"> Commission for Children and Young People Inquiry into the Death of Child O.</w:t>
      </w:r>
    </w:p>
  </w:footnote>
  <w:footnote w:id="16">
    <w:p w:rsidR="00642088" w:rsidRPr="008D2109" w:rsidRDefault="00642088">
      <w:pPr>
        <w:pStyle w:val="FootnoteText"/>
      </w:pPr>
      <w:r>
        <w:rPr>
          <w:rStyle w:val="FootnoteReference"/>
        </w:rPr>
        <w:footnoteRef/>
      </w:r>
      <w:r>
        <w:t xml:space="preserve"> Department of Health and Human Services (2016) </w:t>
      </w:r>
      <w:r>
        <w:rPr>
          <w:i/>
        </w:rPr>
        <w:t xml:space="preserve">Roadmap for Reform: strong families; safe children </w:t>
      </w:r>
      <w:r>
        <w:t>page 7.</w:t>
      </w:r>
    </w:p>
  </w:footnote>
  <w:footnote w:id="17">
    <w:p w:rsidR="00642088" w:rsidRDefault="00642088" w:rsidP="004C5594">
      <w:pPr>
        <w:pStyle w:val="FootnoteText"/>
        <w:spacing w:before="0" w:after="0"/>
      </w:pPr>
      <w:r>
        <w:rPr>
          <w:rStyle w:val="FootnoteReference"/>
        </w:rPr>
        <w:footnoteRef/>
      </w:r>
      <w:r>
        <w:t xml:space="preserve"> </w:t>
      </w:r>
      <w:r w:rsidRPr="00CD5229">
        <w:t xml:space="preserve">Cummins, P, Scott, D and Scales, B (2012) </w:t>
      </w:r>
      <w:r w:rsidRPr="00CD5229">
        <w:rPr>
          <w:i/>
        </w:rPr>
        <w:t>Report of the Protecting Victoria’s Vulnerable Children Inquiry</w:t>
      </w:r>
      <w:r>
        <w:rPr>
          <w:i/>
        </w:rPr>
        <w:t>.</w:t>
      </w:r>
    </w:p>
  </w:footnote>
  <w:footnote w:id="18">
    <w:p w:rsidR="00642088" w:rsidRPr="004C5594" w:rsidRDefault="00642088" w:rsidP="004C5594">
      <w:pPr>
        <w:pStyle w:val="Reference"/>
        <w:spacing w:before="0" w:after="0"/>
        <w:ind w:left="0" w:firstLine="0"/>
        <w:rPr>
          <w:i/>
          <w:sz w:val="20"/>
        </w:rPr>
      </w:pPr>
      <w:r>
        <w:rPr>
          <w:rStyle w:val="FootnoteReference"/>
        </w:rPr>
        <w:footnoteRef/>
      </w:r>
      <w:r>
        <w:t xml:space="preserve"> </w:t>
      </w:r>
      <w:r w:rsidRPr="004C5594">
        <w:rPr>
          <w:sz w:val="16"/>
          <w:szCs w:val="16"/>
        </w:rPr>
        <w:t xml:space="preserve">Australian Institute of Criminology (2007) </w:t>
      </w:r>
      <w:r w:rsidRPr="004C5594">
        <w:rPr>
          <w:i/>
          <w:sz w:val="16"/>
          <w:szCs w:val="16"/>
        </w:rPr>
        <w:t>Cost effectiveness of early intervention September 2019</w:t>
      </w:r>
      <w:r>
        <w:rPr>
          <w:i/>
          <w:sz w:val="16"/>
          <w:szCs w:val="16"/>
        </w:rPr>
        <w:t>.</w:t>
      </w:r>
      <w:r>
        <w:rPr>
          <w:i/>
          <w:sz w:val="20"/>
        </w:rPr>
        <w:t xml:space="preserve"> </w:t>
      </w:r>
    </w:p>
  </w:footnote>
  <w:footnote w:id="19">
    <w:p w:rsidR="00642088" w:rsidRDefault="00642088" w:rsidP="004C5594">
      <w:pPr>
        <w:pStyle w:val="FootnoteText"/>
        <w:spacing w:before="0" w:after="0"/>
      </w:pPr>
      <w:r>
        <w:rPr>
          <w:rStyle w:val="FootnoteReference"/>
        </w:rPr>
        <w:footnoteRef/>
      </w:r>
      <w:r>
        <w:t xml:space="preserve"> Heckman, J (2011). </w:t>
      </w:r>
      <w:r>
        <w:rPr>
          <w:i/>
        </w:rPr>
        <w:t>The Economics of Inequality: The value of early childhood education</w:t>
      </w:r>
      <w:r>
        <w:t>: American Educator: Spring 2011, p 32.</w:t>
      </w:r>
    </w:p>
  </w:footnote>
  <w:footnote w:id="20">
    <w:p w:rsidR="00642088" w:rsidRDefault="00642088" w:rsidP="004C5594">
      <w:pPr>
        <w:pStyle w:val="FootnoteText"/>
        <w:spacing w:before="0" w:after="0"/>
      </w:pPr>
      <w:r>
        <w:rPr>
          <w:rStyle w:val="FootnoteReference"/>
        </w:rPr>
        <w:footnoteRef/>
      </w:r>
      <w:r>
        <w:t xml:space="preserve"> The case of ‘David’ (not his real name), was relayed to DET staff members during CIS Scheme workforce consultations not specifically related to this RIS.</w:t>
      </w:r>
    </w:p>
  </w:footnote>
  <w:footnote w:id="21">
    <w:p w:rsidR="00642088" w:rsidRPr="002A7A82" w:rsidRDefault="00642088">
      <w:pPr>
        <w:pStyle w:val="FootnoteText"/>
      </w:pPr>
      <w:r w:rsidRPr="002A7A82">
        <w:rPr>
          <w:rStyle w:val="FootnoteReference"/>
        </w:rPr>
        <w:footnoteRef/>
      </w:r>
      <w:r w:rsidRPr="002A7A82">
        <w:t xml:space="preserve"> That is, use or disclosure for the reason it was collected, for a reasonably related purpose, to protect safety, or for law enforcement purposes.</w:t>
      </w:r>
    </w:p>
  </w:footnote>
  <w:footnote w:id="22">
    <w:p w:rsidR="00642088" w:rsidRDefault="00642088">
      <w:pPr>
        <w:pStyle w:val="FootnoteText"/>
      </w:pPr>
      <w:r>
        <w:rPr>
          <w:rStyle w:val="FootnoteReference"/>
        </w:rPr>
        <w:footnoteRef/>
      </w:r>
      <w:r>
        <w:t xml:space="preserve"> Government f</w:t>
      </w:r>
      <w:r>
        <w:rPr>
          <w:rFonts w:ascii="Verdana" w:hAnsi="Verdana"/>
        </w:rPr>
        <w:t>unding for CIS Scheme implementation, including for workforce training for Phase One and Phase Two workforces, is pre-determined and was allocated to the responsible agencies and departments over the 2018-22 State Budget.</w:t>
      </w:r>
    </w:p>
  </w:footnote>
  <w:footnote w:id="23">
    <w:p w:rsidR="00642088" w:rsidRDefault="00642088">
      <w:pPr>
        <w:pStyle w:val="FootnoteText"/>
      </w:pPr>
      <w:r>
        <w:rPr>
          <w:rStyle w:val="FootnoteReference"/>
        </w:rPr>
        <w:footnoteRef/>
      </w:r>
      <w:r>
        <w:t xml:space="preserve"> Department of Health and Human Services. (2016). Roadmap to Reform: strong families, safe children page 13.</w:t>
      </w:r>
    </w:p>
  </w:footnote>
  <w:footnote w:id="24">
    <w:p w:rsidR="00642088" w:rsidRDefault="00642088">
      <w:pPr>
        <w:pStyle w:val="FootnoteText"/>
      </w:pPr>
      <w:r>
        <w:rPr>
          <w:rStyle w:val="FootnoteReference"/>
        </w:rPr>
        <w:footnoteRef/>
      </w:r>
      <w:r>
        <w:t xml:space="preserve"> The total year one direct cost to government is calculated at $17.4 million. This figure matches the budget allocations for CIS Scheme implementation in financial years 2019-20 and 2020-21, and accounts for upfront costs and costs in the first year of scheme operation.</w:t>
      </w:r>
    </w:p>
  </w:footnote>
  <w:footnote w:id="25">
    <w:p w:rsidR="00642088" w:rsidRDefault="00642088">
      <w:pPr>
        <w:pStyle w:val="FootnoteText"/>
      </w:pPr>
      <w:r>
        <w:rPr>
          <w:rStyle w:val="FootnoteReference"/>
        </w:rPr>
        <w:footnoteRef/>
      </w:r>
      <w:r>
        <w:t xml:space="preserve"> </w:t>
      </w:r>
      <w:r w:rsidRPr="00DB6DBE">
        <w:t>The total estimated year one cost impact of the C</w:t>
      </w:r>
      <w:r>
        <w:t>IS Scheme Regulations on Phase Two workforces (government and non-government)</w:t>
      </w:r>
      <w:r w:rsidRPr="00DB6DBE">
        <w:t xml:space="preserve"> is expected to be approximately $48</w:t>
      </w:r>
      <w:r>
        <w:t>.3</w:t>
      </w:r>
      <w:r w:rsidRPr="00DB6DBE">
        <w:t xml:space="preserve"> million. This total year one cost comprises $18.2 million to update policies, $9.8 million in upfront training, $13.8 million for requests to share information and for responses to information sharing requests, and $6.6 million for record keeping costs associated with requests and responses</w:t>
      </w:r>
      <w:r>
        <w:t>.</w:t>
      </w:r>
    </w:p>
  </w:footnote>
  <w:footnote w:id="26">
    <w:p w:rsidR="00642088" w:rsidRDefault="00642088">
      <w:pPr>
        <w:pStyle w:val="FootnoteText"/>
      </w:pPr>
      <w:r>
        <w:rPr>
          <w:rStyle w:val="FootnoteReference"/>
        </w:rPr>
        <w:footnoteRef/>
      </w:r>
      <w:r>
        <w:t xml:space="preserve"> The discount rate is applied to convert</w:t>
      </w:r>
      <w:r w:rsidRPr="004F3738">
        <w:t xml:space="preserve"> annual future costs </w:t>
      </w:r>
      <w:r>
        <w:t>to a total present value</w:t>
      </w:r>
      <w:r w:rsidRPr="004F3738">
        <w:t xml:space="preserve"> of costs</w:t>
      </w:r>
      <w:r>
        <w:t>.</w:t>
      </w:r>
    </w:p>
  </w:footnote>
  <w:footnote w:id="27">
    <w:p w:rsidR="00642088" w:rsidRDefault="00642088">
      <w:pPr>
        <w:pStyle w:val="FootnoteText"/>
      </w:pPr>
      <w:r>
        <w:rPr>
          <w:rStyle w:val="FootnoteReference"/>
        </w:rPr>
        <w:footnoteRef/>
      </w:r>
      <w:r>
        <w:t xml:space="preserve"> Department of Health and Human Services (2018) </w:t>
      </w:r>
      <w:r>
        <w:rPr>
          <w:i/>
        </w:rPr>
        <w:t>Child Protection and family services additional service delivery data 2017-18</w:t>
      </w:r>
      <w:r>
        <w:t xml:space="preserve">.  </w:t>
      </w:r>
    </w:p>
  </w:footnote>
  <w:footnote w:id="28">
    <w:p w:rsidR="00642088" w:rsidRDefault="00642088">
      <w:pPr>
        <w:pStyle w:val="FootnoteText"/>
      </w:pPr>
      <w:r>
        <w:rPr>
          <w:rStyle w:val="FootnoteReference"/>
        </w:rPr>
        <w:footnoteRef/>
      </w:r>
      <w:r>
        <w:t xml:space="preserve"> Australian government Productivity Commission (2019). </w:t>
      </w:r>
      <w:r w:rsidRPr="00B018BF">
        <w:rPr>
          <w:i/>
        </w:rPr>
        <w:t>Report on Government Services</w:t>
      </w:r>
      <w:r>
        <w:t>.</w:t>
      </w:r>
    </w:p>
  </w:footnote>
  <w:footnote w:id="29">
    <w:p w:rsidR="00642088" w:rsidRPr="002A7A82" w:rsidRDefault="00642088">
      <w:pPr>
        <w:pStyle w:val="FootnoteText"/>
      </w:pPr>
      <w:r w:rsidRPr="002A7A82">
        <w:rPr>
          <w:rStyle w:val="FootnoteReference"/>
        </w:rPr>
        <w:footnoteRef/>
      </w:r>
      <w:r w:rsidRPr="002A7A82">
        <w:t xml:space="preserve"> Child Fa</w:t>
      </w:r>
      <w:r>
        <w:t>mily Community Australia</w:t>
      </w:r>
      <w:r w:rsidRPr="002A7A82">
        <w:t xml:space="preserve"> (2014). </w:t>
      </w:r>
      <w:r w:rsidRPr="002A7A82">
        <w:rPr>
          <w:i/>
          <w:iCs/>
        </w:rPr>
        <w:t>Effects of child abuse and neglect for children and adolescents</w:t>
      </w:r>
      <w:r w:rsidRPr="002A7A82">
        <w:t xml:space="preserve">. Melbourne: Australian Institute of Family Studies. </w:t>
      </w:r>
    </w:p>
  </w:footnote>
  <w:footnote w:id="30">
    <w:p w:rsidR="00642088" w:rsidRDefault="00642088" w:rsidP="00EE4D4E">
      <w:pPr>
        <w:pStyle w:val="FootnoteText"/>
      </w:pPr>
      <w:r w:rsidRPr="002A7A82">
        <w:rPr>
          <w:rStyle w:val="FootnoteReference"/>
        </w:rPr>
        <w:footnoteRef/>
      </w:r>
      <w:r w:rsidRPr="002A7A82">
        <w:t xml:space="preserve"> Victorian Government. (2018). </w:t>
      </w:r>
      <w:r w:rsidRPr="002A7A82">
        <w:rPr>
          <w:i/>
          <w:iCs/>
        </w:rPr>
        <w:t>Inquiry into youth justice centres in Victoria: Final Report.</w:t>
      </w:r>
      <w:r w:rsidRPr="002A7A82">
        <w:t xml:space="preserve"> Melbourne: Victorian Government Printer. Page 27</w:t>
      </w:r>
      <w:r>
        <w:t>.</w:t>
      </w:r>
    </w:p>
  </w:footnote>
  <w:footnote w:id="31">
    <w:p w:rsidR="00642088" w:rsidRPr="002A7A82" w:rsidRDefault="00642088">
      <w:pPr>
        <w:pStyle w:val="FootnoteText"/>
      </w:pPr>
      <w:r w:rsidRPr="002A7A82">
        <w:rPr>
          <w:rStyle w:val="FootnoteReference"/>
        </w:rPr>
        <w:footnoteRef/>
      </w:r>
      <w:r w:rsidRPr="002A7A82">
        <w:t xml:space="preserve"> Steering Committee for the Review of Government Service Provision (SCRGSP). (2018). </w:t>
      </w:r>
      <w:r w:rsidRPr="002A7A82">
        <w:rPr>
          <w:i/>
          <w:iCs/>
        </w:rPr>
        <w:t>Report on government services 2016</w:t>
      </w:r>
      <w:r w:rsidRPr="002A7A82">
        <w:t>. Canberra: Productivity Commission. Table 16A.23</w:t>
      </w:r>
      <w:r>
        <w:t>.</w:t>
      </w:r>
    </w:p>
  </w:footnote>
  <w:footnote w:id="32">
    <w:p w:rsidR="00642088" w:rsidRPr="002A7A82" w:rsidRDefault="00642088">
      <w:pPr>
        <w:pStyle w:val="FootnoteText"/>
      </w:pPr>
      <w:r w:rsidRPr="002A7A82">
        <w:rPr>
          <w:rStyle w:val="FootnoteReference"/>
        </w:rPr>
        <w:footnoteRef/>
      </w:r>
      <w:r w:rsidRPr="002A7A82">
        <w:t xml:space="preserve"> Taylor, P., Moore, P., Pezzullo, L., Tucci, J., Goddard, C., &amp; De Bortoli, L. (2008). </w:t>
      </w:r>
      <w:r w:rsidRPr="002A7A82">
        <w:rPr>
          <w:i/>
          <w:iCs/>
        </w:rPr>
        <w:t>The cost of child abuse in Australia</w:t>
      </w:r>
      <w:r w:rsidRPr="002A7A82">
        <w:t>. Melbourne: Australian Childhood Foundation and Child Abuse Prevention Research Australia. Page ESxii</w:t>
      </w:r>
      <w:r>
        <w:t>.</w:t>
      </w:r>
    </w:p>
  </w:footnote>
  <w:footnote w:id="33">
    <w:p w:rsidR="00642088" w:rsidRPr="002A7A82" w:rsidRDefault="00642088">
      <w:pPr>
        <w:pStyle w:val="FootnoteText"/>
      </w:pPr>
      <w:r w:rsidRPr="002A7A82">
        <w:rPr>
          <w:rStyle w:val="FootnoteReference"/>
        </w:rPr>
        <w:footnoteRef/>
      </w:r>
      <w:r w:rsidRPr="002A7A82">
        <w:t xml:space="preserve"> Adjusted for annual inflation at a rate of 2.1 per cent.</w:t>
      </w:r>
    </w:p>
  </w:footnote>
  <w:footnote w:id="34">
    <w:p w:rsidR="00642088" w:rsidRPr="002A7A82" w:rsidRDefault="00642088" w:rsidP="00EE4D4E">
      <w:pPr>
        <w:pStyle w:val="FootnoteText"/>
      </w:pPr>
      <w:r w:rsidRPr="002A7A82">
        <w:rPr>
          <w:rStyle w:val="FootnoteReference"/>
        </w:rPr>
        <w:footnoteRef/>
      </w:r>
      <w:r w:rsidRPr="002A7A82">
        <w:t xml:space="preserve"> Kezelman, C., Hossack, N., Stavropoulos, P., &amp; Burley, P. (2015). </w:t>
      </w:r>
      <w:r w:rsidRPr="002A7A82">
        <w:rPr>
          <w:i/>
          <w:iCs/>
        </w:rPr>
        <w:t>The cost of unresolved childhood trauma and abuse in adults in Australia</w:t>
      </w:r>
      <w:r w:rsidRPr="002A7A82">
        <w:t xml:space="preserve">. Sydney: Adults Surviving Child Abuse and Pegasus Economics. </w:t>
      </w:r>
      <w:r>
        <w:t>Page ES.</w:t>
      </w:r>
    </w:p>
  </w:footnote>
  <w:footnote w:id="35">
    <w:p w:rsidR="00642088" w:rsidRDefault="00642088">
      <w:pPr>
        <w:pStyle w:val="FootnoteText"/>
      </w:pPr>
      <w:r w:rsidRPr="002A7A82">
        <w:rPr>
          <w:rStyle w:val="FootnoteReference"/>
        </w:rPr>
        <w:footnoteRef/>
      </w:r>
      <w:r w:rsidRPr="002A7A82">
        <w:t xml:space="preserve"> Adjusted for annual inflation at a rate of 2.1 per cent.</w:t>
      </w:r>
    </w:p>
  </w:footnote>
  <w:footnote w:id="36">
    <w:p w:rsidR="00642088" w:rsidRDefault="00642088">
      <w:pPr>
        <w:pStyle w:val="FootnoteText"/>
      </w:pPr>
      <w:r>
        <w:rPr>
          <w:rStyle w:val="FootnoteReference"/>
        </w:rPr>
        <w:footnoteRef/>
      </w:r>
      <w:r>
        <w:t xml:space="preserve"> As outlined in Chapter 3 ‘Objectives’ in this RIS.</w:t>
      </w:r>
    </w:p>
  </w:footnote>
  <w:footnote w:id="37">
    <w:p w:rsidR="00642088" w:rsidRPr="009D426E" w:rsidRDefault="00642088" w:rsidP="00976683">
      <w:pPr>
        <w:pStyle w:val="FootnoteText"/>
        <w:ind w:left="142" w:hanging="142"/>
        <w:rPr>
          <w:lang w:val="en-US"/>
        </w:rPr>
      </w:pPr>
      <w:r>
        <w:rPr>
          <w:rStyle w:val="FootnoteReference"/>
        </w:rPr>
        <w:footnoteRef/>
      </w:r>
      <w:r>
        <w:t xml:space="preserve"> </w:t>
      </w:r>
      <w:r w:rsidRPr="004F3738">
        <w:t>The analysis converts annual future costs (until 2029) to a total present value (PV) of costs. The present value is calculated using a discount rate of 4 per cent per annum (which reflects the time value of money).</w:t>
      </w:r>
    </w:p>
  </w:footnote>
  <w:footnote w:id="38">
    <w:p w:rsidR="00642088" w:rsidRPr="00855880" w:rsidRDefault="00642088" w:rsidP="00976683">
      <w:pPr>
        <w:pStyle w:val="FootnoteText"/>
        <w:ind w:left="142" w:hanging="142"/>
        <w:rPr>
          <w:lang w:val="en-US"/>
        </w:rPr>
      </w:pPr>
      <w:r>
        <w:rPr>
          <w:rStyle w:val="FootnoteReference"/>
        </w:rPr>
        <w:footnoteRef/>
      </w:r>
      <w:r>
        <w:t xml:space="preserve"> A rate of 4 per cent is recommended in t</w:t>
      </w:r>
      <w:r w:rsidRPr="007A4F71">
        <w:t>he Departme</w:t>
      </w:r>
      <w:r>
        <w:t>nt of Treasury and Finance</w:t>
      </w:r>
      <w:r w:rsidRPr="007A4F71">
        <w:t xml:space="preserve"> Technical Guidelines on Economic Evaluation (2014)</w:t>
      </w:r>
      <w:r>
        <w:t xml:space="preserve"> for projects relating to core service delivery areas</w:t>
      </w:r>
      <w:r w:rsidRPr="00594710">
        <w:t xml:space="preserve"> of government, such as public health, justice and education</w:t>
      </w:r>
      <w:r>
        <w:t>. This also aligns with the discount rate used in the RIS estimating the impact of CIS Scheme Phase One workforce prescription.</w:t>
      </w:r>
    </w:p>
  </w:footnote>
  <w:footnote w:id="39">
    <w:p w:rsidR="00642088" w:rsidRDefault="00642088" w:rsidP="00976683">
      <w:pPr>
        <w:pStyle w:val="FootnoteText"/>
        <w:ind w:left="142" w:hanging="142"/>
      </w:pPr>
      <w:r>
        <w:rPr>
          <w:rStyle w:val="FootnoteReference"/>
        </w:rPr>
        <w:footnoteRef/>
      </w:r>
      <w:r>
        <w:t xml:space="preserve"> The available data on workforces includes only total workforce numbers, there is no estimate of the number of workers that will undertake information sharing activities. As such an average cost per workforce member is needed to estimate the impact on the workforce as a whole.</w:t>
      </w:r>
    </w:p>
    <w:p w:rsidR="00642088" w:rsidRPr="00F76968" w:rsidRDefault="00642088" w:rsidP="00976683">
      <w:pPr>
        <w:pStyle w:val="FootnoteText"/>
        <w:ind w:left="142" w:hanging="142"/>
        <w:rPr>
          <w:lang w:val="en-US"/>
        </w:rPr>
      </w:pPr>
      <w:r>
        <w:tab/>
        <w:t>For some ISE groups, workforce or organisation size is a good indicator of the cost impact to the organisation. The calculation of cost per workforce member allows for variance in cost impact as the size of an organisation changes (as the cost to the organisation can be calculated as the product of workforce size and cost per workforce member).</w:t>
      </w:r>
    </w:p>
  </w:footnote>
  <w:footnote w:id="40">
    <w:p w:rsidR="00642088" w:rsidRPr="00204397" w:rsidRDefault="00642088" w:rsidP="00976683">
      <w:pPr>
        <w:pStyle w:val="FootnoteText"/>
        <w:ind w:left="142" w:hanging="142"/>
        <w:rPr>
          <w:lang w:val="en-US"/>
        </w:rPr>
      </w:pPr>
      <w:r>
        <w:rPr>
          <w:rStyle w:val="FootnoteReference"/>
        </w:rPr>
        <w:footnoteRef/>
      </w:r>
      <w:r>
        <w:t xml:space="preserve"> </w:t>
      </w:r>
      <w:r w:rsidRPr="00204397">
        <w:t>The cost per workforce member is calculated as total cost of information sharing by organi</w:t>
      </w:r>
      <w:r>
        <w:t>s</w:t>
      </w:r>
      <w:r w:rsidRPr="00204397">
        <w:t>ation divided by total workforce. It is not cost per workforce member who shares information.</w:t>
      </w:r>
    </w:p>
  </w:footnote>
  <w:footnote w:id="41">
    <w:p w:rsidR="00642088" w:rsidRPr="00EF5BDF" w:rsidRDefault="00642088" w:rsidP="00976683">
      <w:pPr>
        <w:pStyle w:val="FootnoteText"/>
        <w:ind w:left="142" w:hanging="142"/>
        <w:rPr>
          <w:lang w:val="en-US"/>
        </w:rPr>
      </w:pPr>
      <w:r>
        <w:rPr>
          <w:rStyle w:val="FootnoteReference"/>
        </w:rPr>
        <w:footnoteRef/>
      </w:r>
      <w:r>
        <w:t xml:space="preserve"> </w:t>
      </w:r>
      <w:r w:rsidRPr="00694C27">
        <w:t>Victoria in Future 2016</w:t>
      </w:r>
      <w:r>
        <w:t xml:space="preserve">, </w:t>
      </w:r>
      <w:hyperlink r:id="rId1" w:history="1">
        <w:r w:rsidRPr="001C0C78">
          <w:rPr>
            <w:rStyle w:val="Hyperlink"/>
          </w:rPr>
          <w:t>https://www.planning.vic.gov.au/__data/assets/pdf_file/0014/14036/Victoria-in-Future-2016-FINAL-web.pdf</w:t>
        </w:r>
      </w:hyperlink>
    </w:p>
  </w:footnote>
  <w:footnote w:id="42">
    <w:p w:rsidR="00642088" w:rsidRPr="002445D2" w:rsidRDefault="00642088" w:rsidP="00976683">
      <w:pPr>
        <w:pStyle w:val="FootnoteText"/>
        <w:ind w:left="142" w:hanging="142"/>
        <w:rPr>
          <w:lang w:val="en-US"/>
        </w:rPr>
      </w:pPr>
      <w:r>
        <w:rPr>
          <w:rStyle w:val="FootnoteReference"/>
        </w:rPr>
        <w:footnoteRef/>
      </w:r>
      <w:r>
        <w:t xml:space="preserve"> Parliament of Australia 2019 </w:t>
      </w:r>
      <w:hyperlink r:id="rId2" w:history="1">
        <w:r w:rsidRPr="001C0C78">
          <w:rPr>
            <w:rStyle w:val="Hyperlink"/>
          </w:rPr>
          <w:t>https://www.aph.gov.au/About_Parliament/Parliamentary_Departments/Parliamentary_Library/pubs/rp/rp1819/WageSlowdown</w:t>
        </w:r>
      </w:hyperlink>
    </w:p>
  </w:footnote>
  <w:footnote w:id="43">
    <w:p w:rsidR="00642088" w:rsidRPr="00DA1A4F" w:rsidRDefault="00642088">
      <w:pPr>
        <w:pStyle w:val="FootnoteText"/>
      </w:pPr>
      <w:r w:rsidRPr="00DA1A4F">
        <w:rPr>
          <w:rStyle w:val="FootnoteReference"/>
        </w:rPr>
        <w:footnoteRef/>
      </w:r>
      <w:r w:rsidRPr="00DA1A4F">
        <w:t xml:space="preserve"> Impact on these services accounted for through impact on the non-government school sectors</w:t>
      </w:r>
    </w:p>
  </w:footnote>
  <w:footnote w:id="44">
    <w:p w:rsidR="00642088" w:rsidRPr="00DA1A4F" w:rsidRDefault="00642088">
      <w:pPr>
        <w:pStyle w:val="FootnoteText"/>
      </w:pPr>
      <w:r w:rsidRPr="00DA1A4F">
        <w:rPr>
          <w:rStyle w:val="FootnoteReference"/>
        </w:rPr>
        <w:footnoteRef/>
      </w:r>
      <w:r w:rsidRPr="00DA1A4F">
        <w:t xml:space="preserve"> Impact on these services accounted for through impact on the government school sector</w:t>
      </w:r>
    </w:p>
  </w:footnote>
  <w:footnote w:id="45">
    <w:p w:rsidR="00642088" w:rsidRDefault="00642088">
      <w:pPr>
        <w:pStyle w:val="FootnoteText"/>
      </w:pPr>
      <w:r w:rsidRPr="00DA1A4F">
        <w:rPr>
          <w:rStyle w:val="FootnoteReference"/>
        </w:rPr>
        <w:footnoteRef/>
      </w:r>
      <w:r w:rsidRPr="00DA1A4F">
        <w:t xml:space="preserve"> Impact on</w:t>
      </w:r>
      <w:r>
        <w:t xml:space="preserve"> this workforce accounted for through impact on general practices</w:t>
      </w:r>
    </w:p>
  </w:footnote>
  <w:footnote w:id="46">
    <w:p w:rsidR="00642088" w:rsidRPr="00DA1A4F" w:rsidRDefault="00642088">
      <w:pPr>
        <w:pStyle w:val="FootnoteText"/>
      </w:pPr>
      <w:r w:rsidRPr="00DA1A4F">
        <w:rPr>
          <w:rStyle w:val="FootnoteReference"/>
        </w:rPr>
        <w:footnoteRef/>
      </w:r>
      <w:r w:rsidRPr="00DA1A4F">
        <w:t xml:space="preserve"> Impact on this service accounted for through impact on public hospitals</w:t>
      </w:r>
    </w:p>
  </w:footnote>
  <w:footnote w:id="47">
    <w:p w:rsidR="00642088" w:rsidRDefault="00642088">
      <w:pPr>
        <w:pStyle w:val="FootnoteText"/>
      </w:pPr>
      <w:r>
        <w:rPr>
          <w:rStyle w:val="FootnoteReference"/>
        </w:rPr>
        <w:footnoteRef/>
      </w:r>
      <w:r>
        <w:t xml:space="preserve"> </w:t>
      </w:r>
      <w:r w:rsidRPr="00DA1A4F">
        <w:t>Impact on this service accounted for through impact on public hospitals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88" w:rsidRPr="0069374A" w:rsidRDefault="00642088" w:rsidP="00E969B1">
    <w:pPr>
      <w:pStyle w:val="WOVG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88" w:rsidRDefault="00642088" w:rsidP="00E969B1">
    <w:pPr>
      <w:pStyle w:val="WOVG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564449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15440E"/>
    <w:multiLevelType w:val="hybridMultilevel"/>
    <w:tmpl w:val="3B4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F01497"/>
    <w:multiLevelType w:val="multilevel"/>
    <w:tmpl w:val="55DAED7E"/>
    <w:numStyleLink w:val="aaTableListBullets"/>
  </w:abstractNum>
  <w:abstractNum w:abstractNumId="3" w15:restartNumberingAfterBreak="0">
    <w:nsid w:val="023D1922"/>
    <w:multiLevelType w:val="hybridMultilevel"/>
    <w:tmpl w:val="E6028C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8B75E0"/>
    <w:multiLevelType w:val="hybridMultilevel"/>
    <w:tmpl w:val="C2608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8D43DB"/>
    <w:multiLevelType w:val="multilevel"/>
    <w:tmpl w:val="1376D9DC"/>
    <w:numStyleLink w:val="ZZNumbersdigit"/>
  </w:abstractNum>
  <w:abstractNum w:abstractNumId="6" w15:restartNumberingAfterBreak="0">
    <w:nsid w:val="0BAD2E30"/>
    <w:multiLevelType w:val="multilevel"/>
    <w:tmpl w:val="4A1477D0"/>
    <w:styleLink w:val="ZZNumbersloweralpha"/>
    <w:lvl w:ilvl="0">
      <w:start w:val="1"/>
      <w:numFmt w:val="lowerLetter"/>
      <w:pStyle w:val="WOVGnumberloweralpha"/>
      <w:lvlText w:val="(%1)"/>
      <w:lvlJc w:val="left"/>
      <w:pPr>
        <w:tabs>
          <w:tab w:val="num" w:pos="397"/>
        </w:tabs>
        <w:ind w:left="397" w:hanging="397"/>
      </w:pPr>
      <w:rPr>
        <w:rFonts w:hint="default"/>
      </w:rPr>
    </w:lvl>
    <w:lvl w:ilvl="1">
      <w:start w:val="1"/>
      <w:numFmt w:val="lowerLetter"/>
      <w:pStyle w:val="WOVGnumberloweralpha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7" w15:restartNumberingAfterBreak="0">
    <w:nsid w:val="0CEE4ACF"/>
    <w:multiLevelType w:val="hybridMultilevel"/>
    <w:tmpl w:val="64B84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FCB024D"/>
    <w:multiLevelType w:val="hybridMultilevel"/>
    <w:tmpl w:val="D6D8C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B510BA"/>
    <w:multiLevelType w:val="hybridMultilevel"/>
    <w:tmpl w:val="EB90B120"/>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0" w15:restartNumberingAfterBreak="0">
    <w:nsid w:val="200A4545"/>
    <w:multiLevelType w:val="multilevel"/>
    <w:tmpl w:val="F1AE3C58"/>
    <w:numStyleLink w:val="ZZBullets"/>
  </w:abstractNum>
  <w:abstractNum w:abstractNumId="11" w15:restartNumberingAfterBreak="0">
    <w:nsid w:val="24602A3A"/>
    <w:multiLevelType w:val="multilevel"/>
    <w:tmpl w:val="55DAED7E"/>
    <w:styleLink w:val="aaTableListBullets"/>
    <w:lvl w:ilvl="0">
      <w:start w:val="1"/>
      <w:numFmt w:val="bullet"/>
      <w:pStyle w:val="Tablelistbullet"/>
      <w:lvlText w:val="–"/>
      <w:lvlJc w:val="left"/>
      <w:pPr>
        <w:ind w:left="280" w:hanging="280"/>
      </w:pPr>
      <w:rPr>
        <w:rFonts w:ascii="Arial Narrow" w:hAnsi="Arial Narrow" w:hint="default"/>
      </w:rPr>
    </w:lvl>
    <w:lvl w:ilvl="1">
      <w:start w:val="1"/>
      <w:numFmt w:val="bullet"/>
      <w:pStyle w:val="Tablelistbullet2"/>
      <w:lvlText w:val="–"/>
      <w:lvlJc w:val="left"/>
      <w:pPr>
        <w:ind w:left="520" w:hanging="240"/>
      </w:pPr>
      <w:rPr>
        <w:rFonts w:ascii="Arial Narrow" w:hAnsi="Arial Narrow" w:hint="default"/>
        <w:color w:val="000100"/>
      </w:rPr>
    </w:lvl>
    <w:lvl w:ilvl="2">
      <w:start w:val="1"/>
      <w:numFmt w:val="bullet"/>
      <w:pStyle w:val="Tablelistbullet3"/>
      <w:lvlText w:val="–"/>
      <w:lvlJc w:val="left"/>
      <w:pPr>
        <w:ind w:left="760" w:hanging="240"/>
      </w:pPr>
      <w:rPr>
        <w:rFonts w:ascii="Arial Narrow" w:hAnsi="Arial Narrow" w:hint="default"/>
      </w:rPr>
    </w:lvl>
    <w:lvl w:ilvl="3">
      <w:start w:val="1"/>
      <w:numFmt w:val="decimal"/>
      <w:lvlText w:val="(%4)"/>
      <w:lvlJc w:val="left"/>
      <w:pPr>
        <w:ind w:left="960" w:hanging="240"/>
      </w:pPr>
      <w:rPr>
        <w:rFonts w:ascii="Arial Narrow" w:hAnsi="Arial Narrow" w:hint="default"/>
      </w:rPr>
    </w:lvl>
    <w:lvl w:ilvl="4">
      <w:start w:val="1"/>
      <w:numFmt w:val="lowerLetter"/>
      <w:lvlText w:val="(%5)"/>
      <w:lvlJc w:val="left"/>
      <w:pPr>
        <w:ind w:left="1200" w:hanging="240"/>
      </w:pPr>
      <w:rPr>
        <w:rFonts w:hint="default"/>
      </w:rPr>
    </w:lvl>
    <w:lvl w:ilvl="5">
      <w:start w:val="1"/>
      <w:numFmt w:val="lowerRoman"/>
      <w:lvlText w:val="(%6)"/>
      <w:lvlJc w:val="left"/>
      <w:pPr>
        <w:ind w:left="1440" w:hanging="240"/>
      </w:pPr>
      <w:rPr>
        <w:rFonts w:hint="default"/>
      </w:rPr>
    </w:lvl>
    <w:lvl w:ilvl="6">
      <w:start w:val="1"/>
      <w:numFmt w:val="decimal"/>
      <w:lvlText w:val="%7."/>
      <w:lvlJc w:val="left"/>
      <w:pPr>
        <w:ind w:left="1680" w:hanging="240"/>
      </w:pPr>
      <w:rPr>
        <w:rFonts w:hint="default"/>
      </w:rPr>
    </w:lvl>
    <w:lvl w:ilvl="7">
      <w:start w:val="1"/>
      <w:numFmt w:val="lowerLetter"/>
      <w:lvlText w:val="%8."/>
      <w:lvlJc w:val="left"/>
      <w:pPr>
        <w:ind w:left="1920" w:hanging="240"/>
      </w:pPr>
      <w:rPr>
        <w:rFonts w:hint="default"/>
      </w:rPr>
    </w:lvl>
    <w:lvl w:ilvl="8">
      <w:start w:val="1"/>
      <w:numFmt w:val="lowerRoman"/>
      <w:lvlText w:val="%9."/>
      <w:lvlJc w:val="left"/>
      <w:pPr>
        <w:ind w:left="2160" w:hanging="240"/>
      </w:pPr>
      <w:rPr>
        <w:rFonts w:hint="default"/>
      </w:rPr>
    </w:lvl>
  </w:abstractNum>
  <w:abstractNum w:abstractNumId="12" w15:restartNumberingAfterBreak="0">
    <w:nsid w:val="26B057F3"/>
    <w:multiLevelType w:val="hybridMultilevel"/>
    <w:tmpl w:val="A27AB6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73F6418"/>
    <w:multiLevelType w:val="hybridMultilevel"/>
    <w:tmpl w:val="948AD76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14" w15:restartNumberingAfterBreak="0">
    <w:nsid w:val="28395575"/>
    <w:multiLevelType w:val="hybridMultilevel"/>
    <w:tmpl w:val="60FC1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A401C23"/>
    <w:multiLevelType w:val="hybridMultilevel"/>
    <w:tmpl w:val="5F84B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5352DB"/>
    <w:multiLevelType w:val="hybridMultilevel"/>
    <w:tmpl w:val="B82AB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33C4804"/>
    <w:multiLevelType w:val="hybridMultilevel"/>
    <w:tmpl w:val="D48A4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7C7A88"/>
    <w:multiLevelType w:val="hybridMultilevel"/>
    <w:tmpl w:val="24ECF320"/>
    <w:lvl w:ilvl="0" w:tplc="0C090001">
      <w:start w:val="1"/>
      <w:numFmt w:val="bullet"/>
      <w:lvlText w:val=""/>
      <w:lvlJc w:val="left"/>
      <w:pPr>
        <w:ind w:left="854" w:hanging="360"/>
      </w:pPr>
      <w:rPr>
        <w:rFonts w:ascii="Symbol" w:hAnsi="Symbol" w:hint="default"/>
      </w:rPr>
    </w:lvl>
    <w:lvl w:ilvl="1" w:tplc="0C090003">
      <w:start w:val="1"/>
      <w:numFmt w:val="bullet"/>
      <w:lvlText w:val="o"/>
      <w:lvlJc w:val="left"/>
      <w:pPr>
        <w:ind w:left="1574" w:hanging="360"/>
      </w:pPr>
      <w:rPr>
        <w:rFonts w:ascii="Courier New" w:hAnsi="Courier New" w:cs="Courier New" w:hint="default"/>
      </w:rPr>
    </w:lvl>
    <w:lvl w:ilvl="2" w:tplc="0C090005" w:tentative="1">
      <w:start w:val="1"/>
      <w:numFmt w:val="bullet"/>
      <w:lvlText w:val=""/>
      <w:lvlJc w:val="left"/>
      <w:pPr>
        <w:ind w:left="2294" w:hanging="360"/>
      </w:pPr>
      <w:rPr>
        <w:rFonts w:ascii="Wingdings" w:hAnsi="Wingdings" w:hint="default"/>
      </w:rPr>
    </w:lvl>
    <w:lvl w:ilvl="3" w:tplc="0C090001" w:tentative="1">
      <w:start w:val="1"/>
      <w:numFmt w:val="bullet"/>
      <w:lvlText w:val=""/>
      <w:lvlJc w:val="left"/>
      <w:pPr>
        <w:ind w:left="3014" w:hanging="360"/>
      </w:pPr>
      <w:rPr>
        <w:rFonts w:ascii="Symbol" w:hAnsi="Symbol" w:hint="default"/>
      </w:rPr>
    </w:lvl>
    <w:lvl w:ilvl="4" w:tplc="0C090003" w:tentative="1">
      <w:start w:val="1"/>
      <w:numFmt w:val="bullet"/>
      <w:lvlText w:val="o"/>
      <w:lvlJc w:val="left"/>
      <w:pPr>
        <w:ind w:left="3734" w:hanging="360"/>
      </w:pPr>
      <w:rPr>
        <w:rFonts w:ascii="Courier New" w:hAnsi="Courier New" w:cs="Courier New" w:hint="default"/>
      </w:rPr>
    </w:lvl>
    <w:lvl w:ilvl="5" w:tplc="0C090005" w:tentative="1">
      <w:start w:val="1"/>
      <w:numFmt w:val="bullet"/>
      <w:lvlText w:val=""/>
      <w:lvlJc w:val="left"/>
      <w:pPr>
        <w:ind w:left="4454" w:hanging="360"/>
      </w:pPr>
      <w:rPr>
        <w:rFonts w:ascii="Wingdings" w:hAnsi="Wingdings" w:hint="default"/>
      </w:rPr>
    </w:lvl>
    <w:lvl w:ilvl="6" w:tplc="0C090001" w:tentative="1">
      <w:start w:val="1"/>
      <w:numFmt w:val="bullet"/>
      <w:lvlText w:val=""/>
      <w:lvlJc w:val="left"/>
      <w:pPr>
        <w:ind w:left="5174" w:hanging="360"/>
      </w:pPr>
      <w:rPr>
        <w:rFonts w:ascii="Symbol" w:hAnsi="Symbol" w:hint="default"/>
      </w:rPr>
    </w:lvl>
    <w:lvl w:ilvl="7" w:tplc="0C090003" w:tentative="1">
      <w:start w:val="1"/>
      <w:numFmt w:val="bullet"/>
      <w:lvlText w:val="o"/>
      <w:lvlJc w:val="left"/>
      <w:pPr>
        <w:ind w:left="5894" w:hanging="360"/>
      </w:pPr>
      <w:rPr>
        <w:rFonts w:ascii="Courier New" w:hAnsi="Courier New" w:cs="Courier New" w:hint="default"/>
      </w:rPr>
    </w:lvl>
    <w:lvl w:ilvl="8" w:tplc="0C090005" w:tentative="1">
      <w:start w:val="1"/>
      <w:numFmt w:val="bullet"/>
      <w:lvlText w:val=""/>
      <w:lvlJc w:val="left"/>
      <w:pPr>
        <w:ind w:left="6614" w:hanging="360"/>
      </w:pPr>
      <w:rPr>
        <w:rFonts w:ascii="Wingdings" w:hAnsi="Wingdings" w:hint="default"/>
      </w:rPr>
    </w:lvl>
  </w:abstractNum>
  <w:abstractNum w:abstractNumId="19" w15:restartNumberingAfterBreak="0">
    <w:nsid w:val="37B96CDA"/>
    <w:multiLevelType w:val="multilevel"/>
    <w:tmpl w:val="ACFE2276"/>
    <w:lvl w:ilvl="0">
      <w:start w:val="1"/>
      <w:numFmt w:val="decimal"/>
      <w:pStyle w:val="WOVGnumberdigit"/>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bullet"/>
      <w:lvlRestart w:val="0"/>
      <w:lvlText w:val="•"/>
      <w:lvlJc w:val="left"/>
      <w:pPr>
        <w:tabs>
          <w:tab w:val="num" w:pos="794"/>
        </w:tabs>
        <w:ind w:left="794" w:hanging="397"/>
      </w:pPr>
      <w:rPr>
        <w:rFonts w:ascii="Calibri" w:hAnsi="Calibri" w:hint="default"/>
      </w:rPr>
    </w:lvl>
    <w:lvl w:ilvl="3">
      <w:start w:val="1"/>
      <w:numFmt w:val="bullet"/>
      <w:lvlRestart w:val="0"/>
      <w:lvlText w:val="–"/>
      <w:lvlJc w:val="left"/>
      <w:pPr>
        <w:tabs>
          <w:tab w:val="num" w:pos="1191"/>
        </w:tabs>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0" w15:restartNumberingAfterBreak="0">
    <w:nsid w:val="389977CD"/>
    <w:multiLevelType w:val="hybridMultilevel"/>
    <w:tmpl w:val="7390F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E40DFF"/>
    <w:multiLevelType w:val="hybridMultilevel"/>
    <w:tmpl w:val="2FC4E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352496"/>
    <w:multiLevelType w:val="hybridMultilevel"/>
    <w:tmpl w:val="81644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957D26"/>
    <w:multiLevelType w:val="hybridMultilevel"/>
    <w:tmpl w:val="B9EC2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BF745DA"/>
    <w:multiLevelType w:val="hybridMultilevel"/>
    <w:tmpl w:val="EE0AA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6C68D4"/>
    <w:multiLevelType w:val="multilevel"/>
    <w:tmpl w:val="1376D9DC"/>
    <w:styleLink w:val="ZZNumbersdigit"/>
    <w:lvl w:ilvl="0">
      <w:start w:val="1"/>
      <w:numFmt w:val="decimal"/>
      <w:lvlText w:val="%1."/>
      <w:lvlJc w:val="left"/>
      <w:pPr>
        <w:tabs>
          <w:tab w:val="num" w:pos="397"/>
        </w:tabs>
        <w:ind w:left="397" w:hanging="397"/>
      </w:pPr>
      <w:rPr>
        <w:rFonts w:hint="default"/>
      </w:rPr>
    </w:lvl>
    <w:lvl w:ilvl="1">
      <w:start w:val="1"/>
      <w:numFmt w:val="decimal"/>
      <w:pStyle w:val="WOVGnumberdigitindent"/>
      <w:lvlText w:val="%2."/>
      <w:lvlJc w:val="left"/>
      <w:pPr>
        <w:tabs>
          <w:tab w:val="num" w:pos="794"/>
        </w:tabs>
        <w:ind w:left="794" w:hanging="397"/>
      </w:pPr>
      <w:rPr>
        <w:rFonts w:hint="default"/>
      </w:rPr>
    </w:lvl>
    <w:lvl w:ilvl="2">
      <w:start w:val="1"/>
      <w:numFmt w:val="bullet"/>
      <w:lvlRestart w:val="0"/>
      <w:pStyle w:val="WOVGbulletafternumbers1"/>
      <w:lvlText w:val="•"/>
      <w:lvlJc w:val="left"/>
      <w:pPr>
        <w:ind w:left="794" w:hanging="397"/>
      </w:pPr>
      <w:rPr>
        <w:rFonts w:ascii="Calibri" w:hAnsi="Calibri" w:hint="default"/>
        <w:color w:val="auto"/>
      </w:rPr>
    </w:lvl>
    <w:lvl w:ilvl="3">
      <w:start w:val="1"/>
      <w:numFmt w:val="bullet"/>
      <w:lvlRestart w:val="0"/>
      <w:pStyle w:val="WOVGbulletafternumbers2"/>
      <w:lvlText w:val="–"/>
      <w:lvlJc w:val="left"/>
      <w:pPr>
        <w:ind w:left="1390"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6" w15:restartNumberingAfterBreak="0">
    <w:nsid w:val="3EC54A41"/>
    <w:multiLevelType w:val="multilevel"/>
    <w:tmpl w:val="46940C74"/>
    <w:styleLink w:val="ZZNumberslowerroman"/>
    <w:lvl w:ilvl="0">
      <w:start w:val="1"/>
      <w:numFmt w:val="lowerRoman"/>
      <w:pStyle w:val="WOVGnumberlowerroman"/>
      <w:lvlText w:val="(%1)"/>
      <w:lvlJc w:val="left"/>
      <w:pPr>
        <w:tabs>
          <w:tab w:val="num" w:pos="397"/>
        </w:tabs>
        <w:ind w:left="397" w:hanging="397"/>
      </w:pPr>
      <w:rPr>
        <w:rFonts w:hint="default"/>
      </w:rPr>
    </w:lvl>
    <w:lvl w:ilvl="1">
      <w:start w:val="1"/>
      <w:numFmt w:val="lowerRoman"/>
      <w:pStyle w:val="WOVGnumberlowerroman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405F4842"/>
    <w:multiLevelType w:val="multilevel"/>
    <w:tmpl w:val="281C291A"/>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8" w15:restartNumberingAfterBreak="0">
    <w:nsid w:val="43B83215"/>
    <w:multiLevelType w:val="hybridMultilevel"/>
    <w:tmpl w:val="39A85E58"/>
    <w:lvl w:ilvl="0" w:tplc="FB3257F8">
      <w:start w:val="1"/>
      <w:numFmt w:val="bullet"/>
      <w:lvlText w:val=""/>
      <w:lvlJc w:val="left"/>
      <w:pPr>
        <w:ind w:left="360" w:hanging="360"/>
      </w:pPr>
      <w:rPr>
        <w:rFonts w:ascii="Symbol" w:eastAsiaTheme="minorHAnsi" w:hAnsi="Symbol" w:cs="Arial"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51578A7"/>
    <w:multiLevelType w:val="multilevel"/>
    <w:tmpl w:val="1356211C"/>
    <w:lvl w:ilvl="0">
      <w:start w:val="1"/>
      <w:numFmt w:val="bullet"/>
      <w:pStyle w:val="List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Verdana" w:hAnsi="Verdana" w:hint="default"/>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Verdana" w:hAnsi="Verdana"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Verdana" w:hAnsi="Verdana"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Verdana" w:hAnsi="Verdana" w:hint="default"/>
      </w:rPr>
    </w:lvl>
    <w:lvl w:ilvl="8">
      <w:start w:val="1"/>
      <w:numFmt w:val="bullet"/>
      <w:lvlText w:val=""/>
      <w:lvlJc w:val="left"/>
      <w:pPr>
        <w:ind w:left="3060" w:hanging="340"/>
      </w:pPr>
      <w:rPr>
        <w:rFonts w:ascii="Symbol" w:hAnsi="Symbol" w:hint="default"/>
      </w:rPr>
    </w:lvl>
  </w:abstractNum>
  <w:abstractNum w:abstractNumId="30" w15:restartNumberingAfterBreak="0">
    <w:nsid w:val="451C77AE"/>
    <w:multiLevelType w:val="hybridMultilevel"/>
    <w:tmpl w:val="11A07C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1E4D01"/>
    <w:multiLevelType w:val="hybridMultilevel"/>
    <w:tmpl w:val="D7CA1E36"/>
    <w:lvl w:ilvl="0" w:tplc="F6B29A44">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7816A1"/>
    <w:multiLevelType w:val="hybridMultilevel"/>
    <w:tmpl w:val="B4A0E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41611C2"/>
    <w:multiLevelType w:val="multilevel"/>
    <w:tmpl w:val="96B4DF56"/>
    <w:styleLink w:val="ZZTablebullets"/>
    <w:lvl w:ilvl="0">
      <w:start w:val="1"/>
      <w:numFmt w:val="bullet"/>
      <w:pStyle w:val="WOVGtablebullet1"/>
      <w:lvlText w:val="•"/>
      <w:lvlJc w:val="left"/>
      <w:pPr>
        <w:ind w:left="227" w:hanging="227"/>
      </w:pPr>
      <w:rPr>
        <w:rFonts w:ascii="Calibri" w:hAnsi="Calibri" w:hint="default"/>
      </w:rPr>
    </w:lvl>
    <w:lvl w:ilvl="1">
      <w:start w:val="1"/>
      <w:numFmt w:val="bullet"/>
      <w:lvlRestart w:val="0"/>
      <w:pStyle w:val="WOVG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54BA1E5A"/>
    <w:multiLevelType w:val="multilevel"/>
    <w:tmpl w:val="F1AE3C58"/>
    <w:styleLink w:val="ZZBullets"/>
    <w:lvl w:ilvl="0">
      <w:start w:val="1"/>
      <w:numFmt w:val="bullet"/>
      <w:pStyle w:val="WOVGbullet1"/>
      <w:lvlText w:val="•"/>
      <w:lvlJc w:val="left"/>
      <w:pPr>
        <w:ind w:left="284" w:hanging="284"/>
      </w:pPr>
      <w:rPr>
        <w:rFonts w:ascii="Calibri" w:hAnsi="Calibri" w:hint="default"/>
      </w:rPr>
    </w:lvl>
    <w:lvl w:ilvl="1">
      <w:start w:val="1"/>
      <w:numFmt w:val="bullet"/>
      <w:lvlRestart w:val="0"/>
      <w:pStyle w:val="WOVG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55CF1C27"/>
    <w:multiLevelType w:val="hybridMultilevel"/>
    <w:tmpl w:val="593A5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70C2986"/>
    <w:multiLevelType w:val="hybridMultilevel"/>
    <w:tmpl w:val="7EC262B8"/>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37" w15:restartNumberingAfterBreak="0">
    <w:nsid w:val="5B6860A9"/>
    <w:multiLevelType w:val="hybridMultilevel"/>
    <w:tmpl w:val="D75EC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C031C93"/>
    <w:multiLevelType w:val="hybridMultilevel"/>
    <w:tmpl w:val="D5F46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2691D4D"/>
    <w:multiLevelType w:val="hybridMultilevel"/>
    <w:tmpl w:val="786E8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09259F"/>
    <w:multiLevelType w:val="multilevel"/>
    <w:tmpl w:val="866C5A8E"/>
    <w:styleLink w:val="ZZQuotebullets"/>
    <w:lvl w:ilvl="0">
      <w:start w:val="1"/>
      <w:numFmt w:val="bullet"/>
      <w:pStyle w:val="WOVGquotebullet1"/>
      <w:lvlText w:val="•"/>
      <w:lvlJc w:val="left"/>
      <w:pPr>
        <w:ind w:left="680" w:hanging="283"/>
      </w:pPr>
      <w:rPr>
        <w:rFonts w:ascii="Calibri" w:hAnsi="Calibri" w:hint="default"/>
        <w:color w:val="auto"/>
      </w:rPr>
    </w:lvl>
    <w:lvl w:ilvl="1">
      <w:start w:val="1"/>
      <w:numFmt w:val="bullet"/>
      <w:lvlRestart w:val="0"/>
      <w:pStyle w:val="WOVGquotebullet2"/>
      <w:lvlText w:val="–"/>
      <w:lvlJc w:val="left"/>
      <w:pPr>
        <w:ind w:left="964" w:hanging="284"/>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1" w15:restartNumberingAfterBreak="0">
    <w:nsid w:val="65320E99"/>
    <w:multiLevelType w:val="hybridMultilevel"/>
    <w:tmpl w:val="9956E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D773C97"/>
    <w:multiLevelType w:val="hybridMultilevel"/>
    <w:tmpl w:val="815ACD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288245B"/>
    <w:multiLevelType w:val="hybridMultilevel"/>
    <w:tmpl w:val="DADCC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2DC32F2"/>
    <w:multiLevelType w:val="hybridMultilevel"/>
    <w:tmpl w:val="50B49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8A52F77"/>
    <w:multiLevelType w:val="hybridMultilevel"/>
    <w:tmpl w:val="449ED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AC4334"/>
    <w:multiLevelType w:val="hybridMultilevel"/>
    <w:tmpl w:val="B8A87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5D3BC7"/>
    <w:multiLevelType w:val="hybridMultilevel"/>
    <w:tmpl w:val="8E0282B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7F291278"/>
    <w:multiLevelType w:val="multilevel"/>
    <w:tmpl w:val="2A9ADEF8"/>
    <w:styleLink w:val="aaReportListNumber"/>
    <w:lvl w:ilvl="0">
      <w:start w:val="1"/>
      <w:numFmt w:val="decimal"/>
      <w:lvlText w:val="%1."/>
      <w:lvlJc w:val="center"/>
      <w:pPr>
        <w:tabs>
          <w:tab w:val="num" w:pos="926"/>
        </w:tabs>
        <w:ind w:left="0" w:hanging="420"/>
      </w:pPr>
      <w:rPr>
        <w:rFonts w:hint="default"/>
      </w:rPr>
    </w:lvl>
    <w:lvl w:ilvl="1">
      <w:start w:val="1"/>
      <w:numFmt w:val="lowerLetter"/>
      <w:lvlText w:val="%2)"/>
      <w:lvlJc w:val="left"/>
      <w:pPr>
        <w:ind w:left="340" w:hanging="340"/>
      </w:pPr>
      <w:rPr>
        <w:rFonts w:hint="default"/>
      </w:rPr>
    </w:lvl>
    <w:lvl w:ilvl="2">
      <w:start w:val="1"/>
      <w:numFmt w:val="lowerRoman"/>
      <w:lvlText w:val="%3)"/>
      <w:lvlJc w:val="left"/>
      <w:pPr>
        <w:ind w:left="680" w:hanging="3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4"/>
  </w:num>
  <w:num w:numId="2">
    <w:abstractNumId w:val="25"/>
  </w:num>
  <w:num w:numId="3">
    <w:abstractNumId w:val="19"/>
  </w:num>
  <w:num w:numId="4">
    <w:abstractNumId w:val="6"/>
  </w:num>
  <w:num w:numId="5">
    <w:abstractNumId w:val="26"/>
  </w:num>
  <w:num w:numId="6">
    <w:abstractNumId w:val="40"/>
  </w:num>
  <w:num w:numId="7">
    <w:abstractNumId w:val="33"/>
  </w:num>
  <w:num w:numId="8">
    <w:abstractNumId w:val="25"/>
  </w:num>
  <w:num w:numId="9">
    <w:abstractNumId w:val="6"/>
  </w:num>
  <w:num w:numId="10">
    <w:abstractNumId w:val="40"/>
  </w:num>
  <w:num w:numId="11">
    <w:abstractNumId w:val="26"/>
  </w:num>
  <w:num w:numId="12">
    <w:abstractNumId w:val="33"/>
  </w:num>
  <w:num w:numId="13">
    <w:abstractNumId w:val="2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7"/>
  </w:num>
  <w:num w:numId="17">
    <w:abstractNumId w:val="18"/>
  </w:num>
  <w:num w:numId="18">
    <w:abstractNumId w:val="3"/>
  </w:num>
  <w:num w:numId="19">
    <w:abstractNumId w:val="13"/>
  </w:num>
  <w:num w:numId="20">
    <w:abstractNumId w:val="17"/>
  </w:num>
  <w:num w:numId="21">
    <w:abstractNumId w:val="15"/>
  </w:num>
  <w:num w:numId="22">
    <w:abstractNumId w:val="44"/>
  </w:num>
  <w:num w:numId="23">
    <w:abstractNumId w:val="32"/>
  </w:num>
  <w:num w:numId="24">
    <w:abstractNumId w:val="22"/>
  </w:num>
  <w:num w:numId="25">
    <w:abstractNumId w:val="4"/>
  </w:num>
  <w:num w:numId="26">
    <w:abstractNumId w:val="35"/>
  </w:num>
  <w:num w:numId="27">
    <w:abstractNumId w:val="30"/>
  </w:num>
  <w:num w:numId="28">
    <w:abstractNumId w:val="20"/>
  </w:num>
  <w:num w:numId="29">
    <w:abstractNumId w:val="10"/>
  </w:num>
  <w:num w:numId="30">
    <w:abstractNumId w:val="12"/>
  </w:num>
  <w:num w:numId="31">
    <w:abstractNumId w:val="8"/>
  </w:num>
  <w:num w:numId="32">
    <w:abstractNumId w:val="43"/>
  </w:num>
  <w:num w:numId="33">
    <w:abstractNumId w:val="7"/>
  </w:num>
  <w:num w:numId="34">
    <w:abstractNumId w:val="1"/>
  </w:num>
  <w:num w:numId="35">
    <w:abstractNumId w:val="16"/>
  </w:num>
  <w:num w:numId="36">
    <w:abstractNumId w:val="41"/>
  </w:num>
  <w:num w:numId="37">
    <w:abstractNumId w:val="47"/>
  </w:num>
  <w:num w:numId="38">
    <w:abstractNumId w:val="42"/>
  </w:num>
  <w:num w:numId="39">
    <w:abstractNumId w:val="24"/>
  </w:num>
  <w:num w:numId="40">
    <w:abstractNumId w:val="14"/>
  </w:num>
  <w:num w:numId="41">
    <w:abstractNumId w:val="21"/>
  </w:num>
  <w:num w:numId="42">
    <w:abstractNumId w:val="45"/>
  </w:num>
  <w:num w:numId="43">
    <w:abstractNumId w:val="36"/>
  </w:num>
  <w:num w:numId="44">
    <w:abstractNumId w:val="46"/>
  </w:num>
  <w:num w:numId="45">
    <w:abstractNumId w:val="23"/>
  </w:num>
  <w:num w:numId="46">
    <w:abstractNumId w:val="48"/>
  </w:num>
  <w:num w:numId="47">
    <w:abstractNumId w:val="11"/>
  </w:num>
  <w:num w:numId="48">
    <w:abstractNumId w:val="2"/>
  </w:num>
  <w:num w:numId="49">
    <w:abstractNumId w:val="39"/>
  </w:num>
  <w:num w:numId="50">
    <w:abstractNumId w:val="37"/>
  </w:num>
  <w:num w:numId="51">
    <w:abstractNumId w:val="28"/>
  </w:num>
  <w:num w:numId="52">
    <w:abstractNumId w:val="31"/>
  </w:num>
  <w:num w:numId="53">
    <w:abstractNumId w:val="9"/>
  </w:num>
  <w:num w:numId="54">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81"/>
  <w:drawingGridVerticalSpacing w:val="181"/>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55"/>
    <w:rsid w:val="000023DE"/>
    <w:rsid w:val="000023F3"/>
    <w:rsid w:val="000027E2"/>
    <w:rsid w:val="00002990"/>
    <w:rsid w:val="000048AC"/>
    <w:rsid w:val="0000781E"/>
    <w:rsid w:val="00012EF1"/>
    <w:rsid w:val="00013190"/>
    <w:rsid w:val="00014585"/>
    <w:rsid w:val="00014FC4"/>
    <w:rsid w:val="00015E75"/>
    <w:rsid w:val="000163F8"/>
    <w:rsid w:val="00020AAB"/>
    <w:rsid w:val="00021F4D"/>
    <w:rsid w:val="0002215E"/>
    <w:rsid w:val="000223A4"/>
    <w:rsid w:val="00022E60"/>
    <w:rsid w:val="0002381B"/>
    <w:rsid w:val="000238B7"/>
    <w:rsid w:val="00024C4F"/>
    <w:rsid w:val="00026C19"/>
    <w:rsid w:val="000303C3"/>
    <w:rsid w:val="00031263"/>
    <w:rsid w:val="00031AA4"/>
    <w:rsid w:val="00031BAF"/>
    <w:rsid w:val="00034BE7"/>
    <w:rsid w:val="00035242"/>
    <w:rsid w:val="000414BD"/>
    <w:rsid w:val="00043242"/>
    <w:rsid w:val="000444D2"/>
    <w:rsid w:val="000445EB"/>
    <w:rsid w:val="000450C1"/>
    <w:rsid w:val="000450E9"/>
    <w:rsid w:val="00050E4C"/>
    <w:rsid w:val="00051F04"/>
    <w:rsid w:val="00051F6A"/>
    <w:rsid w:val="00053063"/>
    <w:rsid w:val="00053F3B"/>
    <w:rsid w:val="0005587D"/>
    <w:rsid w:val="00055DD6"/>
    <w:rsid w:val="00056E92"/>
    <w:rsid w:val="000574FA"/>
    <w:rsid w:val="00060BDB"/>
    <w:rsid w:val="00060E93"/>
    <w:rsid w:val="00063B96"/>
    <w:rsid w:val="00063EB2"/>
    <w:rsid w:val="00064936"/>
    <w:rsid w:val="000717D4"/>
    <w:rsid w:val="000725A7"/>
    <w:rsid w:val="00072A11"/>
    <w:rsid w:val="000734F8"/>
    <w:rsid w:val="000736B8"/>
    <w:rsid w:val="00073CCB"/>
    <w:rsid w:val="00074184"/>
    <w:rsid w:val="000759E4"/>
    <w:rsid w:val="00076112"/>
    <w:rsid w:val="00080AB7"/>
    <w:rsid w:val="000817CB"/>
    <w:rsid w:val="00081C0B"/>
    <w:rsid w:val="00081C9D"/>
    <w:rsid w:val="0008323E"/>
    <w:rsid w:val="00084002"/>
    <w:rsid w:val="00087366"/>
    <w:rsid w:val="000873EF"/>
    <w:rsid w:val="00087886"/>
    <w:rsid w:val="000903B3"/>
    <w:rsid w:val="000918C8"/>
    <w:rsid w:val="0009313C"/>
    <w:rsid w:val="0009505E"/>
    <w:rsid w:val="000957A1"/>
    <w:rsid w:val="000A1175"/>
    <w:rsid w:val="000A3B8D"/>
    <w:rsid w:val="000A54D0"/>
    <w:rsid w:val="000A70B6"/>
    <w:rsid w:val="000A79CF"/>
    <w:rsid w:val="000B134E"/>
    <w:rsid w:val="000B2039"/>
    <w:rsid w:val="000B26C4"/>
    <w:rsid w:val="000B3792"/>
    <w:rsid w:val="000B6D72"/>
    <w:rsid w:val="000C31CF"/>
    <w:rsid w:val="000C4D7D"/>
    <w:rsid w:val="000C6242"/>
    <w:rsid w:val="000C67EE"/>
    <w:rsid w:val="000C68DB"/>
    <w:rsid w:val="000D12D9"/>
    <w:rsid w:val="000D1696"/>
    <w:rsid w:val="000D16EF"/>
    <w:rsid w:val="000D28D6"/>
    <w:rsid w:val="000D2C32"/>
    <w:rsid w:val="000E1B50"/>
    <w:rsid w:val="000E4813"/>
    <w:rsid w:val="000E5ECE"/>
    <w:rsid w:val="000E6F72"/>
    <w:rsid w:val="000E7432"/>
    <w:rsid w:val="000F0478"/>
    <w:rsid w:val="000F0A50"/>
    <w:rsid w:val="000F2133"/>
    <w:rsid w:val="000F2416"/>
    <w:rsid w:val="000F3B7D"/>
    <w:rsid w:val="000F5EF9"/>
    <w:rsid w:val="000F6AD9"/>
    <w:rsid w:val="000F7588"/>
    <w:rsid w:val="00100739"/>
    <w:rsid w:val="00100B83"/>
    <w:rsid w:val="001027CC"/>
    <w:rsid w:val="00103D5E"/>
    <w:rsid w:val="00104EA7"/>
    <w:rsid w:val="00105C6F"/>
    <w:rsid w:val="00105FAD"/>
    <w:rsid w:val="00106A99"/>
    <w:rsid w:val="00107F6F"/>
    <w:rsid w:val="00110179"/>
    <w:rsid w:val="00111426"/>
    <w:rsid w:val="0011155B"/>
    <w:rsid w:val="00111A6A"/>
    <w:rsid w:val="00117EBC"/>
    <w:rsid w:val="00121846"/>
    <w:rsid w:val="00121BF1"/>
    <w:rsid w:val="00122164"/>
    <w:rsid w:val="00123343"/>
    <w:rsid w:val="001254EF"/>
    <w:rsid w:val="00125C14"/>
    <w:rsid w:val="0012619D"/>
    <w:rsid w:val="00127A8B"/>
    <w:rsid w:val="00127F90"/>
    <w:rsid w:val="00131BE6"/>
    <w:rsid w:val="00134BE5"/>
    <w:rsid w:val="00136E01"/>
    <w:rsid w:val="00137681"/>
    <w:rsid w:val="001412D1"/>
    <w:rsid w:val="00141D4A"/>
    <w:rsid w:val="001423E3"/>
    <w:rsid w:val="001430B5"/>
    <w:rsid w:val="0014669E"/>
    <w:rsid w:val="00146777"/>
    <w:rsid w:val="001475EA"/>
    <w:rsid w:val="00147D57"/>
    <w:rsid w:val="00150010"/>
    <w:rsid w:val="001504F5"/>
    <w:rsid w:val="001517BD"/>
    <w:rsid w:val="00152D8E"/>
    <w:rsid w:val="00155244"/>
    <w:rsid w:val="001552A8"/>
    <w:rsid w:val="001564BE"/>
    <w:rsid w:val="0016010C"/>
    <w:rsid w:val="00160EE6"/>
    <w:rsid w:val="001647DF"/>
    <w:rsid w:val="00171688"/>
    <w:rsid w:val="0017248D"/>
    <w:rsid w:val="00172CB2"/>
    <w:rsid w:val="00173626"/>
    <w:rsid w:val="0017614A"/>
    <w:rsid w:val="0017732D"/>
    <w:rsid w:val="001774EA"/>
    <w:rsid w:val="0018177B"/>
    <w:rsid w:val="001817CD"/>
    <w:rsid w:val="0018235E"/>
    <w:rsid w:val="00183EBF"/>
    <w:rsid w:val="00185612"/>
    <w:rsid w:val="00187191"/>
    <w:rsid w:val="0018768C"/>
    <w:rsid w:val="00190F27"/>
    <w:rsid w:val="00192BA0"/>
    <w:rsid w:val="00194750"/>
    <w:rsid w:val="00196F71"/>
    <w:rsid w:val="00197303"/>
    <w:rsid w:val="001A0D85"/>
    <w:rsid w:val="001A0E9C"/>
    <w:rsid w:val="001A17EA"/>
    <w:rsid w:val="001A1D17"/>
    <w:rsid w:val="001A22AA"/>
    <w:rsid w:val="001A270C"/>
    <w:rsid w:val="001A71C3"/>
    <w:rsid w:val="001A7A18"/>
    <w:rsid w:val="001B0CDF"/>
    <w:rsid w:val="001B108E"/>
    <w:rsid w:val="001B1565"/>
    <w:rsid w:val="001B166D"/>
    <w:rsid w:val="001B22B1"/>
    <w:rsid w:val="001B28B5"/>
    <w:rsid w:val="001B2975"/>
    <w:rsid w:val="001B3FF8"/>
    <w:rsid w:val="001B46E3"/>
    <w:rsid w:val="001B4855"/>
    <w:rsid w:val="001B507B"/>
    <w:rsid w:val="001B60E8"/>
    <w:rsid w:val="001C0355"/>
    <w:rsid w:val="001C08A9"/>
    <w:rsid w:val="001C0C20"/>
    <w:rsid w:val="001C122D"/>
    <w:rsid w:val="001C1E37"/>
    <w:rsid w:val="001C2329"/>
    <w:rsid w:val="001C2800"/>
    <w:rsid w:val="001C34BE"/>
    <w:rsid w:val="001C510F"/>
    <w:rsid w:val="001D096D"/>
    <w:rsid w:val="001D0CA4"/>
    <w:rsid w:val="001D1E98"/>
    <w:rsid w:val="001D1EC2"/>
    <w:rsid w:val="001D2A82"/>
    <w:rsid w:val="001D37D1"/>
    <w:rsid w:val="001D569B"/>
    <w:rsid w:val="001D6204"/>
    <w:rsid w:val="001E0EA3"/>
    <w:rsid w:val="001E390E"/>
    <w:rsid w:val="001E4995"/>
    <w:rsid w:val="001E6496"/>
    <w:rsid w:val="001E78A6"/>
    <w:rsid w:val="001E7A42"/>
    <w:rsid w:val="001F09DC"/>
    <w:rsid w:val="001F2920"/>
    <w:rsid w:val="001F43E6"/>
    <w:rsid w:val="001F445D"/>
    <w:rsid w:val="001F71F0"/>
    <w:rsid w:val="002022FA"/>
    <w:rsid w:val="00202A02"/>
    <w:rsid w:val="00205ECC"/>
    <w:rsid w:val="00207483"/>
    <w:rsid w:val="002112A8"/>
    <w:rsid w:val="002112EE"/>
    <w:rsid w:val="0021170C"/>
    <w:rsid w:val="00211922"/>
    <w:rsid w:val="00211939"/>
    <w:rsid w:val="002128AD"/>
    <w:rsid w:val="00213772"/>
    <w:rsid w:val="0021519C"/>
    <w:rsid w:val="00215D68"/>
    <w:rsid w:val="00216955"/>
    <w:rsid w:val="002200F3"/>
    <w:rsid w:val="00220749"/>
    <w:rsid w:val="00222AC5"/>
    <w:rsid w:val="002239C6"/>
    <w:rsid w:val="0022422C"/>
    <w:rsid w:val="00224255"/>
    <w:rsid w:val="0022724E"/>
    <w:rsid w:val="00230666"/>
    <w:rsid w:val="00231153"/>
    <w:rsid w:val="0023252E"/>
    <w:rsid w:val="00232A5C"/>
    <w:rsid w:val="002344E4"/>
    <w:rsid w:val="002367C7"/>
    <w:rsid w:val="0024000A"/>
    <w:rsid w:val="00241363"/>
    <w:rsid w:val="00241710"/>
    <w:rsid w:val="00241C31"/>
    <w:rsid w:val="002435A9"/>
    <w:rsid w:val="00246803"/>
    <w:rsid w:val="00246960"/>
    <w:rsid w:val="0024743E"/>
    <w:rsid w:val="00251023"/>
    <w:rsid w:val="002519B0"/>
    <w:rsid w:val="00254785"/>
    <w:rsid w:val="00255410"/>
    <w:rsid w:val="00256E7C"/>
    <w:rsid w:val="00257089"/>
    <w:rsid w:val="00257BC5"/>
    <w:rsid w:val="0026106A"/>
    <w:rsid w:val="0026244B"/>
    <w:rsid w:val="00262A5A"/>
    <w:rsid w:val="00263143"/>
    <w:rsid w:val="00264577"/>
    <w:rsid w:val="00264E78"/>
    <w:rsid w:val="002679D5"/>
    <w:rsid w:val="002714FD"/>
    <w:rsid w:val="00272DFF"/>
    <w:rsid w:val="00273AFA"/>
    <w:rsid w:val="00273B09"/>
    <w:rsid w:val="002741C7"/>
    <w:rsid w:val="00275F94"/>
    <w:rsid w:val="002774AA"/>
    <w:rsid w:val="00281B9C"/>
    <w:rsid w:val="00282DE9"/>
    <w:rsid w:val="00283DC8"/>
    <w:rsid w:val="00284C9B"/>
    <w:rsid w:val="0029089C"/>
    <w:rsid w:val="00294C72"/>
    <w:rsid w:val="00295562"/>
    <w:rsid w:val="002A0B64"/>
    <w:rsid w:val="002A141B"/>
    <w:rsid w:val="002A1901"/>
    <w:rsid w:val="002A248A"/>
    <w:rsid w:val="002A26B6"/>
    <w:rsid w:val="002A2996"/>
    <w:rsid w:val="002A6A4E"/>
    <w:rsid w:val="002A799D"/>
    <w:rsid w:val="002A7A82"/>
    <w:rsid w:val="002B10AB"/>
    <w:rsid w:val="002B1B4F"/>
    <w:rsid w:val="002B2C47"/>
    <w:rsid w:val="002B5A85"/>
    <w:rsid w:val="002B63A7"/>
    <w:rsid w:val="002B78F5"/>
    <w:rsid w:val="002C1AA8"/>
    <w:rsid w:val="002C4467"/>
    <w:rsid w:val="002C552F"/>
    <w:rsid w:val="002C5543"/>
    <w:rsid w:val="002C6FC1"/>
    <w:rsid w:val="002D0020"/>
    <w:rsid w:val="002D0752"/>
    <w:rsid w:val="002D0F7F"/>
    <w:rsid w:val="002D33DA"/>
    <w:rsid w:val="002D4617"/>
    <w:rsid w:val="002D7648"/>
    <w:rsid w:val="002E0198"/>
    <w:rsid w:val="002E1D7C"/>
    <w:rsid w:val="002E2ABA"/>
    <w:rsid w:val="002E4C36"/>
    <w:rsid w:val="002E5726"/>
    <w:rsid w:val="002E5B4F"/>
    <w:rsid w:val="002E6AF9"/>
    <w:rsid w:val="002E6C78"/>
    <w:rsid w:val="002E7701"/>
    <w:rsid w:val="002F0645"/>
    <w:rsid w:val="002F449B"/>
    <w:rsid w:val="002F4D86"/>
    <w:rsid w:val="002F5D69"/>
    <w:rsid w:val="002F66C4"/>
    <w:rsid w:val="002F7C77"/>
    <w:rsid w:val="00300CB3"/>
    <w:rsid w:val="00301504"/>
    <w:rsid w:val="003019EA"/>
    <w:rsid w:val="00302A25"/>
    <w:rsid w:val="003038F4"/>
    <w:rsid w:val="0030394B"/>
    <w:rsid w:val="00303CED"/>
    <w:rsid w:val="00305D69"/>
    <w:rsid w:val="003072C6"/>
    <w:rsid w:val="003076BB"/>
    <w:rsid w:val="0031034D"/>
    <w:rsid w:val="00310D8E"/>
    <w:rsid w:val="00311604"/>
    <w:rsid w:val="0031257B"/>
    <w:rsid w:val="00313F2A"/>
    <w:rsid w:val="00315ADD"/>
    <w:rsid w:val="00315BBD"/>
    <w:rsid w:val="003165BD"/>
    <w:rsid w:val="0031753A"/>
    <w:rsid w:val="00320293"/>
    <w:rsid w:val="00322ACF"/>
    <w:rsid w:val="00322CC2"/>
    <w:rsid w:val="00322FDF"/>
    <w:rsid w:val="003231B8"/>
    <w:rsid w:val="003235C8"/>
    <w:rsid w:val="003271DC"/>
    <w:rsid w:val="00331E1F"/>
    <w:rsid w:val="00332393"/>
    <w:rsid w:val="00334B54"/>
    <w:rsid w:val="00335B1E"/>
    <w:rsid w:val="00335F96"/>
    <w:rsid w:val="00335FAE"/>
    <w:rsid w:val="00336BB2"/>
    <w:rsid w:val="0033739E"/>
    <w:rsid w:val="00337C57"/>
    <w:rsid w:val="00340BE6"/>
    <w:rsid w:val="00341848"/>
    <w:rsid w:val="00343036"/>
    <w:rsid w:val="00343733"/>
    <w:rsid w:val="003450C1"/>
    <w:rsid w:val="00345E12"/>
    <w:rsid w:val="00346841"/>
    <w:rsid w:val="003539B8"/>
    <w:rsid w:val="0035438C"/>
    <w:rsid w:val="0035475D"/>
    <w:rsid w:val="00354E72"/>
    <w:rsid w:val="00355886"/>
    <w:rsid w:val="00356814"/>
    <w:rsid w:val="00361F4F"/>
    <w:rsid w:val="00362BA8"/>
    <w:rsid w:val="00363EA4"/>
    <w:rsid w:val="00365C7E"/>
    <w:rsid w:val="00365E9C"/>
    <w:rsid w:val="003660E2"/>
    <w:rsid w:val="00366BBE"/>
    <w:rsid w:val="003702AB"/>
    <w:rsid w:val="00370A7C"/>
    <w:rsid w:val="00371156"/>
    <w:rsid w:val="003713F2"/>
    <w:rsid w:val="003718AF"/>
    <w:rsid w:val="00373CCB"/>
    <w:rsid w:val="003741AD"/>
    <w:rsid w:val="00377C4F"/>
    <w:rsid w:val="003800C0"/>
    <w:rsid w:val="0038019F"/>
    <w:rsid w:val="003819F2"/>
    <w:rsid w:val="00381A85"/>
    <w:rsid w:val="00382071"/>
    <w:rsid w:val="003836A3"/>
    <w:rsid w:val="00384161"/>
    <w:rsid w:val="00385434"/>
    <w:rsid w:val="00385803"/>
    <w:rsid w:val="003870D3"/>
    <w:rsid w:val="00387290"/>
    <w:rsid w:val="00387864"/>
    <w:rsid w:val="00392637"/>
    <w:rsid w:val="0039310D"/>
    <w:rsid w:val="00393902"/>
    <w:rsid w:val="00394F18"/>
    <w:rsid w:val="003A0EE2"/>
    <w:rsid w:val="003A1909"/>
    <w:rsid w:val="003A2F25"/>
    <w:rsid w:val="003A5AF6"/>
    <w:rsid w:val="003B00E5"/>
    <w:rsid w:val="003B1902"/>
    <w:rsid w:val="003B2807"/>
    <w:rsid w:val="003B4FC5"/>
    <w:rsid w:val="003B6279"/>
    <w:rsid w:val="003B6B80"/>
    <w:rsid w:val="003B6DDD"/>
    <w:rsid w:val="003C0542"/>
    <w:rsid w:val="003C1805"/>
    <w:rsid w:val="003C1965"/>
    <w:rsid w:val="003C252B"/>
    <w:rsid w:val="003C45FB"/>
    <w:rsid w:val="003C68F2"/>
    <w:rsid w:val="003D0A89"/>
    <w:rsid w:val="003D2F34"/>
    <w:rsid w:val="003D34C0"/>
    <w:rsid w:val="003D40AB"/>
    <w:rsid w:val="003D5075"/>
    <w:rsid w:val="003D58B8"/>
    <w:rsid w:val="003D5CFB"/>
    <w:rsid w:val="003D6756"/>
    <w:rsid w:val="003D6BE9"/>
    <w:rsid w:val="003D75FC"/>
    <w:rsid w:val="003D7A14"/>
    <w:rsid w:val="003E1AE9"/>
    <w:rsid w:val="003E1CBB"/>
    <w:rsid w:val="003E2636"/>
    <w:rsid w:val="003E2A7C"/>
    <w:rsid w:val="003E2E12"/>
    <w:rsid w:val="003E4926"/>
    <w:rsid w:val="003E638B"/>
    <w:rsid w:val="003F0A5B"/>
    <w:rsid w:val="003F20A1"/>
    <w:rsid w:val="003F39CE"/>
    <w:rsid w:val="003F4017"/>
    <w:rsid w:val="003F46D1"/>
    <w:rsid w:val="003F4BF7"/>
    <w:rsid w:val="003F7E4D"/>
    <w:rsid w:val="00400302"/>
    <w:rsid w:val="0040084B"/>
    <w:rsid w:val="00401108"/>
    <w:rsid w:val="00401647"/>
    <w:rsid w:val="00402927"/>
    <w:rsid w:val="00405224"/>
    <w:rsid w:val="00407492"/>
    <w:rsid w:val="00407993"/>
    <w:rsid w:val="00407FE4"/>
    <w:rsid w:val="00410AFD"/>
    <w:rsid w:val="00411833"/>
    <w:rsid w:val="00412C2C"/>
    <w:rsid w:val="00412F64"/>
    <w:rsid w:val="004173F9"/>
    <w:rsid w:val="00417BEB"/>
    <w:rsid w:val="00417CC6"/>
    <w:rsid w:val="00417E46"/>
    <w:rsid w:val="00420E02"/>
    <w:rsid w:val="004226D6"/>
    <w:rsid w:val="0043039B"/>
    <w:rsid w:val="00430BC6"/>
    <w:rsid w:val="004317D5"/>
    <w:rsid w:val="004324FF"/>
    <w:rsid w:val="00432A55"/>
    <w:rsid w:val="004352CC"/>
    <w:rsid w:val="004353C5"/>
    <w:rsid w:val="004372B7"/>
    <w:rsid w:val="004374CE"/>
    <w:rsid w:val="00441C78"/>
    <w:rsid w:val="0044260A"/>
    <w:rsid w:val="004442B9"/>
    <w:rsid w:val="00444D82"/>
    <w:rsid w:val="00447314"/>
    <w:rsid w:val="00450CAC"/>
    <w:rsid w:val="00451AF6"/>
    <w:rsid w:val="00452B93"/>
    <w:rsid w:val="004539A7"/>
    <w:rsid w:val="004562D3"/>
    <w:rsid w:val="004564C6"/>
    <w:rsid w:val="004567FC"/>
    <w:rsid w:val="004610CC"/>
    <w:rsid w:val="004615F7"/>
    <w:rsid w:val="00462F86"/>
    <w:rsid w:val="00463C36"/>
    <w:rsid w:val="00463F7E"/>
    <w:rsid w:val="00465016"/>
    <w:rsid w:val="00465464"/>
    <w:rsid w:val="00465E87"/>
    <w:rsid w:val="00465F92"/>
    <w:rsid w:val="00467699"/>
    <w:rsid w:val="00474B26"/>
    <w:rsid w:val="00476534"/>
    <w:rsid w:val="00477076"/>
    <w:rsid w:val="0047786A"/>
    <w:rsid w:val="00477A65"/>
    <w:rsid w:val="00480076"/>
    <w:rsid w:val="00481AA1"/>
    <w:rsid w:val="00481E1E"/>
    <w:rsid w:val="00482DB3"/>
    <w:rsid w:val="00483172"/>
    <w:rsid w:val="00483B51"/>
    <w:rsid w:val="00485F3F"/>
    <w:rsid w:val="004876D0"/>
    <w:rsid w:val="0049118E"/>
    <w:rsid w:val="0049311C"/>
    <w:rsid w:val="004966AF"/>
    <w:rsid w:val="004A0174"/>
    <w:rsid w:val="004A0236"/>
    <w:rsid w:val="004A1C5C"/>
    <w:rsid w:val="004A34D0"/>
    <w:rsid w:val="004A369A"/>
    <w:rsid w:val="004A3B3E"/>
    <w:rsid w:val="004A40CE"/>
    <w:rsid w:val="004A5C6B"/>
    <w:rsid w:val="004A792B"/>
    <w:rsid w:val="004A7FB1"/>
    <w:rsid w:val="004B023E"/>
    <w:rsid w:val="004B0290"/>
    <w:rsid w:val="004B3389"/>
    <w:rsid w:val="004B55B0"/>
    <w:rsid w:val="004B6BE6"/>
    <w:rsid w:val="004B7B13"/>
    <w:rsid w:val="004C02FE"/>
    <w:rsid w:val="004C5594"/>
    <w:rsid w:val="004C5777"/>
    <w:rsid w:val="004D0173"/>
    <w:rsid w:val="004D096E"/>
    <w:rsid w:val="004D1050"/>
    <w:rsid w:val="004D1056"/>
    <w:rsid w:val="004D1CE1"/>
    <w:rsid w:val="004D2B7B"/>
    <w:rsid w:val="004D3577"/>
    <w:rsid w:val="004D7F56"/>
    <w:rsid w:val="004E010A"/>
    <w:rsid w:val="004E1DD8"/>
    <w:rsid w:val="004E1EDE"/>
    <w:rsid w:val="004E21E2"/>
    <w:rsid w:val="004E293F"/>
    <w:rsid w:val="004E29EA"/>
    <w:rsid w:val="004E2A42"/>
    <w:rsid w:val="004E380D"/>
    <w:rsid w:val="004E473D"/>
    <w:rsid w:val="004E5043"/>
    <w:rsid w:val="004E7922"/>
    <w:rsid w:val="004F0DFC"/>
    <w:rsid w:val="004F1265"/>
    <w:rsid w:val="004F16F5"/>
    <w:rsid w:val="004F2DA6"/>
    <w:rsid w:val="004F3441"/>
    <w:rsid w:val="004F41B2"/>
    <w:rsid w:val="004F4AFC"/>
    <w:rsid w:val="004F4BD6"/>
    <w:rsid w:val="004F52A5"/>
    <w:rsid w:val="004F6F37"/>
    <w:rsid w:val="004F7217"/>
    <w:rsid w:val="004F72DB"/>
    <w:rsid w:val="00500C8C"/>
    <w:rsid w:val="00501375"/>
    <w:rsid w:val="00501D3B"/>
    <w:rsid w:val="005022C9"/>
    <w:rsid w:val="00502B8F"/>
    <w:rsid w:val="00505AD0"/>
    <w:rsid w:val="00506D96"/>
    <w:rsid w:val="0050779D"/>
    <w:rsid w:val="00511B43"/>
    <w:rsid w:val="005121B1"/>
    <w:rsid w:val="0051268F"/>
    <w:rsid w:val="005139EA"/>
    <w:rsid w:val="005171BA"/>
    <w:rsid w:val="00520A64"/>
    <w:rsid w:val="00520BBB"/>
    <w:rsid w:val="00520E17"/>
    <w:rsid w:val="00521BD0"/>
    <w:rsid w:val="00522A3E"/>
    <w:rsid w:val="00522D9D"/>
    <w:rsid w:val="00523247"/>
    <w:rsid w:val="00523FE7"/>
    <w:rsid w:val="00524310"/>
    <w:rsid w:val="00525456"/>
    <w:rsid w:val="00525D42"/>
    <w:rsid w:val="0052775A"/>
    <w:rsid w:val="00530782"/>
    <w:rsid w:val="00532236"/>
    <w:rsid w:val="005334BB"/>
    <w:rsid w:val="005338EA"/>
    <w:rsid w:val="00533E94"/>
    <w:rsid w:val="00536744"/>
    <w:rsid w:val="00536B5F"/>
    <w:rsid w:val="005371EF"/>
    <w:rsid w:val="00537432"/>
    <w:rsid w:val="00537932"/>
    <w:rsid w:val="00537AE9"/>
    <w:rsid w:val="00540CA7"/>
    <w:rsid w:val="005419BB"/>
    <w:rsid w:val="00541DFE"/>
    <w:rsid w:val="00543E6C"/>
    <w:rsid w:val="00544184"/>
    <w:rsid w:val="00546BD3"/>
    <w:rsid w:val="00551789"/>
    <w:rsid w:val="00551865"/>
    <w:rsid w:val="00551BB6"/>
    <w:rsid w:val="0055297A"/>
    <w:rsid w:val="00553B8D"/>
    <w:rsid w:val="00553F68"/>
    <w:rsid w:val="00554F69"/>
    <w:rsid w:val="005552FD"/>
    <w:rsid w:val="005569B2"/>
    <w:rsid w:val="00557AD1"/>
    <w:rsid w:val="005600E5"/>
    <w:rsid w:val="005601BC"/>
    <w:rsid w:val="005618B4"/>
    <w:rsid w:val="00564E8F"/>
    <w:rsid w:val="005651E5"/>
    <w:rsid w:val="00565474"/>
    <w:rsid w:val="00565AFE"/>
    <w:rsid w:val="005666B7"/>
    <w:rsid w:val="00566CF8"/>
    <w:rsid w:val="00567903"/>
    <w:rsid w:val="005706C0"/>
    <w:rsid w:val="0057082B"/>
    <w:rsid w:val="0057155D"/>
    <w:rsid w:val="0057166B"/>
    <w:rsid w:val="005728A4"/>
    <w:rsid w:val="0057500E"/>
    <w:rsid w:val="0057527D"/>
    <w:rsid w:val="005763FC"/>
    <w:rsid w:val="00576EB4"/>
    <w:rsid w:val="0057755B"/>
    <w:rsid w:val="00577B30"/>
    <w:rsid w:val="005805C3"/>
    <w:rsid w:val="00582456"/>
    <w:rsid w:val="00582768"/>
    <w:rsid w:val="00582FF5"/>
    <w:rsid w:val="00583461"/>
    <w:rsid w:val="00584B5B"/>
    <w:rsid w:val="005856A4"/>
    <w:rsid w:val="00587D97"/>
    <w:rsid w:val="00587EDD"/>
    <w:rsid w:val="00590730"/>
    <w:rsid w:val="00590871"/>
    <w:rsid w:val="00590E22"/>
    <w:rsid w:val="00591C43"/>
    <w:rsid w:val="0059239E"/>
    <w:rsid w:val="00592A6E"/>
    <w:rsid w:val="00594E0A"/>
    <w:rsid w:val="005950D4"/>
    <w:rsid w:val="00597009"/>
    <w:rsid w:val="005A0662"/>
    <w:rsid w:val="005A1973"/>
    <w:rsid w:val="005A3051"/>
    <w:rsid w:val="005A53FE"/>
    <w:rsid w:val="005A57E4"/>
    <w:rsid w:val="005B0284"/>
    <w:rsid w:val="005B0472"/>
    <w:rsid w:val="005B1A8A"/>
    <w:rsid w:val="005B2B24"/>
    <w:rsid w:val="005B3B82"/>
    <w:rsid w:val="005B4D34"/>
    <w:rsid w:val="005B6181"/>
    <w:rsid w:val="005B6CC4"/>
    <w:rsid w:val="005B7D22"/>
    <w:rsid w:val="005C029E"/>
    <w:rsid w:val="005C051E"/>
    <w:rsid w:val="005C18D7"/>
    <w:rsid w:val="005C225B"/>
    <w:rsid w:val="005C79CE"/>
    <w:rsid w:val="005D0E73"/>
    <w:rsid w:val="005D386C"/>
    <w:rsid w:val="005D4374"/>
    <w:rsid w:val="005D6073"/>
    <w:rsid w:val="005D61B1"/>
    <w:rsid w:val="005D6A8E"/>
    <w:rsid w:val="005D7961"/>
    <w:rsid w:val="005D7FFA"/>
    <w:rsid w:val="005E085D"/>
    <w:rsid w:val="005E183A"/>
    <w:rsid w:val="005E3D4C"/>
    <w:rsid w:val="005E3F0B"/>
    <w:rsid w:val="005E3FA7"/>
    <w:rsid w:val="005E596F"/>
    <w:rsid w:val="005E7963"/>
    <w:rsid w:val="005F218C"/>
    <w:rsid w:val="005F3B86"/>
    <w:rsid w:val="005F4196"/>
    <w:rsid w:val="005F4523"/>
    <w:rsid w:val="005F5A46"/>
    <w:rsid w:val="005F5DE1"/>
    <w:rsid w:val="005F6368"/>
    <w:rsid w:val="00601D4D"/>
    <w:rsid w:val="006021B4"/>
    <w:rsid w:val="006045C6"/>
    <w:rsid w:val="00605B5B"/>
    <w:rsid w:val="006062D8"/>
    <w:rsid w:val="00606827"/>
    <w:rsid w:val="006072A0"/>
    <w:rsid w:val="00612DBC"/>
    <w:rsid w:val="006130FB"/>
    <w:rsid w:val="0061317C"/>
    <w:rsid w:val="00615C87"/>
    <w:rsid w:val="0061649F"/>
    <w:rsid w:val="00620262"/>
    <w:rsid w:val="00621B4C"/>
    <w:rsid w:val="006226BE"/>
    <w:rsid w:val="00622B40"/>
    <w:rsid w:val="00623590"/>
    <w:rsid w:val="00624FE4"/>
    <w:rsid w:val="006253EC"/>
    <w:rsid w:val="006257BA"/>
    <w:rsid w:val="006263F7"/>
    <w:rsid w:val="00627282"/>
    <w:rsid w:val="006272F3"/>
    <w:rsid w:val="00627986"/>
    <w:rsid w:val="00627C52"/>
    <w:rsid w:val="00630937"/>
    <w:rsid w:val="0063263C"/>
    <w:rsid w:val="0063467C"/>
    <w:rsid w:val="00636AEA"/>
    <w:rsid w:val="00640217"/>
    <w:rsid w:val="00642088"/>
    <w:rsid w:val="0064350B"/>
    <w:rsid w:val="006438D4"/>
    <w:rsid w:val="00644AFB"/>
    <w:rsid w:val="00645BA4"/>
    <w:rsid w:val="00647DBC"/>
    <w:rsid w:val="00647F41"/>
    <w:rsid w:val="00650E41"/>
    <w:rsid w:val="00651C77"/>
    <w:rsid w:val="00652100"/>
    <w:rsid w:val="00652A5C"/>
    <w:rsid w:val="00652B1B"/>
    <w:rsid w:val="006538A4"/>
    <w:rsid w:val="00653B84"/>
    <w:rsid w:val="00653E0D"/>
    <w:rsid w:val="00653F99"/>
    <w:rsid w:val="0065551F"/>
    <w:rsid w:val="00655798"/>
    <w:rsid w:val="00655DB8"/>
    <w:rsid w:val="00655F80"/>
    <w:rsid w:val="00662863"/>
    <w:rsid w:val="006641FF"/>
    <w:rsid w:val="00665A55"/>
    <w:rsid w:val="006735DE"/>
    <w:rsid w:val="00680980"/>
    <w:rsid w:val="006815B0"/>
    <w:rsid w:val="006815C1"/>
    <w:rsid w:val="0068280B"/>
    <w:rsid w:val="00683526"/>
    <w:rsid w:val="006865C8"/>
    <w:rsid w:val="00686B48"/>
    <w:rsid w:val="00687038"/>
    <w:rsid w:val="0068714E"/>
    <w:rsid w:val="006872F5"/>
    <w:rsid w:val="00687364"/>
    <w:rsid w:val="00687D8C"/>
    <w:rsid w:val="0069025C"/>
    <w:rsid w:val="0069119F"/>
    <w:rsid w:val="0069240D"/>
    <w:rsid w:val="006929F7"/>
    <w:rsid w:val="0069374A"/>
    <w:rsid w:val="00694AB8"/>
    <w:rsid w:val="00695BE0"/>
    <w:rsid w:val="00695EF7"/>
    <w:rsid w:val="00696815"/>
    <w:rsid w:val="0069699D"/>
    <w:rsid w:val="00697B2D"/>
    <w:rsid w:val="00697FF0"/>
    <w:rsid w:val="006A4096"/>
    <w:rsid w:val="006A5D81"/>
    <w:rsid w:val="006A60FF"/>
    <w:rsid w:val="006A6AC9"/>
    <w:rsid w:val="006A70C7"/>
    <w:rsid w:val="006A7285"/>
    <w:rsid w:val="006A7541"/>
    <w:rsid w:val="006B2C51"/>
    <w:rsid w:val="006B3227"/>
    <w:rsid w:val="006B5CBB"/>
    <w:rsid w:val="006B5D50"/>
    <w:rsid w:val="006B6361"/>
    <w:rsid w:val="006C0219"/>
    <w:rsid w:val="006C06C7"/>
    <w:rsid w:val="006C178B"/>
    <w:rsid w:val="006C5159"/>
    <w:rsid w:val="006C51CB"/>
    <w:rsid w:val="006D040A"/>
    <w:rsid w:val="006D0780"/>
    <w:rsid w:val="006D1484"/>
    <w:rsid w:val="006D1E52"/>
    <w:rsid w:val="006D2095"/>
    <w:rsid w:val="006D24CE"/>
    <w:rsid w:val="006D360C"/>
    <w:rsid w:val="006D403A"/>
    <w:rsid w:val="006D5AC9"/>
    <w:rsid w:val="006D6470"/>
    <w:rsid w:val="006D66ED"/>
    <w:rsid w:val="006E0679"/>
    <w:rsid w:val="006E2FB9"/>
    <w:rsid w:val="006E30B4"/>
    <w:rsid w:val="006E3113"/>
    <w:rsid w:val="006E4A44"/>
    <w:rsid w:val="006E5157"/>
    <w:rsid w:val="006E5954"/>
    <w:rsid w:val="006E786B"/>
    <w:rsid w:val="006F1DA6"/>
    <w:rsid w:val="006F3E0E"/>
    <w:rsid w:val="007002B1"/>
    <w:rsid w:val="007004E5"/>
    <w:rsid w:val="007019F6"/>
    <w:rsid w:val="00701ED1"/>
    <w:rsid w:val="00704959"/>
    <w:rsid w:val="00704EB7"/>
    <w:rsid w:val="00705742"/>
    <w:rsid w:val="007067BB"/>
    <w:rsid w:val="00706BE0"/>
    <w:rsid w:val="007104FE"/>
    <w:rsid w:val="00711B0C"/>
    <w:rsid w:val="00711BF6"/>
    <w:rsid w:val="007121A2"/>
    <w:rsid w:val="00712EA0"/>
    <w:rsid w:val="00713981"/>
    <w:rsid w:val="007176D6"/>
    <w:rsid w:val="0072048F"/>
    <w:rsid w:val="00721757"/>
    <w:rsid w:val="00721C46"/>
    <w:rsid w:val="007228D3"/>
    <w:rsid w:val="00723EC6"/>
    <w:rsid w:val="00725C3F"/>
    <w:rsid w:val="00727D54"/>
    <w:rsid w:val="00731EF2"/>
    <w:rsid w:val="007341C7"/>
    <w:rsid w:val="007344C5"/>
    <w:rsid w:val="00734959"/>
    <w:rsid w:val="00735137"/>
    <w:rsid w:val="0073520D"/>
    <w:rsid w:val="00737A5E"/>
    <w:rsid w:val="0074137E"/>
    <w:rsid w:val="00741B97"/>
    <w:rsid w:val="0074224A"/>
    <w:rsid w:val="00747383"/>
    <w:rsid w:val="00747982"/>
    <w:rsid w:val="00750615"/>
    <w:rsid w:val="0075178C"/>
    <w:rsid w:val="00752207"/>
    <w:rsid w:val="007535C5"/>
    <w:rsid w:val="00754399"/>
    <w:rsid w:val="00754DC7"/>
    <w:rsid w:val="00756644"/>
    <w:rsid w:val="007574D0"/>
    <w:rsid w:val="007644FC"/>
    <w:rsid w:val="00764F37"/>
    <w:rsid w:val="007666F2"/>
    <w:rsid w:val="007667BE"/>
    <w:rsid w:val="00771A10"/>
    <w:rsid w:val="0077214D"/>
    <w:rsid w:val="007732BF"/>
    <w:rsid w:val="00775813"/>
    <w:rsid w:val="007772F2"/>
    <w:rsid w:val="00780226"/>
    <w:rsid w:val="00781AB4"/>
    <w:rsid w:val="00784F3C"/>
    <w:rsid w:val="0078621C"/>
    <w:rsid w:val="007872A2"/>
    <w:rsid w:val="00790C39"/>
    <w:rsid w:val="00790ECC"/>
    <w:rsid w:val="007923B7"/>
    <w:rsid w:val="00792616"/>
    <w:rsid w:val="007926BB"/>
    <w:rsid w:val="00792DC3"/>
    <w:rsid w:val="007931A8"/>
    <w:rsid w:val="0079344C"/>
    <w:rsid w:val="007968AE"/>
    <w:rsid w:val="007A0283"/>
    <w:rsid w:val="007A0F40"/>
    <w:rsid w:val="007A1F0A"/>
    <w:rsid w:val="007A2FCE"/>
    <w:rsid w:val="007A4089"/>
    <w:rsid w:val="007B2821"/>
    <w:rsid w:val="007B3757"/>
    <w:rsid w:val="007B4FE1"/>
    <w:rsid w:val="007B75B1"/>
    <w:rsid w:val="007C02C7"/>
    <w:rsid w:val="007C1E4B"/>
    <w:rsid w:val="007C21EE"/>
    <w:rsid w:val="007C21F7"/>
    <w:rsid w:val="007C3738"/>
    <w:rsid w:val="007C7675"/>
    <w:rsid w:val="007D0DFF"/>
    <w:rsid w:val="007D1390"/>
    <w:rsid w:val="007D3A2E"/>
    <w:rsid w:val="007D3D73"/>
    <w:rsid w:val="007D6652"/>
    <w:rsid w:val="007D7CC7"/>
    <w:rsid w:val="007E27A1"/>
    <w:rsid w:val="007E343D"/>
    <w:rsid w:val="007E49F7"/>
    <w:rsid w:val="007E6579"/>
    <w:rsid w:val="007F052B"/>
    <w:rsid w:val="007F353D"/>
    <w:rsid w:val="007F3E24"/>
    <w:rsid w:val="007F4383"/>
    <w:rsid w:val="007F5858"/>
    <w:rsid w:val="007F5887"/>
    <w:rsid w:val="007F6862"/>
    <w:rsid w:val="007F7CC5"/>
    <w:rsid w:val="0080010B"/>
    <w:rsid w:val="00801601"/>
    <w:rsid w:val="0080169A"/>
    <w:rsid w:val="0080233A"/>
    <w:rsid w:val="00802AF9"/>
    <w:rsid w:val="008036A7"/>
    <w:rsid w:val="00804743"/>
    <w:rsid w:val="00810991"/>
    <w:rsid w:val="00813171"/>
    <w:rsid w:val="0081351D"/>
    <w:rsid w:val="00814A9B"/>
    <w:rsid w:val="00814F66"/>
    <w:rsid w:val="008159B2"/>
    <w:rsid w:val="00817C9E"/>
    <w:rsid w:val="008205AF"/>
    <w:rsid w:val="00821220"/>
    <w:rsid w:val="008225E5"/>
    <w:rsid w:val="008236FD"/>
    <w:rsid w:val="00824D50"/>
    <w:rsid w:val="008270B7"/>
    <w:rsid w:val="00827E87"/>
    <w:rsid w:val="008300B7"/>
    <w:rsid w:val="008301A9"/>
    <w:rsid w:val="00831053"/>
    <w:rsid w:val="008314D2"/>
    <w:rsid w:val="0083254D"/>
    <w:rsid w:val="00832F3B"/>
    <w:rsid w:val="00834C4B"/>
    <w:rsid w:val="00836249"/>
    <w:rsid w:val="008364DB"/>
    <w:rsid w:val="00836F00"/>
    <w:rsid w:val="00837DF2"/>
    <w:rsid w:val="008435CF"/>
    <w:rsid w:val="00846192"/>
    <w:rsid w:val="008465E4"/>
    <w:rsid w:val="00850806"/>
    <w:rsid w:val="00850C24"/>
    <w:rsid w:val="00851F07"/>
    <w:rsid w:val="008525C6"/>
    <w:rsid w:val="00854321"/>
    <w:rsid w:val="008549B5"/>
    <w:rsid w:val="00854D8D"/>
    <w:rsid w:val="008565FD"/>
    <w:rsid w:val="00856A1B"/>
    <w:rsid w:val="00861817"/>
    <w:rsid w:val="008621C3"/>
    <w:rsid w:val="008646D8"/>
    <w:rsid w:val="0086476C"/>
    <w:rsid w:val="00864C0B"/>
    <w:rsid w:val="00865486"/>
    <w:rsid w:val="008657D3"/>
    <w:rsid w:val="008669BE"/>
    <w:rsid w:val="00870C08"/>
    <w:rsid w:val="008740C5"/>
    <w:rsid w:val="00874A5F"/>
    <w:rsid w:val="008750CE"/>
    <w:rsid w:val="008750FF"/>
    <w:rsid w:val="00875411"/>
    <w:rsid w:val="00876275"/>
    <w:rsid w:val="00877130"/>
    <w:rsid w:val="0088219D"/>
    <w:rsid w:val="008823C4"/>
    <w:rsid w:val="00882B99"/>
    <w:rsid w:val="00884B04"/>
    <w:rsid w:val="00886121"/>
    <w:rsid w:val="00896D09"/>
    <w:rsid w:val="008A1963"/>
    <w:rsid w:val="008A295B"/>
    <w:rsid w:val="008A5B97"/>
    <w:rsid w:val="008A5D0D"/>
    <w:rsid w:val="008A6604"/>
    <w:rsid w:val="008B0F08"/>
    <w:rsid w:val="008B1C73"/>
    <w:rsid w:val="008B5482"/>
    <w:rsid w:val="008B6193"/>
    <w:rsid w:val="008B7137"/>
    <w:rsid w:val="008B7F2E"/>
    <w:rsid w:val="008C0471"/>
    <w:rsid w:val="008C11F4"/>
    <w:rsid w:val="008C2BEC"/>
    <w:rsid w:val="008C6523"/>
    <w:rsid w:val="008C6D0E"/>
    <w:rsid w:val="008D020B"/>
    <w:rsid w:val="008D09D2"/>
    <w:rsid w:val="008D0B18"/>
    <w:rsid w:val="008D2109"/>
    <w:rsid w:val="008D39C5"/>
    <w:rsid w:val="008D434B"/>
    <w:rsid w:val="008D45B6"/>
    <w:rsid w:val="008D5FB2"/>
    <w:rsid w:val="008E1D89"/>
    <w:rsid w:val="008E3E3E"/>
    <w:rsid w:val="008E5742"/>
    <w:rsid w:val="008E5E87"/>
    <w:rsid w:val="008F13E0"/>
    <w:rsid w:val="008F43C7"/>
    <w:rsid w:val="008F5F87"/>
    <w:rsid w:val="008F637C"/>
    <w:rsid w:val="008F737B"/>
    <w:rsid w:val="008F7EDB"/>
    <w:rsid w:val="00900085"/>
    <w:rsid w:val="00900A34"/>
    <w:rsid w:val="00902478"/>
    <w:rsid w:val="00902504"/>
    <w:rsid w:val="00904AE9"/>
    <w:rsid w:val="00904C9D"/>
    <w:rsid w:val="00906132"/>
    <w:rsid w:val="00906496"/>
    <w:rsid w:val="00907073"/>
    <w:rsid w:val="00907C92"/>
    <w:rsid w:val="00907C97"/>
    <w:rsid w:val="00910B96"/>
    <w:rsid w:val="00912320"/>
    <w:rsid w:val="009134EF"/>
    <w:rsid w:val="0091583E"/>
    <w:rsid w:val="00920053"/>
    <w:rsid w:val="009208F5"/>
    <w:rsid w:val="009212C5"/>
    <w:rsid w:val="009213AE"/>
    <w:rsid w:val="00926475"/>
    <w:rsid w:val="00927D51"/>
    <w:rsid w:val="00930160"/>
    <w:rsid w:val="00932272"/>
    <w:rsid w:val="00932862"/>
    <w:rsid w:val="00933ED6"/>
    <w:rsid w:val="009354BA"/>
    <w:rsid w:val="00935D60"/>
    <w:rsid w:val="00937249"/>
    <w:rsid w:val="009405CC"/>
    <w:rsid w:val="009408C2"/>
    <w:rsid w:val="009423D9"/>
    <w:rsid w:val="00942D1E"/>
    <w:rsid w:val="00943170"/>
    <w:rsid w:val="009442C0"/>
    <w:rsid w:val="009447BB"/>
    <w:rsid w:val="00944C48"/>
    <w:rsid w:val="00944F2B"/>
    <w:rsid w:val="00946335"/>
    <w:rsid w:val="0095041B"/>
    <w:rsid w:val="00950474"/>
    <w:rsid w:val="009513C4"/>
    <w:rsid w:val="00952537"/>
    <w:rsid w:val="0095279E"/>
    <w:rsid w:val="0095328F"/>
    <w:rsid w:val="00954540"/>
    <w:rsid w:val="00955333"/>
    <w:rsid w:val="00955E55"/>
    <w:rsid w:val="00955E5C"/>
    <w:rsid w:val="0095659E"/>
    <w:rsid w:val="0096004C"/>
    <w:rsid w:val="00960EF1"/>
    <w:rsid w:val="00961188"/>
    <w:rsid w:val="00961EB1"/>
    <w:rsid w:val="00962200"/>
    <w:rsid w:val="009632D4"/>
    <w:rsid w:val="00964789"/>
    <w:rsid w:val="00966F54"/>
    <w:rsid w:val="009717B0"/>
    <w:rsid w:val="0097251E"/>
    <w:rsid w:val="00972535"/>
    <w:rsid w:val="00972855"/>
    <w:rsid w:val="00975E61"/>
    <w:rsid w:val="00976683"/>
    <w:rsid w:val="00976886"/>
    <w:rsid w:val="00976C2B"/>
    <w:rsid w:val="00976E31"/>
    <w:rsid w:val="00977C63"/>
    <w:rsid w:val="00980087"/>
    <w:rsid w:val="00980C0B"/>
    <w:rsid w:val="00981E0F"/>
    <w:rsid w:val="0098210D"/>
    <w:rsid w:val="00982DBE"/>
    <w:rsid w:val="00983E4B"/>
    <w:rsid w:val="00984255"/>
    <w:rsid w:val="0098524F"/>
    <w:rsid w:val="00985D93"/>
    <w:rsid w:val="009878DF"/>
    <w:rsid w:val="00987ABE"/>
    <w:rsid w:val="00987C28"/>
    <w:rsid w:val="009906C7"/>
    <w:rsid w:val="0099115B"/>
    <w:rsid w:val="0099205D"/>
    <w:rsid w:val="009931ED"/>
    <w:rsid w:val="009933DA"/>
    <w:rsid w:val="0099466B"/>
    <w:rsid w:val="00995177"/>
    <w:rsid w:val="009963CD"/>
    <w:rsid w:val="009A558C"/>
    <w:rsid w:val="009B0FFF"/>
    <w:rsid w:val="009B266D"/>
    <w:rsid w:val="009B282F"/>
    <w:rsid w:val="009B59F2"/>
    <w:rsid w:val="009B5CBF"/>
    <w:rsid w:val="009B6D44"/>
    <w:rsid w:val="009C184A"/>
    <w:rsid w:val="009C2CA5"/>
    <w:rsid w:val="009C30A9"/>
    <w:rsid w:val="009C368A"/>
    <w:rsid w:val="009D0BA6"/>
    <w:rsid w:val="009D3E45"/>
    <w:rsid w:val="009D3FC5"/>
    <w:rsid w:val="009E3AED"/>
    <w:rsid w:val="009E6223"/>
    <w:rsid w:val="009E738D"/>
    <w:rsid w:val="009E7DF4"/>
    <w:rsid w:val="009F0519"/>
    <w:rsid w:val="009F1F7E"/>
    <w:rsid w:val="009F232A"/>
    <w:rsid w:val="009F2373"/>
    <w:rsid w:val="009F351F"/>
    <w:rsid w:val="009F3F89"/>
    <w:rsid w:val="009F480E"/>
    <w:rsid w:val="009F5494"/>
    <w:rsid w:val="00A010F3"/>
    <w:rsid w:val="00A01817"/>
    <w:rsid w:val="00A018EA"/>
    <w:rsid w:val="00A022A2"/>
    <w:rsid w:val="00A02472"/>
    <w:rsid w:val="00A02D15"/>
    <w:rsid w:val="00A03611"/>
    <w:rsid w:val="00A0551F"/>
    <w:rsid w:val="00A06A16"/>
    <w:rsid w:val="00A11403"/>
    <w:rsid w:val="00A11671"/>
    <w:rsid w:val="00A15954"/>
    <w:rsid w:val="00A212F3"/>
    <w:rsid w:val="00A22D05"/>
    <w:rsid w:val="00A25B57"/>
    <w:rsid w:val="00A262A0"/>
    <w:rsid w:val="00A26911"/>
    <w:rsid w:val="00A26B0D"/>
    <w:rsid w:val="00A3045D"/>
    <w:rsid w:val="00A318C7"/>
    <w:rsid w:val="00A3298B"/>
    <w:rsid w:val="00A33DA4"/>
    <w:rsid w:val="00A33DAC"/>
    <w:rsid w:val="00A34A75"/>
    <w:rsid w:val="00A35E8F"/>
    <w:rsid w:val="00A3735A"/>
    <w:rsid w:val="00A37704"/>
    <w:rsid w:val="00A4054D"/>
    <w:rsid w:val="00A42F1B"/>
    <w:rsid w:val="00A43575"/>
    <w:rsid w:val="00A437F1"/>
    <w:rsid w:val="00A43B87"/>
    <w:rsid w:val="00A445D6"/>
    <w:rsid w:val="00A44EBE"/>
    <w:rsid w:val="00A4561E"/>
    <w:rsid w:val="00A46302"/>
    <w:rsid w:val="00A46B37"/>
    <w:rsid w:val="00A47B81"/>
    <w:rsid w:val="00A504D2"/>
    <w:rsid w:val="00A51397"/>
    <w:rsid w:val="00A546BC"/>
    <w:rsid w:val="00A55989"/>
    <w:rsid w:val="00A5636A"/>
    <w:rsid w:val="00A5694A"/>
    <w:rsid w:val="00A62CE9"/>
    <w:rsid w:val="00A63DA4"/>
    <w:rsid w:val="00A6590E"/>
    <w:rsid w:val="00A66FAD"/>
    <w:rsid w:val="00A67958"/>
    <w:rsid w:val="00A70D3B"/>
    <w:rsid w:val="00A71359"/>
    <w:rsid w:val="00A723BA"/>
    <w:rsid w:val="00A72922"/>
    <w:rsid w:val="00A73D61"/>
    <w:rsid w:val="00A75C1F"/>
    <w:rsid w:val="00A75CD4"/>
    <w:rsid w:val="00A75CD5"/>
    <w:rsid w:val="00A763D5"/>
    <w:rsid w:val="00A766F8"/>
    <w:rsid w:val="00A76FAF"/>
    <w:rsid w:val="00A77CD3"/>
    <w:rsid w:val="00A80187"/>
    <w:rsid w:val="00A8356B"/>
    <w:rsid w:val="00A83DF3"/>
    <w:rsid w:val="00A8400D"/>
    <w:rsid w:val="00A850C0"/>
    <w:rsid w:val="00A85915"/>
    <w:rsid w:val="00A86270"/>
    <w:rsid w:val="00A91DAA"/>
    <w:rsid w:val="00A935E6"/>
    <w:rsid w:val="00A946C0"/>
    <w:rsid w:val="00A952AB"/>
    <w:rsid w:val="00A95AA1"/>
    <w:rsid w:val="00A95F05"/>
    <w:rsid w:val="00A96BCA"/>
    <w:rsid w:val="00A9783D"/>
    <w:rsid w:val="00A97864"/>
    <w:rsid w:val="00AA0958"/>
    <w:rsid w:val="00AA1412"/>
    <w:rsid w:val="00AA3458"/>
    <w:rsid w:val="00AA45E6"/>
    <w:rsid w:val="00AA5A37"/>
    <w:rsid w:val="00AB0228"/>
    <w:rsid w:val="00AB17A9"/>
    <w:rsid w:val="00AB1E6D"/>
    <w:rsid w:val="00AB290F"/>
    <w:rsid w:val="00AB489C"/>
    <w:rsid w:val="00AB50C1"/>
    <w:rsid w:val="00AB5DC4"/>
    <w:rsid w:val="00AB62F0"/>
    <w:rsid w:val="00AB6936"/>
    <w:rsid w:val="00AC0C3B"/>
    <w:rsid w:val="00AC13A3"/>
    <w:rsid w:val="00AC1D06"/>
    <w:rsid w:val="00AC2BEB"/>
    <w:rsid w:val="00AC2D63"/>
    <w:rsid w:val="00AC2D96"/>
    <w:rsid w:val="00AC53C0"/>
    <w:rsid w:val="00AC55A5"/>
    <w:rsid w:val="00AC7061"/>
    <w:rsid w:val="00AC76DA"/>
    <w:rsid w:val="00AD03D8"/>
    <w:rsid w:val="00AD0711"/>
    <w:rsid w:val="00AD1643"/>
    <w:rsid w:val="00AD1667"/>
    <w:rsid w:val="00AD704E"/>
    <w:rsid w:val="00AD7FFD"/>
    <w:rsid w:val="00AE1542"/>
    <w:rsid w:val="00AE1A96"/>
    <w:rsid w:val="00AE21BD"/>
    <w:rsid w:val="00AE3BAE"/>
    <w:rsid w:val="00AE42CF"/>
    <w:rsid w:val="00AE5FE0"/>
    <w:rsid w:val="00AE60B7"/>
    <w:rsid w:val="00AE6316"/>
    <w:rsid w:val="00AE6996"/>
    <w:rsid w:val="00AE74C2"/>
    <w:rsid w:val="00AE7E9E"/>
    <w:rsid w:val="00AF19D3"/>
    <w:rsid w:val="00AF2080"/>
    <w:rsid w:val="00AF2AB7"/>
    <w:rsid w:val="00AF2B1C"/>
    <w:rsid w:val="00AF3B21"/>
    <w:rsid w:val="00AF44C6"/>
    <w:rsid w:val="00AF4ADD"/>
    <w:rsid w:val="00AF4D3F"/>
    <w:rsid w:val="00AF6C8F"/>
    <w:rsid w:val="00AF7065"/>
    <w:rsid w:val="00B018BF"/>
    <w:rsid w:val="00B02100"/>
    <w:rsid w:val="00B0300B"/>
    <w:rsid w:val="00B039C6"/>
    <w:rsid w:val="00B03AF3"/>
    <w:rsid w:val="00B05457"/>
    <w:rsid w:val="00B057F5"/>
    <w:rsid w:val="00B069DE"/>
    <w:rsid w:val="00B077B2"/>
    <w:rsid w:val="00B122AC"/>
    <w:rsid w:val="00B12353"/>
    <w:rsid w:val="00B128A0"/>
    <w:rsid w:val="00B12BD4"/>
    <w:rsid w:val="00B14184"/>
    <w:rsid w:val="00B145D4"/>
    <w:rsid w:val="00B20240"/>
    <w:rsid w:val="00B23281"/>
    <w:rsid w:val="00B24D98"/>
    <w:rsid w:val="00B251C4"/>
    <w:rsid w:val="00B25844"/>
    <w:rsid w:val="00B27571"/>
    <w:rsid w:val="00B309AB"/>
    <w:rsid w:val="00B31114"/>
    <w:rsid w:val="00B34F87"/>
    <w:rsid w:val="00B352A5"/>
    <w:rsid w:val="00B363FE"/>
    <w:rsid w:val="00B36770"/>
    <w:rsid w:val="00B4164B"/>
    <w:rsid w:val="00B434A7"/>
    <w:rsid w:val="00B44B0F"/>
    <w:rsid w:val="00B4530B"/>
    <w:rsid w:val="00B50216"/>
    <w:rsid w:val="00B53A6B"/>
    <w:rsid w:val="00B5409A"/>
    <w:rsid w:val="00B54147"/>
    <w:rsid w:val="00B54DB6"/>
    <w:rsid w:val="00B55574"/>
    <w:rsid w:val="00B61980"/>
    <w:rsid w:val="00B61EFD"/>
    <w:rsid w:val="00B61FB9"/>
    <w:rsid w:val="00B6525D"/>
    <w:rsid w:val="00B65ABA"/>
    <w:rsid w:val="00B67097"/>
    <w:rsid w:val="00B6790F"/>
    <w:rsid w:val="00B71B3B"/>
    <w:rsid w:val="00B77342"/>
    <w:rsid w:val="00B8118C"/>
    <w:rsid w:val="00B81C6D"/>
    <w:rsid w:val="00B853DB"/>
    <w:rsid w:val="00B863FD"/>
    <w:rsid w:val="00B872B7"/>
    <w:rsid w:val="00B87D61"/>
    <w:rsid w:val="00B91F4B"/>
    <w:rsid w:val="00B926C7"/>
    <w:rsid w:val="00B930EB"/>
    <w:rsid w:val="00B936EE"/>
    <w:rsid w:val="00B93948"/>
    <w:rsid w:val="00B96863"/>
    <w:rsid w:val="00BA31E5"/>
    <w:rsid w:val="00BA3FF4"/>
    <w:rsid w:val="00BA4BC7"/>
    <w:rsid w:val="00BA55B7"/>
    <w:rsid w:val="00BA5E47"/>
    <w:rsid w:val="00BA7D57"/>
    <w:rsid w:val="00BB0098"/>
    <w:rsid w:val="00BB156E"/>
    <w:rsid w:val="00BB2BCE"/>
    <w:rsid w:val="00BB3330"/>
    <w:rsid w:val="00BB3629"/>
    <w:rsid w:val="00BB3CBB"/>
    <w:rsid w:val="00BB47D7"/>
    <w:rsid w:val="00BB4A62"/>
    <w:rsid w:val="00BB4C5A"/>
    <w:rsid w:val="00BB5679"/>
    <w:rsid w:val="00BB6374"/>
    <w:rsid w:val="00BB7939"/>
    <w:rsid w:val="00BC01C1"/>
    <w:rsid w:val="00BC2B99"/>
    <w:rsid w:val="00BC45A1"/>
    <w:rsid w:val="00BC5A34"/>
    <w:rsid w:val="00BC74F3"/>
    <w:rsid w:val="00BC74FC"/>
    <w:rsid w:val="00BC7A25"/>
    <w:rsid w:val="00BD0C56"/>
    <w:rsid w:val="00BD17F5"/>
    <w:rsid w:val="00BD5319"/>
    <w:rsid w:val="00BD6142"/>
    <w:rsid w:val="00BD6476"/>
    <w:rsid w:val="00BD6E05"/>
    <w:rsid w:val="00BE26CF"/>
    <w:rsid w:val="00BE28CA"/>
    <w:rsid w:val="00BE3129"/>
    <w:rsid w:val="00BE4139"/>
    <w:rsid w:val="00BE54D0"/>
    <w:rsid w:val="00BE5918"/>
    <w:rsid w:val="00BE6BDB"/>
    <w:rsid w:val="00BF143A"/>
    <w:rsid w:val="00BF6B6C"/>
    <w:rsid w:val="00BF6CD8"/>
    <w:rsid w:val="00BF7251"/>
    <w:rsid w:val="00BF7CD9"/>
    <w:rsid w:val="00BF7F28"/>
    <w:rsid w:val="00C00CF2"/>
    <w:rsid w:val="00C01909"/>
    <w:rsid w:val="00C025BD"/>
    <w:rsid w:val="00C025CD"/>
    <w:rsid w:val="00C03CBB"/>
    <w:rsid w:val="00C04154"/>
    <w:rsid w:val="00C0421C"/>
    <w:rsid w:val="00C04343"/>
    <w:rsid w:val="00C05787"/>
    <w:rsid w:val="00C11871"/>
    <w:rsid w:val="00C119A7"/>
    <w:rsid w:val="00C11E14"/>
    <w:rsid w:val="00C12729"/>
    <w:rsid w:val="00C13059"/>
    <w:rsid w:val="00C135B8"/>
    <w:rsid w:val="00C156D4"/>
    <w:rsid w:val="00C167A3"/>
    <w:rsid w:val="00C16A5D"/>
    <w:rsid w:val="00C20EC5"/>
    <w:rsid w:val="00C2181C"/>
    <w:rsid w:val="00C22D2C"/>
    <w:rsid w:val="00C24006"/>
    <w:rsid w:val="00C25458"/>
    <w:rsid w:val="00C25AA2"/>
    <w:rsid w:val="00C2657D"/>
    <w:rsid w:val="00C2663A"/>
    <w:rsid w:val="00C26A87"/>
    <w:rsid w:val="00C27318"/>
    <w:rsid w:val="00C27EA4"/>
    <w:rsid w:val="00C347CC"/>
    <w:rsid w:val="00C34C90"/>
    <w:rsid w:val="00C3536B"/>
    <w:rsid w:val="00C36283"/>
    <w:rsid w:val="00C3745D"/>
    <w:rsid w:val="00C416E1"/>
    <w:rsid w:val="00C4189F"/>
    <w:rsid w:val="00C4469F"/>
    <w:rsid w:val="00C46314"/>
    <w:rsid w:val="00C47BF8"/>
    <w:rsid w:val="00C5104F"/>
    <w:rsid w:val="00C51B1C"/>
    <w:rsid w:val="00C53DCE"/>
    <w:rsid w:val="00C53E01"/>
    <w:rsid w:val="00C5539E"/>
    <w:rsid w:val="00C5781C"/>
    <w:rsid w:val="00C57A59"/>
    <w:rsid w:val="00C638F1"/>
    <w:rsid w:val="00C6419C"/>
    <w:rsid w:val="00C650B2"/>
    <w:rsid w:val="00C655F2"/>
    <w:rsid w:val="00C65B4C"/>
    <w:rsid w:val="00C65B61"/>
    <w:rsid w:val="00C704A4"/>
    <w:rsid w:val="00C70E53"/>
    <w:rsid w:val="00C72979"/>
    <w:rsid w:val="00C732D6"/>
    <w:rsid w:val="00C74C3D"/>
    <w:rsid w:val="00C75456"/>
    <w:rsid w:val="00C76C28"/>
    <w:rsid w:val="00C777FE"/>
    <w:rsid w:val="00C80965"/>
    <w:rsid w:val="00C81529"/>
    <w:rsid w:val="00C81BA6"/>
    <w:rsid w:val="00C8281E"/>
    <w:rsid w:val="00C833EB"/>
    <w:rsid w:val="00C8377C"/>
    <w:rsid w:val="00C86B8B"/>
    <w:rsid w:val="00C870B9"/>
    <w:rsid w:val="00C877C1"/>
    <w:rsid w:val="00C877CD"/>
    <w:rsid w:val="00C902E9"/>
    <w:rsid w:val="00C908B7"/>
    <w:rsid w:val="00C91D81"/>
    <w:rsid w:val="00C92A42"/>
    <w:rsid w:val="00C9742F"/>
    <w:rsid w:val="00CA0AD2"/>
    <w:rsid w:val="00CA18F2"/>
    <w:rsid w:val="00CA46F6"/>
    <w:rsid w:val="00CA4871"/>
    <w:rsid w:val="00CA6722"/>
    <w:rsid w:val="00CA6D4E"/>
    <w:rsid w:val="00CA7B4B"/>
    <w:rsid w:val="00CB0118"/>
    <w:rsid w:val="00CB36A8"/>
    <w:rsid w:val="00CB4BDD"/>
    <w:rsid w:val="00CB4D94"/>
    <w:rsid w:val="00CB4FC7"/>
    <w:rsid w:val="00CB5E30"/>
    <w:rsid w:val="00CB765B"/>
    <w:rsid w:val="00CB78CD"/>
    <w:rsid w:val="00CB7F7E"/>
    <w:rsid w:val="00CC139A"/>
    <w:rsid w:val="00CC1E7A"/>
    <w:rsid w:val="00CC319D"/>
    <w:rsid w:val="00CC4F64"/>
    <w:rsid w:val="00CC549C"/>
    <w:rsid w:val="00CC57A7"/>
    <w:rsid w:val="00CC5F0E"/>
    <w:rsid w:val="00CC6E3F"/>
    <w:rsid w:val="00CC7E28"/>
    <w:rsid w:val="00CD058C"/>
    <w:rsid w:val="00CD2D43"/>
    <w:rsid w:val="00CD3B98"/>
    <w:rsid w:val="00CD3DB7"/>
    <w:rsid w:val="00CD4216"/>
    <w:rsid w:val="00CD45C2"/>
    <w:rsid w:val="00CD518C"/>
    <w:rsid w:val="00CD6C85"/>
    <w:rsid w:val="00CD733F"/>
    <w:rsid w:val="00CD74D5"/>
    <w:rsid w:val="00CD7C65"/>
    <w:rsid w:val="00CE0942"/>
    <w:rsid w:val="00CE2915"/>
    <w:rsid w:val="00CE2991"/>
    <w:rsid w:val="00CE3822"/>
    <w:rsid w:val="00CE6E94"/>
    <w:rsid w:val="00CE7CA5"/>
    <w:rsid w:val="00CF1C98"/>
    <w:rsid w:val="00CF1D81"/>
    <w:rsid w:val="00CF2DC9"/>
    <w:rsid w:val="00CF3000"/>
    <w:rsid w:val="00CF4546"/>
    <w:rsid w:val="00CF6AC5"/>
    <w:rsid w:val="00CF7CB6"/>
    <w:rsid w:val="00CF7E36"/>
    <w:rsid w:val="00D00821"/>
    <w:rsid w:val="00D024BC"/>
    <w:rsid w:val="00D03476"/>
    <w:rsid w:val="00D03975"/>
    <w:rsid w:val="00D05C97"/>
    <w:rsid w:val="00D106A4"/>
    <w:rsid w:val="00D12F5F"/>
    <w:rsid w:val="00D13C5D"/>
    <w:rsid w:val="00D13DF4"/>
    <w:rsid w:val="00D14C48"/>
    <w:rsid w:val="00D2097E"/>
    <w:rsid w:val="00D23E8C"/>
    <w:rsid w:val="00D25676"/>
    <w:rsid w:val="00D272DA"/>
    <w:rsid w:val="00D3006F"/>
    <w:rsid w:val="00D311AB"/>
    <w:rsid w:val="00D32290"/>
    <w:rsid w:val="00D325A8"/>
    <w:rsid w:val="00D329E8"/>
    <w:rsid w:val="00D34381"/>
    <w:rsid w:val="00D343B6"/>
    <w:rsid w:val="00D37A53"/>
    <w:rsid w:val="00D41835"/>
    <w:rsid w:val="00D41FBF"/>
    <w:rsid w:val="00D431DA"/>
    <w:rsid w:val="00D442AD"/>
    <w:rsid w:val="00D45623"/>
    <w:rsid w:val="00D469F4"/>
    <w:rsid w:val="00D51BCB"/>
    <w:rsid w:val="00D531DB"/>
    <w:rsid w:val="00D546CD"/>
    <w:rsid w:val="00D54ADA"/>
    <w:rsid w:val="00D54D16"/>
    <w:rsid w:val="00D55B36"/>
    <w:rsid w:val="00D5618A"/>
    <w:rsid w:val="00D5784B"/>
    <w:rsid w:val="00D60275"/>
    <w:rsid w:val="00D626E0"/>
    <w:rsid w:val="00D63EFB"/>
    <w:rsid w:val="00D63F7E"/>
    <w:rsid w:val="00D6429D"/>
    <w:rsid w:val="00D658AF"/>
    <w:rsid w:val="00D661F6"/>
    <w:rsid w:val="00D70A79"/>
    <w:rsid w:val="00D72DFF"/>
    <w:rsid w:val="00D733C4"/>
    <w:rsid w:val="00D74002"/>
    <w:rsid w:val="00D755DF"/>
    <w:rsid w:val="00D75B5B"/>
    <w:rsid w:val="00D7672E"/>
    <w:rsid w:val="00D8054C"/>
    <w:rsid w:val="00D83DE9"/>
    <w:rsid w:val="00D83E44"/>
    <w:rsid w:val="00D84484"/>
    <w:rsid w:val="00D8450D"/>
    <w:rsid w:val="00D91423"/>
    <w:rsid w:val="00D91D4C"/>
    <w:rsid w:val="00D91F28"/>
    <w:rsid w:val="00D92587"/>
    <w:rsid w:val="00D93D57"/>
    <w:rsid w:val="00D94ADF"/>
    <w:rsid w:val="00D95AF9"/>
    <w:rsid w:val="00D961A9"/>
    <w:rsid w:val="00D96319"/>
    <w:rsid w:val="00D963CF"/>
    <w:rsid w:val="00D97648"/>
    <w:rsid w:val="00DA09C9"/>
    <w:rsid w:val="00DA1822"/>
    <w:rsid w:val="00DA1A4F"/>
    <w:rsid w:val="00DA23F9"/>
    <w:rsid w:val="00DA2C7E"/>
    <w:rsid w:val="00DA43B8"/>
    <w:rsid w:val="00DA5B7E"/>
    <w:rsid w:val="00DA6699"/>
    <w:rsid w:val="00DA7C90"/>
    <w:rsid w:val="00DA7CEB"/>
    <w:rsid w:val="00DB0CC5"/>
    <w:rsid w:val="00DB1833"/>
    <w:rsid w:val="00DB1B7C"/>
    <w:rsid w:val="00DB3CD0"/>
    <w:rsid w:val="00DB5E1F"/>
    <w:rsid w:val="00DB6916"/>
    <w:rsid w:val="00DB6DBE"/>
    <w:rsid w:val="00DC19D8"/>
    <w:rsid w:val="00DC1F99"/>
    <w:rsid w:val="00DC2286"/>
    <w:rsid w:val="00DC2613"/>
    <w:rsid w:val="00DC2EEA"/>
    <w:rsid w:val="00DC3228"/>
    <w:rsid w:val="00DC3D87"/>
    <w:rsid w:val="00DC4512"/>
    <w:rsid w:val="00DC768C"/>
    <w:rsid w:val="00DC7FCF"/>
    <w:rsid w:val="00DD1B34"/>
    <w:rsid w:val="00DD3691"/>
    <w:rsid w:val="00DD4B55"/>
    <w:rsid w:val="00DD6042"/>
    <w:rsid w:val="00DD74F9"/>
    <w:rsid w:val="00DD75B4"/>
    <w:rsid w:val="00DE073B"/>
    <w:rsid w:val="00DE1E90"/>
    <w:rsid w:val="00DE24E6"/>
    <w:rsid w:val="00DE2F98"/>
    <w:rsid w:val="00DE44AA"/>
    <w:rsid w:val="00DE4957"/>
    <w:rsid w:val="00DE5C8A"/>
    <w:rsid w:val="00DE7C18"/>
    <w:rsid w:val="00DF07AD"/>
    <w:rsid w:val="00DF0ABF"/>
    <w:rsid w:val="00DF0D4F"/>
    <w:rsid w:val="00DF3364"/>
    <w:rsid w:val="00DF3765"/>
    <w:rsid w:val="00DF445B"/>
    <w:rsid w:val="00DF4480"/>
    <w:rsid w:val="00E010C9"/>
    <w:rsid w:val="00E0491A"/>
    <w:rsid w:val="00E04AA3"/>
    <w:rsid w:val="00E04C8F"/>
    <w:rsid w:val="00E055BB"/>
    <w:rsid w:val="00E06889"/>
    <w:rsid w:val="00E11988"/>
    <w:rsid w:val="00E14640"/>
    <w:rsid w:val="00E14D41"/>
    <w:rsid w:val="00E151CD"/>
    <w:rsid w:val="00E15DA9"/>
    <w:rsid w:val="00E17645"/>
    <w:rsid w:val="00E2095D"/>
    <w:rsid w:val="00E235C8"/>
    <w:rsid w:val="00E262A0"/>
    <w:rsid w:val="00E30414"/>
    <w:rsid w:val="00E30F62"/>
    <w:rsid w:val="00E31833"/>
    <w:rsid w:val="00E32AD2"/>
    <w:rsid w:val="00E33755"/>
    <w:rsid w:val="00E34003"/>
    <w:rsid w:val="00E3547B"/>
    <w:rsid w:val="00E40769"/>
    <w:rsid w:val="00E41775"/>
    <w:rsid w:val="00E41EB8"/>
    <w:rsid w:val="00E42CA6"/>
    <w:rsid w:val="00E42E8B"/>
    <w:rsid w:val="00E45B55"/>
    <w:rsid w:val="00E46CF8"/>
    <w:rsid w:val="00E473E8"/>
    <w:rsid w:val="00E535F8"/>
    <w:rsid w:val="00E55A3E"/>
    <w:rsid w:val="00E5759B"/>
    <w:rsid w:val="00E57DA0"/>
    <w:rsid w:val="00E60F12"/>
    <w:rsid w:val="00E652FB"/>
    <w:rsid w:val="00E65B76"/>
    <w:rsid w:val="00E66C20"/>
    <w:rsid w:val="00E66D6A"/>
    <w:rsid w:val="00E6750E"/>
    <w:rsid w:val="00E71C46"/>
    <w:rsid w:val="00E71CC1"/>
    <w:rsid w:val="00E71DDE"/>
    <w:rsid w:val="00E731B7"/>
    <w:rsid w:val="00E75ED2"/>
    <w:rsid w:val="00E761B0"/>
    <w:rsid w:val="00E81897"/>
    <w:rsid w:val="00E8280C"/>
    <w:rsid w:val="00E82A43"/>
    <w:rsid w:val="00E831E2"/>
    <w:rsid w:val="00E83419"/>
    <w:rsid w:val="00E8376A"/>
    <w:rsid w:val="00E83E4C"/>
    <w:rsid w:val="00E856D9"/>
    <w:rsid w:val="00E91933"/>
    <w:rsid w:val="00E92767"/>
    <w:rsid w:val="00E92A81"/>
    <w:rsid w:val="00E92AB7"/>
    <w:rsid w:val="00E931AF"/>
    <w:rsid w:val="00E93800"/>
    <w:rsid w:val="00E93BED"/>
    <w:rsid w:val="00E93DB5"/>
    <w:rsid w:val="00E9516F"/>
    <w:rsid w:val="00E96563"/>
    <w:rsid w:val="00E969B1"/>
    <w:rsid w:val="00EA087C"/>
    <w:rsid w:val="00EA4688"/>
    <w:rsid w:val="00EA5A24"/>
    <w:rsid w:val="00EA6AAA"/>
    <w:rsid w:val="00EB2E7E"/>
    <w:rsid w:val="00EB33C4"/>
    <w:rsid w:val="00EB6552"/>
    <w:rsid w:val="00EC0964"/>
    <w:rsid w:val="00EC0A4B"/>
    <w:rsid w:val="00EC1074"/>
    <w:rsid w:val="00EC18E6"/>
    <w:rsid w:val="00EC1984"/>
    <w:rsid w:val="00EC1D95"/>
    <w:rsid w:val="00EC234C"/>
    <w:rsid w:val="00EC24E5"/>
    <w:rsid w:val="00EC7F7F"/>
    <w:rsid w:val="00ED0ACE"/>
    <w:rsid w:val="00ED23C8"/>
    <w:rsid w:val="00ED3529"/>
    <w:rsid w:val="00ED45DD"/>
    <w:rsid w:val="00ED4B90"/>
    <w:rsid w:val="00ED4D17"/>
    <w:rsid w:val="00ED6F1C"/>
    <w:rsid w:val="00EE1038"/>
    <w:rsid w:val="00EE48E7"/>
    <w:rsid w:val="00EE4D4E"/>
    <w:rsid w:val="00EE53FE"/>
    <w:rsid w:val="00EE54A8"/>
    <w:rsid w:val="00EE6CD3"/>
    <w:rsid w:val="00EF0493"/>
    <w:rsid w:val="00EF20D7"/>
    <w:rsid w:val="00EF29D7"/>
    <w:rsid w:val="00EF3419"/>
    <w:rsid w:val="00EF4B01"/>
    <w:rsid w:val="00EF4B43"/>
    <w:rsid w:val="00EF4FA7"/>
    <w:rsid w:val="00EF582D"/>
    <w:rsid w:val="00F0119C"/>
    <w:rsid w:val="00F0187F"/>
    <w:rsid w:val="00F02BDB"/>
    <w:rsid w:val="00F040D7"/>
    <w:rsid w:val="00F0441B"/>
    <w:rsid w:val="00F0581A"/>
    <w:rsid w:val="00F061B9"/>
    <w:rsid w:val="00F07623"/>
    <w:rsid w:val="00F07D0B"/>
    <w:rsid w:val="00F12B03"/>
    <w:rsid w:val="00F12DB1"/>
    <w:rsid w:val="00F133E9"/>
    <w:rsid w:val="00F157D2"/>
    <w:rsid w:val="00F157DF"/>
    <w:rsid w:val="00F2073E"/>
    <w:rsid w:val="00F2140B"/>
    <w:rsid w:val="00F21EDA"/>
    <w:rsid w:val="00F225C8"/>
    <w:rsid w:val="00F246DA"/>
    <w:rsid w:val="00F24896"/>
    <w:rsid w:val="00F25B96"/>
    <w:rsid w:val="00F262AA"/>
    <w:rsid w:val="00F3136B"/>
    <w:rsid w:val="00F314F1"/>
    <w:rsid w:val="00F327EA"/>
    <w:rsid w:val="00F32D6F"/>
    <w:rsid w:val="00F33641"/>
    <w:rsid w:val="00F35DA4"/>
    <w:rsid w:val="00F36201"/>
    <w:rsid w:val="00F366F5"/>
    <w:rsid w:val="00F402E0"/>
    <w:rsid w:val="00F408E9"/>
    <w:rsid w:val="00F42842"/>
    <w:rsid w:val="00F4341A"/>
    <w:rsid w:val="00F43EE0"/>
    <w:rsid w:val="00F43FB3"/>
    <w:rsid w:val="00F45CE9"/>
    <w:rsid w:val="00F46E40"/>
    <w:rsid w:val="00F4740E"/>
    <w:rsid w:val="00F4743E"/>
    <w:rsid w:val="00F4760A"/>
    <w:rsid w:val="00F47685"/>
    <w:rsid w:val="00F529FE"/>
    <w:rsid w:val="00F52B8E"/>
    <w:rsid w:val="00F53533"/>
    <w:rsid w:val="00F53635"/>
    <w:rsid w:val="00F53CFD"/>
    <w:rsid w:val="00F54AF5"/>
    <w:rsid w:val="00F557E3"/>
    <w:rsid w:val="00F558C0"/>
    <w:rsid w:val="00F562AD"/>
    <w:rsid w:val="00F6033E"/>
    <w:rsid w:val="00F61E78"/>
    <w:rsid w:val="00F62161"/>
    <w:rsid w:val="00F62C62"/>
    <w:rsid w:val="00F635C5"/>
    <w:rsid w:val="00F64F2B"/>
    <w:rsid w:val="00F66AF5"/>
    <w:rsid w:val="00F67A71"/>
    <w:rsid w:val="00F736E3"/>
    <w:rsid w:val="00F73F30"/>
    <w:rsid w:val="00F75D84"/>
    <w:rsid w:val="00F767E8"/>
    <w:rsid w:val="00F81352"/>
    <w:rsid w:val="00F83286"/>
    <w:rsid w:val="00F86A3F"/>
    <w:rsid w:val="00F875D4"/>
    <w:rsid w:val="00F87920"/>
    <w:rsid w:val="00F91297"/>
    <w:rsid w:val="00F9133B"/>
    <w:rsid w:val="00F93957"/>
    <w:rsid w:val="00F93BA1"/>
    <w:rsid w:val="00F94514"/>
    <w:rsid w:val="00F97730"/>
    <w:rsid w:val="00F97A12"/>
    <w:rsid w:val="00F97F6A"/>
    <w:rsid w:val="00FA0755"/>
    <w:rsid w:val="00FA1208"/>
    <w:rsid w:val="00FA2221"/>
    <w:rsid w:val="00FB25CC"/>
    <w:rsid w:val="00FB32A4"/>
    <w:rsid w:val="00FB3420"/>
    <w:rsid w:val="00FB35BF"/>
    <w:rsid w:val="00FB3CA0"/>
    <w:rsid w:val="00FB3DE8"/>
    <w:rsid w:val="00FB43D8"/>
    <w:rsid w:val="00FB4855"/>
    <w:rsid w:val="00FB594D"/>
    <w:rsid w:val="00FB649B"/>
    <w:rsid w:val="00FB7679"/>
    <w:rsid w:val="00FB7ED3"/>
    <w:rsid w:val="00FC1962"/>
    <w:rsid w:val="00FC2ACB"/>
    <w:rsid w:val="00FC2F79"/>
    <w:rsid w:val="00FC49BB"/>
    <w:rsid w:val="00FD0277"/>
    <w:rsid w:val="00FD12F6"/>
    <w:rsid w:val="00FD17DD"/>
    <w:rsid w:val="00FD4362"/>
    <w:rsid w:val="00FD5B3C"/>
    <w:rsid w:val="00FD5F55"/>
    <w:rsid w:val="00FD616B"/>
    <w:rsid w:val="00FE00CC"/>
    <w:rsid w:val="00FE1517"/>
    <w:rsid w:val="00FE367F"/>
    <w:rsid w:val="00FE48EB"/>
    <w:rsid w:val="00FE4979"/>
    <w:rsid w:val="00FE6EA6"/>
    <w:rsid w:val="00FF1480"/>
    <w:rsid w:val="00FF2701"/>
    <w:rsid w:val="00FF29DC"/>
    <w:rsid w:val="00FF3693"/>
    <w:rsid w:val="00FF4FDC"/>
    <w:rsid w:val="00FF6734"/>
    <w:rsid w:val="00FF687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BB201E"/>
  <w15:docId w15:val="{F80D9092-1DE6-47AE-88B2-57A5166E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8"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08A9"/>
    <w:rPr>
      <w:rFonts w:ascii="Cambria" w:hAnsi="Cambria"/>
      <w:lang w:eastAsia="en-US"/>
    </w:rPr>
  </w:style>
  <w:style w:type="paragraph" w:styleId="Heading1">
    <w:name w:val="heading 1"/>
    <w:next w:val="WOVGbody"/>
    <w:link w:val="Heading1Char"/>
    <w:uiPriority w:val="1"/>
    <w:qFormat/>
    <w:rsid w:val="00832F3B"/>
    <w:pPr>
      <w:keepNext/>
      <w:keepLines/>
      <w:numPr>
        <w:numId w:val="52"/>
      </w:numPr>
      <w:spacing w:before="520" w:after="440" w:line="440" w:lineRule="atLeast"/>
      <w:outlineLvl w:val="0"/>
    </w:pPr>
    <w:rPr>
      <w:rFonts w:ascii="Arial" w:hAnsi="Arial"/>
      <w:bCs/>
      <w:color w:val="53565A" w:themeColor="accent1"/>
      <w:sz w:val="44"/>
      <w:szCs w:val="44"/>
      <w:lang w:eastAsia="en-US"/>
    </w:rPr>
  </w:style>
  <w:style w:type="paragraph" w:styleId="Heading2">
    <w:name w:val="heading 2"/>
    <w:next w:val="WOVGbody"/>
    <w:link w:val="Heading2Char"/>
    <w:uiPriority w:val="1"/>
    <w:qFormat/>
    <w:rsid w:val="00DD6042"/>
    <w:pPr>
      <w:keepNext/>
      <w:keepLines/>
      <w:spacing w:before="240" w:after="90" w:line="320" w:lineRule="atLeast"/>
      <w:outlineLvl w:val="1"/>
    </w:pPr>
    <w:rPr>
      <w:rFonts w:ascii="Arial" w:hAnsi="Arial"/>
      <w:b/>
      <w:color w:val="00848F" w:themeColor="accent2"/>
      <w:sz w:val="28"/>
      <w:szCs w:val="28"/>
      <w:lang w:eastAsia="en-US"/>
    </w:rPr>
  </w:style>
  <w:style w:type="paragraph" w:styleId="Heading3">
    <w:name w:val="heading 3"/>
    <w:next w:val="WOVGbody"/>
    <w:link w:val="Heading3Char"/>
    <w:uiPriority w:val="1"/>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WOVGbody"/>
    <w:link w:val="Heading4Char"/>
    <w:uiPriority w:val="1"/>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next w:val="WOVGbody"/>
    <w:link w:val="Heading5Char"/>
    <w:uiPriority w:val="9"/>
    <w:qFormat/>
    <w:rsid w:val="005B7D22"/>
    <w:pPr>
      <w:keepNext/>
      <w:keepLines/>
      <w:suppressAutoHyphens/>
      <w:spacing w:before="240" w:after="120" w:line="240" w:lineRule="atLeast"/>
      <w:outlineLvl w:val="4"/>
    </w:pPr>
    <w:rPr>
      <w:rFonts w:ascii="Arial" w:eastAsia="MS Mincho" w:hAnsi="Arial"/>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32F3B"/>
    <w:rPr>
      <w:rFonts w:ascii="Arial" w:hAnsi="Arial"/>
      <w:bCs/>
      <w:color w:val="53565A" w:themeColor="accent1"/>
      <w:sz w:val="44"/>
      <w:szCs w:val="44"/>
      <w:lang w:eastAsia="en-US"/>
    </w:rPr>
  </w:style>
  <w:style w:type="character" w:customStyle="1" w:styleId="Heading2Char">
    <w:name w:val="Heading 2 Char"/>
    <w:link w:val="Heading2"/>
    <w:uiPriority w:val="1"/>
    <w:rsid w:val="00DD6042"/>
    <w:rPr>
      <w:rFonts w:ascii="Arial" w:hAnsi="Arial"/>
      <w:b/>
      <w:color w:val="00848F" w:themeColor="accent2"/>
      <w:sz w:val="28"/>
      <w:szCs w:val="28"/>
      <w:lang w:eastAsia="en-US"/>
    </w:rPr>
  </w:style>
  <w:style w:type="character" w:customStyle="1" w:styleId="Heading3Char">
    <w:name w:val="Heading 3 Char"/>
    <w:link w:val="Heading3"/>
    <w:uiPriority w:val="1"/>
    <w:rsid w:val="00FB594D"/>
    <w:rPr>
      <w:rFonts w:ascii="Arial" w:eastAsia="MS Gothic" w:hAnsi="Arial" w:cs="Times New Roman"/>
      <w:b/>
      <w:bCs/>
      <w:sz w:val="24"/>
      <w:szCs w:val="26"/>
    </w:rPr>
  </w:style>
  <w:style w:type="character" w:customStyle="1" w:styleId="Heading4Char">
    <w:name w:val="Heading 4 Char"/>
    <w:link w:val="Heading4"/>
    <w:uiPriority w:val="1"/>
    <w:rsid w:val="00EE6CD3"/>
    <w:rPr>
      <w:rFonts w:ascii="Arial" w:eastAsia="MS Mincho" w:hAnsi="Arial" w:cs="Times New Roman"/>
      <w:b/>
      <w:bCs/>
    </w:rPr>
  </w:style>
  <w:style w:type="paragraph" w:styleId="Header">
    <w:name w:val="header"/>
    <w:basedOn w:val="WOVGheader"/>
    <w:link w:val="HeaderChar"/>
    <w:uiPriority w:val="99"/>
    <w:rsid w:val="004E380D"/>
  </w:style>
  <w:style w:type="paragraph" w:styleId="Footer">
    <w:name w:val="footer"/>
    <w:basedOn w:val="WOVGfooter"/>
    <w:link w:val="FooterChar"/>
    <w:uiPriority w:val="98"/>
    <w:rsid w:val="0031753A"/>
  </w:style>
  <w:style w:type="character" w:styleId="FollowedHyperlink">
    <w:name w:val="FollowedHyperlink"/>
    <w:uiPriority w:val="99"/>
    <w:rsid w:val="007F6862"/>
    <w:rPr>
      <w:color w:val="87189D"/>
      <w:u w:val="dotted"/>
    </w:rPr>
  </w:style>
  <w:style w:type="paragraph" w:customStyle="1" w:styleId="WOVGtabletext6pt">
    <w:name w:val="WOVG table text + 6pt"/>
    <w:basedOn w:val="WOVG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uiPriority w:val="39"/>
    <w:rsid w:val="001E390E"/>
    <w:rPr>
      <w:rFonts w:ascii="Arial" w:hAnsi="Arial"/>
    </w:rPr>
    <w:tblPr>
      <w:tblInd w:w="108" w:type="dxa"/>
      <w:tblBorders>
        <w:top w:val="single" w:sz="4" w:space="0" w:color="53565A" w:themeColor="accent1"/>
        <w:left w:val="single" w:sz="4" w:space="0" w:color="53565A" w:themeColor="accent1"/>
        <w:bottom w:val="single" w:sz="4" w:space="0" w:color="53565A" w:themeColor="accent1"/>
        <w:right w:val="single" w:sz="4" w:space="0" w:color="53565A" w:themeColor="accent1"/>
        <w:insideH w:val="single" w:sz="4" w:space="0" w:color="53565A" w:themeColor="accent1"/>
        <w:insideV w:val="single" w:sz="4" w:space="0" w:color="53565A" w:themeColor="accent1"/>
      </w:tblBorders>
    </w:tblPr>
    <w:tcPr>
      <w:shd w:val="clear" w:color="auto" w:fill="F1F1F1"/>
    </w:tcPr>
    <w:tblStylePr w:type="firstRow">
      <w:rPr>
        <w:color w:val="00848F" w:themeColor="accent2"/>
      </w:rPr>
      <w:tblPr/>
      <w:tcPr>
        <w:tcBorders>
          <w:insideV w:val="single" w:sz="4" w:space="0" w:color="FFFFFF" w:themeColor="background1"/>
        </w:tcBorders>
        <w:shd w:val="clear" w:color="auto" w:fill="53565A" w:themeFill="accent1"/>
      </w:tcPr>
    </w:tblStylePr>
    <w:tblStylePr w:type="firstCol">
      <w:tblPr/>
      <w:tcPr>
        <w:shd w:val="clear" w:color="auto" w:fill="DDDDDE"/>
      </w:tcPr>
    </w:tblStylePr>
  </w:style>
  <w:style w:type="character" w:styleId="PageNumber">
    <w:name w:val="page number"/>
    <w:basedOn w:val="DefaultParagraphFont"/>
    <w:semiHidden/>
    <w:rsid w:val="00DA7946"/>
  </w:style>
  <w:style w:type="paragraph" w:customStyle="1" w:styleId="WOVGreportsubtitle">
    <w:name w:val="WOVG report subtitle"/>
    <w:basedOn w:val="Normal"/>
    <w:uiPriority w:val="4"/>
    <w:rsid w:val="00EA6AAA"/>
    <w:pPr>
      <w:spacing w:after="120" w:line="380" w:lineRule="atLeast"/>
    </w:pPr>
    <w:rPr>
      <w:rFonts w:ascii="Arial" w:hAnsi="Arial"/>
      <w:color w:val="00848F" w:themeColor="accent2"/>
      <w:sz w:val="30"/>
      <w:szCs w:val="30"/>
    </w:rPr>
  </w:style>
  <w:style w:type="character" w:styleId="FootnoteReference">
    <w:name w:val="footnote reference"/>
    <w:aliases w:val="NO,Footnotes refss,Footnote number,Footnote"/>
    <w:uiPriority w:val="99"/>
    <w:rsid w:val="00D869F2"/>
    <w:rPr>
      <w:vertAlign w:val="superscript"/>
    </w:rPr>
  </w:style>
  <w:style w:type="paragraph" w:customStyle="1" w:styleId="WOVGreportmaintitle">
    <w:name w:val="WOVG report main title"/>
    <w:uiPriority w:val="4"/>
    <w:rsid w:val="00832F3B"/>
    <w:pPr>
      <w:keepLines/>
      <w:spacing w:after="240" w:line="580" w:lineRule="atLeast"/>
    </w:pPr>
    <w:rPr>
      <w:rFonts w:ascii="Arial" w:hAnsi="Arial"/>
      <w:color w:val="53565A" w:themeColor="accent1"/>
      <w:sz w:val="50"/>
      <w:szCs w:val="24"/>
      <w:lang w:eastAsia="en-US"/>
    </w:rPr>
  </w:style>
  <w:style w:type="paragraph" w:styleId="FootnoteText">
    <w:name w:val="footnote text"/>
    <w:aliases w:val="Footnote Text Char1 Char,Footnote Text Char Char1 Char,Footnote Text Char Char Char Char Char1,Footnote Text Char Char Char,Footnote Text Char Char Char Char,Footnote Text Char Char"/>
    <w:basedOn w:val="Normal"/>
    <w:link w:val="FootnoteTextChar"/>
    <w:uiPriority w:val="99"/>
    <w:qFormat/>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semiHidden/>
    <w:rsid w:val="00862D33"/>
    <w:pPr>
      <w:ind w:left="800"/>
    </w:pPr>
  </w:style>
  <w:style w:type="paragraph" w:styleId="TOC6">
    <w:name w:val="toc 6"/>
    <w:basedOn w:val="Normal"/>
    <w:next w:val="Normal"/>
    <w:autoRedefine/>
    <w:semiHidden/>
    <w:rsid w:val="00862D33"/>
    <w:pPr>
      <w:ind w:left="1000"/>
    </w:pPr>
  </w:style>
  <w:style w:type="paragraph" w:styleId="TOC7">
    <w:name w:val="toc 7"/>
    <w:basedOn w:val="Normal"/>
    <w:next w:val="Normal"/>
    <w:autoRedefine/>
    <w:semiHidden/>
    <w:rsid w:val="00862D33"/>
    <w:pPr>
      <w:ind w:left="1200"/>
    </w:pPr>
  </w:style>
  <w:style w:type="paragraph" w:styleId="TOC8">
    <w:name w:val="toc 8"/>
    <w:basedOn w:val="Normal"/>
    <w:next w:val="Normal"/>
    <w:autoRedefine/>
    <w:semiHidden/>
    <w:rsid w:val="00862D33"/>
    <w:pPr>
      <w:ind w:left="1400"/>
    </w:pPr>
  </w:style>
  <w:style w:type="paragraph" w:styleId="TOC9">
    <w:name w:val="toc 9"/>
    <w:basedOn w:val="Normal"/>
    <w:next w:val="Normal"/>
    <w:autoRedefine/>
    <w:semiHidden/>
    <w:rsid w:val="00862D33"/>
    <w:pPr>
      <w:ind w:left="1600"/>
    </w:pPr>
  </w:style>
  <w:style w:type="paragraph" w:customStyle="1" w:styleId="WOVGreportmaintitlewhite">
    <w:name w:val="WOVG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WOVGreportsubtitlewhite">
    <w:name w:val="WOVG report subtitle white"/>
    <w:uiPriority w:val="4"/>
    <w:rsid w:val="00E91933"/>
    <w:pPr>
      <w:spacing w:after="120" w:line="380" w:lineRule="atLeast"/>
    </w:pPr>
    <w:rPr>
      <w:rFonts w:ascii="Arial" w:hAnsi="Arial"/>
      <w:bCs/>
      <w:color w:val="FFFFFF"/>
      <w:sz w:val="30"/>
      <w:szCs w:val="30"/>
      <w:lang w:eastAsia="en-US"/>
    </w:rPr>
  </w:style>
  <w:style w:type="character" w:customStyle="1" w:styleId="Heading5Char">
    <w:name w:val="Heading 5 Char"/>
    <w:link w:val="Heading5"/>
    <w:uiPriority w:val="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7F6862"/>
    <w:rPr>
      <w:color w:val="0072CE"/>
      <w:u w:val="dotted"/>
    </w:rPr>
  </w:style>
  <w:style w:type="paragraph" w:customStyle="1" w:styleId="WOVGbody">
    <w:name w:val="WOVG body"/>
    <w:qFormat/>
    <w:rsid w:val="00E30414"/>
    <w:pPr>
      <w:spacing w:after="120" w:line="270" w:lineRule="atLeast"/>
    </w:pPr>
    <w:rPr>
      <w:rFonts w:ascii="Arial" w:eastAsia="Times" w:hAnsi="Arial"/>
      <w:lang w:eastAsia="en-US"/>
    </w:rPr>
  </w:style>
  <w:style w:type="paragraph" w:customStyle="1" w:styleId="WOVGbullet1">
    <w:name w:val="WOVG bullet 1"/>
    <w:basedOn w:val="WOVGbody"/>
    <w:qFormat/>
    <w:rsid w:val="007F5858"/>
    <w:pPr>
      <w:numPr>
        <w:numId w:val="29"/>
      </w:numPr>
      <w:spacing w:after="40"/>
    </w:pPr>
  </w:style>
  <w:style w:type="paragraph" w:customStyle="1" w:styleId="WOVGnumberloweralpha">
    <w:name w:val="WOVG number lower alpha"/>
    <w:basedOn w:val="WOVGbody"/>
    <w:uiPriority w:val="3"/>
    <w:rsid w:val="008669BE"/>
    <w:pPr>
      <w:numPr>
        <w:numId w:val="4"/>
      </w:numPr>
    </w:pPr>
  </w:style>
  <w:style w:type="paragraph" w:customStyle="1" w:styleId="WOVGnumberloweralphaindent">
    <w:name w:val="WOVG number lower alpha indent"/>
    <w:basedOn w:val="WOVGbody"/>
    <w:uiPriority w:val="3"/>
    <w:rsid w:val="008669BE"/>
    <w:pPr>
      <w:numPr>
        <w:ilvl w:val="1"/>
        <w:numId w:val="9"/>
      </w:numPr>
    </w:pPr>
  </w:style>
  <w:style w:type="paragraph" w:customStyle="1" w:styleId="WOVGtablefigurenote">
    <w:name w:val="WOVG table/figure note"/>
    <w:uiPriority w:val="4"/>
    <w:rsid w:val="008A5B97"/>
    <w:pPr>
      <w:spacing w:before="60" w:after="60" w:line="240" w:lineRule="exact"/>
    </w:pPr>
    <w:rPr>
      <w:rFonts w:ascii="Arial" w:hAnsi="Arial"/>
      <w:sz w:val="18"/>
      <w:lang w:eastAsia="en-US"/>
    </w:rPr>
  </w:style>
  <w:style w:type="paragraph" w:customStyle="1" w:styleId="WOVGtabletext">
    <w:name w:val="WOVG table text"/>
    <w:uiPriority w:val="3"/>
    <w:qFormat/>
    <w:rsid w:val="00E30414"/>
    <w:pPr>
      <w:spacing w:before="80" w:after="60"/>
    </w:pPr>
    <w:rPr>
      <w:rFonts w:ascii="Arial" w:hAnsi="Arial"/>
      <w:lang w:eastAsia="en-US"/>
    </w:rPr>
  </w:style>
  <w:style w:type="paragraph" w:customStyle="1" w:styleId="WOVGtablecaption">
    <w:name w:val="WOVG table caption"/>
    <w:next w:val="WOVGbody"/>
    <w:uiPriority w:val="3"/>
    <w:qFormat/>
    <w:rsid w:val="004E21E2"/>
    <w:pPr>
      <w:keepNext/>
      <w:keepLines/>
      <w:spacing w:before="240" w:after="120" w:line="240" w:lineRule="atLeast"/>
    </w:pPr>
    <w:rPr>
      <w:rFonts w:ascii="Arial" w:hAnsi="Arial"/>
      <w:b/>
      <w:lang w:eastAsia="en-US"/>
    </w:rPr>
  </w:style>
  <w:style w:type="paragraph" w:customStyle="1" w:styleId="WOVGfigurecaption">
    <w:name w:val="WOVG figure caption"/>
    <w:next w:val="WOVGbody"/>
    <w:rsid w:val="00E91933"/>
    <w:pPr>
      <w:keepNext/>
      <w:keepLines/>
      <w:spacing w:before="240" w:after="120"/>
    </w:pPr>
    <w:rPr>
      <w:rFonts w:ascii="Arial" w:hAnsi="Arial"/>
      <w:b/>
      <w:lang w:eastAsia="en-US"/>
    </w:rPr>
  </w:style>
  <w:style w:type="paragraph" w:customStyle="1" w:styleId="WOVGfooter">
    <w:name w:val="WOVG footer"/>
    <w:uiPriority w:val="11"/>
    <w:rsid w:val="00E969B1"/>
    <w:pPr>
      <w:tabs>
        <w:tab w:val="right" w:pos="9299"/>
      </w:tabs>
    </w:pPr>
    <w:rPr>
      <w:rFonts w:ascii="Arial" w:hAnsi="Arial" w:cs="Arial"/>
      <w:sz w:val="18"/>
      <w:szCs w:val="18"/>
      <w:lang w:eastAsia="en-US"/>
    </w:rPr>
  </w:style>
  <w:style w:type="paragraph" w:customStyle="1" w:styleId="WOVGbullet2">
    <w:name w:val="WOVG bullet 2"/>
    <w:basedOn w:val="WOVGbody"/>
    <w:uiPriority w:val="2"/>
    <w:qFormat/>
    <w:rsid w:val="007F5858"/>
    <w:pPr>
      <w:numPr>
        <w:ilvl w:val="1"/>
        <w:numId w:val="29"/>
      </w:numPr>
      <w:spacing w:after="40"/>
    </w:pPr>
  </w:style>
  <w:style w:type="paragraph" w:customStyle="1" w:styleId="WOVGheader">
    <w:name w:val="WOVG header"/>
    <w:basedOn w:val="WOVGfooter"/>
    <w:uiPriority w:val="11"/>
    <w:rsid w:val="00E969B1"/>
  </w:style>
  <w:style w:type="character" w:styleId="Strong">
    <w:name w:val="Strong"/>
    <w:uiPriority w:val="22"/>
    <w:qFormat/>
    <w:rsid w:val="00DC19D8"/>
    <w:rPr>
      <w:b/>
      <w:bCs/>
    </w:rPr>
  </w:style>
  <w:style w:type="paragraph" w:customStyle="1" w:styleId="WOVGnumberdigit">
    <w:name w:val="WOVG number digit"/>
    <w:basedOn w:val="WOVGbody"/>
    <w:uiPriority w:val="2"/>
    <w:rsid w:val="008669BE"/>
    <w:pPr>
      <w:numPr>
        <w:numId w:val="3"/>
      </w:numPr>
    </w:pPr>
  </w:style>
  <w:style w:type="paragraph" w:customStyle="1" w:styleId="WOVGtablecolhead">
    <w:name w:val="WOVG table col head"/>
    <w:uiPriority w:val="3"/>
    <w:qFormat/>
    <w:rsid w:val="00DD6042"/>
    <w:pPr>
      <w:spacing w:before="80" w:after="60"/>
    </w:pPr>
    <w:rPr>
      <w:rFonts w:ascii="Arial" w:hAnsi="Arial"/>
      <w:b/>
      <w:color w:val="FFFFFF" w:themeColor="background1"/>
      <w:lang w:eastAsia="en-US"/>
    </w:rPr>
  </w:style>
  <w:style w:type="paragraph" w:customStyle="1" w:styleId="WOVGbodyaftertablefigure">
    <w:name w:val="WOVG body after table/figure"/>
    <w:basedOn w:val="WOVGbody"/>
    <w:next w:val="WOVGbody"/>
    <w:rsid w:val="00876275"/>
    <w:pPr>
      <w:spacing w:before="240"/>
    </w:pPr>
  </w:style>
  <w:style w:type="paragraph" w:customStyle="1" w:styleId="WOVGTOCheadingreport">
    <w:name w:val="WOVG TOC heading report"/>
    <w:basedOn w:val="Heading1"/>
    <w:link w:val="WOVGTOCheadingreportChar"/>
    <w:uiPriority w:val="5"/>
    <w:rsid w:val="00DD6042"/>
    <w:pPr>
      <w:spacing w:before="0"/>
      <w:outlineLvl w:val="9"/>
    </w:pPr>
  </w:style>
  <w:style w:type="character" w:customStyle="1" w:styleId="WOVGTOCheadingreportChar">
    <w:name w:val="WOVG TOC heading report Char"/>
    <w:link w:val="WOVGTOCheadingreport"/>
    <w:uiPriority w:val="5"/>
    <w:rsid w:val="00DD6042"/>
    <w:rPr>
      <w:rFonts w:ascii="Arial" w:hAnsi="Arial"/>
      <w:bCs/>
      <w:color w:val="53565A" w:themeColor="accent1"/>
      <w:sz w:val="44"/>
      <w:szCs w:val="44"/>
      <w:lang w:eastAsia="en-US"/>
    </w:rPr>
  </w:style>
  <w:style w:type="paragraph" w:customStyle="1" w:styleId="WOVGaccessibilitypara">
    <w:name w:val="WOVG accessibility para"/>
    <w:uiPriority w:val="8"/>
    <w:rsid w:val="00B0300B"/>
    <w:pPr>
      <w:spacing w:after="300" w:line="300" w:lineRule="atLeast"/>
    </w:pPr>
    <w:rPr>
      <w:rFonts w:ascii="Arial" w:eastAsia="Times" w:hAnsi="Arial"/>
      <w:sz w:val="24"/>
      <w:szCs w:val="19"/>
      <w:lang w:eastAsia="en-US"/>
    </w:rPr>
  </w:style>
  <w:style w:type="paragraph" w:customStyle="1" w:styleId="WOVGbodynospace">
    <w:name w:val="WOVG body no space"/>
    <w:basedOn w:val="WOVGbody"/>
    <w:uiPriority w:val="3"/>
    <w:qFormat/>
    <w:rsid w:val="00CA6D4E"/>
    <w:pPr>
      <w:spacing w:after="0"/>
    </w:pPr>
  </w:style>
  <w:style w:type="paragraph" w:customStyle="1" w:styleId="WOVGquote">
    <w:name w:val="WOVG quote"/>
    <w:basedOn w:val="WOVGbody"/>
    <w:uiPriority w:val="4"/>
    <w:rsid w:val="00E75ED2"/>
    <w:pPr>
      <w:ind w:left="397"/>
    </w:pPr>
    <w:rPr>
      <w:szCs w:val="18"/>
    </w:rPr>
  </w:style>
  <w:style w:type="numbering" w:customStyle="1" w:styleId="ZZBullets">
    <w:name w:val="ZZ Bullets"/>
    <w:rsid w:val="007F5858"/>
    <w:pPr>
      <w:numPr>
        <w:numId w:val="1"/>
      </w:numPr>
    </w:pPr>
  </w:style>
  <w:style w:type="paragraph" w:customStyle="1" w:styleId="WOVGnumberlowerroman">
    <w:name w:val="WOVG number lower roman"/>
    <w:basedOn w:val="WOVGbody"/>
    <w:uiPriority w:val="3"/>
    <w:rsid w:val="008669BE"/>
    <w:pPr>
      <w:numPr>
        <w:numId w:val="5"/>
      </w:numPr>
    </w:pPr>
  </w:style>
  <w:style w:type="paragraph" w:customStyle="1" w:styleId="WOVGnumberlowerromanindent">
    <w:name w:val="WOVG number lower roman indent"/>
    <w:basedOn w:val="WOVGbody"/>
    <w:uiPriority w:val="3"/>
    <w:rsid w:val="008669BE"/>
    <w:pPr>
      <w:numPr>
        <w:ilvl w:val="1"/>
        <w:numId w:val="11"/>
      </w:numPr>
    </w:pPr>
  </w:style>
  <w:style w:type="paragraph" w:customStyle="1" w:styleId="WOVGnumberdigitindent">
    <w:name w:val="WOVG number digit indent"/>
    <w:basedOn w:val="WOVGnumberloweralphaindent"/>
    <w:uiPriority w:val="3"/>
    <w:rsid w:val="008669BE"/>
    <w:pPr>
      <w:numPr>
        <w:numId w:val="2"/>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customStyle="1" w:styleId="WOVGbodyafterbullets">
    <w:name w:val="WOVG body after bullets"/>
    <w:basedOn w:val="WOVGbody"/>
    <w:uiPriority w:val="11"/>
    <w:rsid w:val="008669BE"/>
    <w:pPr>
      <w:spacing w:before="120"/>
    </w:pPr>
  </w:style>
  <w:style w:type="paragraph" w:customStyle="1" w:styleId="WOVGbulletafternumbers1">
    <w:name w:val="WOVG bullet after numbers 1"/>
    <w:basedOn w:val="WOVGbody"/>
    <w:uiPriority w:val="4"/>
    <w:rsid w:val="008669BE"/>
    <w:pPr>
      <w:numPr>
        <w:ilvl w:val="2"/>
        <w:numId w:val="8"/>
      </w:numPr>
    </w:pPr>
  </w:style>
  <w:style w:type="paragraph" w:customStyle="1" w:styleId="WOVGbulletafternumbers2">
    <w:name w:val="WOVG bullet after numbers 2"/>
    <w:basedOn w:val="WOVGbody"/>
    <w:rsid w:val="008669BE"/>
    <w:pPr>
      <w:numPr>
        <w:ilvl w:val="3"/>
        <w:numId w:val="8"/>
      </w:numPr>
    </w:pPr>
  </w:style>
  <w:style w:type="paragraph" w:customStyle="1" w:styleId="WOVGquotebullet1">
    <w:name w:val="WOVG quote bullet 1"/>
    <w:basedOn w:val="WOVGquote"/>
    <w:rsid w:val="008669BE"/>
    <w:pPr>
      <w:numPr>
        <w:numId w:val="6"/>
      </w:numPr>
    </w:pPr>
  </w:style>
  <w:style w:type="paragraph" w:customStyle="1" w:styleId="WOVGquotebullet2">
    <w:name w:val="WOVG quote bullet 2"/>
    <w:basedOn w:val="WOVGquote"/>
    <w:rsid w:val="008669BE"/>
    <w:pPr>
      <w:numPr>
        <w:ilvl w:val="1"/>
        <w:numId w:val="10"/>
      </w:numPr>
    </w:pPr>
  </w:style>
  <w:style w:type="paragraph" w:customStyle="1" w:styleId="WOVGtablebullet1">
    <w:name w:val="WOVG table bullet 1"/>
    <w:basedOn w:val="WOVGtabletext"/>
    <w:uiPriority w:val="3"/>
    <w:qFormat/>
    <w:rsid w:val="008669BE"/>
    <w:pPr>
      <w:numPr>
        <w:numId w:val="7"/>
      </w:numPr>
    </w:pPr>
  </w:style>
  <w:style w:type="paragraph" w:customStyle="1" w:styleId="WOVGtablebullet2">
    <w:name w:val="WOVG table bullet 2"/>
    <w:basedOn w:val="WOVGtabletext"/>
    <w:uiPriority w:val="11"/>
    <w:rsid w:val="008669BE"/>
    <w:pPr>
      <w:numPr>
        <w:ilvl w:val="1"/>
        <w:numId w:val="12"/>
      </w:numPr>
    </w:pPr>
  </w:style>
  <w:style w:type="numbering" w:customStyle="1" w:styleId="ZZNumbersdigit">
    <w:name w:val="ZZ Numbers digit"/>
    <w:rsid w:val="008669BE"/>
    <w:pPr>
      <w:numPr>
        <w:numId w:val="2"/>
      </w:numPr>
    </w:pPr>
  </w:style>
  <w:style w:type="numbering" w:customStyle="1" w:styleId="ZZNumbersloweralpha">
    <w:name w:val="ZZ Numbers lower alpha"/>
    <w:basedOn w:val="NoList"/>
    <w:rsid w:val="008669BE"/>
    <w:pPr>
      <w:numPr>
        <w:numId w:val="4"/>
      </w:numPr>
    </w:pPr>
  </w:style>
  <w:style w:type="numbering" w:customStyle="1" w:styleId="ZZQuotebullets">
    <w:name w:val="ZZ Quote bullets"/>
    <w:basedOn w:val="ZZNumbersdigit"/>
    <w:rsid w:val="008669BE"/>
    <w:pPr>
      <w:numPr>
        <w:numId w:val="6"/>
      </w:numPr>
    </w:pPr>
  </w:style>
  <w:style w:type="numbering" w:customStyle="1" w:styleId="ZZNumberslowerroman">
    <w:name w:val="ZZ Numbers lower roman"/>
    <w:basedOn w:val="ZZQuotebullets"/>
    <w:rsid w:val="008669BE"/>
    <w:pPr>
      <w:numPr>
        <w:numId w:val="5"/>
      </w:numPr>
    </w:pPr>
  </w:style>
  <w:style w:type="numbering" w:customStyle="1" w:styleId="ZZTablebullets">
    <w:name w:val="ZZ Table bullets"/>
    <w:basedOn w:val="NoList"/>
    <w:rsid w:val="008669BE"/>
    <w:pPr>
      <w:numPr>
        <w:numId w:val="7"/>
      </w:numPr>
    </w:pPr>
  </w:style>
  <w:style w:type="paragraph" w:customStyle="1" w:styleId="WOVGtablecolsubhead">
    <w:name w:val="WOVG table col subhead"/>
    <w:basedOn w:val="WOVGtablecolhead"/>
    <w:rsid w:val="009B59F2"/>
    <w:rPr>
      <w:b w:val="0"/>
    </w:rPr>
  </w:style>
  <w:style w:type="paragraph" w:styleId="ListBullet">
    <w:name w:val="List Bullet"/>
    <w:basedOn w:val="Normal"/>
    <w:uiPriority w:val="3"/>
    <w:qFormat/>
    <w:rsid w:val="00FB7679"/>
    <w:pPr>
      <w:numPr>
        <w:numId w:val="13"/>
      </w:numPr>
      <w:spacing w:after="170" w:line="240" w:lineRule="atLeast"/>
      <w:contextualSpacing/>
    </w:pPr>
    <w:rPr>
      <w:rFonts w:ascii="Verdana" w:eastAsiaTheme="minorHAnsi" w:hAnsi="Verdana" w:cstheme="minorBidi"/>
      <w:sz w:val="18"/>
      <w:szCs w:val="17"/>
    </w:rPr>
  </w:style>
  <w:style w:type="character" w:customStyle="1" w:styleId="FootnoteTextChar">
    <w:name w:val="Footnote Text Char"/>
    <w:aliases w:val="Footnote Text Char1 Char Char,Footnote Text Char Char1 Char Char,Footnote Text Char Char Char Char Char1 Char,Footnote Text Char Char Char Char1,Footnote Text Char Char Char Char Char,Footnote Text Char Char Char1"/>
    <w:basedOn w:val="DefaultParagraphFont"/>
    <w:link w:val="FootnoteText"/>
    <w:uiPriority w:val="99"/>
    <w:rsid w:val="00FB7679"/>
    <w:rPr>
      <w:rFonts w:ascii="Arial" w:eastAsia="MS Gothic" w:hAnsi="Arial" w:cs="Arial"/>
      <w:sz w:val="16"/>
      <w:szCs w:val="16"/>
      <w:lang w:eastAsia="en-US"/>
    </w:rPr>
  </w:style>
  <w:style w:type="paragraph" w:customStyle="1" w:styleId="QuotesourceGreen">
    <w:name w:val="Quote source Green"/>
    <w:basedOn w:val="Normal"/>
    <w:next w:val="Normal"/>
    <w:uiPriority w:val="6"/>
    <w:rsid w:val="00FB7679"/>
    <w:pPr>
      <w:spacing w:line="200" w:lineRule="atLeast"/>
      <w:contextualSpacing/>
    </w:pPr>
    <w:rPr>
      <w:rFonts w:ascii="Verdana" w:eastAsiaTheme="minorHAnsi" w:hAnsi="Verdana" w:cstheme="minorBidi"/>
      <w:b/>
      <w:color w:val="53565A" w:themeColor="accent1"/>
      <w:sz w:val="17"/>
      <w:szCs w:val="18"/>
    </w:rPr>
  </w:style>
  <w:style w:type="paragraph" w:customStyle="1" w:styleId="Default">
    <w:name w:val="Default"/>
    <w:rsid w:val="00FB7679"/>
    <w:pPr>
      <w:autoSpaceDE w:val="0"/>
      <w:autoSpaceDN w:val="0"/>
      <w:adjustRightInd w:val="0"/>
    </w:pPr>
    <w:rPr>
      <w:rFonts w:ascii="Arial" w:eastAsiaTheme="minorHAnsi" w:hAnsi="Arial" w:cs="Arial"/>
      <w:color w:val="000000"/>
      <w:sz w:val="24"/>
      <w:szCs w:val="24"/>
      <w:lang w:eastAsia="en-US"/>
    </w:rPr>
  </w:style>
  <w:style w:type="character" w:customStyle="1" w:styleId="HeaderChar">
    <w:name w:val="Header Char"/>
    <w:basedOn w:val="DefaultParagraphFont"/>
    <w:link w:val="Header"/>
    <w:uiPriority w:val="99"/>
    <w:rsid w:val="00FB7679"/>
    <w:rPr>
      <w:rFonts w:ascii="Arial" w:hAnsi="Arial" w:cs="Arial"/>
      <w:sz w:val="18"/>
      <w:szCs w:val="18"/>
      <w:lang w:eastAsia="en-US"/>
    </w:rPr>
  </w:style>
  <w:style w:type="paragraph" w:customStyle="1" w:styleId="DHHSbody">
    <w:name w:val="DHHS body"/>
    <w:link w:val="DHHSbodyChar"/>
    <w:uiPriority w:val="99"/>
    <w:qFormat/>
    <w:rsid w:val="00FB7679"/>
    <w:pPr>
      <w:spacing w:after="120" w:line="270" w:lineRule="atLeast"/>
    </w:pPr>
    <w:rPr>
      <w:rFonts w:ascii="Arial" w:eastAsia="Times" w:hAnsi="Arial"/>
      <w:lang w:eastAsia="en-US"/>
    </w:rPr>
  </w:style>
  <w:style w:type="paragraph" w:customStyle="1" w:styleId="DHHSbullet1">
    <w:name w:val="DHHS bullet 1"/>
    <w:basedOn w:val="Normal"/>
    <w:qFormat/>
    <w:rsid w:val="00FB7679"/>
    <w:pPr>
      <w:numPr>
        <w:numId w:val="14"/>
      </w:numPr>
      <w:spacing w:before="120" w:after="40" w:line="270" w:lineRule="atLeast"/>
    </w:pPr>
    <w:rPr>
      <w:rFonts w:ascii="Arial" w:hAnsi="Arial"/>
    </w:rPr>
  </w:style>
  <w:style w:type="paragraph" w:customStyle="1" w:styleId="DHHSbullet1lastline">
    <w:name w:val="DHHS bullet 1 last line"/>
    <w:basedOn w:val="DHHSbullet1"/>
    <w:qFormat/>
    <w:rsid w:val="00FB7679"/>
    <w:pPr>
      <w:numPr>
        <w:ilvl w:val="1"/>
      </w:numPr>
      <w:spacing w:after="120"/>
    </w:pPr>
  </w:style>
  <w:style w:type="character" w:customStyle="1" w:styleId="DHHSbodyChar">
    <w:name w:val="DHHS body Char"/>
    <w:link w:val="DHHSbody"/>
    <w:uiPriority w:val="99"/>
    <w:rsid w:val="00FB7679"/>
    <w:rPr>
      <w:rFonts w:ascii="Arial" w:eastAsia="Times" w:hAnsi="Arial"/>
      <w:lang w:eastAsia="en-US"/>
    </w:rPr>
  </w:style>
  <w:style w:type="paragraph" w:styleId="Caption">
    <w:name w:val="caption"/>
    <w:basedOn w:val="Normal"/>
    <w:next w:val="Normal"/>
    <w:uiPriority w:val="35"/>
    <w:qFormat/>
    <w:rsid w:val="00B309AB"/>
    <w:pPr>
      <w:keepNext/>
      <w:keepLines/>
      <w:spacing w:before="240" w:after="240" w:line="240" w:lineRule="atLeast"/>
    </w:pPr>
    <w:rPr>
      <w:rFonts w:ascii="Verdana" w:eastAsiaTheme="minorHAnsi" w:hAnsi="Verdana" w:cstheme="minorBidi"/>
      <w:iCs/>
      <w:color w:val="E9BCA7" w:themeColor="accent6"/>
      <w:sz w:val="17"/>
      <w:szCs w:val="18"/>
    </w:rPr>
  </w:style>
  <w:style w:type="paragraph" w:customStyle="1" w:styleId="FSVbullet1">
    <w:name w:val="FSV bullet 1"/>
    <w:basedOn w:val="Normal"/>
    <w:qFormat/>
    <w:rsid w:val="00B309AB"/>
    <w:pPr>
      <w:spacing w:before="120" w:after="40" w:line="270" w:lineRule="atLeast"/>
      <w:ind w:left="284" w:hanging="284"/>
    </w:pPr>
    <w:rPr>
      <w:rFonts w:ascii="Arial" w:eastAsia="Times" w:hAnsi="Arial"/>
    </w:rPr>
  </w:style>
  <w:style w:type="paragraph" w:customStyle="1" w:styleId="FSVbullet2">
    <w:name w:val="FSV bullet 2"/>
    <w:basedOn w:val="Normal"/>
    <w:uiPriority w:val="2"/>
    <w:qFormat/>
    <w:rsid w:val="00B309AB"/>
    <w:pPr>
      <w:spacing w:before="120" w:after="40" w:line="270" w:lineRule="atLeast"/>
      <w:ind w:left="567" w:hanging="283"/>
    </w:pPr>
    <w:rPr>
      <w:rFonts w:ascii="Arial" w:eastAsia="Times" w:hAnsi="Arial"/>
    </w:rPr>
  </w:style>
  <w:style w:type="paragraph" w:styleId="ListBullet2">
    <w:name w:val="List Bullet 2"/>
    <w:basedOn w:val="Normal"/>
    <w:uiPriority w:val="99"/>
    <w:unhideWhenUsed/>
    <w:rsid w:val="00B309AB"/>
    <w:pPr>
      <w:numPr>
        <w:numId w:val="15"/>
      </w:numPr>
      <w:contextualSpacing/>
    </w:pPr>
  </w:style>
  <w:style w:type="paragraph" w:styleId="ListParagraph">
    <w:name w:val="List Paragraph"/>
    <w:aliases w:val="List Paragraph11,Bullet point,L,List Paragraph1,Recommendation,DDM Gen Text,List Paragraph - bullets,NFP GP Bulleted List,bullet point list,Bullet points,Content descriptions"/>
    <w:basedOn w:val="Normal"/>
    <w:link w:val="ListParagraphChar"/>
    <w:uiPriority w:val="34"/>
    <w:qFormat/>
    <w:rsid w:val="00B309AB"/>
    <w:pPr>
      <w:spacing w:after="170" w:line="240" w:lineRule="atLeast"/>
      <w:ind w:left="720"/>
      <w:contextualSpacing/>
    </w:pPr>
    <w:rPr>
      <w:rFonts w:ascii="Verdana" w:eastAsiaTheme="minorHAnsi" w:hAnsi="Verdana" w:cstheme="minorBidi"/>
      <w:sz w:val="18"/>
      <w:szCs w:val="18"/>
    </w:rPr>
  </w:style>
  <w:style w:type="character" w:customStyle="1" w:styleId="ListParagraphChar">
    <w:name w:val="List Paragraph Char"/>
    <w:aliases w:val="List Paragraph11 Char,Bullet point Char,L Char,List Paragraph1 Char,Recommendation Char,DDM Gen Text Char,List Paragraph - bullets Char,NFP GP Bulleted List Char,bullet point list Char,Bullet points Char,Content descriptions Char"/>
    <w:basedOn w:val="DefaultParagraphFont"/>
    <w:link w:val="ListParagraph"/>
    <w:uiPriority w:val="34"/>
    <w:locked/>
    <w:rsid w:val="00B309AB"/>
    <w:rPr>
      <w:rFonts w:ascii="Verdana" w:eastAsiaTheme="minorHAnsi" w:hAnsi="Verdana" w:cstheme="minorBidi"/>
      <w:sz w:val="18"/>
      <w:szCs w:val="18"/>
      <w:lang w:eastAsia="en-US"/>
    </w:rPr>
  </w:style>
  <w:style w:type="character" w:styleId="CommentReference">
    <w:name w:val="annotation reference"/>
    <w:basedOn w:val="DefaultParagraphFont"/>
    <w:uiPriority w:val="99"/>
    <w:semiHidden/>
    <w:unhideWhenUsed/>
    <w:rsid w:val="005D386C"/>
    <w:rPr>
      <w:sz w:val="16"/>
      <w:szCs w:val="16"/>
    </w:rPr>
  </w:style>
  <w:style w:type="paragraph" w:styleId="CommentText">
    <w:name w:val="annotation text"/>
    <w:basedOn w:val="Normal"/>
    <w:link w:val="CommentTextChar"/>
    <w:uiPriority w:val="99"/>
    <w:unhideWhenUsed/>
    <w:rsid w:val="005D386C"/>
  </w:style>
  <w:style w:type="character" w:customStyle="1" w:styleId="CommentTextChar">
    <w:name w:val="Comment Text Char"/>
    <w:basedOn w:val="DefaultParagraphFont"/>
    <w:link w:val="CommentText"/>
    <w:uiPriority w:val="99"/>
    <w:rsid w:val="005D386C"/>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D386C"/>
    <w:rPr>
      <w:b/>
      <w:bCs/>
    </w:rPr>
  </w:style>
  <w:style w:type="character" w:customStyle="1" w:styleId="CommentSubjectChar">
    <w:name w:val="Comment Subject Char"/>
    <w:basedOn w:val="CommentTextChar"/>
    <w:link w:val="CommentSubject"/>
    <w:uiPriority w:val="99"/>
    <w:semiHidden/>
    <w:rsid w:val="005D386C"/>
    <w:rPr>
      <w:rFonts w:ascii="Cambria" w:hAnsi="Cambria"/>
      <w:b/>
      <w:bCs/>
      <w:lang w:eastAsia="en-US"/>
    </w:rPr>
  </w:style>
  <w:style w:type="paragraph" w:styleId="BalloonText">
    <w:name w:val="Balloon Text"/>
    <w:basedOn w:val="Normal"/>
    <w:link w:val="BalloonTextChar"/>
    <w:uiPriority w:val="99"/>
    <w:semiHidden/>
    <w:unhideWhenUsed/>
    <w:rsid w:val="005D38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86C"/>
    <w:rPr>
      <w:rFonts w:ascii="Segoe UI" w:hAnsi="Segoe UI" w:cs="Segoe UI"/>
      <w:sz w:val="18"/>
      <w:szCs w:val="18"/>
      <w:lang w:eastAsia="en-US"/>
    </w:rPr>
  </w:style>
  <w:style w:type="paragraph" w:styleId="ListNumber">
    <w:name w:val="List Number"/>
    <w:basedOn w:val="Normal"/>
    <w:uiPriority w:val="99"/>
    <w:qFormat/>
    <w:rsid w:val="006E5157"/>
    <w:pPr>
      <w:numPr>
        <w:numId w:val="16"/>
      </w:numPr>
      <w:spacing w:line="240" w:lineRule="atLeast"/>
      <w:contextualSpacing/>
    </w:pPr>
    <w:rPr>
      <w:rFonts w:ascii="Verdana" w:eastAsiaTheme="minorHAnsi" w:hAnsi="Verdana" w:cstheme="minorBidi"/>
      <w:sz w:val="18"/>
      <w:szCs w:val="17"/>
    </w:rPr>
  </w:style>
  <w:style w:type="paragraph" w:styleId="ListNumber2">
    <w:name w:val="List Number 2"/>
    <w:basedOn w:val="Normal"/>
    <w:uiPriority w:val="99"/>
    <w:qFormat/>
    <w:rsid w:val="006E5157"/>
    <w:pPr>
      <w:numPr>
        <w:ilvl w:val="1"/>
        <w:numId w:val="16"/>
      </w:numPr>
      <w:spacing w:line="240" w:lineRule="atLeast"/>
      <w:contextualSpacing/>
    </w:pPr>
    <w:rPr>
      <w:rFonts w:ascii="Verdana" w:eastAsiaTheme="minorHAnsi" w:hAnsi="Verdana" w:cstheme="minorBidi"/>
      <w:sz w:val="18"/>
      <w:szCs w:val="18"/>
    </w:rPr>
  </w:style>
  <w:style w:type="paragraph" w:styleId="ListNumber3">
    <w:name w:val="List Number 3"/>
    <w:basedOn w:val="Normal"/>
    <w:uiPriority w:val="99"/>
    <w:rsid w:val="006E5157"/>
    <w:pPr>
      <w:numPr>
        <w:ilvl w:val="2"/>
        <w:numId w:val="16"/>
      </w:numPr>
      <w:spacing w:after="170" w:line="240" w:lineRule="atLeast"/>
      <w:contextualSpacing/>
    </w:pPr>
    <w:rPr>
      <w:rFonts w:ascii="Verdana" w:eastAsiaTheme="minorHAnsi" w:hAnsi="Verdana" w:cstheme="minorBidi"/>
      <w:sz w:val="18"/>
      <w:szCs w:val="18"/>
    </w:rPr>
  </w:style>
  <w:style w:type="table" w:customStyle="1" w:styleId="TableGrid1">
    <w:name w:val="Table Grid1"/>
    <w:basedOn w:val="TableNormal"/>
    <w:next w:val="TableGrid"/>
    <w:uiPriority w:val="39"/>
    <w:rsid w:val="00D72DFF"/>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0414BD"/>
    <w:rPr>
      <w:rFonts w:ascii="Verdana" w:eastAsiaTheme="minorHAnsi" w:hAnsi="Verdana" w:cstheme="minorBidi"/>
      <w:sz w:val="18"/>
      <w:szCs w:val="18"/>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ference">
    <w:name w:val="Reference"/>
    <w:basedOn w:val="Normal"/>
    <w:uiPriority w:val="4"/>
    <w:rsid w:val="004B7B13"/>
    <w:pPr>
      <w:spacing w:before="240" w:after="240" w:line="240" w:lineRule="atLeast"/>
      <w:ind w:left="567" w:hanging="567"/>
    </w:pPr>
    <w:rPr>
      <w:rFonts w:ascii="Verdana" w:hAnsi="Verdana"/>
      <w:sz w:val="18"/>
    </w:rPr>
  </w:style>
  <w:style w:type="character" w:styleId="Emphasis">
    <w:name w:val="Emphasis"/>
    <w:basedOn w:val="DefaultParagraphFont"/>
    <w:uiPriority w:val="20"/>
    <w:qFormat/>
    <w:rsid w:val="00AF4ADD"/>
    <w:rPr>
      <w:i/>
      <w:iCs/>
    </w:rPr>
  </w:style>
  <w:style w:type="table" w:customStyle="1" w:styleId="TableGrid2">
    <w:name w:val="Table Grid2"/>
    <w:basedOn w:val="TableNormal"/>
    <w:next w:val="TableGrid"/>
    <w:uiPriority w:val="39"/>
    <w:rsid w:val="008B7F2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F7065"/>
    <w:pPr>
      <w:spacing w:before="113" w:after="60" w:line="240" w:lineRule="atLeast"/>
    </w:pPr>
    <w:rPr>
      <w:rFonts w:ascii="Arial Narrow" w:eastAsiaTheme="minorHAnsi" w:hAnsi="Arial Narrow" w:cstheme="minorBidi"/>
      <w:sz w:val="22"/>
      <w:szCs w:val="22"/>
    </w:rPr>
  </w:style>
  <w:style w:type="character" w:customStyle="1" w:styleId="BodyTextChar">
    <w:name w:val="Body Text Char"/>
    <w:basedOn w:val="DefaultParagraphFont"/>
    <w:link w:val="BodyText"/>
    <w:uiPriority w:val="99"/>
    <w:rsid w:val="00AF7065"/>
    <w:rPr>
      <w:rFonts w:ascii="Arial Narrow" w:eastAsiaTheme="minorHAnsi" w:hAnsi="Arial Narrow" w:cstheme="minorBidi"/>
      <w:sz w:val="22"/>
      <w:szCs w:val="22"/>
      <w:lang w:eastAsia="en-US"/>
    </w:rPr>
  </w:style>
  <w:style w:type="table" w:customStyle="1" w:styleId="Deloittetable">
    <w:name w:val="Deloitte table"/>
    <w:basedOn w:val="TableNormal"/>
    <w:uiPriority w:val="99"/>
    <w:rsid w:val="00343036"/>
    <w:pPr>
      <w:spacing w:line="240" w:lineRule="atLeast"/>
    </w:pPr>
    <w:rPr>
      <w:rFonts w:ascii="Verdana" w:eastAsiaTheme="minorHAnsi" w:hAnsi="Verdana" w:cstheme="minorBidi"/>
      <w:sz w:val="17"/>
      <w:szCs w:val="18"/>
      <w:lang w:eastAsia="en-US"/>
    </w:rPr>
    <w:tblPr>
      <w:tblBorders>
        <w:top w:val="single" w:sz="4" w:space="0" w:color="C5511A"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C5511A" w:themeColor="accent3"/>
        </w:tcBorders>
      </w:tcPr>
    </w:tblStylePr>
  </w:style>
  <w:style w:type="character" w:customStyle="1" w:styleId="FooterChar">
    <w:name w:val="Footer Char"/>
    <w:basedOn w:val="DefaultParagraphFont"/>
    <w:link w:val="Footer"/>
    <w:uiPriority w:val="98"/>
    <w:rsid w:val="00540CA7"/>
    <w:rPr>
      <w:rFonts w:ascii="Arial" w:hAnsi="Arial" w:cs="Arial"/>
      <w:sz w:val="18"/>
      <w:szCs w:val="18"/>
      <w:lang w:eastAsia="en-US"/>
    </w:rPr>
  </w:style>
  <w:style w:type="paragraph" w:styleId="Revision">
    <w:name w:val="Revision"/>
    <w:hidden/>
    <w:uiPriority w:val="71"/>
    <w:rsid w:val="00972855"/>
    <w:rPr>
      <w:rFonts w:ascii="Cambria" w:hAnsi="Cambria"/>
      <w:lang w:eastAsia="en-US"/>
    </w:rPr>
  </w:style>
  <w:style w:type="character" w:customStyle="1" w:styleId="CaptionLabel">
    <w:name w:val="Caption Label"/>
    <w:basedOn w:val="DefaultParagraphFont"/>
    <w:uiPriority w:val="1"/>
    <w:qFormat/>
    <w:rsid w:val="00976683"/>
    <w:rPr>
      <w:b/>
    </w:rPr>
  </w:style>
  <w:style w:type="paragraph" w:customStyle="1" w:styleId="Source">
    <w:name w:val="Source"/>
    <w:basedOn w:val="Normal"/>
    <w:link w:val="SourceChar"/>
    <w:qFormat/>
    <w:rsid w:val="00976683"/>
    <w:pPr>
      <w:keepNext/>
      <w:spacing w:before="52"/>
    </w:pPr>
    <w:rPr>
      <w:rFonts w:ascii="Arial Narrow" w:eastAsiaTheme="minorHAnsi" w:hAnsi="Arial Narrow" w:cstheme="minorBidi"/>
      <w:i/>
      <w:caps/>
      <w:spacing w:val="-3"/>
      <w:sz w:val="14"/>
      <w:szCs w:val="22"/>
    </w:rPr>
  </w:style>
  <w:style w:type="paragraph" w:customStyle="1" w:styleId="Tablecolumnheadings">
    <w:name w:val="Table column headings"/>
    <w:basedOn w:val="Normal"/>
    <w:uiPriority w:val="3"/>
    <w:qFormat/>
    <w:rsid w:val="00976683"/>
    <w:pPr>
      <w:keepNext/>
      <w:spacing w:before="40" w:after="40" w:line="240" w:lineRule="atLeast"/>
      <w:ind w:right="120"/>
    </w:pPr>
    <w:rPr>
      <w:rFonts w:ascii="Arial Narrow" w:eastAsiaTheme="minorHAnsi" w:hAnsi="Arial Narrow" w:cstheme="minorBidi"/>
      <w:b/>
      <w:color w:val="FFFEFF"/>
      <w:szCs w:val="22"/>
    </w:rPr>
  </w:style>
  <w:style w:type="paragraph" w:customStyle="1" w:styleId="Tabletext">
    <w:name w:val="Table text"/>
    <w:basedOn w:val="Normal"/>
    <w:qFormat/>
    <w:rsid w:val="00976683"/>
    <w:pPr>
      <w:spacing w:before="60" w:line="240" w:lineRule="atLeast"/>
      <w:ind w:right="120"/>
    </w:pPr>
    <w:rPr>
      <w:rFonts w:ascii="Arial Narrow" w:eastAsiaTheme="minorHAnsi" w:hAnsi="Arial Narrow" w:cstheme="minorBidi"/>
      <w:color w:val="000100"/>
      <w:szCs w:val="22"/>
    </w:rPr>
  </w:style>
  <w:style w:type="character" w:customStyle="1" w:styleId="SourceChar">
    <w:name w:val="Source Char"/>
    <w:basedOn w:val="DefaultParagraphFont"/>
    <w:link w:val="Source"/>
    <w:locked/>
    <w:rsid w:val="00976683"/>
    <w:rPr>
      <w:rFonts w:ascii="Arial Narrow" w:eastAsiaTheme="minorHAnsi" w:hAnsi="Arial Narrow" w:cstheme="minorBidi"/>
      <w:i/>
      <w:caps/>
      <w:spacing w:val="-3"/>
      <w:sz w:val="14"/>
      <w:szCs w:val="22"/>
      <w:lang w:eastAsia="en-US"/>
    </w:rPr>
  </w:style>
  <w:style w:type="numbering" w:customStyle="1" w:styleId="aaReportListNumber">
    <w:name w:val="aa Report List Number"/>
    <w:uiPriority w:val="99"/>
    <w:rsid w:val="00976683"/>
    <w:pPr>
      <w:numPr>
        <w:numId w:val="46"/>
      </w:numPr>
    </w:pPr>
  </w:style>
  <w:style w:type="paragraph" w:customStyle="1" w:styleId="Tableunitsrow">
    <w:name w:val="Table units row"/>
    <w:basedOn w:val="Tabletext"/>
    <w:uiPriority w:val="3"/>
    <w:qFormat/>
    <w:rsid w:val="00976683"/>
  </w:style>
  <w:style w:type="paragraph" w:customStyle="1" w:styleId="spacertbl">
    <w:name w:val="spacer_tbl"/>
    <w:basedOn w:val="Normal"/>
    <w:qFormat/>
    <w:rsid w:val="00976683"/>
    <w:pPr>
      <w:widowControl w:val="0"/>
      <w:adjustRightInd w:val="0"/>
      <w:snapToGrid w:val="0"/>
    </w:pPr>
    <w:rPr>
      <w:rFonts w:ascii="Arial" w:eastAsiaTheme="minorHAnsi" w:hAnsi="Arial" w:cs="Arial"/>
      <w:sz w:val="4"/>
    </w:rPr>
  </w:style>
  <w:style w:type="paragraph" w:customStyle="1" w:styleId="Tablelistbullet">
    <w:name w:val="Table list bullet"/>
    <w:basedOn w:val="Tabletext"/>
    <w:qFormat/>
    <w:rsid w:val="00976683"/>
    <w:pPr>
      <w:numPr>
        <w:numId w:val="48"/>
      </w:numPr>
    </w:pPr>
  </w:style>
  <w:style w:type="paragraph" w:customStyle="1" w:styleId="Tablelistbullet2">
    <w:name w:val="Table list bullet 2"/>
    <w:basedOn w:val="Tablelistbullet"/>
    <w:qFormat/>
    <w:rsid w:val="00976683"/>
    <w:pPr>
      <w:numPr>
        <w:ilvl w:val="1"/>
      </w:numPr>
      <w:spacing w:before="0"/>
    </w:pPr>
  </w:style>
  <w:style w:type="paragraph" w:customStyle="1" w:styleId="Tablelistbullet3">
    <w:name w:val="Table list bullet 3"/>
    <w:basedOn w:val="Tabletext"/>
    <w:qFormat/>
    <w:rsid w:val="00976683"/>
    <w:pPr>
      <w:numPr>
        <w:ilvl w:val="2"/>
        <w:numId w:val="48"/>
      </w:numPr>
      <w:spacing w:before="0"/>
    </w:pPr>
  </w:style>
  <w:style w:type="numbering" w:customStyle="1" w:styleId="aaTableListBullets">
    <w:name w:val="aa Table List Bullets"/>
    <w:uiPriority w:val="99"/>
    <w:rsid w:val="00976683"/>
    <w:pPr>
      <w:numPr>
        <w:numId w:val="47"/>
      </w:numPr>
    </w:pPr>
  </w:style>
  <w:style w:type="character" w:customStyle="1" w:styleId="rpl-linkinner1">
    <w:name w:val="rpl-link__inner1"/>
    <w:basedOn w:val="DefaultParagraphFont"/>
    <w:rsid w:val="00655798"/>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596442">
      <w:bodyDiv w:val="1"/>
      <w:marLeft w:val="0"/>
      <w:marRight w:val="0"/>
      <w:marTop w:val="0"/>
      <w:marBottom w:val="0"/>
      <w:divBdr>
        <w:top w:val="none" w:sz="0" w:space="0" w:color="auto"/>
        <w:left w:val="none" w:sz="0" w:space="0" w:color="auto"/>
        <w:bottom w:val="none" w:sz="0" w:space="0" w:color="auto"/>
        <w:right w:val="none" w:sz="0" w:space="0" w:color="auto"/>
      </w:divBdr>
    </w:div>
    <w:div w:id="1073744267">
      <w:bodyDiv w:val="1"/>
      <w:marLeft w:val="0"/>
      <w:marRight w:val="0"/>
      <w:marTop w:val="0"/>
      <w:marBottom w:val="0"/>
      <w:divBdr>
        <w:top w:val="none" w:sz="0" w:space="0" w:color="auto"/>
        <w:left w:val="none" w:sz="0" w:space="0" w:color="auto"/>
        <w:bottom w:val="none" w:sz="0" w:space="0" w:color="auto"/>
        <w:right w:val="none" w:sz="0" w:space="0" w:color="auto"/>
      </w:divBdr>
    </w:div>
    <w:div w:id="1610312266">
      <w:bodyDiv w:val="1"/>
      <w:marLeft w:val="0"/>
      <w:marRight w:val="0"/>
      <w:marTop w:val="0"/>
      <w:marBottom w:val="0"/>
      <w:divBdr>
        <w:top w:val="none" w:sz="0" w:space="0" w:color="auto"/>
        <w:left w:val="none" w:sz="0" w:space="0" w:color="auto"/>
        <w:bottom w:val="none" w:sz="0" w:space="0" w:color="auto"/>
        <w:right w:val="none" w:sz="0" w:space="0" w:color="auto"/>
      </w:divBdr>
    </w:div>
    <w:div w:id="1800145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ildinfosharing@edumail.vic.gov.au" TargetMode="External"/><Relationship Id="rId18" Type="http://schemas.openxmlformats.org/officeDocument/2006/relationships/header" Target="header2.xml"/><Relationship Id="rId26" Type="http://schemas.openxmlformats.org/officeDocument/2006/relationships/hyperlink" Target="http://www.legislation.vic.gov.au/Domino/Web_Notes/LDMS/PubStatbook.nsf/f932b66241ecf1b7ca256e92000e23be/FF358D4126D026A9CA25826B000AAA7C/$FILE/18-011aa%20authorised.pdf" TargetMode="External"/><Relationship Id="rId39" Type="http://schemas.openxmlformats.org/officeDocument/2006/relationships/hyperlink" Target="https://www.blueknot.org.au/Portals/2/Economic%20Report/The%20cost%20of%20unresolved%20trauma_budget%20report%20fnl.pdf"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www.dhhs.vic.gov.au/child-protection-and-family-services-additional-service-delivery-data-2017-18" TargetMode="External"/><Relationship Id="rId42" Type="http://schemas.openxmlformats.org/officeDocument/2006/relationships/hyperlink" Target="http://www.rcfv.com.au/Report-Recommendations" TargetMode="External"/><Relationship Id="rId47" Type="http://schemas.openxmlformats.org/officeDocument/2006/relationships/hyperlink" Target="http://www.legislation.vic.gov.au/Domino/Web_Notes/LDMS/PubStatbook.nsf/edfb620cf7503d1aca256da4001b08af/15A4CD9FB84C7196CA2570D00022769A/%24FILE/05-096a.pd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hyperlink" Target="https://aifs.gov.au/cfca/publications/effects-child-abuse-and-neglect-children-and-adolescents" TargetMode="External"/><Relationship Id="rId33" Type="http://schemas.openxmlformats.org/officeDocument/2006/relationships/hyperlink" Target="https://www.dhhs.vic.gov.au/publications/roadmap-reform-strong-families-safe-children" TargetMode="External"/><Relationship Id="rId38" Type="http://schemas.openxmlformats.org/officeDocument/2006/relationships/hyperlink" Target="https://eric.ed.gov/?id=EJ920516" TargetMode="External"/><Relationship Id="rId46" Type="http://schemas.openxmlformats.org/officeDocument/2006/relationships/hyperlink" Target="http://www.legislation.vic.gov.au/Domino/Web_Notes/LDMS/PubStatbook.nsf/f932b66241ecf1b7ca256e92000e23be/05CC92B3F8CB6A6BCA257D4700209220/$FILE/14-060aa%20authorised.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hyperlink" Target="https://ccyp.vic.gov.au/assets/corporate-documents/CCYP-AR-2018-P6-FINAL-web.pdf" TargetMode="External"/><Relationship Id="rId41" Type="http://schemas.openxmlformats.org/officeDocument/2006/relationships/hyperlink" Target="https://earlytraumagrief.anu.edu.au/files/Access%20Economic%20Report_Exec%20Summary_FINAL.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ihw.gov.au/reports/child-protection/child-protection-australia-2017-18/contents/children-receiving-child-protection-services/new-and-repeat-clients" TargetMode="External"/><Relationship Id="rId32" Type="http://schemas.openxmlformats.org/officeDocument/2006/relationships/hyperlink" Target="http://childprotectioninquiry.vic.gov.au/images/stories/inquiry/volume1/cpi%207649%20web-pdf%20volume%201%20protecting%20victoria_s%20vulnerable%20children_%20inquiry_bm.2.pdf" TargetMode="External"/><Relationship Id="rId37" Type="http://schemas.openxmlformats.org/officeDocument/2006/relationships/hyperlink" Target="http://www.betterregulation.vic.gov.au/files/4620a1f5-7264-4930-a6ae-a88f00be3ef9/Family-Violence-Information-Sharing-RIS-PDF.pdf" TargetMode="External"/><Relationship Id="rId40" Type="http://schemas.openxmlformats.org/officeDocument/2006/relationships/hyperlink" Target="https://www.pc.gov.au/research/ongoing/report-on-government-services/2018/community-services/child-protection/rogs-2018-partf-chapter16.pdf" TargetMode="External"/><Relationship Id="rId45" Type="http://schemas.openxmlformats.org/officeDocument/2006/relationships/hyperlink" Target="http://www.legislation.vic.gov.au/Domino/Web_Notes/LDMS/LTObject_Store/LTObjSt6.nsf/DDE300B846EED9C7CA257616000A3571/77FAA53ECDC0DA44CA2579030015D701/$FILE/01-2aa023%20authorised.pdf" TargetMode="External"/><Relationship Id="rId5" Type="http://schemas.openxmlformats.org/officeDocument/2006/relationships/customXml" Target="../customXml/item5.xml"/><Relationship Id="rId15" Type="http://schemas.openxmlformats.org/officeDocument/2006/relationships/hyperlink" Target="https://engage.vic.gov.au/consultations" TargetMode="External"/><Relationship Id="rId23" Type="http://schemas.openxmlformats.org/officeDocument/2006/relationships/hyperlink" Target="https://aic.gov.au/publications/crm/crm054" TargetMode="External"/><Relationship Id="rId28" Type="http://schemas.openxmlformats.org/officeDocument/2006/relationships/hyperlink" Target="https://ccyp.vic.gov.au/assets/Publications-inquiries/Neither-seen-nor-heard-Inquiry-into-issues-of-family-violence-in-child-deaths.pdf" TargetMode="External"/><Relationship Id="rId36" Type="http://schemas.openxmlformats.org/officeDocument/2006/relationships/hyperlink" Target="http://www.dtf.vic.gov.au/Publications/Investment-planning-and-evaluation-publications/Lifecycle-guidance/Technical-guides"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hyperlink" Target="https://www.coronerscourt.vic.gov.au/sites/default/files/2018-12/aa_babyd_147412_redacted1_redacted.pdf" TargetMode="External"/><Relationship Id="rId44" Type="http://schemas.openxmlformats.org/officeDocument/2006/relationships/hyperlink" Target="https://www.parliament.vic.gov.au/images/stories/committees/SCLSI/Youth_Justice_System/Reports/LSIC_Inquiry_into_Youth_Justice_Centres_report_WEB.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etterregulation.vic.gov.au/Home" TargetMode="External"/><Relationship Id="rId22" Type="http://schemas.openxmlformats.org/officeDocument/2006/relationships/hyperlink" Target="https://www.pc.gov.au/research/ongoing/report-on-government-services" TargetMode="External"/><Relationship Id="rId27" Type="http://schemas.openxmlformats.org/officeDocument/2006/relationships/hyperlink" Target="http://www.legislation.vic.gov.au/domino/web_notes/LDMS/PubPDocs_Arch.nsf/5da7442d8f61e92bca256de50013d008/CA257CCA00177A46CA2581F400036887/$FILE/581377exi1z.pdf" TargetMode="External"/><Relationship Id="rId30" Type="http://schemas.openxmlformats.org/officeDocument/2006/relationships/hyperlink" Target="https://www.childabuseroyalcommission.gov.au/final-report" TargetMode="External"/><Relationship Id="rId35" Type="http://schemas.openxmlformats.org/officeDocument/2006/relationships/hyperlink" Target="https://www.dhhs.vic.gov.au/sites/default/files/documents/201812/DHHS-annual-report-2017-18.pdf" TargetMode="External"/><Relationship Id="rId43" Type="http://schemas.openxmlformats.org/officeDocument/2006/relationships/hyperlink" Target="https://www.vic.gov.au/sites/default/files/2019-01/Child%20Information%20Sharing%20Scheme%20Ministerial%20Guidlines%20-%20Guidance%20for%20information%20sharing%20entities.pdf" TargetMode="External"/><Relationship Id="rId48" Type="http://schemas.openxmlformats.org/officeDocument/2006/relationships/fontTable" Target="fontTable.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aph.gov.au/About_Parliament/Parliamentary_Departments/Parliamentary_Library/pubs/rp/rp1819/WageSlowdown" TargetMode="External"/><Relationship Id="rId1" Type="http://schemas.openxmlformats.org/officeDocument/2006/relationships/hyperlink" Target="https://www.planning.vic.gov.au/__data/assets/pdf_file/0014/14036/Victoria-in-Future-2016-FINAL-web.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696477\Desktop\CISS\Regulatory%20Impact%20Statement%20%20Child%20Wellbeing%20and%20Safety%20Amendment%20Regulations%202020_Word%20version.dotx" TargetMode="External"/></Relationships>
</file>

<file path=word/theme/theme1.xml><?xml version="1.0" encoding="utf-8"?>
<a:theme xmlns:a="http://schemas.openxmlformats.org/drawingml/2006/main" name="Office Theme">
  <a:themeElements>
    <a:clrScheme name="WOVG">
      <a:dk1>
        <a:sysClr val="windowText" lastClr="000000"/>
      </a:dk1>
      <a:lt1>
        <a:sysClr val="window" lastClr="FFFFFF"/>
      </a:lt1>
      <a:dk2>
        <a:srgbClr val="000000"/>
      </a:dk2>
      <a:lt2>
        <a:srgbClr val="FFFFFF"/>
      </a:lt2>
      <a:accent1>
        <a:srgbClr val="53565A"/>
      </a:accent1>
      <a:accent2>
        <a:srgbClr val="00848F"/>
      </a:accent2>
      <a:accent3>
        <a:srgbClr val="C5511A"/>
      </a:accent3>
      <a:accent4>
        <a:srgbClr val="CBCCCB"/>
      </a:accent4>
      <a:accent5>
        <a:srgbClr val="ADD7DB"/>
      </a:accent5>
      <a:accent6>
        <a:srgbClr val="E9BCA7"/>
      </a:accent6>
      <a:hlink>
        <a:srgbClr val="0072CE"/>
      </a:hlink>
      <a:folHlink>
        <a:srgbClr val="87189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ET Document" ma:contentTypeID="0x010100C1A95F885C0B4A62AE4D0515D220750C001192736B615C9E4C8E4A7D84E0A6FD79" ma:contentTypeVersion="20" ma:contentTypeDescription="DET Document" ma:contentTypeScope="" ma:versionID="5c17d0169d605fc352199df2398d3b47">
  <xsd:schema xmlns:xsd="http://www.w3.org/2001/XMLSchema" xmlns:xs="http://www.w3.org/2001/XMLSchema" xmlns:p="http://schemas.microsoft.com/office/2006/metadata/properties" xmlns:ns1="http://schemas.microsoft.com/sharepoint/v3" xmlns:ns2="http://schemas.microsoft.com/Sharepoint/v3" xmlns:ns3="1966e606-8b69-4075-9ef8-a409e80aaa70" xmlns:ns4="http://schemas.microsoft.com/sharepoint/v4" targetNamespace="http://schemas.microsoft.com/office/2006/metadata/properties" ma:root="true" ma:fieldsID="3a5b43f1f6ba88ced18794249025e56c" ns1:_="" ns2:_="" ns3:_="" ns4:_="">
    <xsd:import namespace="http://schemas.microsoft.com/sharepoint/v3"/>
    <xsd:import namespace="http://schemas.microsoft.com/Sharepoint/v3"/>
    <xsd:import namespace="1966e606-8b69-4075-9ef8-a409e80aaa70"/>
    <xsd:import namespace="http://schemas.microsoft.com/sharepoint/v4"/>
    <xsd:element name="properties">
      <xsd:complexType>
        <xsd:sequence>
          <xsd:element name="documentManagement">
            <xsd:complexType>
              <xsd:all>
                <xsd:element ref="ns2:DET_EDRMS_Date" minOccurs="0"/>
                <xsd:element ref="ns2:DET_EDRMS_Author" minOccurs="0"/>
                <xsd:element ref="ns2:DET_EDRMS_Category" minOccurs="0"/>
                <xsd:element ref="ns3:TaxCatchAll" minOccurs="0"/>
                <xsd:element ref="ns3:TaxCatchAllLabel" minOccurs="0"/>
                <xsd:element ref="ns2:DET_EDRMS_RCSTaxHTField0" minOccurs="0"/>
                <xsd:element ref="ns2:DET_EDRMS_BusUnitTaxHTField0" minOccurs="0"/>
                <xsd:element ref="ns2:DET_EDRMS_SecClassTaxHTField0" minOccurs="0"/>
                <xsd:element ref="ns2:DET_EDRMS_Description" minOccurs="0"/>
                <xsd:element ref="ns1:PublishingContactName"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Name" ma:index="20"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T_EDRMS_Date" ma:index="8" nillable="true" ma:displayName="Date" ma:default="" ma:format="DateOnly" ma:internalName="DET_EDRMS_Date" ma:readOnly="false">
      <xsd:simpleType>
        <xsd:restriction base="dms:DateTime"/>
      </xsd:simpleType>
    </xsd:element>
    <xsd:element name="DET_EDRMS_Author" ma:index="9" nillable="true" ma:displayName="Author" ma:default="" ma:internalName="DET_EDRMS_Author" ma:readOnly="false">
      <xsd:simpleType>
        <xsd:restriction base="dms:Text">
          <xsd:maxLength value="255"/>
        </xsd:restriction>
      </xsd:simpleType>
    </xsd:element>
    <xsd:element name="DET_EDRMS_Category" ma:index="10" nillable="true" ma:displayName="Category" ma:default="" ma:internalName="DET_EDRMS_Category" ma:readOnly="false">
      <xsd:simpleType>
        <xsd:restriction base="dms:Text">
          <xsd:maxLength value="255"/>
        </xsd:restriction>
      </xsd:simpleType>
    </xsd:element>
    <xsd:element name="DET_EDRMS_RCSTaxHTField0" ma:index="13" nillable="true" ma:taxonomy="true" ma:internalName="DET_EDRMS_RCSTaxHTField0" ma:taxonomyFieldName="DET_EDRMS_RCS" ma:displayName="RCS" ma:readOnly="true" ma:default="" ma:fieldId="{b94599ac-76d7-4d0a-81e2-e0d597ad60b0}" ma:sspId="272df97b-2740-40bb-9c0d-572a441144cd" ma:termSetId="759985f7-f856-45a6-bc29-a99c164acfb5" ma:anchorId="00000000-0000-0000-0000-000000000000" ma:open="false" ma:isKeyword="false">
      <xsd:complexType>
        <xsd:sequence>
          <xsd:element ref="pc:Terms" minOccurs="0" maxOccurs="1"/>
        </xsd:sequence>
      </xsd:complexType>
    </xsd:element>
    <xsd:element name="DET_EDRMS_BusUnitTaxHTField0" ma:index="15" nillable="true" ma:taxonomy="true" ma:internalName="DET_EDRMS_BusUnitTaxHTField0" ma:taxonomyFieldName="DET_EDRMS_BusUnit" ma:displayName="business unit" ma:readOnly="false" ma:default="" ma:fieldId="{6a09474b-ef6b-487d-9343-1ac28330710e}" ma:sspId="272df97b-2740-40bb-9c0d-572a441144cd" ma:termSetId="46e496f0-ccd4-43cf-a51f-50fd2b955286" ma:anchorId="00000000-0000-0000-0000-000000000000" ma:open="false" ma:isKeyword="false">
      <xsd:complexType>
        <xsd:sequence>
          <xsd:element ref="pc:Terms" minOccurs="0" maxOccurs="1"/>
        </xsd:sequence>
      </xsd:complexType>
    </xsd:element>
    <xsd:element name="DET_EDRMS_SecClassTaxHTField0" ma:index="17" nillable="true" ma:taxonomy="true" ma:internalName="DET_EDRMS_SecClassTaxHTField0" ma:taxonomyFieldName="DET_EDRMS_SecClass" ma:displayName="Security Classification" ma:readOnly="false" ma:default="" ma:fieldId="{5f325da7-47e2-4289-8db0-23622dd7f876}" ma:sspId="272df97b-2740-40bb-9c0d-572a441144cd" ma:termSetId="824106a0-5d61-4c80-a0b7-f264a0cc5794" ma:anchorId="00000000-0000-0000-0000-000000000000" ma:open="false" ma:isKeyword="false">
      <xsd:complexType>
        <xsd:sequence>
          <xsd:element ref="pc:Terms" minOccurs="0" maxOccurs="1"/>
        </xsd:sequence>
      </xsd:complexType>
    </xsd:element>
    <xsd:element name="DET_EDRMS_Description" ma:index="19" nillable="true" ma:displayName="Document Description" ma:default="" ma:description="" ma:internalName="DET_EDRMS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6e606-8b69-4075-9ef8-a409e80aaa7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fd28c8f-cdde-492d-987e-a406b347cb4f}" ma:internalName="TaxCatchAll" ma:readOnly="false" ma:showField="CatchAllData"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fd28c8f-cdde-492d-987e-a406b347cb4f}" ma:internalName="TaxCatchAllLabel" ma:readOnly="true" ma:showField="CatchAllDataLabel" ma:web="1966e606-8b69-4075-9ef8-a409e80aaa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
    <Synchronization>Asynchronous</Synchronization>
    <Type>10003</Type>
    <SequenceNumber>10000</SequenceNumber>
    <Url/>
    <Assembly>RecordPoint.Active.UI, Version=1.0.0.0, Culture=neutral, PublicKeyToken=d49476ae5b650bf3</Assembly>
    <Class>RecordPoint.Active.UI.Events.WorkflowItemEventReceiver</Class>
    <Data/>
    <Filter/>
  </Receiver>
  <Receiver>
    <Name/>
    <Synchronization>Synchronous</Synchronization>
    <Type>3</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10009</Type>
    <SequenceNumber>10000</SequenceNumber>
    <Url/>
    <Assembly>RecordPoint.Active.UI, Version=1.0.0.0, Culture=neutral, PublicKeyToken=d49476ae5b650bf3</Assembly>
    <Class>RecordPoint.Active.UI.Events.WorkflowItemEventReceiver</Class>
    <Data/>
    <Filter/>
  </Receiver>
  <Receiver>
    <Name/>
    <Synchronization>Synchronous</Synchronization>
    <Type>9</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10103</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102</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10105</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105</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10002</Type>
    <SequenceNumber>10000</SequenceNumber>
    <Url/>
    <Assembly>RecordPoint.Active.UI, Version=1.0.0.0, Culture=neutral, PublicKeyToken=d49476ae5b650bf3</Assembly>
    <Class>RecordPoint.Active.UI.Events.WorkflowItemEventReceiver</Class>
    <Data/>
    <Filter/>
  </Receiver>
  <Receiver>
    <Name/>
    <Synchronization>Synchronous</Synchronization>
    <Type>2</Type>
    <SequenceNumber>10000</SequenceNumber>
    <Url/>
    <Assembly>RecordPoint.Active.UI, Version=1.0.0.0, Culture=neutral, PublicKeyToken=d49476ae5b650bf3</Assembly>
    <Class>RecordPoint.Active.UI.Events.WorkflowItemEventReceiver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DET_EDRMS_Date xmlns="http://schemas.microsoft.com/Sharepoint/v3" xsi:nil="true"/>
    <DET_EDRMS_Author xmlns="http://schemas.microsoft.com/Sharepoint/v3" xsi:nil="true"/>
    <DET_EDRMS_Category xmlns="http://schemas.microsoft.com/Sharepoint/v3" xsi:nil="true"/>
    <DET_EDRMS_SecClassTaxHTField0 xmlns="http://schemas.microsoft.com/Sharepoint/v3">
      <Terms xmlns="http://schemas.microsoft.com/office/infopath/2007/PartnerControls"/>
    </DET_EDRMS_SecClassTaxHTField0>
    <IconOverlay xmlns="http://schemas.microsoft.com/sharepoint/v4" xsi:nil="true"/>
    <DET_EDRMS_BusUnitTaxHTField0 xmlns="http://schemas.microsoft.com/Sharepoint/v3">
      <Terms xmlns="http://schemas.microsoft.com/office/infopath/2007/PartnerControls"/>
    </DET_EDRMS_BusUnitTaxHTField0>
    <TaxCatchAll xmlns="1966e606-8b69-4075-9ef8-a409e80aaa70">
      <Value>20</Value>
    </TaxCatchAll>
    <PublishingContactName xmlns="http://schemas.microsoft.com/sharepoint/v3" xsi:nil="true"/>
    <DET_EDRMS_Description xmlns="http://schemas.microsoft.com/Sharepoint/v3" xsi:nil="true"/>
    <DET_EDRMS_RCSTaxHTField0 xmlns="http://schemas.microsoft.com/Sharepoint/v3">
      <Terms xmlns="http://schemas.microsoft.com/office/infopath/2007/PartnerControls">
        <TermInfo xmlns="http://schemas.microsoft.com/office/infopath/2007/PartnerControls">
          <TermName xmlns="http://schemas.microsoft.com/office/infopath/2007/PartnerControls">1.2.2 Project Documentation</TermName>
          <TermId xmlns="http://schemas.microsoft.com/office/infopath/2007/PartnerControls">a3ce4c3c-7960-4756-834e-8cbbf9028802</TermId>
        </TermInfo>
      </Terms>
    </DET_EDRMS_RCSTaxHTField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14766-C526-4220-B2D9-E83221A57E51}">
  <ds:schemaRefs>
    <ds:schemaRef ds:uri="http://schemas.microsoft.com/sharepoint/v3/contenttype/forms"/>
  </ds:schemaRefs>
</ds:datastoreItem>
</file>

<file path=customXml/itemProps2.xml><?xml version="1.0" encoding="utf-8"?>
<ds:datastoreItem xmlns:ds="http://schemas.openxmlformats.org/officeDocument/2006/customXml" ds:itemID="{701A9F13-D8E6-456C-AD7B-F0CE75685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1966e606-8b69-4075-9ef8-a409e80aaa7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4F098E-C8FC-4FFD-B3D0-D119F882EF99}">
  <ds:schemaRefs>
    <ds:schemaRef ds:uri="http://schemas.microsoft.com/sharepoint/events"/>
  </ds:schemaRefs>
</ds:datastoreItem>
</file>

<file path=customXml/itemProps4.xml><?xml version="1.0" encoding="utf-8"?>
<ds:datastoreItem xmlns:ds="http://schemas.openxmlformats.org/officeDocument/2006/customXml" ds:itemID="{6AEB0500-C8CA-49F3-8D9E-E6344BE34B66}">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1966e606-8b69-4075-9ef8-a409e80aaa70"/>
    <ds:schemaRef ds:uri="http://schemas.microsoft.com/sharepoint/v3"/>
  </ds:schemaRefs>
</ds:datastoreItem>
</file>

<file path=customXml/itemProps5.xml><?xml version="1.0" encoding="utf-8"?>
<ds:datastoreItem xmlns:ds="http://schemas.openxmlformats.org/officeDocument/2006/customXml" ds:itemID="{9EE6A236-8CB2-4E2F-930C-43050BAE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Regulatory Impact Statement  Child Wellbeing and Safety Amendment Regulations 2020_Word version</Template>
  <TotalTime>1</TotalTime>
  <Pages>77</Pages>
  <Words>25686</Words>
  <Characters>146416</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Victoria State Government</Company>
  <LinksUpToDate>false</LinksUpToDate>
  <CharactersWithSpaces>171759</CharactersWithSpaces>
  <SharedDoc>false</SharedDoc>
  <HyperlinkBase/>
  <HLinks>
    <vt:vector size="60" baseType="variant">
      <vt:variant>
        <vt:i4>7864376</vt:i4>
      </vt:variant>
      <vt:variant>
        <vt:i4>51</vt:i4>
      </vt:variant>
      <vt:variant>
        <vt:i4>0</vt:i4>
      </vt:variant>
      <vt:variant>
        <vt:i4>5</vt:i4>
      </vt:variant>
      <vt:variant>
        <vt:lpwstr>https://intranet.dhhs.vic.gov.au/templates-our-visual-style</vt:lpwstr>
      </vt:variant>
      <vt:variant>
        <vt:lpwstr/>
      </vt:variant>
      <vt:variant>
        <vt:i4>1048626</vt:i4>
      </vt:variant>
      <vt:variant>
        <vt:i4>44</vt:i4>
      </vt:variant>
      <vt:variant>
        <vt:i4>0</vt:i4>
      </vt:variant>
      <vt:variant>
        <vt:i4>5</vt:i4>
      </vt:variant>
      <vt:variant>
        <vt:lpwstr/>
      </vt:variant>
      <vt:variant>
        <vt:lpwstr>_Toc442704404</vt:lpwstr>
      </vt:variant>
      <vt:variant>
        <vt:i4>1048626</vt:i4>
      </vt:variant>
      <vt:variant>
        <vt:i4>38</vt:i4>
      </vt:variant>
      <vt:variant>
        <vt:i4>0</vt:i4>
      </vt:variant>
      <vt:variant>
        <vt:i4>5</vt:i4>
      </vt:variant>
      <vt:variant>
        <vt:lpwstr/>
      </vt:variant>
      <vt:variant>
        <vt:lpwstr>_Toc442704403</vt:lpwstr>
      </vt:variant>
      <vt:variant>
        <vt:i4>1048626</vt:i4>
      </vt:variant>
      <vt:variant>
        <vt:i4>32</vt:i4>
      </vt:variant>
      <vt:variant>
        <vt:i4>0</vt:i4>
      </vt:variant>
      <vt:variant>
        <vt:i4>5</vt:i4>
      </vt:variant>
      <vt:variant>
        <vt:lpwstr/>
      </vt:variant>
      <vt:variant>
        <vt:lpwstr>_Toc442704402</vt:lpwstr>
      </vt:variant>
      <vt:variant>
        <vt:i4>1048626</vt:i4>
      </vt:variant>
      <vt:variant>
        <vt:i4>26</vt:i4>
      </vt:variant>
      <vt:variant>
        <vt:i4>0</vt:i4>
      </vt:variant>
      <vt:variant>
        <vt:i4>5</vt:i4>
      </vt:variant>
      <vt:variant>
        <vt:lpwstr/>
      </vt:variant>
      <vt:variant>
        <vt:lpwstr>_Toc442704401</vt:lpwstr>
      </vt:variant>
      <vt:variant>
        <vt:i4>1048626</vt:i4>
      </vt:variant>
      <vt:variant>
        <vt:i4>20</vt:i4>
      </vt:variant>
      <vt:variant>
        <vt:i4>0</vt:i4>
      </vt:variant>
      <vt:variant>
        <vt:i4>5</vt:i4>
      </vt:variant>
      <vt:variant>
        <vt:lpwstr/>
      </vt:variant>
      <vt:variant>
        <vt:lpwstr>_Toc442704400</vt:lpwstr>
      </vt:variant>
      <vt:variant>
        <vt:i4>1638453</vt:i4>
      </vt:variant>
      <vt:variant>
        <vt:i4>14</vt:i4>
      </vt:variant>
      <vt:variant>
        <vt:i4>0</vt:i4>
      </vt:variant>
      <vt:variant>
        <vt:i4>5</vt:i4>
      </vt:variant>
      <vt:variant>
        <vt:lpwstr/>
      </vt:variant>
      <vt:variant>
        <vt:lpwstr>_Toc442704399</vt:lpwstr>
      </vt:variant>
      <vt:variant>
        <vt:i4>1638453</vt:i4>
      </vt:variant>
      <vt:variant>
        <vt:i4>8</vt:i4>
      </vt:variant>
      <vt:variant>
        <vt:i4>0</vt:i4>
      </vt:variant>
      <vt:variant>
        <vt:i4>5</vt:i4>
      </vt:variant>
      <vt:variant>
        <vt:lpwstr/>
      </vt:variant>
      <vt:variant>
        <vt:lpwstr>_Toc442704398</vt:lpwstr>
      </vt:variant>
      <vt:variant>
        <vt:i4>2555941</vt:i4>
      </vt:variant>
      <vt:variant>
        <vt:i4>3</vt:i4>
      </vt:variant>
      <vt:variant>
        <vt:i4>0</vt:i4>
      </vt:variant>
      <vt:variant>
        <vt:i4>5</vt:i4>
      </vt:variant>
      <vt:variant>
        <vt:lpwstr>http://survey.tool.tempdomain.info/TakeSurveycss.asp?SurveyID=3K33p3LIm66MG</vt:lpwstr>
      </vt:variant>
      <vt:variant>
        <vt:lpwstr/>
      </vt:variant>
      <vt:variant>
        <vt:i4>3145752</vt:i4>
      </vt:variant>
      <vt:variant>
        <vt:i4>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O'Meara, Damien J</dc:creator>
  <cp:lastModifiedBy>O'Meara, Damien J</cp:lastModifiedBy>
  <cp:revision>1</cp:revision>
  <cp:lastPrinted>2019-11-01T03:26:00Z</cp:lastPrinted>
  <dcterms:created xsi:type="dcterms:W3CDTF">2019-11-04T00:44:00Z</dcterms:created>
  <dcterms:modified xsi:type="dcterms:W3CDTF">2019-11-04T00:45:00Z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0x010100C1A95F885C0B4A62AE4D0515D220750C001192736B615C9E4C8E4A7D84E0A6FD79</vt:lpwstr>
  </property>
  <property fmtid="{D5CDD505-2E9C-101B-9397-08002B2CF9AE}" pid="4" name="DET_EDRMS_RCS">
    <vt:lpwstr>20;#1.2.2 Project Documentation|a3ce4c3c-7960-4756-834e-8cbbf9028802</vt:lpwstr>
  </property>
  <property fmtid="{D5CDD505-2E9C-101B-9397-08002B2CF9AE}" pid="5" name="DET_EDRMS_BusUnit">
    <vt:lpwstr/>
  </property>
  <property fmtid="{D5CDD505-2E9C-101B-9397-08002B2CF9AE}" pid="6" name="DET_EDRMS_SecClass">
    <vt:lpwstr/>
  </property>
  <property fmtid="{D5CDD505-2E9C-101B-9397-08002B2CF9AE}" pid="7" name="RecordPoint_WorkflowType">
    <vt:lpwstr>ActiveSubmitStub</vt:lpwstr>
  </property>
  <property fmtid="{D5CDD505-2E9C-101B-9397-08002B2CF9AE}" pid="8" name="RecordPoint_ActiveItemUniqueId">
    <vt:lpwstr>{8ad28dc3-50e7-4bce-a473-87778bdab53b}</vt:lpwstr>
  </property>
  <property fmtid="{D5CDD505-2E9C-101B-9397-08002B2CF9AE}" pid="9" name="RecordPoint_ActiveItemWebId">
    <vt:lpwstr>{720f3ef4-45e8-4c82-a57e-08db454184b3}</vt:lpwstr>
  </property>
  <property fmtid="{D5CDD505-2E9C-101B-9397-08002B2CF9AE}" pid="10" name="RecordPoint_ActiveItemSiteId">
    <vt:lpwstr>{03dc8113-b288-4f44-a289-6e7ea0196235}</vt:lpwstr>
  </property>
  <property fmtid="{D5CDD505-2E9C-101B-9397-08002B2CF9AE}" pid="11" name="RecordPoint_ActiveItemListId">
    <vt:lpwstr>{dd423987-d1d2-4442-be2a-805affb73a0b}</vt:lpwstr>
  </property>
  <property fmtid="{D5CDD505-2E9C-101B-9397-08002B2CF9AE}" pid="12" name="RecordPoint_RecordNumberSubmitted">
    <vt:lpwstr>R20190118549</vt:lpwstr>
  </property>
  <property fmtid="{D5CDD505-2E9C-101B-9397-08002B2CF9AE}" pid="13" name="RecordPoint_SubmissionCompleted">
    <vt:lpwstr>2019-10-09T16:57:36.1951788+11:00</vt:lpwstr>
  </property>
  <property fmtid="{D5CDD505-2E9C-101B-9397-08002B2CF9AE}" pid="14" name="RecordPoint_SubmissionDate">
    <vt:lpwstr/>
  </property>
  <property fmtid="{D5CDD505-2E9C-101B-9397-08002B2CF9AE}" pid="15" name="RecordPoint_ActiveItemMoved">
    <vt:lpwstr/>
  </property>
  <property fmtid="{D5CDD505-2E9C-101B-9397-08002B2CF9AE}" pid="16" name="RecordPoint_RecordFormat">
    <vt:lpwstr/>
  </property>
</Properties>
</file>